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DF3" w:rsidRPr="00B27A29" w:rsidRDefault="005E6DF3">
      <w:pPr>
        <w:autoSpaceDE w:val="0"/>
        <w:autoSpaceDN w:val="0"/>
        <w:adjustRightInd w:val="0"/>
        <w:spacing w:line="360" w:lineRule="auto"/>
        <w:jc w:val="left"/>
        <w:rPr>
          <w:rFonts w:eastAsiaTheme="minorEastAsia"/>
          <w:color w:val="000000" w:themeColor="text1"/>
          <w:kern w:val="0"/>
          <w:szCs w:val="21"/>
        </w:rPr>
      </w:pPr>
      <w:bookmarkStart w:id="0" w:name="_GoBack"/>
      <w:bookmarkEnd w:id="0"/>
    </w:p>
    <w:p w:rsidR="005E6DF3" w:rsidRPr="00B27A29" w:rsidRDefault="005E6DF3">
      <w:pPr>
        <w:autoSpaceDE w:val="0"/>
        <w:autoSpaceDN w:val="0"/>
        <w:adjustRightInd w:val="0"/>
        <w:spacing w:line="360" w:lineRule="auto"/>
        <w:jc w:val="left"/>
        <w:rPr>
          <w:rFonts w:eastAsiaTheme="minorEastAsia"/>
          <w:color w:val="000000" w:themeColor="text1"/>
          <w:kern w:val="0"/>
          <w:szCs w:val="21"/>
        </w:rPr>
      </w:pPr>
    </w:p>
    <w:p w:rsidR="005E6DF3" w:rsidRPr="00B27A29" w:rsidRDefault="005E6DF3">
      <w:pPr>
        <w:autoSpaceDE w:val="0"/>
        <w:autoSpaceDN w:val="0"/>
        <w:adjustRightInd w:val="0"/>
        <w:spacing w:line="360" w:lineRule="auto"/>
        <w:jc w:val="left"/>
        <w:rPr>
          <w:rFonts w:eastAsiaTheme="minorEastAsia"/>
          <w:color w:val="000000" w:themeColor="text1"/>
          <w:kern w:val="0"/>
          <w:szCs w:val="21"/>
        </w:rPr>
      </w:pPr>
    </w:p>
    <w:p w:rsidR="005E6DF3" w:rsidRPr="00B27A29" w:rsidRDefault="005E6DF3">
      <w:pPr>
        <w:autoSpaceDE w:val="0"/>
        <w:autoSpaceDN w:val="0"/>
        <w:adjustRightInd w:val="0"/>
        <w:spacing w:line="360" w:lineRule="auto"/>
        <w:jc w:val="left"/>
        <w:rPr>
          <w:rFonts w:eastAsiaTheme="minorEastAsia"/>
          <w:color w:val="000000" w:themeColor="text1"/>
          <w:kern w:val="0"/>
          <w:szCs w:val="21"/>
        </w:rPr>
      </w:pPr>
    </w:p>
    <w:p w:rsidR="005E6DF3" w:rsidRPr="00B27A29" w:rsidRDefault="005E6DF3">
      <w:pPr>
        <w:autoSpaceDE w:val="0"/>
        <w:autoSpaceDN w:val="0"/>
        <w:adjustRightInd w:val="0"/>
        <w:spacing w:line="360" w:lineRule="auto"/>
        <w:jc w:val="left"/>
        <w:rPr>
          <w:rFonts w:eastAsiaTheme="minorEastAsia"/>
          <w:color w:val="000000" w:themeColor="text1"/>
          <w:kern w:val="0"/>
          <w:szCs w:val="21"/>
        </w:rPr>
      </w:pPr>
    </w:p>
    <w:p w:rsidR="005E6DF3" w:rsidRPr="00B27A29" w:rsidRDefault="005C671B">
      <w:pPr>
        <w:spacing w:line="360" w:lineRule="auto"/>
        <w:jc w:val="center"/>
        <w:rPr>
          <w:rFonts w:eastAsiaTheme="minorEastAsia"/>
          <w:b/>
          <w:color w:val="000000" w:themeColor="text1"/>
          <w:sz w:val="36"/>
          <w:szCs w:val="36"/>
        </w:rPr>
      </w:pPr>
      <w:r w:rsidRPr="00B27A29">
        <w:rPr>
          <w:rFonts w:eastAsiaTheme="minorEastAsia"/>
          <w:b/>
          <w:color w:val="000000" w:themeColor="text1"/>
          <w:sz w:val="36"/>
          <w:szCs w:val="36"/>
        </w:rPr>
        <w:t>上投摩根双息平衡混合型证券投资基金</w:t>
      </w:r>
    </w:p>
    <w:p w:rsidR="005E6DF3" w:rsidRPr="00B27A29" w:rsidRDefault="005C671B">
      <w:pPr>
        <w:spacing w:line="360" w:lineRule="auto"/>
        <w:jc w:val="center"/>
        <w:rPr>
          <w:rFonts w:eastAsiaTheme="minorEastAsia"/>
          <w:b/>
          <w:color w:val="000000" w:themeColor="text1"/>
          <w:sz w:val="36"/>
          <w:szCs w:val="36"/>
        </w:rPr>
      </w:pPr>
      <w:r w:rsidRPr="00B27A29">
        <w:rPr>
          <w:rFonts w:eastAsiaTheme="minorEastAsia"/>
          <w:b/>
          <w:color w:val="000000" w:themeColor="text1"/>
          <w:sz w:val="36"/>
          <w:szCs w:val="36"/>
        </w:rPr>
        <w:t>2021</w:t>
      </w:r>
      <w:r w:rsidRPr="00B27A29">
        <w:rPr>
          <w:rFonts w:eastAsiaTheme="minorEastAsia"/>
          <w:b/>
          <w:color w:val="000000" w:themeColor="text1"/>
          <w:sz w:val="36"/>
          <w:szCs w:val="36"/>
        </w:rPr>
        <w:t>年第</w:t>
      </w:r>
      <w:r w:rsidRPr="00B27A29">
        <w:rPr>
          <w:rFonts w:eastAsiaTheme="minorEastAsia"/>
          <w:b/>
          <w:color w:val="000000" w:themeColor="text1"/>
          <w:sz w:val="36"/>
          <w:szCs w:val="36"/>
        </w:rPr>
        <w:t>2</w:t>
      </w:r>
      <w:r w:rsidRPr="00B27A29">
        <w:rPr>
          <w:rFonts w:eastAsiaTheme="minorEastAsia"/>
          <w:b/>
          <w:color w:val="000000" w:themeColor="text1"/>
          <w:sz w:val="36"/>
          <w:szCs w:val="36"/>
        </w:rPr>
        <w:t>季度报告</w:t>
      </w:r>
    </w:p>
    <w:p w:rsidR="005E6DF3" w:rsidRPr="00B27A29" w:rsidRDefault="005C671B">
      <w:pPr>
        <w:spacing w:line="360" w:lineRule="auto"/>
        <w:jc w:val="center"/>
        <w:rPr>
          <w:rFonts w:eastAsiaTheme="minorEastAsia"/>
          <w:b/>
          <w:color w:val="000000" w:themeColor="text1"/>
          <w:szCs w:val="21"/>
        </w:rPr>
      </w:pPr>
      <w:r w:rsidRPr="00B27A29">
        <w:rPr>
          <w:rFonts w:eastAsiaTheme="minorEastAsia"/>
          <w:b/>
          <w:color w:val="000000" w:themeColor="text1"/>
          <w:sz w:val="36"/>
          <w:szCs w:val="36"/>
        </w:rPr>
        <w:t>2021</w:t>
      </w:r>
      <w:r w:rsidRPr="00B27A29">
        <w:rPr>
          <w:rFonts w:eastAsiaTheme="minorEastAsia"/>
          <w:b/>
          <w:color w:val="000000" w:themeColor="text1"/>
          <w:sz w:val="36"/>
          <w:szCs w:val="36"/>
        </w:rPr>
        <w:t>年</w:t>
      </w:r>
      <w:r w:rsidRPr="00B27A29">
        <w:rPr>
          <w:rFonts w:eastAsiaTheme="minorEastAsia"/>
          <w:b/>
          <w:color w:val="000000" w:themeColor="text1"/>
          <w:sz w:val="36"/>
          <w:szCs w:val="36"/>
        </w:rPr>
        <w:t>6</w:t>
      </w:r>
      <w:r w:rsidRPr="00B27A29">
        <w:rPr>
          <w:rFonts w:eastAsiaTheme="minorEastAsia"/>
          <w:b/>
          <w:color w:val="000000" w:themeColor="text1"/>
          <w:sz w:val="36"/>
          <w:szCs w:val="36"/>
        </w:rPr>
        <w:t>月</w:t>
      </w:r>
      <w:r w:rsidRPr="00B27A29">
        <w:rPr>
          <w:rFonts w:eastAsiaTheme="minorEastAsia"/>
          <w:b/>
          <w:color w:val="000000" w:themeColor="text1"/>
          <w:sz w:val="36"/>
          <w:szCs w:val="36"/>
        </w:rPr>
        <w:t>30</w:t>
      </w:r>
      <w:r w:rsidRPr="00B27A29">
        <w:rPr>
          <w:rFonts w:eastAsiaTheme="minorEastAsia"/>
          <w:b/>
          <w:color w:val="000000" w:themeColor="text1"/>
          <w:sz w:val="36"/>
          <w:szCs w:val="36"/>
        </w:rPr>
        <w:t>日</w:t>
      </w:r>
    </w:p>
    <w:p w:rsidR="005E6DF3" w:rsidRPr="00B27A29" w:rsidRDefault="005E6DF3">
      <w:pPr>
        <w:spacing w:line="360" w:lineRule="auto"/>
        <w:jc w:val="center"/>
        <w:rPr>
          <w:rFonts w:eastAsiaTheme="minorEastAsia"/>
          <w:b/>
          <w:color w:val="000000" w:themeColor="text1"/>
          <w:szCs w:val="21"/>
        </w:rPr>
      </w:pPr>
    </w:p>
    <w:p w:rsidR="005E6DF3" w:rsidRPr="00B27A29" w:rsidRDefault="005E6DF3">
      <w:pPr>
        <w:spacing w:line="360" w:lineRule="auto"/>
        <w:jc w:val="center"/>
        <w:rPr>
          <w:rFonts w:eastAsiaTheme="minorEastAsia"/>
          <w:b/>
          <w:color w:val="000000" w:themeColor="text1"/>
          <w:szCs w:val="21"/>
        </w:rPr>
      </w:pPr>
    </w:p>
    <w:p w:rsidR="005E6DF3" w:rsidRPr="00B27A29" w:rsidRDefault="005E6DF3">
      <w:pPr>
        <w:spacing w:line="360" w:lineRule="auto"/>
        <w:jc w:val="center"/>
        <w:rPr>
          <w:rFonts w:eastAsiaTheme="minorEastAsia"/>
          <w:b/>
          <w:color w:val="000000" w:themeColor="text1"/>
          <w:szCs w:val="21"/>
        </w:rPr>
      </w:pPr>
    </w:p>
    <w:p w:rsidR="005E6DF3" w:rsidRPr="00B27A29" w:rsidRDefault="005E6DF3">
      <w:pPr>
        <w:spacing w:line="360" w:lineRule="auto"/>
        <w:jc w:val="center"/>
        <w:rPr>
          <w:rFonts w:eastAsiaTheme="minorEastAsia"/>
          <w:b/>
          <w:color w:val="000000" w:themeColor="text1"/>
          <w:szCs w:val="21"/>
        </w:rPr>
      </w:pPr>
    </w:p>
    <w:p w:rsidR="005E6DF3" w:rsidRPr="00B27A29" w:rsidRDefault="005E6DF3">
      <w:pPr>
        <w:spacing w:line="360" w:lineRule="auto"/>
        <w:jc w:val="center"/>
        <w:rPr>
          <w:rFonts w:eastAsiaTheme="minorEastAsia"/>
          <w:b/>
          <w:color w:val="000000" w:themeColor="text1"/>
          <w:szCs w:val="21"/>
        </w:rPr>
      </w:pPr>
    </w:p>
    <w:p w:rsidR="005E6DF3" w:rsidRPr="00B27A29" w:rsidRDefault="005E6DF3">
      <w:pPr>
        <w:spacing w:line="360" w:lineRule="auto"/>
        <w:jc w:val="center"/>
        <w:rPr>
          <w:rFonts w:eastAsiaTheme="minorEastAsia"/>
          <w:b/>
          <w:color w:val="000000" w:themeColor="text1"/>
          <w:szCs w:val="21"/>
        </w:rPr>
      </w:pPr>
    </w:p>
    <w:p w:rsidR="005E6DF3" w:rsidRPr="00B27A29" w:rsidRDefault="005E6DF3">
      <w:pPr>
        <w:spacing w:line="360" w:lineRule="auto"/>
        <w:jc w:val="center"/>
        <w:rPr>
          <w:rFonts w:eastAsiaTheme="minorEastAsia"/>
          <w:b/>
          <w:color w:val="000000" w:themeColor="text1"/>
          <w:szCs w:val="21"/>
        </w:rPr>
      </w:pPr>
    </w:p>
    <w:p w:rsidR="005E6DF3" w:rsidRPr="00B27A29" w:rsidRDefault="005E6DF3">
      <w:pPr>
        <w:spacing w:line="360" w:lineRule="auto"/>
        <w:jc w:val="center"/>
        <w:rPr>
          <w:rFonts w:eastAsiaTheme="minorEastAsia"/>
          <w:b/>
          <w:color w:val="000000" w:themeColor="text1"/>
          <w:szCs w:val="21"/>
        </w:rPr>
      </w:pPr>
    </w:p>
    <w:p w:rsidR="005E6DF3" w:rsidRPr="00B27A29" w:rsidRDefault="005E6DF3">
      <w:pPr>
        <w:spacing w:line="360" w:lineRule="auto"/>
        <w:jc w:val="center"/>
        <w:rPr>
          <w:rFonts w:eastAsiaTheme="minorEastAsia"/>
          <w:b/>
          <w:color w:val="000000" w:themeColor="text1"/>
          <w:szCs w:val="21"/>
        </w:rPr>
      </w:pPr>
    </w:p>
    <w:p w:rsidR="005E6DF3" w:rsidRPr="00B27A29" w:rsidRDefault="005E6DF3">
      <w:pPr>
        <w:spacing w:line="360" w:lineRule="auto"/>
        <w:jc w:val="center"/>
        <w:rPr>
          <w:rFonts w:eastAsiaTheme="minorEastAsia"/>
          <w:b/>
          <w:color w:val="000000" w:themeColor="text1"/>
          <w:szCs w:val="21"/>
        </w:rPr>
      </w:pPr>
    </w:p>
    <w:p w:rsidR="005E6DF3" w:rsidRPr="00B27A29" w:rsidRDefault="005E6DF3">
      <w:pPr>
        <w:spacing w:line="360" w:lineRule="auto"/>
        <w:jc w:val="center"/>
        <w:rPr>
          <w:rFonts w:eastAsiaTheme="minorEastAsia"/>
          <w:b/>
          <w:color w:val="000000" w:themeColor="text1"/>
          <w:szCs w:val="21"/>
        </w:rPr>
      </w:pPr>
    </w:p>
    <w:p w:rsidR="005E6DF3" w:rsidRPr="00B27A29" w:rsidRDefault="005E6DF3">
      <w:pPr>
        <w:spacing w:line="360" w:lineRule="auto"/>
        <w:jc w:val="center"/>
        <w:rPr>
          <w:rFonts w:eastAsiaTheme="minorEastAsia"/>
          <w:b/>
          <w:color w:val="000000" w:themeColor="text1"/>
          <w:szCs w:val="21"/>
        </w:rPr>
      </w:pPr>
    </w:p>
    <w:p w:rsidR="005E6DF3" w:rsidRPr="00B27A29" w:rsidRDefault="005E6DF3">
      <w:pPr>
        <w:spacing w:line="360" w:lineRule="auto"/>
        <w:jc w:val="center"/>
        <w:rPr>
          <w:rFonts w:eastAsiaTheme="minorEastAsia"/>
          <w:b/>
          <w:color w:val="000000" w:themeColor="text1"/>
          <w:szCs w:val="21"/>
        </w:rPr>
      </w:pPr>
    </w:p>
    <w:p w:rsidR="005E6DF3" w:rsidRPr="00B27A29" w:rsidRDefault="005E6DF3">
      <w:pPr>
        <w:spacing w:line="360" w:lineRule="auto"/>
        <w:rPr>
          <w:rFonts w:eastAsiaTheme="minorEastAsia"/>
          <w:b/>
          <w:color w:val="000000" w:themeColor="text1"/>
          <w:szCs w:val="21"/>
        </w:rPr>
      </w:pPr>
    </w:p>
    <w:p w:rsidR="005E6DF3" w:rsidRPr="00B27A29" w:rsidRDefault="005C671B">
      <w:pPr>
        <w:spacing w:line="360" w:lineRule="auto"/>
        <w:ind w:firstLineChars="900" w:firstLine="2168"/>
        <w:rPr>
          <w:rFonts w:eastAsiaTheme="minorEastAsia"/>
          <w:b/>
          <w:color w:val="000000" w:themeColor="text1"/>
          <w:sz w:val="24"/>
        </w:rPr>
      </w:pPr>
      <w:r w:rsidRPr="00B27A29">
        <w:rPr>
          <w:rFonts w:eastAsiaTheme="minorEastAsia"/>
          <w:b/>
          <w:color w:val="000000" w:themeColor="text1"/>
          <w:sz w:val="24"/>
        </w:rPr>
        <w:t>基金管理人：上投摩根基金管理有限公司</w:t>
      </w:r>
    </w:p>
    <w:p w:rsidR="005E6DF3" w:rsidRPr="00B27A29" w:rsidRDefault="005C671B">
      <w:pPr>
        <w:spacing w:line="360" w:lineRule="auto"/>
        <w:ind w:firstLineChars="900" w:firstLine="2168"/>
        <w:rPr>
          <w:rFonts w:eastAsiaTheme="minorEastAsia"/>
          <w:b/>
          <w:color w:val="000000" w:themeColor="text1"/>
          <w:sz w:val="24"/>
        </w:rPr>
      </w:pPr>
      <w:r w:rsidRPr="00B27A29">
        <w:rPr>
          <w:rFonts w:eastAsiaTheme="minorEastAsia"/>
          <w:b/>
          <w:color w:val="000000" w:themeColor="text1"/>
          <w:sz w:val="24"/>
        </w:rPr>
        <w:t>基金托管人：中国建设银行股份有限公司</w:t>
      </w:r>
    </w:p>
    <w:p w:rsidR="005E6DF3" w:rsidRPr="00B27A29" w:rsidRDefault="005C671B">
      <w:pPr>
        <w:spacing w:line="360" w:lineRule="auto"/>
        <w:ind w:firstLineChars="900" w:firstLine="2168"/>
        <w:rPr>
          <w:rFonts w:eastAsiaTheme="minorEastAsia"/>
          <w:color w:val="000000" w:themeColor="text1"/>
          <w:szCs w:val="21"/>
        </w:rPr>
        <w:sectPr w:rsidR="005E6DF3" w:rsidRPr="00B27A29">
          <w:headerReference w:type="default" r:id="rId8"/>
          <w:footerReference w:type="default" r:id="rId9"/>
          <w:pgSz w:w="11926" w:h="15840"/>
          <w:pgMar w:top="1418" w:right="1418" w:bottom="851" w:left="1418" w:header="851" w:footer="992" w:gutter="0"/>
          <w:cols w:space="720"/>
        </w:sectPr>
      </w:pPr>
      <w:r w:rsidRPr="00B27A29">
        <w:rPr>
          <w:rFonts w:eastAsiaTheme="minorEastAsia"/>
          <w:b/>
          <w:color w:val="000000" w:themeColor="text1"/>
          <w:sz w:val="24"/>
        </w:rPr>
        <w:t>报告送出日期：二〇二一年七月二十一日</w:t>
      </w:r>
    </w:p>
    <w:p w:rsidR="005E6DF3" w:rsidRPr="00B27A29" w:rsidRDefault="005C671B">
      <w:pPr>
        <w:pStyle w:val="1"/>
        <w:spacing w:beforeLines="100" w:before="312" w:afterLines="100" w:after="312" w:line="360" w:lineRule="auto"/>
        <w:jc w:val="center"/>
        <w:rPr>
          <w:rFonts w:eastAsiaTheme="minorEastAsia"/>
          <w:b w:val="0"/>
          <w:color w:val="000000" w:themeColor="text1"/>
          <w:kern w:val="0"/>
          <w:sz w:val="21"/>
          <w:szCs w:val="21"/>
        </w:rPr>
      </w:pPr>
      <w:r w:rsidRPr="00B27A29">
        <w:rPr>
          <w:rFonts w:eastAsiaTheme="minorEastAsia"/>
          <w:color w:val="000000" w:themeColor="text1"/>
          <w:kern w:val="0"/>
          <w:sz w:val="21"/>
          <w:szCs w:val="21"/>
        </w:rPr>
        <w:lastRenderedPageBreak/>
        <w:t xml:space="preserve">§1  </w:t>
      </w:r>
      <w:r w:rsidRPr="00B27A29">
        <w:rPr>
          <w:rFonts w:eastAsiaTheme="minorEastAsia"/>
          <w:color w:val="000000" w:themeColor="text1"/>
          <w:kern w:val="0"/>
          <w:sz w:val="21"/>
          <w:szCs w:val="21"/>
        </w:rPr>
        <w:t>重要提示</w:t>
      </w:r>
    </w:p>
    <w:p w:rsidR="008D36E2" w:rsidRDefault="0013308F">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基金管理人的董事会及董事保证本报告所载资料不存在虚假记载、误导性陈述或重大遗漏，并对其内容的真实性、准确性和完整性承担个别及连带责任。</w:t>
      </w:r>
      <w:r>
        <w:rPr>
          <w:rFonts w:eastAsiaTheme="minorEastAsia"/>
          <w:color w:val="000000" w:themeColor="text1"/>
          <w:szCs w:val="21"/>
        </w:rPr>
        <w:t xml:space="preserve"> </w:t>
      </w:r>
    </w:p>
    <w:p w:rsidR="008D36E2" w:rsidRDefault="0013308F">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基金托管人中国建设银行股份有限公司根据本基金合同规定，于</w:t>
      </w:r>
      <w:r>
        <w:rPr>
          <w:rFonts w:eastAsiaTheme="minorEastAsia"/>
          <w:color w:val="000000" w:themeColor="text1"/>
          <w:szCs w:val="21"/>
        </w:rPr>
        <w:t>2021</w:t>
      </w:r>
      <w:r>
        <w:rPr>
          <w:rFonts w:eastAsiaTheme="minorEastAsia"/>
          <w:color w:val="000000" w:themeColor="text1"/>
          <w:szCs w:val="21"/>
        </w:rPr>
        <w:t>年</w:t>
      </w:r>
      <w:r>
        <w:rPr>
          <w:rFonts w:eastAsiaTheme="minorEastAsia"/>
          <w:color w:val="000000" w:themeColor="text1"/>
          <w:szCs w:val="21"/>
        </w:rPr>
        <w:t>7</w:t>
      </w:r>
      <w:r>
        <w:rPr>
          <w:rFonts w:eastAsiaTheme="minorEastAsia"/>
          <w:color w:val="000000" w:themeColor="text1"/>
          <w:szCs w:val="21"/>
        </w:rPr>
        <w:t>月</w:t>
      </w:r>
      <w:r>
        <w:rPr>
          <w:rFonts w:eastAsiaTheme="minorEastAsia"/>
          <w:color w:val="000000" w:themeColor="text1"/>
          <w:szCs w:val="21"/>
        </w:rPr>
        <w:t>20</w:t>
      </w:r>
      <w:r>
        <w:rPr>
          <w:rFonts w:eastAsiaTheme="minorEastAsia"/>
          <w:color w:val="000000" w:themeColor="text1"/>
          <w:szCs w:val="21"/>
        </w:rPr>
        <w:t>日复核了本报告中的财务指标、净值表现和投资组合报告等内容，保证复核内容不存在虚假记载、误导性陈述或者重大遗漏。</w:t>
      </w:r>
      <w:r>
        <w:rPr>
          <w:rFonts w:eastAsiaTheme="minorEastAsia"/>
          <w:color w:val="000000" w:themeColor="text1"/>
          <w:szCs w:val="21"/>
        </w:rPr>
        <w:t xml:space="preserve"> </w:t>
      </w:r>
    </w:p>
    <w:p w:rsidR="008D36E2" w:rsidRDefault="0013308F">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基金管理人承诺以诚实信用、勤勉尽责的原则管理和运用基金资产，但不保证基金一定盈利。</w:t>
      </w:r>
      <w:r>
        <w:rPr>
          <w:rFonts w:eastAsiaTheme="minorEastAsia"/>
          <w:color w:val="000000" w:themeColor="text1"/>
          <w:szCs w:val="21"/>
        </w:rPr>
        <w:t xml:space="preserve"> </w:t>
      </w:r>
    </w:p>
    <w:p w:rsidR="008D36E2" w:rsidRDefault="0013308F">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基金的过往业绩并不代表其未来表现。投资有风险，投资者在作出投资决策前应仔细阅读本基金的招募说明书。</w:t>
      </w:r>
      <w:r>
        <w:rPr>
          <w:rFonts w:eastAsiaTheme="minorEastAsia"/>
          <w:color w:val="000000" w:themeColor="text1"/>
          <w:szCs w:val="21"/>
        </w:rPr>
        <w:t xml:space="preserve"> </w:t>
      </w:r>
    </w:p>
    <w:p w:rsidR="008D36E2" w:rsidRDefault="0013308F">
      <w:pPr>
        <w:spacing w:line="360" w:lineRule="auto"/>
        <w:ind w:firstLineChars="200" w:firstLine="420"/>
        <w:rPr>
          <w:rFonts w:eastAsiaTheme="minorEastAsia"/>
          <w:color w:val="000000" w:themeColor="text1"/>
          <w:szCs w:val="21"/>
        </w:rPr>
      </w:pPr>
      <w:r>
        <w:rPr>
          <w:rFonts w:eastAsiaTheme="minorEastAsia"/>
          <w:color w:val="000000" w:themeColor="text1"/>
          <w:szCs w:val="21"/>
        </w:rPr>
        <w:t>本报告中财务资料未经审计。</w:t>
      </w:r>
    </w:p>
    <w:p w:rsidR="008D36E2" w:rsidRDefault="0013308F">
      <w:pPr>
        <w:spacing w:line="360" w:lineRule="auto"/>
        <w:ind w:firstLineChars="200" w:firstLine="420"/>
        <w:rPr>
          <w:rFonts w:eastAsiaTheme="minorEastAsia"/>
          <w:color w:val="000000" w:themeColor="text1"/>
          <w:szCs w:val="21"/>
        </w:rPr>
      </w:pPr>
      <w:r>
        <w:rPr>
          <w:rFonts w:eastAsiaTheme="minorEastAsia"/>
          <w:color w:val="000000" w:themeColor="text1"/>
          <w:szCs w:val="21"/>
        </w:rPr>
        <w:t>本基金乃依据中港基金互认安排已获香港证券及期货事务监察委员会（下称</w:t>
      </w:r>
      <w:r>
        <w:rPr>
          <w:rFonts w:eastAsiaTheme="minorEastAsia"/>
          <w:color w:val="000000" w:themeColor="text1"/>
          <w:szCs w:val="21"/>
        </w:rPr>
        <w:t>“</w:t>
      </w:r>
      <w:r>
        <w:rPr>
          <w:rFonts w:eastAsiaTheme="minorEastAsia"/>
          <w:color w:val="000000" w:themeColor="text1"/>
          <w:szCs w:val="21"/>
        </w:rPr>
        <w:t>香港证监会</w:t>
      </w:r>
      <w:r>
        <w:rPr>
          <w:rFonts w:eastAsiaTheme="minorEastAsia"/>
          <w:color w:val="000000" w:themeColor="text1"/>
          <w:szCs w:val="21"/>
        </w:rPr>
        <w:t>”</w:t>
      </w:r>
      <w:r>
        <w:rPr>
          <w:rFonts w:eastAsiaTheme="minorEastAsia"/>
          <w:color w:val="000000" w:themeColor="text1"/>
          <w:szCs w:val="21"/>
        </w:rPr>
        <w:t>）之认可在香港公开发售的内地基金。香港证监会认可不等于对该产品作出推介或认许，亦不是对该产品的商业利弊或表现作出保证，更不代表该产品适合所有投资者，或认许该产品适合任何个别投资者或任何类别的投资者。</w:t>
      </w:r>
    </w:p>
    <w:p w:rsidR="005E6DF3" w:rsidRPr="00B27A29" w:rsidRDefault="005C671B">
      <w:pPr>
        <w:spacing w:line="360" w:lineRule="auto"/>
        <w:ind w:firstLineChars="200" w:firstLine="420"/>
        <w:rPr>
          <w:rFonts w:eastAsiaTheme="minorEastAsia"/>
          <w:color w:val="000000" w:themeColor="text1"/>
          <w:szCs w:val="21"/>
        </w:rPr>
      </w:pPr>
      <w:r w:rsidRPr="00B27A29">
        <w:rPr>
          <w:rFonts w:eastAsiaTheme="minorEastAsia"/>
          <w:color w:val="000000" w:themeColor="text1"/>
          <w:szCs w:val="21"/>
        </w:rPr>
        <w:t>本报告期自</w:t>
      </w:r>
      <w:r w:rsidRPr="00B27A29">
        <w:rPr>
          <w:rFonts w:eastAsiaTheme="minorEastAsia"/>
          <w:color w:val="000000" w:themeColor="text1"/>
          <w:szCs w:val="21"/>
        </w:rPr>
        <w:t>2021</w:t>
      </w:r>
      <w:r w:rsidRPr="00B27A29">
        <w:rPr>
          <w:rFonts w:eastAsiaTheme="minorEastAsia"/>
          <w:color w:val="000000" w:themeColor="text1"/>
          <w:szCs w:val="21"/>
        </w:rPr>
        <w:t>年</w:t>
      </w:r>
      <w:r w:rsidRPr="00B27A29">
        <w:rPr>
          <w:rFonts w:eastAsiaTheme="minorEastAsia"/>
          <w:color w:val="000000" w:themeColor="text1"/>
          <w:szCs w:val="21"/>
        </w:rPr>
        <w:t>4</w:t>
      </w:r>
      <w:r w:rsidRPr="00B27A29">
        <w:rPr>
          <w:rFonts w:eastAsiaTheme="minorEastAsia"/>
          <w:color w:val="000000" w:themeColor="text1"/>
          <w:szCs w:val="21"/>
        </w:rPr>
        <w:t>月</w:t>
      </w:r>
      <w:r w:rsidRPr="00B27A29">
        <w:rPr>
          <w:rFonts w:eastAsiaTheme="minorEastAsia"/>
          <w:color w:val="000000" w:themeColor="text1"/>
          <w:szCs w:val="21"/>
        </w:rPr>
        <w:t>1</w:t>
      </w:r>
      <w:r w:rsidRPr="00B27A29">
        <w:rPr>
          <w:rFonts w:eastAsiaTheme="minorEastAsia"/>
          <w:color w:val="000000" w:themeColor="text1"/>
          <w:szCs w:val="21"/>
        </w:rPr>
        <w:t>日起至</w:t>
      </w:r>
      <w:r w:rsidRPr="00B27A29">
        <w:rPr>
          <w:rFonts w:eastAsiaTheme="minorEastAsia"/>
          <w:color w:val="000000" w:themeColor="text1"/>
          <w:szCs w:val="21"/>
        </w:rPr>
        <w:t>6</w:t>
      </w:r>
      <w:r w:rsidRPr="00B27A29">
        <w:rPr>
          <w:rFonts w:eastAsiaTheme="minorEastAsia"/>
          <w:color w:val="000000" w:themeColor="text1"/>
          <w:szCs w:val="21"/>
        </w:rPr>
        <w:t>月</w:t>
      </w:r>
      <w:r w:rsidRPr="00B27A29">
        <w:rPr>
          <w:rFonts w:eastAsiaTheme="minorEastAsia"/>
          <w:color w:val="000000" w:themeColor="text1"/>
          <w:szCs w:val="21"/>
        </w:rPr>
        <w:t>30</w:t>
      </w:r>
      <w:r w:rsidRPr="00B27A29">
        <w:rPr>
          <w:rFonts w:eastAsiaTheme="minorEastAsia"/>
          <w:color w:val="000000" w:themeColor="text1"/>
          <w:szCs w:val="21"/>
        </w:rPr>
        <w:t>日止。</w:t>
      </w:r>
    </w:p>
    <w:p w:rsidR="005E6DF3" w:rsidRPr="00B27A29" w:rsidRDefault="005C671B">
      <w:pPr>
        <w:pStyle w:val="1"/>
        <w:spacing w:beforeLines="100" w:before="312" w:afterLines="100" w:after="312" w:line="360" w:lineRule="auto"/>
        <w:jc w:val="center"/>
        <w:rPr>
          <w:rFonts w:eastAsiaTheme="minorEastAsia"/>
          <w:color w:val="000000" w:themeColor="text1"/>
          <w:kern w:val="0"/>
          <w:sz w:val="21"/>
          <w:szCs w:val="21"/>
        </w:rPr>
      </w:pPr>
      <w:r w:rsidRPr="00B27A29">
        <w:rPr>
          <w:rFonts w:eastAsiaTheme="minorEastAsia"/>
          <w:color w:val="000000" w:themeColor="text1"/>
          <w:kern w:val="0"/>
          <w:sz w:val="21"/>
          <w:szCs w:val="21"/>
        </w:rPr>
        <w:t xml:space="preserve">§2  </w:t>
      </w:r>
      <w:r w:rsidRPr="00B27A29">
        <w:rPr>
          <w:rFonts w:eastAsiaTheme="minorEastAsia"/>
          <w:color w:val="000000" w:themeColor="text1"/>
          <w:kern w:val="0"/>
          <w:sz w:val="21"/>
          <w:szCs w:val="21"/>
        </w:rPr>
        <w:t>基金产品概况</w:t>
      </w:r>
    </w:p>
    <w:tbl>
      <w:tblPr>
        <w:tblW w:w="8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739"/>
        <w:gridCol w:w="2740"/>
      </w:tblGrid>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kern w:val="0"/>
                <w:szCs w:val="21"/>
              </w:rPr>
            </w:pPr>
            <w:r w:rsidRPr="00B27A29">
              <w:rPr>
                <w:rFonts w:eastAsiaTheme="minorEastAsia"/>
                <w:color w:val="000000" w:themeColor="text1"/>
                <w:kern w:val="0"/>
                <w:szCs w:val="21"/>
              </w:rPr>
              <w:t>基金简称</w:t>
            </w:r>
          </w:p>
        </w:tc>
        <w:tc>
          <w:tcPr>
            <w:tcW w:w="5479" w:type="dxa"/>
            <w:gridSpan w:val="2"/>
            <w:vAlign w:val="center"/>
          </w:tcPr>
          <w:p w:rsidR="005E6DF3" w:rsidRPr="00B27A29" w:rsidRDefault="005C671B">
            <w:pPr>
              <w:adjustRightInd w:val="0"/>
              <w:spacing w:before="29" w:line="360" w:lineRule="auto"/>
              <w:ind w:left="17"/>
              <w:rPr>
                <w:rFonts w:eastAsiaTheme="minorEastAsia"/>
                <w:color w:val="000000" w:themeColor="text1"/>
                <w:kern w:val="0"/>
                <w:szCs w:val="21"/>
              </w:rPr>
            </w:pPr>
            <w:r w:rsidRPr="00B27A29">
              <w:rPr>
                <w:rFonts w:eastAsiaTheme="minorEastAsia"/>
                <w:color w:val="000000" w:themeColor="text1"/>
                <w:kern w:val="0"/>
                <w:szCs w:val="21"/>
              </w:rPr>
              <w:t>上投摩根双息平衡混合</w:t>
            </w:r>
          </w:p>
        </w:tc>
      </w:tr>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kern w:val="0"/>
                <w:szCs w:val="21"/>
              </w:rPr>
            </w:pPr>
            <w:r w:rsidRPr="00B27A29">
              <w:rPr>
                <w:rFonts w:eastAsiaTheme="minorEastAsia"/>
                <w:color w:val="000000" w:themeColor="text1"/>
                <w:kern w:val="0"/>
                <w:szCs w:val="21"/>
              </w:rPr>
              <w:t>基金主代码</w:t>
            </w:r>
          </w:p>
        </w:tc>
        <w:tc>
          <w:tcPr>
            <w:tcW w:w="5479" w:type="dxa"/>
            <w:gridSpan w:val="2"/>
            <w:tcBorders>
              <w:bottom w:val="single" w:sz="4" w:space="0" w:color="auto"/>
            </w:tcBorders>
            <w:vAlign w:val="center"/>
          </w:tcPr>
          <w:p w:rsidR="005E6DF3" w:rsidRPr="00B27A29" w:rsidRDefault="005C671B">
            <w:pPr>
              <w:adjustRightInd w:val="0"/>
              <w:spacing w:before="29" w:line="360" w:lineRule="auto"/>
              <w:ind w:left="17"/>
              <w:rPr>
                <w:rFonts w:eastAsiaTheme="minorEastAsia"/>
                <w:color w:val="000000" w:themeColor="text1"/>
                <w:kern w:val="0"/>
                <w:szCs w:val="21"/>
              </w:rPr>
            </w:pPr>
            <w:r w:rsidRPr="00B27A29">
              <w:rPr>
                <w:rFonts w:eastAsiaTheme="minorEastAsia"/>
                <w:color w:val="000000" w:themeColor="text1"/>
                <w:kern w:val="0"/>
                <w:szCs w:val="21"/>
              </w:rPr>
              <w:t>373010</w:t>
            </w:r>
          </w:p>
        </w:tc>
      </w:tr>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基金运作方式</w:t>
            </w:r>
          </w:p>
        </w:tc>
        <w:tc>
          <w:tcPr>
            <w:tcW w:w="5479" w:type="dxa"/>
            <w:gridSpan w:val="2"/>
            <w:tcBorders>
              <w:top w:val="single" w:sz="4" w:space="0" w:color="auto"/>
            </w:tcBorders>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契约型开放式</w:t>
            </w:r>
          </w:p>
        </w:tc>
      </w:tr>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基金合同生效日</w:t>
            </w:r>
          </w:p>
        </w:tc>
        <w:tc>
          <w:tcPr>
            <w:tcW w:w="5479" w:type="dxa"/>
            <w:gridSpan w:val="2"/>
            <w:vAlign w:val="center"/>
          </w:tcPr>
          <w:p w:rsidR="005E6DF3" w:rsidRPr="00B27A29" w:rsidRDefault="005C671B">
            <w:pPr>
              <w:adjustRightInd w:val="0"/>
              <w:spacing w:before="29" w:line="360" w:lineRule="auto"/>
              <w:ind w:left="17"/>
              <w:rPr>
                <w:rFonts w:eastAsiaTheme="minorEastAsia"/>
                <w:color w:val="000000" w:themeColor="text1"/>
                <w:kern w:val="0"/>
                <w:szCs w:val="21"/>
              </w:rPr>
            </w:pPr>
            <w:r w:rsidRPr="00B27A29">
              <w:rPr>
                <w:rFonts w:eastAsiaTheme="minorEastAsia"/>
                <w:color w:val="000000" w:themeColor="text1"/>
                <w:kern w:val="0"/>
                <w:szCs w:val="21"/>
              </w:rPr>
              <w:t>2006</w:t>
            </w:r>
            <w:r w:rsidRPr="00B27A29">
              <w:rPr>
                <w:rFonts w:eastAsiaTheme="minorEastAsia"/>
                <w:color w:val="000000" w:themeColor="text1"/>
                <w:kern w:val="0"/>
                <w:szCs w:val="21"/>
              </w:rPr>
              <w:t>年</w:t>
            </w:r>
            <w:r w:rsidRPr="00B27A29">
              <w:rPr>
                <w:rFonts w:eastAsiaTheme="minorEastAsia"/>
                <w:color w:val="000000" w:themeColor="text1"/>
                <w:kern w:val="0"/>
                <w:szCs w:val="21"/>
              </w:rPr>
              <w:t>4</w:t>
            </w:r>
            <w:r w:rsidRPr="00B27A29">
              <w:rPr>
                <w:rFonts w:eastAsiaTheme="minorEastAsia"/>
                <w:color w:val="000000" w:themeColor="text1"/>
                <w:kern w:val="0"/>
                <w:szCs w:val="21"/>
              </w:rPr>
              <w:t>月</w:t>
            </w:r>
            <w:r w:rsidRPr="00B27A29">
              <w:rPr>
                <w:rFonts w:eastAsiaTheme="minorEastAsia"/>
                <w:color w:val="000000" w:themeColor="text1"/>
                <w:kern w:val="0"/>
                <w:szCs w:val="21"/>
              </w:rPr>
              <w:t>26</w:t>
            </w:r>
            <w:r w:rsidRPr="00B27A29">
              <w:rPr>
                <w:rFonts w:eastAsiaTheme="minorEastAsia"/>
                <w:color w:val="000000" w:themeColor="text1"/>
                <w:kern w:val="0"/>
                <w:szCs w:val="21"/>
              </w:rPr>
              <w:t>日</w:t>
            </w:r>
          </w:p>
        </w:tc>
      </w:tr>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报告期末基金份额总额</w:t>
            </w:r>
          </w:p>
        </w:tc>
        <w:tc>
          <w:tcPr>
            <w:tcW w:w="5479" w:type="dxa"/>
            <w:gridSpan w:val="2"/>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1,142,019,582.14</w:t>
            </w:r>
            <w:r w:rsidRPr="00B27A29">
              <w:rPr>
                <w:rFonts w:eastAsiaTheme="minorEastAsia"/>
                <w:color w:val="000000" w:themeColor="text1"/>
                <w:kern w:val="0"/>
                <w:szCs w:val="21"/>
              </w:rPr>
              <w:t>份</w:t>
            </w:r>
          </w:p>
        </w:tc>
      </w:tr>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投资目标</w:t>
            </w:r>
          </w:p>
        </w:tc>
        <w:tc>
          <w:tcPr>
            <w:tcW w:w="5479" w:type="dxa"/>
            <w:gridSpan w:val="2"/>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本基金重点投资高股息、高债息品种，获得稳定的股息与债息收入，同时把握资本利得机会以争取完全收益，力求为投资者创造绝对回报。</w:t>
            </w:r>
          </w:p>
        </w:tc>
      </w:tr>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投资策略</w:t>
            </w:r>
          </w:p>
        </w:tc>
        <w:tc>
          <w:tcPr>
            <w:tcW w:w="5479" w:type="dxa"/>
            <w:gridSpan w:val="2"/>
            <w:vAlign w:val="center"/>
          </w:tcPr>
          <w:p w:rsidR="008D36E2" w:rsidRDefault="0013308F">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本基金兼具红利与平衡基金特色，在借鉴</w:t>
            </w:r>
            <w:r>
              <w:rPr>
                <w:rFonts w:eastAsiaTheme="minorEastAsia"/>
                <w:color w:val="000000" w:themeColor="text1"/>
                <w:kern w:val="0"/>
                <w:szCs w:val="21"/>
              </w:rPr>
              <w:t>JP</w:t>
            </w:r>
            <w:r>
              <w:rPr>
                <w:rFonts w:eastAsiaTheme="minorEastAsia"/>
                <w:color w:val="000000" w:themeColor="text1"/>
                <w:kern w:val="0"/>
                <w:szCs w:val="21"/>
              </w:rPr>
              <w:t>摩根资产管理集团全球行之有效的投资理念基础上，充分结合国内资本</w:t>
            </w:r>
            <w:r>
              <w:rPr>
                <w:rFonts w:eastAsiaTheme="minorEastAsia"/>
                <w:color w:val="000000" w:themeColor="text1"/>
                <w:kern w:val="0"/>
                <w:szCs w:val="21"/>
              </w:rPr>
              <w:lastRenderedPageBreak/>
              <w:t>市场的实际特征，通过严格的证券选择，深入挖掘股息与债息的获利机会，并积极运用战略资产配置（</w:t>
            </w:r>
            <w:r>
              <w:rPr>
                <w:rFonts w:eastAsiaTheme="minorEastAsia"/>
                <w:color w:val="000000" w:themeColor="text1"/>
                <w:kern w:val="0"/>
                <w:szCs w:val="21"/>
              </w:rPr>
              <w:t>SAA</w:t>
            </w:r>
            <w:r>
              <w:rPr>
                <w:rFonts w:eastAsiaTheme="minorEastAsia"/>
                <w:color w:val="000000" w:themeColor="text1"/>
                <w:kern w:val="0"/>
                <w:szCs w:val="21"/>
              </w:rPr>
              <w:t>）和战术资产配置（</w:t>
            </w:r>
            <w:r>
              <w:rPr>
                <w:rFonts w:eastAsiaTheme="minorEastAsia"/>
                <w:color w:val="000000" w:themeColor="text1"/>
                <w:kern w:val="0"/>
                <w:szCs w:val="21"/>
              </w:rPr>
              <w:t>TAA</w:t>
            </w:r>
            <w:r>
              <w:rPr>
                <w:rFonts w:eastAsiaTheme="minorEastAsia"/>
                <w:color w:val="000000" w:themeColor="text1"/>
                <w:kern w:val="0"/>
                <w:szCs w:val="21"/>
              </w:rPr>
              <w:t>）策略，动态优化投资组合，以实现进可攻、退可守的投资布局。在达到预期投资回报后，本基金会适度锁定投资收益，及时调整资产配置比例以保证基金表现持续平稳。</w:t>
            </w:r>
          </w:p>
          <w:p w:rsidR="008D36E2" w:rsidRDefault="0013308F">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1</w:t>
            </w:r>
            <w:r>
              <w:rPr>
                <w:rFonts w:eastAsiaTheme="minorEastAsia"/>
                <w:color w:val="000000" w:themeColor="text1"/>
                <w:kern w:val="0"/>
                <w:szCs w:val="21"/>
              </w:rPr>
              <w:t>、股票选择策略</w:t>
            </w:r>
          </w:p>
          <w:p w:rsidR="008D36E2" w:rsidRDefault="0013308F">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w:t>
            </w:r>
            <w:r>
              <w:rPr>
                <w:rFonts w:eastAsiaTheme="minorEastAsia"/>
                <w:color w:val="000000" w:themeColor="text1"/>
                <w:kern w:val="0"/>
                <w:szCs w:val="21"/>
              </w:rPr>
              <w:t>1</w:t>
            </w:r>
            <w:r>
              <w:rPr>
                <w:rFonts w:eastAsiaTheme="minorEastAsia"/>
                <w:color w:val="000000" w:themeColor="text1"/>
                <w:kern w:val="0"/>
                <w:szCs w:val="21"/>
              </w:rPr>
              <w:t>）红利股预筛选。注意考察公司持续盈利能力和分红能力，特别剔除</w:t>
            </w:r>
            <w:r>
              <w:rPr>
                <w:rFonts w:eastAsiaTheme="minorEastAsia"/>
                <w:color w:val="000000" w:themeColor="text1"/>
                <w:kern w:val="0"/>
                <w:szCs w:val="21"/>
              </w:rPr>
              <w:t>“</w:t>
            </w:r>
            <w:r>
              <w:rPr>
                <w:rFonts w:eastAsiaTheme="minorEastAsia"/>
                <w:color w:val="000000" w:themeColor="text1"/>
                <w:kern w:val="0"/>
                <w:szCs w:val="21"/>
              </w:rPr>
              <w:t>超能力现金分红</w:t>
            </w:r>
            <w:r>
              <w:rPr>
                <w:rFonts w:eastAsiaTheme="minorEastAsia"/>
                <w:color w:val="000000" w:themeColor="text1"/>
                <w:kern w:val="0"/>
                <w:szCs w:val="21"/>
              </w:rPr>
              <w:t>”</w:t>
            </w:r>
            <w:r>
              <w:rPr>
                <w:rFonts w:eastAsiaTheme="minorEastAsia"/>
                <w:color w:val="000000" w:themeColor="text1"/>
                <w:kern w:val="0"/>
                <w:szCs w:val="21"/>
              </w:rPr>
              <w:t>的公司。</w:t>
            </w:r>
          </w:p>
          <w:p w:rsidR="008D36E2" w:rsidRDefault="0013308F">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w:t>
            </w:r>
            <w:r>
              <w:rPr>
                <w:rFonts w:eastAsiaTheme="minorEastAsia"/>
                <w:color w:val="000000" w:themeColor="text1"/>
                <w:kern w:val="0"/>
                <w:szCs w:val="21"/>
              </w:rPr>
              <w:t>2</w:t>
            </w:r>
            <w:r>
              <w:rPr>
                <w:rFonts w:eastAsiaTheme="minorEastAsia"/>
                <w:color w:val="000000" w:themeColor="text1"/>
                <w:kern w:val="0"/>
                <w:szCs w:val="21"/>
              </w:rPr>
              <w:t>）红利股甄别。筛选出现金股息率高、分红稳定、行业布局合理的高品质上市公司，最终形成本基金的备选股票池。</w:t>
            </w:r>
          </w:p>
          <w:p w:rsidR="008D36E2" w:rsidRDefault="0013308F">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w:t>
            </w:r>
            <w:r>
              <w:rPr>
                <w:rFonts w:eastAsiaTheme="minorEastAsia"/>
                <w:color w:val="000000" w:themeColor="text1"/>
                <w:kern w:val="0"/>
                <w:szCs w:val="21"/>
              </w:rPr>
              <w:t>3</w:t>
            </w:r>
            <w:r>
              <w:rPr>
                <w:rFonts w:eastAsiaTheme="minorEastAsia"/>
                <w:color w:val="000000" w:themeColor="text1"/>
                <w:kern w:val="0"/>
                <w:szCs w:val="21"/>
              </w:rPr>
              <w:t>）红利股再调整。为构建核心股票池，以增加投资品种的长期稳定效益。</w:t>
            </w:r>
          </w:p>
          <w:p w:rsidR="008D36E2" w:rsidRDefault="0013308F">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2</w:t>
            </w:r>
            <w:r>
              <w:rPr>
                <w:rFonts w:eastAsiaTheme="minorEastAsia"/>
                <w:color w:val="000000" w:themeColor="text1"/>
                <w:kern w:val="0"/>
                <w:szCs w:val="21"/>
              </w:rPr>
              <w:t>、固定收益类投资策略</w:t>
            </w:r>
          </w:p>
          <w:p w:rsidR="008D36E2" w:rsidRDefault="0013308F">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为有效控制股票投资风险，优化组合流动性管理，并显著提高投资组合债息收益，本基金将考虑稳健性资产配置，进行债券、货币市场工具等品种的投资，并主要通过类属配置与券种选择两个层次进行投资管理。</w:t>
            </w:r>
          </w:p>
          <w:p w:rsidR="008D36E2" w:rsidRDefault="0013308F">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3</w:t>
            </w:r>
            <w:r>
              <w:rPr>
                <w:rFonts w:eastAsiaTheme="minorEastAsia"/>
                <w:color w:val="000000" w:themeColor="text1"/>
                <w:kern w:val="0"/>
                <w:szCs w:val="21"/>
              </w:rPr>
              <w:t>、资产配置策略</w:t>
            </w:r>
          </w:p>
          <w:p w:rsidR="008D36E2" w:rsidRDefault="0013308F">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本基金将以</w:t>
            </w:r>
            <w:r>
              <w:rPr>
                <w:rFonts w:eastAsiaTheme="minorEastAsia"/>
                <w:color w:val="000000" w:themeColor="text1"/>
                <w:kern w:val="0"/>
                <w:szCs w:val="21"/>
              </w:rPr>
              <w:t>SAA</w:t>
            </w:r>
            <w:r>
              <w:rPr>
                <w:rFonts w:eastAsiaTheme="minorEastAsia"/>
                <w:color w:val="000000" w:themeColor="text1"/>
                <w:kern w:val="0"/>
                <w:szCs w:val="21"/>
              </w:rPr>
              <w:t>资产配置策略为基准，更侧重运用</w:t>
            </w:r>
            <w:r>
              <w:rPr>
                <w:rFonts w:eastAsiaTheme="minorEastAsia"/>
                <w:color w:val="000000" w:themeColor="text1"/>
                <w:kern w:val="0"/>
                <w:szCs w:val="21"/>
              </w:rPr>
              <w:t>TAA</w:t>
            </w:r>
            <w:r>
              <w:rPr>
                <w:rFonts w:eastAsiaTheme="minorEastAsia"/>
                <w:color w:val="000000" w:themeColor="text1"/>
                <w:kern w:val="0"/>
                <w:szCs w:val="21"/>
              </w:rPr>
              <w:t>资产配置策略，积极构建稳健型投资组合。</w:t>
            </w:r>
          </w:p>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4</w:t>
            </w:r>
            <w:r w:rsidRPr="00B27A29">
              <w:rPr>
                <w:rFonts w:eastAsiaTheme="minorEastAsia"/>
                <w:color w:val="000000" w:themeColor="text1"/>
                <w:kern w:val="0"/>
                <w:szCs w:val="21"/>
              </w:rPr>
              <w:t>、其他投资策略：包括存托凭证投资策略。</w:t>
            </w:r>
          </w:p>
        </w:tc>
      </w:tr>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lastRenderedPageBreak/>
              <w:t>业绩比较基准</w:t>
            </w:r>
          </w:p>
        </w:tc>
        <w:tc>
          <w:tcPr>
            <w:tcW w:w="5479" w:type="dxa"/>
            <w:gridSpan w:val="2"/>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中证红利指数收益率</w:t>
            </w:r>
            <w:r w:rsidRPr="00B27A29">
              <w:rPr>
                <w:rFonts w:eastAsiaTheme="minorEastAsia"/>
                <w:color w:val="000000" w:themeColor="text1"/>
                <w:kern w:val="0"/>
                <w:szCs w:val="21"/>
              </w:rPr>
              <w:t>×45%+</w:t>
            </w:r>
            <w:r w:rsidRPr="00B27A29">
              <w:rPr>
                <w:rFonts w:eastAsiaTheme="minorEastAsia"/>
                <w:color w:val="000000" w:themeColor="text1"/>
                <w:kern w:val="0"/>
                <w:szCs w:val="21"/>
              </w:rPr>
              <w:t>中债总指数收益率</w:t>
            </w:r>
            <w:r w:rsidRPr="00B27A29">
              <w:rPr>
                <w:rFonts w:eastAsiaTheme="minorEastAsia"/>
                <w:color w:val="000000" w:themeColor="text1"/>
                <w:kern w:val="0"/>
                <w:szCs w:val="21"/>
              </w:rPr>
              <w:t>×55%</w:t>
            </w:r>
          </w:p>
        </w:tc>
      </w:tr>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风险收益特征</w:t>
            </w:r>
          </w:p>
        </w:tc>
        <w:tc>
          <w:tcPr>
            <w:tcW w:w="5479" w:type="dxa"/>
            <w:gridSpan w:val="2"/>
            <w:vAlign w:val="center"/>
          </w:tcPr>
          <w:p w:rsidR="008D36E2" w:rsidRDefault="0013308F">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本基金是混合型证券投资基金，主要投资于红利股及相似条件下到期收益率较高的优良债券品种，风险高于债券基金和货币市场基金，低于股票基金，属于中低风险的证券投资基金产品。</w:t>
            </w:r>
          </w:p>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lastRenderedPageBreak/>
              <w:t>根据</w:t>
            </w:r>
            <w:r w:rsidRPr="00B27A29">
              <w:rPr>
                <w:rFonts w:eastAsiaTheme="minorEastAsia"/>
                <w:color w:val="000000" w:themeColor="text1"/>
                <w:kern w:val="0"/>
                <w:szCs w:val="21"/>
              </w:rPr>
              <w:t>2017</w:t>
            </w:r>
            <w:r w:rsidRPr="00B27A29">
              <w:rPr>
                <w:rFonts w:eastAsiaTheme="minorEastAsia"/>
                <w:color w:val="000000" w:themeColor="text1"/>
                <w:kern w:val="0"/>
                <w:szCs w:val="21"/>
              </w:rPr>
              <w:t>年</w:t>
            </w:r>
            <w:r w:rsidRPr="00B27A29">
              <w:rPr>
                <w:rFonts w:eastAsiaTheme="minorEastAsia"/>
                <w:color w:val="000000" w:themeColor="text1"/>
                <w:kern w:val="0"/>
                <w:szCs w:val="21"/>
              </w:rPr>
              <w:t>7</w:t>
            </w:r>
            <w:r w:rsidRPr="00B27A29">
              <w:rPr>
                <w:rFonts w:eastAsiaTheme="minorEastAsia"/>
                <w:color w:val="000000" w:themeColor="text1"/>
                <w:kern w:val="0"/>
                <w:szCs w:val="21"/>
              </w:rPr>
              <w:t>月</w:t>
            </w:r>
            <w:r w:rsidRPr="00B27A29">
              <w:rPr>
                <w:rFonts w:eastAsiaTheme="minorEastAsia"/>
                <w:color w:val="000000" w:themeColor="text1"/>
                <w:kern w:val="0"/>
                <w:szCs w:val="21"/>
              </w:rPr>
              <w:t>1</w:t>
            </w:r>
            <w:r w:rsidRPr="00B27A29">
              <w:rPr>
                <w:rFonts w:eastAsiaTheme="minorEastAsia"/>
                <w:color w:val="000000" w:themeColor="text1"/>
                <w:kern w:val="0"/>
                <w:szCs w:val="21"/>
              </w:rPr>
              <w:t>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lastRenderedPageBreak/>
              <w:t>基金管理人</w:t>
            </w:r>
          </w:p>
        </w:tc>
        <w:tc>
          <w:tcPr>
            <w:tcW w:w="5479" w:type="dxa"/>
            <w:gridSpan w:val="2"/>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上投摩根基金管理有限公司</w:t>
            </w:r>
          </w:p>
        </w:tc>
      </w:tr>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基金托管人</w:t>
            </w:r>
          </w:p>
        </w:tc>
        <w:tc>
          <w:tcPr>
            <w:tcW w:w="5479" w:type="dxa"/>
            <w:gridSpan w:val="2"/>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中国建设银行股份有限公司</w:t>
            </w:r>
          </w:p>
        </w:tc>
      </w:tr>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kern w:val="0"/>
                <w:szCs w:val="21"/>
              </w:rPr>
            </w:pPr>
            <w:r w:rsidRPr="00B27A29">
              <w:rPr>
                <w:rFonts w:eastAsiaTheme="minorEastAsia"/>
                <w:color w:val="000000" w:themeColor="text1"/>
                <w:szCs w:val="21"/>
              </w:rPr>
              <w:t>下属分级基金的基金简称</w:t>
            </w:r>
          </w:p>
        </w:tc>
        <w:tc>
          <w:tcPr>
            <w:tcW w:w="2739" w:type="dxa"/>
            <w:vAlign w:val="center"/>
          </w:tcPr>
          <w:p w:rsidR="005E6DF3" w:rsidRPr="00B27A29" w:rsidRDefault="005C671B">
            <w:pPr>
              <w:rPr>
                <w:rFonts w:eastAsiaTheme="minorEastAsia"/>
                <w:color w:val="000000" w:themeColor="text1"/>
                <w:szCs w:val="21"/>
              </w:rPr>
            </w:pPr>
            <w:r w:rsidRPr="00B27A29">
              <w:rPr>
                <w:rFonts w:eastAsiaTheme="minorEastAsia"/>
                <w:color w:val="000000" w:themeColor="text1"/>
                <w:szCs w:val="21"/>
              </w:rPr>
              <w:t>上投摩根双息平衡混合</w:t>
            </w:r>
            <w:r w:rsidRPr="00B27A29">
              <w:rPr>
                <w:rFonts w:eastAsiaTheme="minorEastAsia"/>
                <w:color w:val="000000" w:themeColor="text1"/>
                <w:szCs w:val="21"/>
              </w:rPr>
              <w:t>A</w:t>
            </w:r>
          </w:p>
        </w:tc>
        <w:tc>
          <w:tcPr>
            <w:tcW w:w="2740" w:type="dxa"/>
            <w:vAlign w:val="center"/>
          </w:tcPr>
          <w:p w:rsidR="005E6DF3" w:rsidRPr="00B27A29" w:rsidRDefault="005C671B">
            <w:pPr>
              <w:rPr>
                <w:rFonts w:eastAsiaTheme="minorEastAsia"/>
                <w:color w:val="000000" w:themeColor="text1"/>
                <w:szCs w:val="21"/>
              </w:rPr>
            </w:pPr>
            <w:r w:rsidRPr="00B27A29">
              <w:rPr>
                <w:rFonts w:eastAsiaTheme="minorEastAsia"/>
                <w:color w:val="000000" w:themeColor="text1"/>
                <w:szCs w:val="21"/>
              </w:rPr>
              <w:t>上投摩根双息平衡混合</w:t>
            </w:r>
            <w:r w:rsidRPr="00B27A29">
              <w:rPr>
                <w:rFonts w:eastAsiaTheme="minorEastAsia"/>
                <w:color w:val="000000" w:themeColor="text1"/>
                <w:szCs w:val="21"/>
              </w:rPr>
              <w:t>H</w:t>
            </w:r>
          </w:p>
        </w:tc>
      </w:tr>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szCs w:val="21"/>
              </w:rPr>
              <w:t>下属分级基金的交易代码</w:t>
            </w:r>
          </w:p>
        </w:tc>
        <w:tc>
          <w:tcPr>
            <w:tcW w:w="2739" w:type="dxa"/>
            <w:vAlign w:val="center"/>
          </w:tcPr>
          <w:p w:rsidR="005E6DF3" w:rsidRPr="00B27A29" w:rsidRDefault="005C671B">
            <w:pPr>
              <w:rPr>
                <w:rFonts w:eastAsiaTheme="minorEastAsia"/>
                <w:color w:val="000000" w:themeColor="text1"/>
                <w:szCs w:val="21"/>
              </w:rPr>
            </w:pPr>
            <w:r w:rsidRPr="00B27A29">
              <w:rPr>
                <w:rFonts w:eastAsiaTheme="minorEastAsia"/>
                <w:color w:val="000000" w:themeColor="text1"/>
                <w:szCs w:val="21"/>
              </w:rPr>
              <w:t>373010</w:t>
            </w:r>
          </w:p>
        </w:tc>
        <w:tc>
          <w:tcPr>
            <w:tcW w:w="2740" w:type="dxa"/>
            <w:vAlign w:val="center"/>
          </w:tcPr>
          <w:p w:rsidR="005E6DF3" w:rsidRPr="00B27A29" w:rsidRDefault="005C671B">
            <w:pPr>
              <w:rPr>
                <w:rFonts w:eastAsiaTheme="minorEastAsia"/>
                <w:color w:val="000000" w:themeColor="text1"/>
                <w:szCs w:val="21"/>
              </w:rPr>
            </w:pPr>
            <w:r w:rsidRPr="00B27A29">
              <w:rPr>
                <w:rFonts w:eastAsiaTheme="minorEastAsia"/>
                <w:color w:val="000000" w:themeColor="text1"/>
                <w:szCs w:val="21"/>
              </w:rPr>
              <w:t>960005</w:t>
            </w:r>
          </w:p>
        </w:tc>
      </w:tr>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szCs w:val="21"/>
              </w:rPr>
              <w:t>报告期末下属分级基金的份额总额</w:t>
            </w:r>
          </w:p>
        </w:tc>
        <w:tc>
          <w:tcPr>
            <w:tcW w:w="2739" w:type="dxa"/>
            <w:vAlign w:val="center"/>
          </w:tcPr>
          <w:p w:rsidR="005E6DF3" w:rsidRPr="00B27A29" w:rsidRDefault="005C671B">
            <w:pPr>
              <w:rPr>
                <w:rFonts w:eastAsiaTheme="minorEastAsia"/>
                <w:color w:val="000000" w:themeColor="text1"/>
                <w:szCs w:val="21"/>
              </w:rPr>
            </w:pPr>
            <w:r w:rsidRPr="00B27A29">
              <w:rPr>
                <w:rFonts w:eastAsiaTheme="minorEastAsia"/>
                <w:color w:val="000000" w:themeColor="text1"/>
                <w:szCs w:val="21"/>
              </w:rPr>
              <w:t>1,141,748,764.89</w:t>
            </w:r>
            <w:r w:rsidRPr="00B27A29">
              <w:rPr>
                <w:rFonts w:eastAsiaTheme="minorEastAsia"/>
                <w:color w:val="000000" w:themeColor="text1"/>
                <w:kern w:val="0"/>
                <w:szCs w:val="21"/>
              </w:rPr>
              <w:t>份</w:t>
            </w:r>
          </w:p>
        </w:tc>
        <w:tc>
          <w:tcPr>
            <w:tcW w:w="2740" w:type="dxa"/>
            <w:vAlign w:val="center"/>
          </w:tcPr>
          <w:p w:rsidR="005E6DF3" w:rsidRPr="00B27A29" w:rsidRDefault="005C671B">
            <w:pPr>
              <w:rPr>
                <w:rFonts w:eastAsiaTheme="minorEastAsia"/>
                <w:color w:val="000000" w:themeColor="text1"/>
                <w:szCs w:val="21"/>
              </w:rPr>
            </w:pPr>
            <w:r w:rsidRPr="00B27A29">
              <w:rPr>
                <w:rFonts w:eastAsiaTheme="minorEastAsia"/>
                <w:color w:val="000000" w:themeColor="text1"/>
                <w:szCs w:val="21"/>
              </w:rPr>
              <w:t>270,817.25</w:t>
            </w:r>
            <w:r w:rsidRPr="00B27A29">
              <w:rPr>
                <w:rFonts w:eastAsiaTheme="minorEastAsia"/>
                <w:color w:val="000000" w:themeColor="text1"/>
                <w:kern w:val="0"/>
                <w:szCs w:val="21"/>
              </w:rPr>
              <w:t>份</w:t>
            </w:r>
          </w:p>
        </w:tc>
      </w:tr>
    </w:tbl>
    <w:p w:rsidR="005E6DF3" w:rsidRPr="00B27A29" w:rsidRDefault="005C671B">
      <w:pPr>
        <w:pStyle w:val="1"/>
        <w:spacing w:beforeLines="100" w:before="312" w:afterLines="100" w:after="312" w:line="360" w:lineRule="auto"/>
        <w:jc w:val="center"/>
        <w:rPr>
          <w:rFonts w:eastAsiaTheme="minorEastAsia"/>
          <w:color w:val="000000" w:themeColor="text1"/>
          <w:kern w:val="0"/>
          <w:sz w:val="21"/>
          <w:szCs w:val="21"/>
        </w:rPr>
      </w:pPr>
      <w:r w:rsidRPr="00B27A29">
        <w:rPr>
          <w:rFonts w:eastAsiaTheme="minorEastAsia"/>
          <w:color w:val="000000" w:themeColor="text1"/>
          <w:kern w:val="0"/>
          <w:sz w:val="21"/>
          <w:szCs w:val="21"/>
        </w:rPr>
        <w:t xml:space="preserve">§3  </w:t>
      </w:r>
      <w:r w:rsidRPr="00B27A29">
        <w:rPr>
          <w:rFonts w:eastAsiaTheme="minorEastAsia"/>
          <w:color w:val="000000" w:themeColor="text1"/>
          <w:kern w:val="0"/>
          <w:sz w:val="21"/>
          <w:szCs w:val="21"/>
        </w:rPr>
        <w:t>主要财务指标和基金净值表现</w:t>
      </w:r>
    </w:p>
    <w:p w:rsidR="005E6DF3" w:rsidRPr="00B27A29" w:rsidRDefault="005C671B">
      <w:pPr>
        <w:autoSpaceDE w:val="0"/>
        <w:autoSpaceDN w:val="0"/>
        <w:adjustRightInd w:val="0"/>
        <w:spacing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 xml:space="preserve">3.1 </w:t>
      </w:r>
      <w:r w:rsidRPr="00B27A29">
        <w:rPr>
          <w:rFonts w:eastAsiaTheme="minorEastAsia"/>
          <w:b/>
          <w:color w:val="000000" w:themeColor="text1"/>
          <w:kern w:val="0"/>
          <w:szCs w:val="21"/>
        </w:rPr>
        <w:t>主要财务指标</w:t>
      </w:r>
    </w:p>
    <w:p w:rsidR="005E6DF3" w:rsidRPr="00B27A29" w:rsidRDefault="005C671B">
      <w:pPr>
        <w:autoSpaceDE w:val="0"/>
        <w:autoSpaceDN w:val="0"/>
        <w:adjustRightInd w:val="0"/>
        <w:spacing w:before="29" w:line="288" w:lineRule="auto"/>
        <w:ind w:left="15" w:right="480"/>
        <w:jc w:val="right"/>
        <w:rPr>
          <w:rFonts w:eastAsiaTheme="minorEastAsia"/>
          <w:color w:val="000000" w:themeColor="text1"/>
          <w:kern w:val="0"/>
          <w:szCs w:val="21"/>
        </w:rPr>
      </w:pPr>
      <w:r w:rsidRPr="00B27A29">
        <w:rPr>
          <w:rFonts w:eastAsiaTheme="minorEastAsia"/>
          <w:color w:val="000000" w:themeColor="text1"/>
          <w:kern w:val="0"/>
          <w:szCs w:val="21"/>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481"/>
        <w:gridCol w:w="2481"/>
      </w:tblGrid>
      <w:tr w:rsidR="005E6DF3" w:rsidRPr="00B27A29">
        <w:tc>
          <w:tcPr>
            <w:tcW w:w="3402" w:type="dxa"/>
            <w:vMerge w:val="restart"/>
            <w:vAlign w:val="center"/>
          </w:tcPr>
          <w:p w:rsidR="005E6DF3" w:rsidRPr="00B27A29" w:rsidRDefault="005C671B">
            <w:pPr>
              <w:adjustRightInd w:val="0"/>
              <w:spacing w:before="29" w:line="360" w:lineRule="auto"/>
              <w:ind w:left="17"/>
              <w:rPr>
                <w:rFonts w:eastAsiaTheme="minorEastAsia"/>
                <w:color w:val="000000" w:themeColor="text1"/>
                <w:kern w:val="0"/>
                <w:szCs w:val="21"/>
              </w:rPr>
            </w:pPr>
            <w:r w:rsidRPr="00B27A29">
              <w:rPr>
                <w:rFonts w:eastAsiaTheme="minorEastAsia"/>
                <w:color w:val="000000" w:themeColor="text1"/>
                <w:kern w:val="0"/>
                <w:szCs w:val="21"/>
              </w:rPr>
              <w:t>主要财务指标</w:t>
            </w:r>
          </w:p>
        </w:tc>
        <w:tc>
          <w:tcPr>
            <w:tcW w:w="4962" w:type="dxa"/>
            <w:gridSpan w:val="2"/>
            <w:vAlign w:val="center"/>
          </w:tcPr>
          <w:p w:rsidR="005E6DF3" w:rsidRPr="00B27A29" w:rsidRDefault="005C671B">
            <w:pPr>
              <w:adjustRightInd w:val="0"/>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报告期</w:t>
            </w:r>
          </w:p>
          <w:p w:rsidR="005E6DF3" w:rsidRPr="00B27A29" w:rsidRDefault="005C671B">
            <w:pPr>
              <w:adjustRightInd w:val="0"/>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(2021</w:t>
            </w:r>
            <w:r w:rsidRPr="00B27A29">
              <w:rPr>
                <w:rFonts w:eastAsiaTheme="minorEastAsia"/>
                <w:color w:val="000000" w:themeColor="text1"/>
                <w:szCs w:val="21"/>
              </w:rPr>
              <w:t>年</w:t>
            </w:r>
            <w:r w:rsidRPr="00B27A29">
              <w:rPr>
                <w:rFonts w:eastAsiaTheme="minorEastAsia"/>
                <w:color w:val="000000" w:themeColor="text1"/>
                <w:szCs w:val="21"/>
              </w:rPr>
              <w:t>4</w:t>
            </w:r>
            <w:r w:rsidRPr="00B27A29">
              <w:rPr>
                <w:rFonts w:eastAsiaTheme="minorEastAsia"/>
                <w:color w:val="000000" w:themeColor="text1"/>
                <w:szCs w:val="21"/>
              </w:rPr>
              <w:t>月</w:t>
            </w:r>
            <w:r w:rsidRPr="00B27A29">
              <w:rPr>
                <w:rFonts w:eastAsiaTheme="minorEastAsia"/>
                <w:color w:val="000000" w:themeColor="text1"/>
                <w:szCs w:val="21"/>
              </w:rPr>
              <w:t>1</w:t>
            </w:r>
            <w:r w:rsidRPr="00B27A29">
              <w:rPr>
                <w:rFonts w:eastAsiaTheme="minorEastAsia"/>
                <w:color w:val="000000" w:themeColor="text1"/>
                <w:szCs w:val="21"/>
              </w:rPr>
              <w:t>日</w:t>
            </w:r>
            <w:r w:rsidRPr="00B27A29">
              <w:rPr>
                <w:rFonts w:eastAsiaTheme="minorEastAsia"/>
                <w:color w:val="000000" w:themeColor="text1"/>
                <w:szCs w:val="21"/>
              </w:rPr>
              <w:t>-2021</w:t>
            </w:r>
            <w:r w:rsidRPr="00B27A29">
              <w:rPr>
                <w:rFonts w:eastAsiaTheme="minorEastAsia"/>
                <w:color w:val="000000" w:themeColor="text1"/>
                <w:szCs w:val="21"/>
              </w:rPr>
              <w:t>年</w:t>
            </w:r>
            <w:r w:rsidRPr="00B27A29">
              <w:rPr>
                <w:rFonts w:eastAsiaTheme="minorEastAsia"/>
                <w:color w:val="000000" w:themeColor="text1"/>
                <w:szCs w:val="21"/>
              </w:rPr>
              <w:t>6</w:t>
            </w:r>
            <w:r w:rsidRPr="00B27A29">
              <w:rPr>
                <w:rFonts w:eastAsiaTheme="minorEastAsia"/>
                <w:color w:val="000000" w:themeColor="text1"/>
                <w:szCs w:val="21"/>
              </w:rPr>
              <w:t>月</w:t>
            </w:r>
            <w:r w:rsidRPr="00B27A29">
              <w:rPr>
                <w:rFonts w:eastAsiaTheme="minorEastAsia"/>
                <w:color w:val="000000" w:themeColor="text1"/>
                <w:szCs w:val="21"/>
              </w:rPr>
              <w:t>30</w:t>
            </w:r>
            <w:r w:rsidRPr="00B27A29">
              <w:rPr>
                <w:rFonts w:eastAsiaTheme="minorEastAsia"/>
                <w:color w:val="000000" w:themeColor="text1"/>
                <w:szCs w:val="21"/>
              </w:rPr>
              <w:t>日</w:t>
            </w:r>
            <w:r w:rsidRPr="00B27A29">
              <w:rPr>
                <w:rFonts w:eastAsiaTheme="minorEastAsia"/>
                <w:color w:val="000000" w:themeColor="text1"/>
                <w:szCs w:val="21"/>
              </w:rPr>
              <w:t>)</w:t>
            </w:r>
          </w:p>
        </w:tc>
      </w:tr>
      <w:tr w:rsidR="005E6DF3" w:rsidRPr="00B27A29">
        <w:tc>
          <w:tcPr>
            <w:tcW w:w="3402" w:type="dxa"/>
            <w:vMerge/>
            <w:vAlign w:val="center"/>
          </w:tcPr>
          <w:p w:rsidR="005E6DF3" w:rsidRPr="00B27A29" w:rsidRDefault="005E6DF3">
            <w:pPr>
              <w:adjustRightInd w:val="0"/>
              <w:spacing w:before="29" w:line="360" w:lineRule="auto"/>
              <w:ind w:left="17"/>
              <w:rPr>
                <w:rFonts w:eastAsiaTheme="minorEastAsia"/>
                <w:color w:val="000000" w:themeColor="text1"/>
                <w:kern w:val="0"/>
                <w:szCs w:val="21"/>
              </w:rPr>
            </w:pPr>
          </w:p>
        </w:tc>
        <w:tc>
          <w:tcPr>
            <w:tcW w:w="2481" w:type="dxa"/>
            <w:vAlign w:val="center"/>
          </w:tcPr>
          <w:p w:rsidR="005E6DF3" w:rsidRPr="00B27A29" w:rsidRDefault="005C671B">
            <w:pPr>
              <w:adjustRightInd w:val="0"/>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上投摩根双息平衡混合</w:t>
            </w:r>
            <w:r w:rsidRPr="00B27A29">
              <w:rPr>
                <w:rFonts w:eastAsiaTheme="minorEastAsia"/>
                <w:color w:val="000000" w:themeColor="text1"/>
                <w:szCs w:val="21"/>
              </w:rPr>
              <w:t>A</w:t>
            </w:r>
          </w:p>
        </w:tc>
        <w:tc>
          <w:tcPr>
            <w:tcW w:w="2481" w:type="dxa"/>
            <w:vAlign w:val="center"/>
          </w:tcPr>
          <w:p w:rsidR="005E6DF3" w:rsidRPr="00B27A29" w:rsidRDefault="005C671B">
            <w:pPr>
              <w:adjustRightInd w:val="0"/>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上投摩根双息平衡混合</w:t>
            </w:r>
            <w:r w:rsidRPr="00B27A29">
              <w:rPr>
                <w:rFonts w:eastAsiaTheme="minorEastAsia"/>
                <w:color w:val="000000" w:themeColor="text1"/>
                <w:szCs w:val="21"/>
              </w:rPr>
              <w:t>H</w:t>
            </w:r>
          </w:p>
        </w:tc>
      </w:tr>
      <w:tr w:rsidR="005E6DF3" w:rsidRPr="00B27A29">
        <w:tc>
          <w:tcPr>
            <w:tcW w:w="3402" w:type="dxa"/>
            <w:vAlign w:val="center"/>
          </w:tcPr>
          <w:p w:rsidR="005E6DF3" w:rsidRPr="00B27A29" w:rsidRDefault="005C671B">
            <w:pPr>
              <w:adjustRightInd w:val="0"/>
              <w:spacing w:before="29" w:line="360" w:lineRule="auto"/>
              <w:ind w:left="17"/>
              <w:rPr>
                <w:rFonts w:eastAsiaTheme="minorEastAsia"/>
                <w:color w:val="000000" w:themeColor="text1"/>
                <w:kern w:val="0"/>
                <w:szCs w:val="21"/>
              </w:rPr>
            </w:pPr>
            <w:r w:rsidRPr="00B27A29">
              <w:rPr>
                <w:rFonts w:eastAsiaTheme="minorEastAsia"/>
                <w:color w:val="000000" w:themeColor="text1"/>
                <w:kern w:val="0"/>
                <w:szCs w:val="21"/>
              </w:rPr>
              <w:t>1.</w:t>
            </w:r>
            <w:r w:rsidRPr="00B27A29">
              <w:rPr>
                <w:rFonts w:eastAsiaTheme="minorEastAsia"/>
                <w:color w:val="000000" w:themeColor="text1"/>
                <w:kern w:val="0"/>
                <w:szCs w:val="21"/>
              </w:rPr>
              <w:t>本期已实现收益</w:t>
            </w:r>
          </w:p>
        </w:tc>
        <w:tc>
          <w:tcPr>
            <w:tcW w:w="2481" w:type="dxa"/>
            <w:vAlign w:val="center"/>
          </w:tcPr>
          <w:p w:rsidR="005E6DF3" w:rsidRPr="00B27A29" w:rsidRDefault="005C671B">
            <w:pPr>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32,615,060.17</w:t>
            </w:r>
          </w:p>
        </w:tc>
        <w:tc>
          <w:tcPr>
            <w:tcW w:w="2481" w:type="dxa"/>
            <w:vAlign w:val="center"/>
          </w:tcPr>
          <w:p w:rsidR="005E6DF3" w:rsidRPr="00B27A29" w:rsidRDefault="005C671B">
            <w:pPr>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7,437.34</w:t>
            </w:r>
          </w:p>
        </w:tc>
      </w:tr>
      <w:tr w:rsidR="005E6DF3" w:rsidRPr="00B27A29">
        <w:tc>
          <w:tcPr>
            <w:tcW w:w="3402" w:type="dxa"/>
            <w:vAlign w:val="center"/>
          </w:tcPr>
          <w:p w:rsidR="005E6DF3" w:rsidRPr="00B27A29" w:rsidRDefault="005C671B">
            <w:pPr>
              <w:adjustRightInd w:val="0"/>
              <w:spacing w:before="29" w:line="360" w:lineRule="auto"/>
              <w:ind w:left="17"/>
              <w:rPr>
                <w:rFonts w:eastAsiaTheme="minorEastAsia"/>
                <w:color w:val="000000" w:themeColor="text1"/>
                <w:kern w:val="0"/>
                <w:szCs w:val="21"/>
              </w:rPr>
            </w:pPr>
            <w:r w:rsidRPr="00B27A29">
              <w:rPr>
                <w:rFonts w:eastAsiaTheme="minorEastAsia"/>
                <w:color w:val="000000" w:themeColor="text1"/>
                <w:kern w:val="0"/>
                <w:szCs w:val="21"/>
              </w:rPr>
              <w:t>2.</w:t>
            </w:r>
            <w:r w:rsidRPr="00B27A29">
              <w:rPr>
                <w:rFonts w:eastAsiaTheme="minorEastAsia"/>
                <w:color w:val="000000" w:themeColor="text1"/>
                <w:kern w:val="0"/>
                <w:szCs w:val="21"/>
              </w:rPr>
              <w:t>本期利润</w:t>
            </w:r>
          </w:p>
        </w:tc>
        <w:tc>
          <w:tcPr>
            <w:tcW w:w="2481" w:type="dxa"/>
            <w:vAlign w:val="center"/>
          </w:tcPr>
          <w:p w:rsidR="005E6DF3" w:rsidRPr="00B27A29" w:rsidRDefault="005C671B">
            <w:pPr>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18,343,103.79</w:t>
            </w:r>
          </w:p>
        </w:tc>
        <w:tc>
          <w:tcPr>
            <w:tcW w:w="2481" w:type="dxa"/>
            <w:vAlign w:val="center"/>
          </w:tcPr>
          <w:p w:rsidR="005E6DF3" w:rsidRPr="00B27A29" w:rsidRDefault="005C671B">
            <w:pPr>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3,970.45</w:t>
            </w:r>
          </w:p>
        </w:tc>
      </w:tr>
      <w:tr w:rsidR="005E6DF3" w:rsidRPr="00B27A29">
        <w:tc>
          <w:tcPr>
            <w:tcW w:w="3402" w:type="dxa"/>
            <w:vAlign w:val="center"/>
          </w:tcPr>
          <w:p w:rsidR="005E6DF3" w:rsidRPr="00B27A29" w:rsidRDefault="005C671B">
            <w:pPr>
              <w:adjustRightInd w:val="0"/>
              <w:spacing w:before="29" w:line="360" w:lineRule="auto"/>
              <w:ind w:left="17"/>
              <w:rPr>
                <w:rFonts w:eastAsiaTheme="minorEastAsia"/>
                <w:color w:val="000000" w:themeColor="text1"/>
                <w:kern w:val="0"/>
                <w:szCs w:val="21"/>
              </w:rPr>
            </w:pPr>
            <w:r w:rsidRPr="00B27A29">
              <w:rPr>
                <w:rFonts w:eastAsiaTheme="minorEastAsia"/>
                <w:color w:val="000000" w:themeColor="text1"/>
                <w:kern w:val="0"/>
                <w:szCs w:val="21"/>
              </w:rPr>
              <w:t>3.</w:t>
            </w:r>
            <w:r w:rsidRPr="00B27A29">
              <w:rPr>
                <w:rFonts w:eastAsiaTheme="minorEastAsia"/>
                <w:color w:val="000000" w:themeColor="text1"/>
                <w:kern w:val="0"/>
                <w:szCs w:val="21"/>
              </w:rPr>
              <w:t>加权平均基金份额本期利润</w:t>
            </w:r>
          </w:p>
        </w:tc>
        <w:tc>
          <w:tcPr>
            <w:tcW w:w="2481" w:type="dxa"/>
            <w:vAlign w:val="center"/>
          </w:tcPr>
          <w:p w:rsidR="005E6DF3" w:rsidRPr="00B27A29" w:rsidRDefault="005C671B">
            <w:pPr>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0.0157</w:t>
            </w:r>
          </w:p>
        </w:tc>
        <w:tc>
          <w:tcPr>
            <w:tcW w:w="2481" w:type="dxa"/>
            <w:vAlign w:val="center"/>
          </w:tcPr>
          <w:p w:rsidR="005E6DF3" w:rsidRPr="00B27A29" w:rsidRDefault="005C671B">
            <w:pPr>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0.0147</w:t>
            </w:r>
          </w:p>
        </w:tc>
      </w:tr>
      <w:tr w:rsidR="005E6DF3" w:rsidRPr="00B27A29">
        <w:tc>
          <w:tcPr>
            <w:tcW w:w="3402" w:type="dxa"/>
            <w:vAlign w:val="center"/>
          </w:tcPr>
          <w:p w:rsidR="005E6DF3" w:rsidRPr="00B27A29" w:rsidRDefault="005C671B">
            <w:pPr>
              <w:adjustRightInd w:val="0"/>
              <w:spacing w:before="29" w:line="360" w:lineRule="auto"/>
              <w:ind w:left="17"/>
              <w:rPr>
                <w:rFonts w:eastAsiaTheme="minorEastAsia"/>
                <w:color w:val="000000" w:themeColor="text1"/>
                <w:kern w:val="0"/>
                <w:szCs w:val="21"/>
              </w:rPr>
            </w:pPr>
            <w:r w:rsidRPr="00B27A29">
              <w:rPr>
                <w:rFonts w:eastAsiaTheme="minorEastAsia"/>
                <w:color w:val="000000" w:themeColor="text1"/>
                <w:kern w:val="0"/>
                <w:szCs w:val="21"/>
              </w:rPr>
              <w:t>4.</w:t>
            </w:r>
            <w:r w:rsidRPr="00B27A29">
              <w:rPr>
                <w:rFonts w:eastAsiaTheme="minorEastAsia"/>
                <w:color w:val="000000" w:themeColor="text1"/>
                <w:kern w:val="0"/>
                <w:szCs w:val="21"/>
              </w:rPr>
              <w:t>期末基金资产净值</w:t>
            </w:r>
          </w:p>
        </w:tc>
        <w:tc>
          <w:tcPr>
            <w:tcW w:w="2481" w:type="dxa"/>
            <w:vAlign w:val="center"/>
          </w:tcPr>
          <w:p w:rsidR="005E6DF3" w:rsidRPr="00B27A29" w:rsidRDefault="005C671B">
            <w:pPr>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1,071,858,532.82</w:t>
            </w:r>
          </w:p>
        </w:tc>
        <w:tc>
          <w:tcPr>
            <w:tcW w:w="2481" w:type="dxa"/>
            <w:vAlign w:val="center"/>
          </w:tcPr>
          <w:p w:rsidR="005E6DF3" w:rsidRPr="00B27A29" w:rsidRDefault="005C671B">
            <w:pPr>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259,308.66</w:t>
            </w:r>
          </w:p>
        </w:tc>
      </w:tr>
      <w:tr w:rsidR="005E6DF3" w:rsidRPr="00B27A29">
        <w:trPr>
          <w:trHeight w:val="158"/>
        </w:trPr>
        <w:tc>
          <w:tcPr>
            <w:tcW w:w="3402" w:type="dxa"/>
            <w:vAlign w:val="center"/>
          </w:tcPr>
          <w:p w:rsidR="005E6DF3" w:rsidRPr="00B27A29" w:rsidRDefault="005C671B">
            <w:pPr>
              <w:adjustRightInd w:val="0"/>
              <w:spacing w:before="29" w:line="360" w:lineRule="auto"/>
              <w:ind w:left="17"/>
              <w:rPr>
                <w:rFonts w:eastAsiaTheme="minorEastAsia"/>
                <w:color w:val="000000" w:themeColor="text1"/>
                <w:kern w:val="0"/>
                <w:szCs w:val="21"/>
              </w:rPr>
            </w:pPr>
            <w:r w:rsidRPr="00B27A29">
              <w:rPr>
                <w:rFonts w:eastAsiaTheme="minorEastAsia"/>
                <w:color w:val="000000" w:themeColor="text1"/>
                <w:kern w:val="0"/>
                <w:szCs w:val="21"/>
              </w:rPr>
              <w:t>5.</w:t>
            </w:r>
            <w:r w:rsidRPr="00B27A29">
              <w:rPr>
                <w:rFonts w:eastAsiaTheme="minorEastAsia"/>
                <w:color w:val="000000" w:themeColor="text1"/>
                <w:kern w:val="0"/>
                <w:szCs w:val="21"/>
              </w:rPr>
              <w:t>期末基金份额净值</w:t>
            </w:r>
          </w:p>
        </w:tc>
        <w:tc>
          <w:tcPr>
            <w:tcW w:w="2481" w:type="dxa"/>
            <w:vAlign w:val="center"/>
          </w:tcPr>
          <w:p w:rsidR="005E6DF3" w:rsidRPr="00B27A29" w:rsidRDefault="005C671B">
            <w:pPr>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0.9388</w:t>
            </w:r>
          </w:p>
        </w:tc>
        <w:tc>
          <w:tcPr>
            <w:tcW w:w="2481" w:type="dxa"/>
            <w:vAlign w:val="center"/>
          </w:tcPr>
          <w:p w:rsidR="005E6DF3" w:rsidRPr="00B27A29" w:rsidRDefault="005C671B">
            <w:pPr>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0.9575</w:t>
            </w:r>
          </w:p>
        </w:tc>
      </w:tr>
    </w:tbl>
    <w:p w:rsidR="008D36E2" w:rsidRDefault="0013308F">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注：本期已实现收益指基金本期利息收入、投资收益、其他收入</w:t>
      </w:r>
      <w:r>
        <w:rPr>
          <w:rFonts w:eastAsiaTheme="minorEastAsia"/>
          <w:color w:val="000000" w:themeColor="text1"/>
          <w:szCs w:val="21"/>
        </w:rPr>
        <w:t>(</w:t>
      </w:r>
      <w:r>
        <w:rPr>
          <w:rFonts w:eastAsiaTheme="minorEastAsia"/>
          <w:color w:val="000000" w:themeColor="text1"/>
          <w:szCs w:val="21"/>
        </w:rPr>
        <w:t>不含公允价值变动收益</w:t>
      </w:r>
      <w:r>
        <w:rPr>
          <w:rFonts w:eastAsiaTheme="minorEastAsia"/>
          <w:color w:val="000000" w:themeColor="text1"/>
          <w:szCs w:val="21"/>
        </w:rPr>
        <w:t>)</w:t>
      </w:r>
      <w:r>
        <w:rPr>
          <w:rFonts w:eastAsiaTheme="minorEastAsia"/>
          <w:color w:val="000000" w:themeColor="text1"/>
          <w:szCs w:val="21"/>
        </w:rPr>
        <w:t>扣除相关费用后的余额，本期利润为本期已实现收益加上本期公允价值变动收益。</w:t>
      </w:r>
      <w:r>
        <w:rPr>
          <w:rFonts w:eastAsiaTheme="minorEastAsia"/>
          <w:color w:val="000000" w:themeColor="text1"/>
          <w:szCs w:val="21"/>
        </w:rPr>
        <w:t xml:space="preserve"> </w:t>
      </w:r>
    </w:p>
    <w:p w:rsidR="005E6DF3" w:rsidRPr="00B27A29" w:rsidRDefault="005C671B">
      <w:pPr>
        <w:autoSpaceDE w:val="0"/>
        <w:autoSpaceDN w:val="0"/>
        <w:adjustRightInd w:val="0"/>
        <w:spacing w:line="360" w:lineRule="auto"/>
        <w:ind w:firstLineChars="200" w:firstLine="420"/>
        <w:jc w:val="left"/>
        <w:rPr>
          <w:rFonts w:eastAsiaTheme="minorEastAsia"/>
          <w:color w:val="000000" w:themeColor="text1"/>
          <w:szCs w:val="21"/>
        </w:rPr>
      </w:pPr>
      <w:r w:rsidRPr="00B27A29">
        <w:rPr>
          <w:rFonts w:eastAsiaTheme="minorEastAsia"/>
          <w:color w:val="000000" w:themeColor="text1"/>
          <w:szCs w:val="21"/>
        </w:rPr>
        <w:t>上述基金业绩指标不包括持有人认购或交易基金的各项费用（例如，开放式基金的申购赎回</w:t>
      </w:r>
      <w:r w:rsidRPr="00B27A29">
        <w:rPr>
          <w:rFonts w:eastAsiaTheme="minorEastAsia"/>
          <w:color w:val="000000" w:themeColor="text1"/>
          <w:szCs w:val="21"/>
        </w:rPr>
        <w:lastRenderedPageBreak/>
        <w:t>费、红利再投资费、基金转换费等），计入费用后实际收益水平要低于所列数字。</w:t>
      </w:r>
    </w:p>
    <w:p w:rsidR="005E6DF3" w:rsidRPr="00B27A29" w:rsidRDefault="005C671B">
      <w:pPr>
        <w:autoSpaceDE w:val="0"/>
        <w:autoSpaceDN w:val="0"/>
        <w:adjustRightInd w:val="0"/>
        <w:spacing w:beforeLines="100" w:before="312"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 xml:space="preserve">3.2 </w:t>
      </w:r>
      <w:r w:rsidRPr="00B27A29">
        <w:rPr>
          <w:rFonts w:eastAsiaTheme="minorEastAsia"/>
          <w:b/>
          <w:color w:val="000000" w:themeColor="text1"/>
          <w:kern w:val="0"/>
          <w:szCs w:val="21"/>
        </w:rPr>
        <w:t>基金净值表现</w:t>
      </w:r>
    </w:p>
    <w:p w:rsidR="005E6DF3" w:rsidRPr="00B27A29" w:rsidRDefault="005C671B">
      <w:pPr>
        <w:autoSpaceDE w:val="0"/>
        <w:autoSpaceDN w:val="0"/>
        <w:adjustRightInd w:val="0"/>
        <w:spacing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3.2.1</w:t>
      </w:r>
      <w:r w:rsidRPr="00B27A29">
        <w:rPr>
          <w:rFonts w:eastAsiaTheme="minorEastAsia"/>
          <w:b/>
          <w:color w:val="000000" w:themeColor="text1"/>
          <w:kern w:val="0"/>
          <w:szCs w:val="21"/>
        </w:rPr>
        <w:t>本报告期基金份额净值增长率及其与同期业绩比较基准收益率的比较</w:t>
      </w:r>
    </w:p>
    <w:p w:rsidR="005E6DF3" w:rsidRPr="00B27A29" w:rsidRDefault="005C671B">
      <w:pPr>
        <w:spacing w:line="360" w:lineRule="auto"/>
        <w:rPr>
          <w:rFonts w:eastAsiaTheme="minorEastAsia"/>
          <w:b/>
          <w:color w:val="000000" w:themeColor="text1"/>
          <w:szCs w:val="21"/>
        </w:rPr>
      </w:pPr>
      <w:r w:rsidRPr="00B27A29">
        <w:rPr>
          <w:rFonts w:eastAsiaTheme="minorEastAsia"/>
          <w:b/>
          <w:color w:val="000000" w:themeColor="text1"/>
          <w:szCs w:val="21"/>
        </w:rPr>
        <w:t>1</w:t>
      </w:r>
      <w:r w:rsidRPr="00B27A29">
        <w:rPr>
          <w:rFonts w:eastAsiaTheme="minorEastAsia"/>
          <w:b/>
          <w:color w:val="000000" w:themeColor="text1"/>
          <w:szCs w:val="21"/>
        </w:rPr>
        <w:t>、</w:t>
      </w:r>
      <w:r w:rsidRPr="00B27A29">
        <w:rPr>
          <w:rFonts w:eastAsiaTheme="minorEastAsia"/>
          <w:b/>
          <w:color w:val="000000" w:themeColor="text1"/>
          <w:kern w:val="0"/>
          <w:szCs w:val="21"/>
        </w:rPr>
        <w:t>上投摩根双息平衡混合</w:t>
      </w:r>
      <w:r w:rsidRPr="00B27A29">
        <w:rPr>
          <w:rFonts w:eastAsiaTheme="minorEastAsia"/>
          <w:b/>
          <w:color w:val="000000" w:themeColor="text1"/>
          <w:kern w:val="0"/>
          <w:szCs w:val="21"/>
        </w:rPr>
        <w:t>A</w:t>
      </w:r>
      <w:r w:rsidRPr="00B27A29">
        <w:rPr>
          <w:rFonts w:eastAsiaTheme="minorEastAsia"/>
          <w:b/>
          <w:color w:val="000000" w:themeColor="text1"/>
          <w:szCs w:val="21"/>
        </w:rPr>
        <w:t>：</w:t>
      </w:r>
    </w:p>
    <w:tbl>
      <w:tblPr>
        <w:tblStyle w:val="afa"/>
        <w:tblW w:w="9036" w:type="dxa"/>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5E6DF3" w:rsidRPr="00B27A29">
        <w:tc>
          <w:tcPr>
            <w:tcW w:w="1290" w:type="dxa"/>
            <w:vAlign w:val="center"/>
          </w:tcPr>
          <w:p w:rsidR="005E6DF3" w:rsidRPr="00B27A29" w:rsidRDefault="005C671B">
            <w:pPr>
              <w:snapToGrid w:val="0"/>
              <w:spacing w:line="288" w:lineRule="auto"/>
              <w:jc w:val="center"/>
              <w:rPr>
                <w:rFonts w:eastAsiaTheme="minorEastAsia"/>
                <w:color w:val="000000" w:themeColor="text1"/>
                <w:szCs w:val="21"/>
              </w:rPr>
            </w:pPr>
            <w:r w:rsidRPr="00B27A29">
              <w:rPr>
                <w:rFonts w:eastAsiaTheme="minorEastAsia"/>
                <w:color w:val="000000" w:themeColor="text1"/>
                <w:szCs w:val="21"/>
              </w:rPr>
              <w:t>阶段</w:t>
            </w:r>
          </w:p>
        </w:tc>
        <w:tc>
          <w:tcPr>
            <w:tcW w:w="1291" w:type="dxa"/>
            <w:vAlign w:val="center"/>
          </w:tcPr>
          <w:p w:rsidR="005E6DF3" w:rsidRPr="00B27A29" w:rsidRDefault="005C671B">
            <w:pPr>
              <w:snapToGrid w:val="0"/>
              <w:spacing w:line="288" w:lineRule="auto"/>
              <w:jc w:val="center"/>
              <w:rPr>
                <w:rFonts w:eastAsiaTheme="minorEastAsia"/>
                <w:color w:val="000000" w:themeColor="text1"/>
                <w:szCs w:val="21"/>
              </w:rPr>
            </w:pPr>
            <w:r w:rsidRPr="00B27A29">
              <w:rPr>
                <w:rFonts w:eastAsiaTheme="minorEastAsia"/>
                <w:color w:val="000000" w:themeColor="text1"/>
                <w:szCs w:val="21"/>
              </w:rPr>
              <w:t>净值增长率</w:t>
            </w:r>
            <w:r w:rsidRPr="00B27A29">
              <w:rPr>
                <w:rFonts w:ascii="宋体" w:hAnsi="宋体" w:cs="宋体" w:hint="eastAsia"/>
                <w:color w:val="000000" w:themeColor="text1"/>
                <w:szCs w:val="21"/>
              </w:rPr>
              <w:t>①</w:t>
            </w:r>
          </w:p>
        </w:tc>
        <w:tc>
          <w:tcPr>
            <w:tcW w:w="1291" w:type="dxa"/>
            <w:vAlign w:val="center"/>
          </w:tcPr>
          <w:p w:rsidR="005E6DF3" w:rsidRPr="00B27A29" w:rsidRDefault="005C671B">
            <w:pPr>
              <w:snapToGrid w:val="0"/>
              <w:spacing w:line="288" w:lineRule="auto"/>
              <w:jc w:val="center"/>
              <w:rPr>
                <w:rFonts w:eastAsiaTheme="minorEastAsia"/>
                <w:color w:val="000000" w:themeColor="text1"/>
                <w:szCs w:val="21"/>
              </w:rPr>
            </w:pPr>
            <w:r w:rsidRPr="00B27A29">
              <w:rPr>
                <w:rFonts w:eastAsiaTheme="minorEastAsia"/>
                <w:color w:val="000000" w:themeColor="text1"/>
                <w:szCs w:val="21"/>
              </w:rPr>
              <w:t>净值增长率标准差</w:t>
            </w:r>
            <w:r w:rsidRPr="00B27A29">
              <w:rPr>
                <w:rFonts w:ascii="宋体" w:hAnsi="宋体" w:cs="宋体" w:hint="eastAsia"/>
                <w:color w:val="000000" w:themeColor="text1"/>
                <w:szCs w:val="21"/>
              </w:rPr>
              <w:t>②</w:t>
            </w:r>
          </w:p>
        </w:tc>
        <w:tc>
          <w:tcPr>
            <w:tcW w:w="1291" w:type="dxa"/>
            <w:vAlign w:val="center"/>
          </w:tcPr>
          <w:p w:rsidR="005E6DF3" w:rsidRPr="00B27A29" w:rsidRDefault="005C671B">
            <w:pPr>
              <w:snapToGrid w:val="0"/>
              <w:spacing w:line="288" w:lineRule="auto"/>
              <w:jc w:val="center"/>
              <w:rPr>
                <w:rFonts w:eastAsiaTheme="minorEastAsia"/>
                <w:color w:val="000000" w:themeColor="text1"/>
                <w:szCs w:val="21"/>
              </w:rPr>
            </w:pPr>
            <w:r w:rsidRPr="00B27A29">
              <w:rPr>
                <w:rFonts w:eastAsiaTheme="minorEastAsia"/>
                <w:color w:val="000000" w:themeColor="text1"/>
                <w:szCs w:val="21"/>
              </w:rPr>
              <w:t>业绩比较基准收益率</w:t>
            </w:r>
            <w:r w:rsidRPr="00B27A29">
              <w:rPr>
                <w:rFonts w:ascii="宋体" w:hAnsi="宋体" w:cs="宋体" w:hint="eastAsia"/>
                <w:color w:val="000000" w:themeColor="text1"/>
                <w:szCs w:val="21"/>
              </w:rPr>
              <w:t>③</w:t>
            </w:r>
          </w:p>
        </w:tc>
        <w:tc>
          <w:tcPr>
            <w:tcW w:w="1291" w:type="dxa"/>
            <w:vAlign w:val="center"/>
          </w:tcPr>
          <w:p w:rsidR="005E6DF3" w:rsidRPr="00B27A29" w:rsidRDefault="005C671B">
            <w:pPr>
              <w:snapToGrid w:val="0"/>
              <w:spacing w:line="288" w:lineRule="auto"/>
              <w:jc w:val="center"/>
              <w:rPr>
                <w:rFonts w:eastAsiaTheme="minorEastAsia"/>
                <w:color w:val="000000" w:themeColor="text1"/>
                <w:szCs w:val="21"/>
              </w:rPr>
            </w:pPr>
            <w:r w:rsidRPr="00B27A29">
              <w:rPr>
                <w:rFonts w:eastAsiaTheme="minorEastAsia"/>
                <w:color w:val="000000" w:themeColor="text1"/>
                <w:szCs w:val="21"/>
              </w:rPr>
              <w:t>业绩比较基准收益率标准差</w:t>
            </w:r>
            <w:r w:rsidRPr="00B27A29">
              <w:rPr>
                <w:rFonts w:ascii="宋体" w:hAnsi="宋体" w:cs="宋体" w:hint="eastAsia"/>
                <w:color w:val="000000" w:themeColor="text1"/>
                <w:szCs w:val="21"/>
              </w:rPr>
              <w:t>④</w:t>
            </w:r>
          </w:p>
        </w:tc>
        <w:tc>
          <w:tcPr>
            <w:tcW w:w="1291" w:type="dxa"/>
            <w:vAlign w:val="center"/>
          </w:tcPr>
          <w:p w:rsidR="005E6DF3" w:rsidRPr="00B27A29" w:rsidRDefault="005C671B">
            <w:pPr>
              <w:snapToGrid w:val="0"/>
              <w:spacing w:line="288" w:lineRule="auto"/>
              <w:jc w:val="center"/>
              <w:rPr>
                <w:rFonts w:eastAsiaTheme="minorEastAsia"/>
                <w:color w:val="000000" w:themeColor="text1"/>
                <w:szCs w:val="21"/>
              </w:rPr>
            </w:pPr>
            <w:r w:rsidRPr="00B27A29">
              <w:rPr>
                <w:rFonts w:ascii="宋体" w:hAnsi="宋体" w:cs="宋体" w:hint="eastAsia"/>
                <w:color w:val="000000" w:themeColor="text1"/>
                <w:szCs w:val="21"/>
              </w:rPr>
              <w:t>①</w:t>
            </w:r>
            <w:r w:rsidRPr="00B27A29">
              <w:rPr>
                <w:rFonts w:eastAsiaTheme="minorEastAsia"/>
                <w:color w:val="000000" w:themeColor="text1"/>
                <w:szCs w:val="21"/>
              </w:rPr>
              <w:t>－</w:t>
            </w:r>
            <w:r w:rsidRPr="00B27A29">
              <w:rPr>
                <w:rFonts w:ascii="宋体" w:hAnsi="宋体" w:cs="宋体" w:hint="eastAsia"/>
                <w:color w:val="000000" w:themeColor="text1"/>
                <w:szCs w:val="21"/>
              </w:rPr>
              <w:t>③</w:t>
            </w:r>
          </w:p>
        </w:tc>
        <w:tc>
          <w:tcPr>
            <w:tcW w:w="1291" w:type="dxa"/>
            <w:vAlign w:val="center"/>
          </w:tcPr>
          <w:p w:rsidR="005E6DF3" w:rsidRPr="00B27A29" w:rsidRDefault="005C671B">
            <w:pPr>
              <w:snapToGrid w:val="0"/>
              <w:spacing w:line="288" w:lineRule="auto"/>
              <w:jc w:val="center"/>
              <w:rPr>
                <w:rFonts w:eastAsiaTheme="minorEastAsia"/>
                <w:color w:val="000000" w:themeColor="text1"/>
                <w:szCs w:val="21"/>
              </w:rPr>
            </w:pPr>
            <w:r w:rsidRPr="00B27A29">
              <w:rPr>
                <w:rFonts w:ascii="宋体" w:hAnsi="宋体" w:cs="宋体" w:hint="eastAsia"/>
                <w:color w:val="000000" w:themeColor="text1"/>
                <w:szCs w:val="21"/>
              </w:rPr>
              <w:t>②</w:t>
            </w:r>
            <w:r w:rsidRPr="00B27A29">
              <w:rPr>
                <w:rFonts w:eastAsiaTheme="minorEastAsia"/>
                <w:color w:val="000000" w:themeColor="text1"/>
                <w:szCs w:val="21"/>
              </w:rPr>
              <w:t>－</w:t>
            </w:r>
            <w:r w:rsidRPr="00B27A29">
              <w:rPr>
                <w:rFonts w:ascii="宋体" w:hAnsi="宋体" w:cs="宋体" w:hint="eastAsia"/>
                <w:color w:val="000000" w:themeColor="text1"/>
                <w:szCs w:val="21"/>
              </w:rPr>
              <w:t>④</w:t>
            </w:r>
          </w:p>
        </w:tc>
      </w:tr>
      <w:tr w:rsidR="008D36E2">
        <w:tc>
          <w:tcPr>
            <w:tcW w:w="1290" w:type="dxa"/>
            <w:vAlign w:val="center"/>
          </w:tcPr>
          <w:p w:rsidR="008D36E2" w:rsidRDefault="0013308F">
            <w:pPr>
              <w:jc w:val="left"/>
            </w:pPr>
            <w:r>
              <w:rPr>
                <w:rFonts w:eastAsiaTheme="minorEastAsia"/>
                <w:color w:val="000000" w:themeColor="text1"/>
                <w:szCs w:val="21"/>
              </w:rPr>
              <w:t>过去三个月</w:t>
            </w:r>
          </w:p>
        </w:tc>
        <w:tc>
          <w:tcPr>
            <w:tcW w:w="1291" w:type="dxa"/>
            <w:vAlign w:val="center"/>
          </w:tcPr>
          <w:p w:rsidR="008D36E2" w:rsidRDefault="0013308F">
            <w:pPr>
              <w:jc w:val="right"/>
            </w:pPr>
            <w:r>
              <w:rPr>
                <w:rFonts w:eastAsiaTheme="minorEastAsia"/>
                <w:color w:val="000000" w:themeColor="text1"/>
                <w:szCs w:val="21"/>
              </w:rPr>
              <w:t>1.63%</w:t>
            </w:r>
          </w:p>
        </w:tc>
        <w:tc>
          <w:tcPr>
            <w:tcW w:w="1291" w:type="dxa"/>
            <w:vAlign w:val="center"/>
          </w:tcPr>
          <w:p w:rsidR="008D36E2" w:rsidRDefault="0013308F">
            <w:pPr>
              <w:jc w:val="right"/>
            </w:pPr>
            <w:r>
              <w:rPr>
                <w:rFonts w:eastAsiaTheme="minorEastAsia"/>
                <w:color w:val="000000" w:themeColor="text1"/>
                <w:szCs w:val="21"/>
              </w:rPr>
              <w:t>0.63%</w:t>
            </w:r>
          </w:p>
        </w:tc>
        <w:tc>
          <w:tcPr>
            <w:tcW w:w="1291" w:type="dxa"/>
            <w:vAlign w:val="center"/>
          </w:tcPr>
          <w:p w:rsidR="008D36E2" w:rsidRDefault="0013308F">
            <w:pPr>
              <w:jc w:val="right"/>
            </w:pPr>
            <w:r>
              <w:rPr>
                <w:rFonts w:eastAsiaTheme="minorEastAsia"/>
                <w:color w:val="000000" w:themeColor="text1"/>
                <w:szCs w:val="21"/>
              </w:rPr>
              <w:t>3.29%</w:t>
            </w:r>
          </w:p>
        </w:tc>
        <w:tc>
          <w:tcPr>
            <w:tcW w:w="1291" w:type="dxa"/>
            <w:vAlign w:val="center"/>
          </w:tcPr>
          <w:p w:rsidR="008D36E2" w:rsidRDefault="0013308F">
            <w:pPr>
              <w:jc w:val="right"/>
            </w:pPr>
            <w:r>
              <w:rPr>
                <w:rFonts w:eastAsiaTheme="minorEastAsia"/>
                <w:color w:val="000000" w:themeColor="text1"/>
                <w:szCs w:val="21"/>
              </w:rPr>
              <w:t>0.32%</w:t>
            </w:r>
          </w:p>
        </w:tc>
        <w:tc>
          <w:tcPr>
            <w:tcW w:w="1291" w:type="dxa"/>
            <w:vAlign w:val="center"/>
          </w:tcPr>
          <w:p w:rsidR="008D36E2" w:rsidRDefault="0013308F">
            <w:pPr>
              <w:jc w:val="right"/>
            </w:pPr>
            <w:r>
              <w:rPr>
                <w:rFonts w:eastAsiaTheme="minorEastAsia"/>
                <w:color w:val="000000" w:themeColor="text1"/>
                <w:szCs w:val="21"/>
              </w:rPr>
              <w:t>-1.66%</w:t>
            </w:r>
          </w:p>
        </w:tc>
        <w:tc>
          <w:tcPr>
            <w:tcW w:w="1291" w:type="dxa"/>
            <w:vAlign w:val="center"/>
          </w:tcPr>
          <w:p w:rsidR="008D36E2" w:rsidRDefault="0013308F">
            <w:pPr>
              <w:jc w:val="right"/>
            </w:pPr>
            <w:r>
              <w:rPr>
                <w:rFonts w:eastAsiaTheme="minorEastAsia"/>
                <w:color w:val="000000" w:themeColor="text1"/>
                <w:szCs w:val="21"/>
              </w:rPr>
              <w:t>0.31%</w:t>
            </w:r>
          </w:p>
        </w:tc>
      </w:tr>
      <w:tr w:rsidR="008D36E2">
        <w:tc>
          <w:tcPr>
            <w:tcW w:w="1290" w:type="dxa"/>
            <w:vAlign w:val="center"/>
          </w:tcPr>
          <w:p w:rsidR="008D36E2" w:rsidRDefault="0013308F">
            <w:pPr>
              <w:jc w:val="left"/>
            </w:pPr>
            <w:r>
              <w:rPr>
                <w:rFonts w:eastAsiaTheme="minorEastAsia"/>
                <w:color w:val="000000" w:themeColor="text1"/>
                <w:szCs w:val="21"/>
              </w:rPr>
              <w:t>过去六个月</w:t>
            </w:r>
          </w:p>
        </w:tc>
        <w:tc>
          <w:tcPr>
            <w:tcW w:w="1291" w:type="dxa"/>
            <w:vAlign w:val="center"/>
          </w:tcPr>
          <w:p w:rsidR="008D36E2" w:rsidRDefault="0013308F">
            <w:pPr>
              <w:jc w:val="right"/>
            </w:pPr>
            <w:r>
              <w:rPr>
                <w:rFonts w:eastAsiaTheme="minorEastAsia"/>
                <w:color w:val="000000" w:themeColor="text1"/>
                <w:szCs w:val="21"/>
              </w:rPr>
              <w:t>3.13%</w:t>
            </w:r>
          </w:p>
        </w:tc>
        <w:tc>
          <w:tcPr>
            <w:tcW w:w="1291" w:type="dxa"/>
            <w:vAlign w:val="center"/>
          </w:tcPr>
          <w:p w:rsidR="008D36E2" w:rsidRDefault="0013308F">
            <w:pPr>
              <w:jc w:val="right"/>
            </w:pPr>
            <w:r>
              <w:rPr>
                <w:rFonts w:eastAsiaTheme="minorEastAsia"/>
                <w:color w:val="000000" w:themeColor="text1"/>
                <w:szCs w:val="21"/>
              </w:rPr>
              <w:t>1.01%</w:t>
            </w:r>
          </w:p>
        </w:tc>
        <w:tc>
          <w:tcPr>
            <w:tcW w:w="1291" w:type="dxa"/>
            <w:vAlign w:val="center"/>
          </w:tcPr>
          <w:p w:rsidR="008D36E2" w:rsidRDefault="0013308F">
            <w:pPr>
              <w:jc w:val="right"/>
            </w:pPr>
            <w:r>
              <w:rPr>
                <w:rFonts w:eastAsiaTheme="minorEastAsia"/>
                <w:color w:val="000000" w:themeColor="text1"/>
                <w:szCs w:val="21"/>
              </w:rPr>
              <w:t>5.60%</w:t>
            </w:r>
          </w:p>
        </w:tc>
        <w:tc>
          <w:tcPr>
            <w:tcW w:w="1291" w:type="dxa"/>
            <w:vAlign w:val="center"/>
          </w:tcPr>
          <w:p w:rsidR="008D36E2" w:rsidRDefault="0013308F">
            <w:pPr>
              <w:jc w:val="right"/>
            </w:pPr>
            <w:r>
              <w:rPr>
                <w:rFonts w:eastAsiaTheme="minorEastAsia"/>
                <w:color w:val="000000" w:themeColor="text1"/>
                <w:szCs w:val="21"/>
              </w:rPr>
              <w:t>0.41%</w:t>
            </w:r>
          </w:p>
        </w:tc>
        <w:tc>
          <w:tcPr>
            <w:tcW w:w="1291" w:type="dxa"/>
            <w:vAlign w:val="center"/>
          </w:tcPr>
          <w:p w:rsidR="008D36E2" w:rsidRDefault="0013308F">
            <w:pPr>
              <w:jc w:val="right"/>
            </w:pPr>
            <w:r>
              <w:rPr>
                <w:rFonts w:eastAsiaTheme="minorEastAsia"/>
                <w:color w:val="000000" w:themeColor="text1"/>
                <w:szCs w:val="21"/>
              </w:rPr>
              <w:t>-2.47%</w:t>
            </w:r>
          </w:p>
        </w:tc>
        <w:tc>
          <w:tcPr>
            <w:tcW w:w="1291" w:type="dxa"/>
            <w:vAlign w:val="center"/>
          </w:tcPr>
          <w:p w:rsidR="008D36E2" w:rsidRDefault="0013308F">
            <w:pPr>
              <w:jc w:val="right"/>
            </w:pPr>
            <w:r>
              <w:rPr>
                <w:rFonts w:eastAsiaTheme="minorEastAsia"/>
                <w:color w:val="000000" w:themeColor="text1"/>
                <w:szCs w:val="21"/>
              </w:rPr>
              <w:t>0.60%</w:t>
            </w:r>
          </w:p>
        </w:tc>
      </w:tr>
      <w:tr w:rsidR="008D36E2">
        <w:tc>
          <w:tcPr>
            <w:tcW w:w="1290" w:type="dxa"/>
            <w:vAlign w:val="center"/>
          </w:tcPr>
          <w:p w:rsidR="008D36E2" w:rsidRDefault="0013308F">
            <w:pPr>
              <w:jc w:val="left"/>
            </w:pPr>
            <w:r>
              <w:rPr>
                <w:rFonts w:eastAsiaTheme="minorEastAsia"/>
                <w:color w:val="000000" w:themeColor="text1"/>
                <w:szCs w:val="21"/>
              </w:rPr>
              <w:t>过去一年</w:t>
            </w:r>
          </w:p>
        </w:tc>
        <w:tc>
          <w:tcPr>
            <w:tcW w:w="1291" w:type="dxa"/>
            <w:vAlign w:val="center"/>
          </w:tcPr>
          <w:p w:rsidR="008D36E2" w:rsidRDefault="0013308F">
            <w:pPr>
              <w:jc w:val="right"/>
            </w:pPr>
            <w:r>
              <w:rPr>
                <w:rFonts w:eastAsiaTheme="minorEastAsia"/>
                <w:color w:val="000000" w:themeColor="text1"/>
                <w:szCs w:val="21"/>
              </w:rPr>
              <w:t>17.78%</w:t>
            </w:r>
          </w:p>
        </w:tc>
        <w:tc>
          <w:tcPr>
            <w:tcW w:w="1291" w:type="dxa"/>
            <w:vAlign w:val="center"/>
          </w:tcPr>
          <w:p w:rsidR="008D36E2" w:rsidRDefault="0013308F">
            <w:pPr>
              <w:jc w:val="right"/>
            </w:pPr>
            <w:r>
              <w:rPr>
                <w:rFonts w:eastAsiaTheme="minorEastAsia"/>
                <w:color w:val="000000" w:themeColor="text1"/>
                <w:szCs w:val="21"/>
              </w:rPr>
              <w:t>0.97%</w:t>
            </w:r>
          </w:p>
        </w:tc>
        <w:tc>
          <w:tcPr>
            <w:tcW w:w="1291" w:type="dxa"/>
            <w:vAlign w:val="center"/>
          </w:tcPr>
          <w:p w:rsidR="008D36E2" w:rsidRDefault="0013308F">
            <w:pPr>
              <w:jc w:val="right"/>
            </w:pPr>
            <w:r>
              <w:rPr>
                <w:rFonts w:eastAsiaTheme="minorEastAsia"/>
                <w:color w:val="000000" w:themeColor="text1"/>
                <w:szCs w:val="21"/>
              </w:rPr>
              <w:t>11.29%</w:t>
            </w:r>
          </w:p>
        </w:tc>
        <w:tc>
          <w:tcPr>
            <w:tcW w:w="1291" w:type="dxa"/>
            <w:vAlign w:val="center"/>
          </w:tcPr>
          <w:p w:rsidR="008D36E2" w:rsidRDefault="0013308F">
            <w:pPr>
              <w:jc w:val="right"/>
            </w:pPr>
            <w:r>
              <w:rPr>
                <w:rFonts w:eastAsiaTheme="minorEastAsia"/>
                <w:color w:val="000000" w:themeColor="text1"/>
                <w:szCs w:val="21"/>
              </w:rPr>
              <w:t>0.48%</w:t>
            </w:r>
          </w:p>
        </w:tc>
        <w:tc>
          <w:tcPr>
            <w:tcW w:w="1291" w:type="dxa"/>
            <w:vAlign w:val="center"/>
          </w:tcPr>
          <w:p w:rsidR="008D36E2" w:rsidRDefault="0013308F">
            <w:pPr>
              <w:jc w:val="right"/>
            </w:pPr>
            <w:r>
              <w:rPr>
                <w:rFonts w:eastAsiaTheme="minorEastAsia"/>
                <w:color w:val="000000" w:themeColor="text1"/>
                <w:szCs w:val="21"/>
              </w:rPr>
              <w:t>6.49%</w:t>
            </w:r>
          </w:p>
        </w:tc>
        <w:tc>
          <w:tcPr>
            <w:tcW w:w="1291" w:type="dxa"/>
            <w:vAlign w:val="center"/>
          </w:tcPr>
          <w:p w:rsidR="008D36E2" w:rsidRDefault="0013308F">
            <w:pPr>
              <w:jc w:val="right"/>
            </w:pPr>
            <w:r>
              <w:rPr>
                <w:rFonts w:eastAsiaTheme="minorEastAsia"/>
                <w:color w:val="000000" w:themeColor="text1"/>
                <w:szCs w:val="21"/>
              </w:rPr>
              <w:t>0.49%</w:t>
            </w:r>
          </w:p>
        </w:tc>
      </w:tr>
      <w:tr w:rsidR="008D36E2">
        <w:tc>
          <w:tcPr>
            <w:tcW w:w="1290" w:type="dxa"/>
            <w:vAlign w:val="center"/>
          </w:tcPr>
          <w:p w:rsidR="008D36E2" w:rsidRDefault="0013308F">
            <w:pPr>
              <w:jc w:val="left"/>
            </w:pPr>
            <w:r>
              <w:rPr>
                <w:rFonts w:eastAsiaTheme="minorEastAsia"/>
                <w:color w:val="000000" w:themeColor="text1"/>
                <w:szCs w:val="21"/>
              </w:rPr>
              <w:t>过去三年</w:t>
            </w:r>
          </w:p>
        </w:tc>
        <w:tc>
          <w:tcPr>
            <w:tcW w:w="1291" w:type="dxa"/>
            <w:vAlign w:val="center"/>
          </w:tcPr>
          <w:p w:rsidR="008D36E2" w:rsidRDefault="0013308F">
            <w:pPr>
              <w:jc w:val="right"/>
            </w:pPr>
            <w:r>
              <w:rPr>
                <w:rFonts w:eastAsiaTheme="minorEastAsia"/>
                <w:color w:val="000000" w:themeColor="text1"/>
                <w:szCs w:val="21"/>
              </w:rPr>
              <w:t>17.94%</w:t>
            </w:r>
          </w:p>
        </w:tc>
        <w:tc>
          <w:tcPr>
            <w:tcW w:w="1291" w:type="dxa"/>
            <w:vAlign w:val="center"/>
          </w:tcPr>
          <w:p w:rsidR="008D36E2" w:rsidRDefault="0013308F">
            <w:pPr>
              <w:jc w:val="right"/>
            </w:pPr>
            <w:r>
              <w:rPr>
                <w:rFonts w:eastAsiaTheme="minorEastAsia"/>
                <w:color w:val="000000" w:themeColor="text1"/>
                <w:szCs w:val="21"/>
              </w:rPr>
              <w:t>0.97%</w:t>
            </w:r>
          </w:p>
        </w:tc>
        <w:tc>
          <w:tcPr>
            <w:tcW w:w="1291" w:type="dxa"/>
            <w:vAlign w:val="center"/>
          </w:tcPr>
          <w:p w:rsidR="008D36E2" w:rsidRDefault="0013308F">
            <w:pPr>
              <w:jc w:val="right"/>
            </w:pPr>
            <w:r>
              <w:rPr>
                <w:rFonts w:eastAsiaTheme="minorEastAsia"/>
                <w:color w:val="000000" w:themeColor="text1"/>
                <w:szCs w:val="21"/>
              </w:rPr>
              <w:t>12.75%</w:t>
            </w:r>
          </w:p>
        </w:tc>
        <w:tc>
          <w:tcPr>
            <w:tcW w:w="1291" w:type="dxa"/>
            <w:vAlign w:val="center"/>
          </w:tcPr>
          <w:p w:rsidR="008D36E2" w:rsidRDefault="0013308F">
            <w:pPr>
              <w:jc w:val="right"/>
            </w:pPr>
            <w:r>
              <w:rPr>
                <w:rFonts w:eastAsiaTheme="minorEastAsia"/>
                <w:color w:val="000000" w:themeColor="text1"/>
                <w:szCs w:val="21"/>
              </w:rPr>
              <w:t>0.52%</w:t>
            </w:r>
          </w:p>
        </w:tc>
        <w:tc>
          <w:tcPr>
            <w:tcW w:w="1291" w:type="dxa"/>
            <w:vAlign w:val="center"/>
          </w:tcPr>
          <w:p w:rsidR="008D36E2" w:rsidRDefault="0013308F">
            <w:pPr>
              <w:jc w:val="right"/>
            </w:pPr>
            <w:r>
              <w:rPr>
                <w:rFonts w:eastAsiaTheme="minorEastAsia"/>
                <w:color w:val="000000" w:themeColor="text1"/>
                <w:szCs w:val="21"/>
              </w:rPr>
              <w:t>5.19%</w:t>
            </w:r>
          </w:p>
        </w:tc>
        <w:tc>
          <w:tcPr>
            <w:tcW w:w="1291" w:type="dxa"/>
            <w:vAlign w:val="center"/>
          </w:tcPr>
          <w:p w:rsidR="008D36E2" w:rsidRDefault="0013308F">
            <w:pPr>
              <w:jc w:val="right"/>
            </w:pPr>
            <w:r>
              <w:rPr>
                <w:rFonts w:eastAsiaTheme="minorEastAsia"/>
                <w:color w:val="000000" w:themeColor="text1"/>
                <w:szCs w:val="21"/>
              </w:rPr>
              <w:t>0.45%</w:t>
            </w:r>
          </w:p>
        </w:tc>
      </w:tr>
      <w:tr w:rsidR="008D36E2">
        <w:tc>
          <w:tcPr>
            <w:tcW w:w="1290" w:type="dxa"/>
            <w:vAlign w:val="center"/>
          </w:tcPr>
          <w:p w:rsidR="008D36E2" w:rsidRDefault="0013308F">
            <w:pPr>
              <w:jc w:val="left"/>
            </w:pPr>
            <w:r>
              <w:rPr>
                <w:rFonts w:eastAsiaTheme="minorEastAsia"/>
                <w:color w:val="000000" w:themeColor="text1"/>
                <w:szCs w:val="21"/>
              </w:rPr>
              <w:t>过去五年</w:t>
            </w:r>
          </w:p>
        </w:tc>
        <w:tc>
          <w:tcPr>
            <w:tcW w:w="1291" w:type="dxa"/>
            <w:vAlign w:val="center"/>
          </w:tcPr>
          <w:p w:rsidR="008D36E2" w:rsidRDefault="0013308F">
            <w:pPr>
              <w:jc w:val="right"/>
            </w:pPr>
            <w:r>
              <w:rPr>
                <w:rFonts w:eastAsiaTheme="minorEastAsia"/>
                <w:color w:val="000000" w:themeColor="text1"/>
                <w:szCs w:val="21"/>
              </w:rPr>
              <w:t>9.02%</w:t>
            </w:r>
          </w:p>
        </w:tc>
        <w:tc>
          <w:tcPr>
            <w:tcW w:w="1291" w:type="dxa"/>
            <w:vAlign w:val="center"/>
          </w:tcPr>
          <w:p w:rsidR="008D36E2" w:rsidRDefault="0013308F">
            <w:pPr>
              <w:jc w:val="right"/>
            </w:pPr>
            <w:r>
              <w:rPr>
                <w:rFonts w:eastAsiaTheme="minorEastAsia"/>
                <w:color w:val="000000" w:themeColor="text1"/>
                <w:szCs w:val="21"/>
              </w:rPr>
              <w:t>0.91%</w:t>
            </w:r>
          </w:p>
        </w:tc>
        <w:tc>
          <w:tcPr>
            <w:tcW w:w="1291" w:type="dxa"/>
            <w:vAlign w:val="center"/>
          </w:tcPr>
          <w:p w:rsidR="008D36E2" w:rsidRDefault="0013308F">
            <w:pPr>
              <w:jc w:val="right"/>
            </w:pPr>
            <w:r>
              <w:rPr>
                <w:rFonts w:eastAsiaTheme="minorEastAsia"/>
                <w:color w:val="000000" w:themeColor="text1"/>
                <w:szCs w:val="21"/>
              </w:rPr>
              <w:t>18.41%</w:t>
            </w:r>
          </w:p>
        </w:tc>
        <w:tc>
          <w:tcPr>
            <w:tcW w:w="1291" w:type="dxa"/>
            <w:vAlign w:val="center"/>
          </w:tcPr>
          <w:p w:rsidR="008D36E2" w:rsidRDefault="0013308F">
            <w:pPr>
              <w:jc w:val="right"/>
            </w:pPr>
            <w:r>
              <w:rPr>
                <w:rFonts w:eastAsiaTheme="minorEastAsia"/>
                <w:color w:val="000000" w:themeColor="text1"/>
                <w:szCs w:val="21"/>
              </w:rPr>
              <w:t>0.46%</w:t>
            </w:r>
          </w:p>
        </w:tc>
        <w:tc>
          <w:tcPr>
            <w:tcW w:w="1291" w:type="dxa"/>
            <w:vAlign w:val="center"/>
          </w:tcPr>
          <w:p w:rsidR="008D36E2" w:rsidRDefault="0013308F">
            <w:pPr>
              <w:jc w:val="right"/>
            </w:pPr>
            <w:r>
              <w:rPr>
                <w:rFonts w:eastAsiaTheme="minorEastAsia"/>
                <w:color w:val="000000" w:themeColor="text1"/>
                <w:szCs w:val="21"/>
              </w:rPr>
              <w:t>-9.39%</w:t>
            </w:r>
          </w:p>
        </w:tc>
        <w:tc>
          <w:tcPr>
            <w:tcW w:w="1291" w:type="dxa"/>
            <w:vAlign w:val="center"/>
          </w:tcPr>
          <w:p w:rsidR="008D36E2" w:rsidRDefault="0013308F">
            <w:pPr>
              <w:jc w:val="right"/>
            </w:pPr>
            <w:r>
              <w:rPr>
                <w:rFonts w:eastAsiaTheme="minorEastAsia"/>
                <w:color w:val="000000" w:themeColor="text1"/>
                <w:szCs w:val="21"/>
              </w:rPr>
              <w:t>0.45%</w:t>
            </w:r>
          </w:p>
        </w:tc>
      </w:tr>
      <w:tr w:rsidR="008D36E2">
        <w:tc>
          <w:tcPr>
            <w:tcW w:w="1290" w:type="dxa"/>
            <w:vAlign w:val="center"/>
          </w:tcPr>
          <w:p w:rsidR="008D36E2" w:rsidRDefault="0013308F">
            <w:pPr>
              <w:jc w:val="left"/>
            </w:pPr>
            <w:r>
              <w:rPr>
                <w:rFonts w:eastAsiaTheme="minorEastAsia"/>
                <w:color w:val="000000" w:themeColor="text1"/>
                <w:szCs w:val="21"/>
              </w:rPr>
              <w:t>自基金合同生效起至今</w:t>
            </w:r>
          </w:p>
        </w:tc>
        <w:tc>
          <w:tcPr>
            <w:tcW w:w="1291" w:type="dxa"/>
            <w:vAlign w:val="center"/>
          </w:tcPr>
          <w:p w:rsidR="008D36E2" w:rsidRDefault="0013308F">
            <w:pPr>
              <w:jc w:val="right"/>
            </w:pPr>
            <w:r>
              <w:rPr>
                <w:rFonts w:eastAsiaTheme="minorEastAsia"/>
                <w:color w:val="000000" w:themeColor="text1"/>
                <w:szCs w:val="21"/>
              </w:rPr>
              <w:t>324.70%</w:t>
            </w:r>
          </w:p>
        </w:tc>
        <w:tc>
          <w:tcPr>
            <w:tcW w:w="1291" w:type="dxa"/>
            <w:vAlign w:val="center"/>
          </w:tcPr>
          <w:p w:rsidR="008D36E2" w:rsidRDefault="00A0533F" w:rsidP="006B792C">
            <w:pPr>
              <w:jc w:val="right"/>
            </w:pPr>
            <w:r>
              <w:rPr>
                <w:rFonts w:eastAsiaTheme="minorEastAsia"/>
                <w:color w:val="000000" w:themeColor="text1"/>
                <w:szCs w:val="21"/>
              </w:rPr>
              <w:t>1.</w:t>
            </w:r>
            <w:r w:rsidR="006B792C">
              <w:rPr>
                <w:rFonts w:eastAsiaTheme="minorEastAsia"/>
                <w:color w:val="000000" w:themeColor="text1"/>
                <w:szCs w:val="21"/>
              </w:rPr>
              <w:t>29</w:t>
            </w:r>
            <w:r w:rsidR="0013308F">
              <w:rPr>
                <w:rFonts w:eastAsiaTheme="minorEastAsia"/>
                <w:color w:val="000000" w:themeColor="text1"/>
                <w:szCs w:val="21"/>
              </w:rPr>
              <w:t>%</w:t>
            </w:r>
          </w:p>
        </w:tc>
        <w:tc>
          <w:tcPr>
            <w:tcW w:w="1291" w:type="dxa"/>
            <w:vAlign w:val="center"/>
          </w:tcPr>
          <w:p w:rsidR="008D36E2" w:rsidRDefault="0013308F">
            <w:pPr>
              <w:jc w:val="right"/>
            </w:pPr>
            <w:r>
              <w:rPr>
                <w:rFonts w:eastAsiaTheme="minorEastAsia"/>
                <w:color w:val="000000" w:themeColor="text1"/>
                <w:szCs w:val="21"/>
              </w:rPr>
              <w:t>194.99%</w:t>
            </w:r>
          </w:p>
        </w:tc>
        <w:tc>
          <w:tcPr>
            <w:tcW w:w="1291" w:type="dxa"/>
            <w:vAlign w:val="center"/>
          </w:tcPr>
          <w:p w:rsidR="008D36E2" w:rsidRDefault="0013308F">
            <w:pPr>
              <w:jc w:val="right"/>
            </w:pPr>
            <w:r>
              <w:rPr>
                <w:rFonts w:eastAsiaTheme="minorEastAsia"/>
                <w:color w:val="000000" w:themeColor="text1"/>
                <w:szCs w:val="21"/>
              </w:rPr>
              <w:t>0.79%</w:t>
            </w:r>
          </w:p>
        </w:tc>
        <w:tc>
          <w:tcPr>
            <w:tcW w:w="1291" w:type="dxa"/>
            <w:vAlign w:val="center"/>
          </w:tcPr>
          <w:p w:rsidR="008D36E2" w:rsidRDefault="0013308F">
            <w:pPr>
              <w:jc w:val="right"/>
            </w:pPr>
            <w:r>
              <w:rPr>
                <w:rFonts w:eastAsiaTheme="minorEastAsia"/>
                <w:color w:val="000000" w:themeColor="text1"/>
                <w:szCs w:val="21"/>
              </w:rPr>
              <w:t>129.71%</w:t>
            </w:r>
          </w:p>
        </w:tc>
        <w:tc>
          <w:tcPr>
            <w:tcW w:w="1291" w:type="dxa"/>
            <w:vAlign w:val="center"/>
          </w:tcPr>
          <w:p w:rsidR="008D36E2" w:rsidRDefault="0013308F">
            <w:pPr>
              <w:jc w:val="right"/>
            </w:pPr>
            <w:r>
              <w:rPr>
                <w:rFonts w:eastAsiaTheme="minorEastAsia"/>
                <w:color w:val="000000" w:themeColor="text1"/>
                <w:szCs w:val="21"/>
              </w:rPr>
              <w:t>0.5</w:t>
            </w:r>
            <w:r w:rsidR="00F3555F">
              <w:rPr>
                <w:rFonts w:eastAsiaTheme="minorEastAsia"/>
                <w:color w:val="000000" w:themeColor="text1"/>
                <w:szCs w:val="21"/>
              </w:rPr>
              <w:t>0</w:t>
            </w:r>
            <w:r>
              <w:rPr>
                <w:rFonts w:eastAsiaTheme="minorEastAsia"/>
                <w:color w:val="000000" w:themeColor="text1"/>
                <w:szCs w:val="21"/>
              </w:rPr>
              <w:t>%</w:t>
            </w:r>
          </w:p>
        </w:tc>
      </w:tr>
    </w:tbl>
    <w:p w:rsidR="005E6DF3" w:rsidRPr="00B27A29" w:rsidRDefault="005C671B">
      <w:pPr>
        <w:adjustRightInd w:val="0"/>
        <w:spacing w:beforeLines="100" w:before="312" w:line="360" w:lineRule="auto"/>
        <w:rPr>
          <w:rFonts w:eastAsiaTheme="minorEastAsia"/>
          <w:b/>
          <w:color w:val="000000" w:themeColor="text1"/>
          <w:kern w:val="0"/>
          <w:szCs w:val="21"/>
        </w:rPr>
      </w:pPr>
      <w:r w:rsidRPr="00B27A29">
        <w:rPr>
          <w:rFonts w:eastAsiaTheme="minorEastAsia"/>
          <w:b/>
          <w:color w:val="000000" w:themeColor="text1"/>
          <w:szCs w:val="21"/>
        </w:rPr>
        <w:t>2</w:t>
      </w:r>
      <w:r w:rsidRPr="00B27A29">
        <w:rPr>
          <w:rFonts w:eastAsiaTheme="minorEastAsia"/>
          <w:b/>
          <w:color w:val="000000" w:themeColor="text1"/>
          <w:szCs w:val="21"/>
        </w:rPr>
        <w:t>、</w:t>
      </w:r>
      <w:r w:rsidRPr="00B27A29">
        <w:rPr>
          <w:rFonts w:eastAsiaTheme="minorEastAsia"/>
          <w:b/>
          <w:color w:val="000000" w:themeColor="text1"/>
          <w:kern w:val="0"/>
          <w:szCs w:val="21"/>
        </w:rPr>
        <w:t>上投摩根双息平衡混合</w:t>
      </w:r>
      <w:r w:rsidRPr="00B27A29">
        <w:rPr>
          <w:rFonts w:eastAsiaTheme="minorEastAsia"/>
          <w:b/>
          <w:color w:val="000000" w:themeColor="text1"/>
          <w:kern w:val="0"/>
          <w:szCs w:val="21"/>
        </w:rPr>
        <w:t>H</w:t>
      </w:r>
      <w:r w:rsidRPr="00B27A29">
        <w:rPr>
          <w:rFonts w:eastAsiaTheme="minorEastAsia"/>
          <w:b/>
          <w:color w:val="000000" w:themeColor="text1"/>
          <w:kern w:val="0"/>
          <w:szCs w:val="21"/>
        </w:rPr>
        <w:t>：</w:t>
      </w:r>
    </w:p>
    <w:tbl>
      <w:tblPr>
        <w:tblStyle w:val="afa"/>
        <w:tblW w:w="9036" w:type="dxa"/>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5E6DF3" w:rsidRPr="00B27A29">
        <w:tc>
          <w:tcPr>
            <w:tcW w:w="1290" w:type="dxa"/>
            <w:vAlign w:val="center"/>
          </w:tcPr>
          <w:p w:rsidR="005E6DF3" w:rsidRPr="00B27A29" w:rsidRDefault="005C671B">
            <w:pPr>
              <w:snapToGrid w:val="0"/>
              <w:spacing w:line="288" w:lineRule="auto"/>
              <w:jc w:val="center"/>
              <w:rPr>
                <w:rFonts w:eastAsiaTheme="minorEastAsia"/>
                <w:color w:val="000000" w:themeColor="text1"/>
                <w:szCs w:val="21"/>
              </w:rPr>
            </w:pPr>
            <w:r w:rsidRPr="00B27A29">
              <w:rPr>
                <w:rFonts w:eastAsiaTheme="minorEastAsia"/>
                <w:color w:val="000000" w:themeColor="text1"/>
                <w:szCs w:val="21"/>
              </w:rPr>
              <w:t>阶段</w:t>
            </w:r>
          </w:p>
        </w:tc>
        <w:tc>
          <w:tcPr>
            <w:tcW w:w="1291" w:type="dxa"/>
            <w:vAlign w:val="center"/>
          </w:tcPr>
          <w:p w:rsidR="005E6DF3" w:rsidRPr="00B27A29" w:rsidRDefault="005C671B">
            <w:pPr>
              <w:snapToGrid w:val="0"/>
              <w:spacing w:line="288" w:lineRule="auto"/>
              <w:jc w:val="center"/>
              <w:rPr>
                <w:rFonts w:eastAsiaTheme="minorEastAsia"/>
                <w:color w:val="000000" w:themeColor="text1"/>
                <w:szCs w:val="21"/>
                <w:highlight w:val="green"/>
              </w:rPr>
            </w:pPr>
            <w:r w:rsidRPr="00B27A29">
              <w:rPr>
                <w:rFonts w:eastAsiaTheme="minorEastAsia"/>
                <w:color w:val="000000" w:themeColor="text1"/>
                <w:szCs w:val="21"/>
              </w:rPr>
              <w:t>净值增长率</w:t>
            </w:r>
            <w:r w:rsidRPr="00B27A29">
              <w:rPr>
                <w:rFonts w:ascii="宋体" w:hAnsi="宋体" w:cs="宋体" w:hint="eastAsia"/>
                <w:color w:val="000000" w:themeColor="text1"/>
                <w:szCs w:val="21"/>
              </w:rPr>
              <w:t>①</w:t>
            </w:r>
          </w:p>
        </w:tc>
        <w:tc>
          <w:tcPr>
            <w:tcW w:w="1291" w:type="dxa"/>
            <w:vAlign w:val="center"/>
          </w:tcPr>
          <w:p w:rsidR="005E6DF3" w:rsidRPr="00B27A29" w:rsidRDefault="005C671B">
            <w:pPr>
              <w:snapToGrid w:val="0"/>
              <w:spacing w:line="288" w:lineRule="auto"/>
              <w:jc w:val="center"/>
              <w:rPr>
                <w:rFonts w:eastAsiaTheme="minorEastAsia"/>
                <w:color w:val="000000" w:themeColor="text1"/>
                <w:szCs w:val="21"/>
                <w:highlight w:val="green"/>
              </w:rPr>
            </w:pPr>
            <w:r w:rsidRPr="00B27A29">
              <w:rPr>
                <w:rFonts w:eastAsiaTheme="minorEastAsia"/>
                <w:color w:val="000000" w:themeColor="text1"/>
                <w:szCs w:val="21"/>
              </w:rPr>
              <w:t>净值增长率标准差</w:t>
            </w:r>
            <w:r w:rsidRPr="00B27A29">
              <w:rPr>
                <w:rFonts w:ascii="宋体" w:hAnsi="宋体" w:cs="宋体" w:hint="eastAsia"/>
                <w:color w:val="000000" w:themeColor="text1"/>
                <w:szCs w:val="21"/>
              </w:rPr>
              <w:t>②</w:t>
            </w:r>
          </w:p>
        </w:tc>
        <w:tc>
          <w:tcPr>
            <w:tcW w:w="1291" w:type="dxa"/>
            <w:vAlign w:val="center"/>
          </w:tcPr>
          <w:p w:rsidR="005E6DF3" w:rsidRPr="00B27A29" w:rsidRDefault="005C671B">
            <w:pPr>
              <w:snapToGrid w:val="0"/>
              <w:spacing w:line="288" w:lineRule="auto"/>
              <w:jc w:val="center"/>
              <w:rPr>
                <w:rFonts w:eastAsiaTheme="minorEastAsia"/>
                <w:color w:val="000000" w:themeColor="text1"/>
                <w:szCs w:val="21"/>
              </w:rPr>
            </w:pPr>
            <w:r w:rsidRPr="00B27A29">
              <w:rPr>
                <w:rFonts w:eastAsiaTheme="minorEastAsia"/>
                <w:color w:val="000000" w:themeColor="text1"/>
                <w:szCs w:val="21"/>
              </w:rPr>
              <w:t>业绩比较基准收益率</w:t>
            </w:r>
            <w:r w:rsidRPr="00B27A29">
              <w:rPr>
                <w:rFonts w:ascii="宋体" w:hAnsi="宋体" w:cs="宋体" w:hint="eastAsia"/>
                <w:color w:val="000000" w:themeColor="text1"/>
                <w:szCs w:val="21"/>
              </w:rPr>
              <w:t>③</w:t>
            </w:r>
          </w:p>
        </w:tc>
        <w:tc>
          <w:tcPr>
            <w:tcW w:w="1291" w:type="dxa"/>
            <w:vAlign w:val="center"/>
          </w:tcPr>
          <w:p w:rsidR="005E6DF3" w:rsidRPr="00B27A29" w:rsidRDefault="005C671B">
            <w:pPr>
              <w:snapToGrid w:val="0"/>
              <w:spacing w:line="288" w:lineRule="auto"/>
              <w:jc w:val="center"/>
              <w:rPr>
                <w:rFonts w:eastAsiaTheme="minorEastAsia"/>
                <w:color w:val="000000" w:themeColor="text1"/>
                <w:szCs w:val="21"/>
              </w:rPr>
            </w:pPr>
            <w:r w:rsidRPr="00B27A29">
              <w:rPr>
                <w:rFonts w:eastAsiaTheme="minorEastAsia"/>
                <w:color w:val="000000" w:themeColor="text1"/>
                <w:szCs w:val="21"/>
              </w:rPr>
              <w:t>业绩比较基准收益率标准差</w:t>
            </w:r>
            <w:r w:rsidRPr="00B27A29">
              <w:rPr>
                <w:rFonts w:ascii="宋体" w:hAnsi="宋体" w:cs="宋体" w:hint="eastAsia"/>
                <w:color w:val="000000" w:themeColor="text1"/>
                <w:szCs w:val="21"/>
              </w:rPr>
              <w:t>④</w:t>
            </w:r>
          </w:p>
        </w:tc>
        <w:tc>
          <w:tcPr>
            <w:tcW w:w="1291" w:type="dxa"/>
            <w:vAlign w:val="center"/>
          </w:tcPr>
          <w:p w:rsidR="005E6DF3" w:rsidRPr="00B27A29" w:rsidRDefault="005C671B">
            <w:pPr>
              <w:snapToGrid w:val="0"/>
              <w:spacing w:line="288" w:lineRule="auto"/>
              <w:jc w:val="center"/>
              <w:rPr>
                <w:rFonts w:eastAsiaTheme="minorEastAsia"/>
                <w:color w:val="000000" w:themeColor="text1"/>
                <w:szCs w:val="21"/>
              </w:rPr>
            </w:pPr>
            <w:r w:rsidRPr="00B27A29">
              <w:rPr>
                <w:rFonts w:ascii="宋体" w:hAnsi="宋体" w:cs="宋体" w:hint="eastAsia"/>
                <w:color w:val="000000" w:themeColor="text1"/>
                <w:szCs w:val="21"/>
              </w:rPr>
              <w:t>①</w:t>
            </w:r>
            <w:r w:rsidRPr="00B27A29">
              <w:rPr>
                <w:rFonts w:eastAsiaTheme="minorEastAsia"/>
                <w:color w:val="000000" w:themeColor="text1"/>
                <w:szCs w:val="21"/>
              </w:rPr>
              <w:t>－</w:t>
            </w:r>
            <w:r w:rsidRPr="00B27A29">
              <w:rPr>
                <w:rFonts w:ascii="宋体" w:hAnsi="宋体" w:cs="宋体" w:hint="eastAsia"/>
                <w:color w:val="000000" w:themeColor="text1"/>
                <w:szCs w:val="21"/>
              </w:rPr>
              <w:t>③</w:t>
            </w:r>
          </w:p>
        </w:tc>
        <w:tc>
          <w:tcPr>
            <w:tcW w:w="1291" w:type="dxa"/>
            <w:vAlign w:val="center"/>
          </w:tcPr>
          <w:p w:rsidR="005E6DF3" w:rsidRPr="00B27A29" w:rsidRDefault="005C671B">
            <w:pPr>
              <w:snapToGrid w:val="0"/>
              <w:spacing w:line="288" w:lineRule="auto"/>
              <w:jc w:val="center"/>
              <w:rPr>
                <w:rFonts w:eastAsiaTheme="minorEastAsia"/>
                <w:color w:val="000000" w:themeColor="text1"/>
                <w:szCs w:val="21"/>
              </w:rPr>
            </w:pPr>
            <w:r w:rsidRPr="00B27A29">
              <w:rPr>
                <w:rFonts w:ascii="宋体" w:hAnsi="宋体" w:cs="宋体" w:hint="eastAsia"/>
                <w:color w:val="000000" w:themeColor="text1"/>
                <w:szCs w:val="21"/>
              </w:rPr>
              <w:t>②</w:t>
            </w:r>
            <w:r w:rsidRPr="00B27A29">
              <w:rPr>
                <w:rFonts w:eastAsiaTheme="minorEastAsia"/>
                <w:color w:val="000000" w:themeColor="text1"/>
                <w:szCs w:val="21"/>
              </w:rPr>
              <w:t>－</w:t>
            </w:r>
            <w:r w:rsidRPr="00B27A29">
              <w:rPr>
                <w:rFonts w:ascii="宋体" w:hAnsi="宋体" w:cs="宋体" w:hint="eastAsia"/>
                <w:color w:val="000000" w:themeColor="text1"/>
                <w:szCs w:val="21"/>
              </w:rPr>
              <w:t>④</w:t>
            </w:r>
          </w:p>
        </w:tc>
      </w:tr>
      <w:tr w:rsidR="008D36E2">
        <w:tc>
          <w:tcPr>
            <w:tcW w:w="1290" w:type="dxa"/>
            <w:vAlign w:val="center"/>
          </w:tcPr>
          <w:p w:rsidR="008D36E2" w:rsidRDefault="0013308F">
            <w:pPr>
              <w:jc w:val="left"/>
            </w:pPr>
            <w:r>
              <w:rPr>
                <w:rFonts w:eastAsiaTheme="minorEastAsia"/>
                <w:color w:val="000000" w:themeColor="text1"/>
                <w:szCs w:val="21"/>
              </w:rPr>
              <w:t>过去三个月</w:t>
            </w:r>
          </w:p>
        </w:tc>
        <w:tc>
          <w:tcPr>
            <w:tcW w:w="1291" w:type="dxa"/>
            <w:vAlign w:val="center"/>
          </w:tcPr>
          <w:p w:rsidR="008D36E2" w:rsidRDefault="0013308F">
            <w:pPr>
              <w:jc w:val="right"/>
            </w:pPr>
            <w:r>
              <w:rPr>
                <w:rFonts w:eastAsiaTheme="minorEastAsia"/>
                <w:color w:val="000000" w:themeColor="text1"/>
                <w:szCs w:val="21"/>
              </w:rPr>
              <w:t>1.55%</w:t>
            </w:r>
          </w:p>
        </w:tc>
        <w:tc>
          <w:tcPr>
            <w:tcW w:w="1291" w:type="dxa"/>
            <w:vAlign w:val="center"/>
          </w:tcPr>
          <w:p w:rsidR="008D36E2" w:rsidRDefault="0013308F">
            <w:pPr>
              <w:jc w:val="right"/>
            </w:pPr>
            <w:r>
              <w:rPr>
                <w:rFonts w:eastAsiaTheme="minorEastAsia"/>
                <w:color w:val="000000" w:themeColor="text1"/>
                <w:szCs w:val="21"/>
              </w:rPr>
              <w:t>0.63%</w:t>
            </w:r>
          </w:p>
        </w:tc>
        <w:tc>
          <w:tcPr>
            <w:tcW w:w="1291" w:type="dxa"/>
            <w:vAlign w:val="center"/>
          </w:tcPr>
          <w:p w:rsidR="008D36E2" w:rsidRDefault="0013308F">
            <w:pPr>
              <w:jc w:val="right"/>
            </w:pPr>
            <w:r>
              <w:rPr>
                <w:rFonts w:eastAsiaTheme="minorEastAsia"/>
                <w:color w:val="000000" w:themeColor="text1"/>
                <w:szCs w:val="21"/>
              </w:rPr>
              <w:t>3.29%</w:t>
            </w:r>
          </w:p>
        </w:tc>
        <w:tc>
          <w:tcPr>
            <w:tcW w:w="1291" w:type="dxa"/>
            <w:vAlign w:val="center"/>
          </w:tcPr>
          <w:p w:rsidR="008D36E2" w:rsidRDefault="0013308F">
            <w:pPr>
              <w:jc w:val="right"/>
            </w:pPr>
            <w:r>
              <w:rPr>
                <w:rFonts w:eastAsiaTheme="minorEastAsia"/>
                <w:color w:val="000000" w:themeColor="text1"/>
                <w:szCs w:val="21"/>
              </w:rPr>
              <w:t>0.32%</w:t>
            </w:r>
          </w:p>
        </w:tc>
        <w:tc>
          <w:tcPr>
            <w:tcW w:w="1291" w:type="dxa"/>
            <w:vAlign w:val="center"/>
          </w:tcPr>
          <w:p w:rsidR="008D36E2" w:rsidRDefault="0013308F">
            <w:pPr>
              <w:jc w:val="right"/>
            </w:pPr>
            <w:r>
              <w:rPr>
                <w:rFonts w:eastAsiaTheme="minorEastAsia"/>
                <w:color w:val="000000" w:themeColor="text1"/>
                <w:szCs w:val="21"/>
              </w:rPr>
              <w:t>-1.74%</w:t>
            </w:r>
          </w:p>
        </w:tc>
        <w:tc>
          <w:tcPr>
            <w:tcW w:w="1291" w:type="dxa"/>
            <w:vAlign w:val="center"/>
          </w:tcPr>
          <w:p w:rsidR="008D36E2" w:rsidRDefault="0013308F">
            <w:pPr>
              <w:jc w:val="right"/>
            </w:pPr>
            <w:r>
              <w:rPr>
                <w:rFonts w:eastAsiaTheme="minorEastAsia"/>
                <w:color w:val="000000" w:themeColor="text1"/>
                <w:szCs w:val="21"/>
              </w:rPr>
              <w:t>0.31%</w:t>
            </w:r>
          </w:p>
        </w:tc>
      </w:tr>
      <w:tr w:rsidR="008D36E2">
        <w:tc>
          <w:tcPr>
            <w:tcW w:w="1290" w:type="dxa"/>
            <w:vAlign w:val="center"/>
          </w:tcPr>
          <w:p w:rsidR="008D36E2" w:rsidRDefault="0013308F">
            <w:pPr>
              <w:jc w:val="left"/>
            </w:pPr>
            <w:r>
              <w:rPr>
                <w:rFonts w:eastAsiaTheme="minorEastAsia"/>
                <w:color w:val="000000" w:themeColor="text1"/>
                <w:szCs w:val="21"/>
              </w:rPr>
              <w:t>过去六个月</w:t>
            </w:r>
          </w:p>
        </w:tc>
        <w:tc>
          <w:tcPr>
            <w:tcW w:w="1291" w:type="dxa"/>
            <w:vAlign w:val="center"/>
          </w:tcPr>
          <w:p w:rsidR="008D36E2" w:rsidRDefault="0013308F">
            <w:pPr>
              <w:jc w:val="right"/>
            </w:pPr>
            <w:r>
              <w:rPr>
                <w:rFonts w:eastAsiaTheme="minorEastAsia"/>
                <w:color w:val="000000" w:themeColor="text1"/>
                <w:szCs w:val="21"/>
              </w:rPr>
              <w:t>3.05%</w:t>
            </w:r>
          </w:p>
        </w:tc>
        <w:tc>
          <w:tcPr>
            <w:tcW w:w="1291" w:type="dxa"/>
            <w:vAlign w:val="center"/>
          </w:tcPr>
          <w:p w:rsidR="008D36E2" w:rsidRDefault="0013308F">
            <w:pPr>
              <w:jc w:val="right"/>
            </w:pPr>
            <w:r>
              <w:rPr>
                <w:rFonts w:eastAsiaTheme="minorEastAsia"/>
                <w:color w:val="000000" w:themeColor="text1"/>
                <w:szCs w:val="21"/>
              </w:rPr>
              <w:t>1.01%</w:t>
            </w:r>
          </w:p>
        </w:tc>
        <w:tc>
          <w:tcPr>
            <w:tcW w:w="1291" w:type="dxa"/>
            <w:vAlign w:val="center"/>
          </w:tcPr>
          <w:p w:rsidR="008D36E2" w:rsidRDefault="0013308F">
            <w:pPr>
              <w:jc w:val="right"/>
            </w:pPr>
            <w:r>
              <w:rPr>
                <w:rFonts w:eastAsiaTheme="minorEastAsia"/>
                <w:color w:val="000000" w:themeColor="text1"/>
                <w:szCs w:val="21"/>
              </w:rPr>
              <w:t>5.60%</w:t>
            </w:r>
          </w:p>
        </w:tc>
        <w:tc>
          <w:tcPr>
            <w:tcW w:w="1291" w:type="dxa"/>
            <w:vAlign w:val="center"/>
          </w:tcPr>
          <w:p w:rsidR="008D36E2" w:rsidRDefault="0013308F">
            <w:pPr>
              <w:jc w:val="right"/>
            </w:pPr>
            <w:r>
              <w:rPr>
                <w:rFonts w:eastAsiaTheme="minorEastAsia"/>
                <w:color w:val="000000" w:themeColor="text1"/>
                <w:szCs w:val="21"/>
              </w:rPr>
              <w:t>0.41%</w:t>
            </w:r>
          </w:p>
        </w:tc>
        <w:tc>
          <w:tcPr>
            <w:tcW w:w="1291" w:type="dxa"/>
            <w:vAlign w:val="center"/>
          </w:tcPr>
          <w:p w:rsidR="008D36E2" w:rsidRDefault="0013308F">
            <w:pPr>
              <w:jc w:val="right"/>
            </w:pPr>
            <w:r>
              <w:rPr>
                <w:rFonts w:eastAsiaTheme="minorEastAsia"/>
                <w:color w:val="000000" w:themeColor="text1"/>
                <w:szCs w:val="21"/>
              </w:rPr>
              <w:t>-2.55%</w:t>
            </w:r>
          </w:p>
        </w:tc>
        <w:tc>
          <w:tcPr>
            <w:tcW w:w="1291" w:type="dxa"/>
            <w:vAlign w:val="center"/>
          </w:tcPr>
          <w:p w:rsidR="008D36E2" w:rsidRDefault="0013308F">
            <w:pPr>
              <w:jc w:val="right"/>
            </w:pPr>
            <w:r>
              <w:rPr>
                <w:rFonts w:eastAsiaTheme="minorEastAsia"/>
                <w:color w:val="000000" w:themeColor="text1"/>
                <w:szCs w:val="21"/>
              </w:rPr>
              <w:t>0.60%</w:t>
            </w:r>
          </w:p>
        </w:tc>
      </w:tr>
      <w:tr w:rsidR="008D36E2">
        <w:tc>
          <w:tcPr>
            <w:tcW w:w="1290" w:type="dxa"/>
            <w:vAlign w:val="center"/>
          </w:tcPr>
          <w:p w:rsidR="008D36E2" w:rsidRDefault="0013308F">
            <w:pPr>
              <w:jc w:val="left"/>
            </w:pPr>
            <w:r>
              <w:rPr>
                <w:rFonts w:eastAsiaTheme="minorEastAsia"/>
                <w:color w:val="000000" w:themeColor="text1"/>
                <w:szCs w:val="21"/>
              </w:rPr>
              <w:t>过去一年</w:t>
            </w:r>
          </w:p>
        </w:tc>
        <w:tc>
          <w:tcPr>
            <w:tcW w:w="1291" w:type="dxa"/>
            <w:vAlign w:val="center"/>
          </w:tcPr>
          <w:p w:rsidR="008D36E2" w:rsidRDefault="0013308F">
            <w:pPr>
              <w:jc w:val="right"/>
            </w:pPr>
            <w:r>
              <w:rPr>
                <w:rFonts w:eastAsiaTheme="minorEastAsia"/>
                <w:color w:val="000000" w:themeColor="text1"/>
                <w:szCs w:val="21"/>
              </w:rPr>
              <w:t>17.74%</w:t>
            </w:r>
          </w:p>
        </w:tc>
        <w:tc>
          <w:tcPr>
            <w:tcW w:w="1291" w:type="dxa"/>
            <w:vAlign w:val="center"/>
          </w:tcPr>
          <w:p w:rsidR="008D36E2" w:rsidRDefault="0013308F">
            <w:pPr>
              <w:jc w:val="right"/>
            </w:pPr>
            <w:r>
              <w:rPr>
                <w:rFonts w:eastAsiaTheme="minorEastAsia"/>
                <w:color w:val="000000" w:themeColor="text1"/>
                <w:szCs w:val="21"/>
              </w:rPr>
              <w:t>0.97%</w:t>
            </w:r>
          </w:p>
        </w:tc>
        <w:tc>
          <w:tcPr>
            <w:tcW w:w="1291" w:type="dxa"/>
            <w:vAlign w:val="center"/>
          </w:tcPr>
          <w:p w:rsidR="008D36E2" w:rsidRDefault="0013308F">
            <w:pPr>
              <w:jc w:val="right"/>
            </w:pPr>
            <w:r>
              <w:rPr>
                <w:rFonts w:eastAsiaTheme="minorEastAsia"/>
                <w:color w:val="000000" w:themeColor="text1"/>
                <w:szCs w:val="21"/>
              </w:rPr>
              <w:t>11.29%</w:t>
            </w:r>
          </w:p>
        </w:tc>
        <w:tc>
          <w:tcPr>
            <w:tcW w:w="1291" w:type="dxa"/>
            <w:vAlign w:val="center"/>
          </w:tcPr>
          <w:p w:rsidR="008D36E2" w:rsidRDefault="0013308F">
            <w:pPr>
              <w:jc w:val="right"/>
            </w:pPr>
            <w:r>
              <w:rPr>
                <w:rFonts w:eastAsiaTheme="minorEastAsia"/>
                <w:color w:val="000000" w:themeColor="text1"/>
                <w:szCs w:val="21"/>
              </w:rPr>
              <w:t>0.48%</w:t>
            </w:r>
          </w:p>
        </w:tc>
        <w:tc>
          <w:tcPr>
            <w:tcW w:w="1291" w:type="dxa"/>
            <w:vAlign w:val="center"/>
          </w:tcPr>
          <w:p w:rsidR="008D36E2" w:rsidRDefault="0013308F">
            <w:pPr>
              <w:jc w:val="right"/>
            </w:pPr>
            <w:r>
              <w:rPr>
                <w:rFonts w:eastAsiaTheme="minorEastAsia"/>
                <w:color w:val="000000" w:themeColor="text1"/>
                <w:szCs w:val="21"/>
              </w:rPr>
              <w:t>6.45%</w:t>
            </w:r>
          </w:p>
        </w:tc>
        <w:tc>
          <w:tcPr>
            <w:tcW w:w="1291" w:type="dxa"/>
            <w:vAlign w:val="center"/>
          </w:tcPr>
          <w:p w:rsidR="008D36E2" w:rsidRDefault="0013308F">
            <w:pPr>
              <w:jc w:val="right"/>
            </w:pPr>
            <w:r>
              <w:rPr>
                <w:rFonts w:eastAsiaTheme="minorEastAsia"/>
                <w:color w:val="000000" w:themeColor="text1"/>
                <w:szCs w:val="21"/>
              </w:rPr>
              <w:t>0.49%</w:t>
            </w:r>
          </w:p>
        </w:tc>
      </w:tr>
      <w:tr w:rsidR="008D36E2">
        <w:tc>
          <w:tcPr>
            <w:tcW w:w="1290" w:type="dxa"/>
            <w:vAlign w:val="center"/>
          </w:tcPr>
          <w:p w:rsidR="008D36E2" w:rsidRDefault="0013308F">
            <w:pPr>
              <w:jc w:val="left"/>
            </w:pPr>
            <w:r>
              <w:rPr>
                <w:rFonts w:eastAsiaTheme="minorEastAsia"/>
                <w:color w:val="000000" w:themeColor="text1"/>
                <w:szCs w:val="21"/>
              </w:rPr>
              <w:t>过去三年</w:t>
            </w:r>
          </w:p>
        </w:tc>
        <w:tc>
          <w:tcPr>
            <w:tcW w:w="1291" w:type="dxa"/>
            <w:vAlign w:val="center"/>
          </w:tcPr>
          <w:p w:rsidR="008D36E2" w:rsidRDefault="0013308F">
            <w:pPr>
              <w:jc w:val="right"/>
            </w:pPr>
            <w:r>
              <w:rPr>
                <w:rFonts w:eastAsiaTheme="minorEastAsia"/>
                <w:color w:val="000000" w:themeColor="text1"/>
                <w:szCs w:val="21"/>
              </w:rPr>
              <w:t>17.95%</w:t>
            </w:r>
          </w:p>
        </w:tc>
        <w:tc>
          <w:tcPr>
            <w:tcW w:w="1291" w:type="dxa"/>
            <w:vAlign w:val="center"/>
          </w:tcPr>
          <w:p w:rsidR="008D36E2" w:rsidRDefault="0013308F">
            <w:pPr>
              <w:jc w:val="right"/>
            </w:pPr>
            <w:r>
              <w:rPr>
                <w:rFonts w:eastAsiaTheme="minorEastAsia"/>
                <w:color w:val="000000" w:themeColor="text1"/>
                <w:szCs w:val="21"/>
              </w:rPr>
              <w:t>0.97%</w:t>
            </w:r>
          </w:p>
        </w:tc>
        <w:tc>
          <w:tcPr>
            <w:tcW w:w="1291" w:type="dxa"/>
            <w:vAlign w:val="center"/>
          </w:tcPr>
          <w:p w:rsidR="008D36E2" w:rsidRDefault="0013308F">
            <w:pPr>
              <w:jc w:val="right"/>
            </w:pPr>
            <w:r>
              <w:rPr>
                <w:rFonts w:eastAsiaTheme="minorEastAsia"/>
                <w:color w:val="000000" w:themeColor="text1"/>
                <w:szCs w:val="21"/>
              </w:rPr>
              <w:t>12.75%</w:t>
            </w:r>
          </w:p>
        </w:tc>
        <w:tc>
          <w:tcPr>
            <w:tcW w:w="1291" w:type="dxa"/>
            <w:vAlign w:val="center"/>
          </w:tcPr>
          <w:p w:rsidR="008D36E2" w:rsidRDefault="0013308F">
            <w:pPr>
              <w:jc w:val="right"/>
            </w:pPr>
            <w:r>
              <w:rPr>
                <w:rFonts w:eastAsiaTheme="minorEastAsia"/>
                <w:color w:val="000000" w:themeColor="text1"/>
                <w:szCs w:val="21"/>
              </w:rPr>
              <w:t>0.52%</w:t>
            </w:r>
          </w:p>
        </w:tc>
        <w:tc>
          <w:tcPr>
            <w:tcW w:w="1291" w:type="dxa"/>
            <w:vAlign w:val="center"/>
          </w:tcPr>
          <w:p w:rsidR="008D36E2" w:rsidRDefault="0013308F">
            <w:pPr>
              <w:jc w:val="right"/>
            </w:pPr>
            <w:r>
              <w:rPr>
                <w:rFonts w:eastAsiaTheme="minorEastAsia"/>
                <w:color w:val="000000" w:themeColor="text1"/>
                <w:szCs w:val="21"/>
              </w:rPr>
              <w:t>5.20%</w:t>
            </w:r>
          </w:p>
        </w:tc>
        <w:tc>
          <w:tcPr>
            <w:tcW w:w="1291" w:type="dxa"/>
            <w:vAlign w:val="center"/>
          </w:tcPr>
          <w:p w:rsidR="008D36E2" w:rsidRDefault="0013308F">
            <w:pPr>
              <w:jc w:val="right"/>
            </w:pPr>
            <w:r>
              <w:rPr>
                <w:rFonts w:eastAsiaTheme="minorEastAsia"/>
                <w:color w:val="000000" w:themeColor="text1"/>
                <w:szCs w:val="21"/>
              </w:rPr>
              <w:t>0.45%</w:t>
            </w:r>
          </w:p>
        </w:tc>
      </w:tr>
      <w:tr w:rsidR="008D36E2">
        <w:tc>
          <w:tcPr>
            <w:tcW w:w="1290" w:type="dxa"/>
            <w:vAlign w:val="center"/>
          </w:tcPr>
          <w:p w:rsidR="008D36E2" w:rsidRDefault="0013308F">
            <w:pPr>
              <w:jc w:val="left"/>
            </w:pPr>
            <w:r>
              <w:rPr>
                <w:rFonts w:eastAsiaTheme="minorEastAsia"/>
                <w:color w:val="000000" w:themeColor="text1"/>
                <w:szCs w:val="21"/>
              </w:rPr>
              <w:t>过去五年</w:t>
            </w:r>
          </w:p>
        </w:tc>
        <w:tc>
          <w:tcPr>
            <w:tcW w:w="1291" w:type="dxa"/>
            <w:vAlign w:val="center"/>
          </w:tcPr>
          <w:p w:rsidR="008D36E2" w:rsidRDefault="0013308F">
            <w:pPr>
              <w:jc w:val="right"/>
            </w:pPr>
            <w:r>
              <w:rPr>
                <w:rFonts w:eastAsiaTheme="minorEastAsia"/>
                <w:color w:val="000000" w:themeColor="text1"/>
                <w:szCs w:val="21"/>
              </w:rPr>
              <w:t>9.62%</w:t>
            </w:r>
          </w:p>
        </w:tc>
        <w:tc>
          <w:tcPr>
            <w:tcW w:w="1291" w:type="dxa"/>
            <w:vAlign w:val="center"/>
          </w:tcPr>
          <w:p w:rsidR="008D36E2" w:rsidRDefault="0013308F">
            <w:pPr>
              <w:jc w:val="right"/>
            </w:pPr>
            <w:r>
              <w:rPr>
                <w:rFonts w:eastAsiaTheme="minorEastAsia"/>
                <w:color w:val="000000" w:themeColor="text1"/>
                <w:szCs w:val="21"/>
              </w:rPr>
              <w:t>0.91%</w:t>
            </w:r>
          </w:p>
        </w:tc>
        <w:tc>
          <w:tcPr>
            <w:tcW w:w="1291" w:type="dxa"/>
            <w:vAlign w:val="center"/>
          </w:tcPr>
          <w:p w:rsidR="008D36E2" w:rsidRDefault="0013308F">
            <w:pPr>
              <w:jc w:val="right"/>
            </w:pPr>
            <w:r>
              <w:rPr>
                <w:rFonts w:eastAsiaTheme="minorEastAsia"/>
                <w:color w:val="000000" w:themeColor="text1"/>
                <w:szCs w:val="21"/>
              </w:rPr>
              <w:t>18.41%</w:t>
            </w:r>
          </w:p>
        </w:tc>
        <w:tc>
          <w:tcPr>
            <w:tcW w:w="1291" w:type="dxa"/>
            <w:vAlign w:val="center"/>
          </w:tcPr>
          <w:p w:rsidR="008D36E2" w:rsidRDefault="0013308F">
            <w:pPr>
              <w:jc w:val="right"/>
            </w:pPr>
            <w:r>
              <w:rPr>
                <w:rFonts w:eastAsiaTheme="minorEastAsia"/>
                <w:color w:val="000000" w:themeColor="text1"/>
                <w:szCs w:val="21"/>
              </w:rPr>
              <w:t>0.46%</w:t>
            </w:r>
          </w:p>
        </w:tc>
        <w:tc>
          <w:tcPr>
            <w:tcW w:w="1291" w:type="dxa"/>
            <w:vAlign w:val="center"/>
          </w:tcPr>
          <w:p w:rsidR="008D36E2" w:rsidRDefault="0013308F">
            <w:pPr>
              <w:jc w:val="right"/>
            </w:pPr>
            <w:r>
              <w:rPr>
                <w:rFonts w:eastAsiaTheme="minorEastAsia"/>
                <w:color w:val="000000" w:themeColor="text1"/>
                <w:szCs w:val="21"/>
              </w:rPr>
              <w:t>-8.79%</w:t>
            </w:r>
          </w:p>
        </w:tc>
        <w:tc>
          <w:tcPr>
            <w:tcW w:w="1291" w:type="dxa"/>
            <w:vAlign w:val="center"/>
          </w:tcPr>
          <w:p w:rsidR="008D36E2" w:rsidRDefault="0013308F">
            <w:pPr>
              <w:jc w:val="right"/>
            </w:pPr>
            <w:r>
              <w:rPr>
                <w:rFonts w:eastAsiaTheme="minorEastAsia"/>
                <w:color w:val="000000" w:themeColor="text1"/>
                <w:szCs w:val="21"/>
              </w:rPr>
              <w:t>0.45%</w:t>
            </w:r>
          </w:p>
        </w:tc>
      </w:tr>
      <w:tr w:rsidR="008D36E2">
        <w:tc>
          <w:tcPr>
            <w:tcW w:w="1290" w:type="dxa"/>
            <w:vAlign w:val="center"/>
          </w:tcPr>
          <w:p w:rsidR="008D36E2" w:rsidRDefault="0013308F">
            <w:pPr>
              <w:jc w:val="left"/>
            </w:pPr>
            <w:r>
              <w:rPr>
                <w:rFonts w:eastAsiaTheme="minorEastAsia"/>
                <w:color w:val="000000" w:themeColor="text1"/>
                <w:szCs w:val="21"/>
              </w:rPr>
              <w:t>自基金合同生效起至今</w:t>
            </w:r>
          </w:p>
        </w:tc>
        <w:tc>
          <w:tcPr>
            <w:tcW w:w="1291" w:type="dxa"/>
            <w:vAlign w:val="center"/>
          </w:tcPr>
          <w:p w:rsidR="008D36E2" w:rsidRDefault="0013308F">
            <w:pPr>
              <w:jc w:val="right"/>
            </w:pPr>
            <w:r>
              <w:rPr>
                <w:rFonts w:eastAsiaTheme="minorEastAsia"/>
                <w:color w:val="000000" w:themeColor="text1"/>
                <w:szCs w:val="21"/>
              </w:rPr>
              <w:t>23.25%</w:t>
            </w:r>
          </w:p>
        </w:tc>
        <w:tc>
          <w:tcPr>
            <w:tcW w:w="1291" w:type="dxa"/>
            <w:vAlign w:val="center"/>
          </w:tcPr>
          <w:p w:rsidR="008D36E2" w:rsidRDefault="0013308F">
            <w:pPr>
              <w:jc w:val="right"/>
            </w:pPr>
            <w:r>
              <w:rPr>
                <w:rFonts w:eastAsiaTheme="minorEastAsia"/>
                <w:color w:val="000000" w:themeColor="text1"/>
                <w:szCs w:val="21"/>
              </w:rPr>
              <w:t>0.94%</w:t>
            </w:r>
          </w:p>
        </w:tc>
        <w:tc>
          <w:tcPr>
            <w:tcW w:w="1291" w:type="dxa"/>
            <w:vAlign w:val="center"/>
          </w:tcPr>
          <w:p w:rsidR="008D36E2" w:rsidRDefault="0013308F">
            <w:pPr>
              <w:jc w:val="right"/>
            </w:pPr>
            <w:r>
              <w:rPr>
                <w:rFonts w:eastAsiaTheme="minorEastAsia"/>
                <w:color w:val="000000" w:themeColor="text1"/>
                <w:szCs w:val="21"/>
              </w:rPr>
              <w:t>19.24%</w:t>
            </w:r>
          </w:p>
        </w:tc>
        <w:tc>
          <w:tcPr>
            <w:tcW w:w="1291" w:type="dxa"/>
            <w:vAlign w:val="center"/>
          </w:tcPr>
          <w:p w:rsidR="008D36E2" w:rsidRDefault="0013308F">
            <w:pPr>
              <w:jc w:val="right"/>
            </w:pPr>
            <w:r>
              <w:rPr>
                <w:rFonts w:eastAsiaTheme="minorEastAsia"/>
                <w:color w:val="000000" w:themeColor="text1"/>
                <w:szCs w:val="21"/>
              </w:rPr>
              <w:t>0.46%</w:t>
            </w:r>
          </w:p>
        </w:tc>
        <w:tc>
          <w:tcPr>
            <w:tcW w:w="1291" w:type="dxa"/>
            <w:vAlign w:val="center"/>
          </w:tcPr>
          <w:p w:rsidR="008D36E2" w:rsidRDefault="0013308F">
            <w:pPr>
              <w:jc w:val="right"/>
            </w:pPr>
            <w:r>
              <w:rPr>
                <w:rFonts w:eastAsiaTheme="minorEastAsia"/>
                <w:color w:val="000000" w:themeColor="text1"/>
                <w:szCs w:val="21"/>
              </w:rPr>
              <w:t>4.01%</w:t>
            </w:r>
          </w:p>
        </w:tc>
        <w:tc>
          <w:tcPr>
            <w:tcW w:w="1291" w:type="dxa"/>
            <w:vAlign w:val="center"/>
          </w:tcPr>
          <w:p w:rsidR="008D36E2" w:rsidRDefault="0013308F">
            <w:pPr>
              <w:jc w:val="right"/>
            </w:pPr>
            <w:r>
              <w:rPr>
                <w:rFonts w:eastAsiaTheme="minorEastAsia"/>
                <w:color w:val="000000" w:themeColor="text1"/>
                <w:szCs w:val="21"/>
              </w:rPr>
              <w:t>0.48%</w:t>
            </w:r>
          </w:p>
        </w:tc>
      </w:tr>
    </w:tbl>
    <w:p w:rsidR="005E6DF3" w:rsidRPr="00B27A29" w:rsidRDefault="005C671B">
      <w:pPr>
        <w:spacing w:beforeLines="100" w:before="312" w:line="360" w:lineRule="auto"/>
        <w:rPr>
          <w:rFonts w:eastAsiaTheme="minorEastAsia"/>
          <w:b/>
          <w:color w:val="000000" w:themeColor="text1"/>
          <w:kern w:val="0"/>
          <w:szCs w:val="21"/>
        </w:rPr>
      </w:pPr>
      <w:r w:rsidRPr="00B27A29">
        <w:rPr>
          <w:rFonts w:eastAsiaTheme="minorEastAsia"/>
          <w:b/>
          <w:color w:val="000000" w:themeColor="text1"/>
          <w:kern w:val="0"/>
          <w:szCs w:val="21"/>
        </w:rPr>
        <w:t>3.2.2</w:t>
      </w:r>
      <w:r w:rsidRPr="00B27A29">
        <w:rPr>
          <w:rFonts w:eastAsiaTheme="minorEastAsia"/>
          <w:b/>
          <w:color w:val="000000" w:themeColor="text1"/>
          <w:kern w:val="0"/>
          <w:szCs w:val="21"/>
        </w:rPr>
        <w:t xml:space="preserve">　</w:t>
      </w:r>
      <w:r w:rsidRPr="00B27A29">
        <w:rPr>
          <w:rStyle w:val="af5"/>
          <w:color w:val="000000" w:themeColor="text1"/>
          <w:szCs w:val="21"/>
          <w:shd w:val="clear" w:color="auto" w:fill="FFFFFF"/>
        </w:rPr>
        <w:t>自基金合同生效以来</w:t>
      </w:r>
      <w:r w:rsidRPr="00B27A29">
        <w:rPr>
          <w:rFonts w:eastAsiaTheme="minorEastAsia"/>
          <w:b/>
          <w:color w:val="000000" w:themeColor="text1"/>
          <w:szCs w:val="21"/>
        </w:rPr>
        <w:t>基金累计净值增长率变动及其与同期业绩比较基准收益率变动的比较</w:t>
      </w:r>
    </w:p>
    <w:p w:rsidR="005E6DF3" w:rsidRPr="00B27A29" w:rsidRDefault="005C671B">
      <w:pPr>
        <w:spacing w:line="360" w:lineRule="auto"/>
        <w:jc w:val="center"/>
        <w:rPr>
          <w:rFonts w:eastAsiaTheme="minorEastAsia"/>
          <w:color w:val="000000" w:themeColor="text1"/>
          <w:szCs w:val="21"/>
        </w:rPr>
      </w:pPr>
      <w:r w:rsidRPr="00B27A29">
        <w:rPr>
          <w:rFonts w:eastAsiaTheme="minorEastAsia"/>
          <w:color w:val="000000" w:themeColor="text1"/>
          <w:szCs w:val="21"/>
        </w:rPr>
        <w:t>上投摩根双息平衡混合型证券投资基金</w:t>
      </w:r>
    </w:p>
    <w:p w:rsidR="005E6DF3" w:rsidRPr="00B27A29" w:rsidRDefault="005C671B">
      <w:pPr>
        <w:pStyle w:val="a9"/>
        <w:snapToGrid w:val="0"/>
        <w:spacing w:line="360" w:lineRule="auto"/>
        <w:jc w:val="center"/>
        <w:rPr>
          <w:rFonts w:ascii="Times New Roman" w:eastAsiaTheme="minorEastAsia" w:hAnsi="Times New Roman"/>
          <w:color w:val="000000" w:themeColor="text1"/>
        </w:rPr>
      </w:pPr>
      <w:r w:rsidRPr="00B27A29">
        <w:rPr>
          <w:rFonts w:ascii="Times New Roman" w:eastAsiaTheme="minorEastAsia" w:hAnsi="Times New Roman"/>
          <w:color w:val="000000" w:themeColor="text1"/>
        </w:rPr>
        <w:t>累计净值增长率与业绩比较基准收益率的历史走势对比图</w:t>
      </w:r>
    </w:p>
    <w:p w:rsidR="005E6DF3" w:rsidRPr="00B27A29" w:rsidRDefault="005C671B">
      <w:pPr>
        <w:pStyle w:val="a9"/>
        <w:snapToGrid w:val="0"/>
        <w:spacing w:line="360" w:lineRule="auto"/>
        <w:ind w:firstLine="480"/>
        <w:jc w:val="center"/>
        <w:rPr>
          <w:rFonts w:ascii="Times New Roman" w:eastAsiaTheme="minorEastAsia" w:hAnsi="Times New Roman"/>
          <w:color w:val="000000" w:themeColor="text1"/>
        </w:rPr>
      </w:pPr>
      <w:r w:rsidRPr="00B27A29">
        <w:rPr>
          <w:rFonts w:ascii="Times New Roman" w:eastAsiaTheme="minorEastAsia" w:hAnsi="Times New Roman"/>
          <w:color w:val="000000" w:themeColor="text1"/>
        </w:rPr>
        <w:t>(2006</w:t>
      </w:r>
      <w:r w:rsidRPr="00B27A29">
        <w:rPr>
          <w:rFonts w:ascii="Times New Roman" w:eastAsiaTheme="minorEastAsia" w:hAnsi="Times New Roman"/>
          <w:color w:val="000000" w:themeColor="text1"/>
        </w:rPr>
        <w:t>年</w:t>
      </w:r>
      <w:r w:rsidRPr="00B27A29">
        <w:rPr>
          <w:rFonts w:ascii="Times New Roman" w:eastAsiaTheme="minorEastAsia" w:hAnsi="Times New Roman"/>
          <w:color w:val="000000" w:themeColor="text1"/>
        </w:rPr>
        <w:t>4</w:t>
      </w:r>
      <w:r w:rsidRPr="00B27A29">
        <w:rPr>
          <w:rFonts w:ascii="Times New Roman" w:eastAsiaTheme="minorEastAsia" w:hAnsi="Times New Roman"/>
          <w:color w:val="000000" w:themeColor="text1"/>
        </w:rPr>
        <w:t>月</w:t>
      </w:r>
      <w:r w:rsidRPr="00B27A29">
        <w:rPr>
          <w:rFonts w:ascii="Times New Roman" w:eastAsiaTheme="minorEastAsia" w:hAnsi="Times New Roman"/>
          <w:color w:val="000000" w:themeColor="text1"/>
        </w:rPr>
        <w:t>26</w:t>
      </w:r>
      <w:r w:rsidRPr="00B27A29">
        <w:rPr>
          <w:rFonts w:ascii="Times New Roman" w:eastAsiaTheme="minorEastAsia" w:hAnsi="Times New Roman"/>
          <w:color w:val="000000" w:themeColor="text1"/>
        </w:rPr>
        <w:t>日至</w:t>
      </w:r>
      <w:r w:rsidRPr="00B27A29">
        <w:rPr>
          <w:rFonts w:ascii="Times New Roman" w:eastAsiaTheme="minorEastAsia" w:hAnsi="Times New Roman"/>
          <w:color w:val="000000" w:themeColor="text1"/>
        </w:rPr>
        <w:t>2021</w:t>
      </w:r>
      <w:r w:rsidRPr="00B27A29">
        <w:rPr>
          <w:rFonts w:ascii="Times New Roman" w:eastAsiaTheme="minorEastAsia" w:hAnsi="Times New Roman"/>
          <w:color w:val="000000" w:themeColor="text1"/>
        </w:rPr>
        <w:t>年</w:t>
      </w:r>
      <w:r w:rsidRPr="00B27A29">
        <w:rPr>
          <w:rFonts w:ascii="Times New Roman" w:eastAsiaTheme="minorEastAsia" w:hAnsi="Times New Roman"/>
          <w:color w:val="000000" w:themeColor="text1"/>
        </w:rPr>
        <w:t>6</w:t>
      </w:r>
      <w:r w:rsidRPr="00B27A29">
        <w:rPr>
          <w:rFonts w:ascii="Times New Roman" w:eastAsiaTheme="minorEastAsia" w:hAnsi="Times New Roman"/>
          <w:color w:val="000000" w:themeColor="text1"/>
        </w:rPr>
        <w:t>月</w:t>
      </w:r>
      <w:r w:rsidRPr="00B27A29">
        <w:rPr>
          <w:rFonts w:ascii="Times New Roman" w:eastAsiaTheme="minorEastAsia" w:hAnsi="Times New Roman"/>
          <w:color w:val="000000" w:themeColor="text1"/>
        </w:rPr>
        <w:t>30</w:t>
      </w:r>
      <w:r w:rsidRPr="00B27A29">
        <w:rPr>
          <w:rFonts w:ascii="Times New Roman" w:eastAsiaTheme="minorEastAsia" w:hAnsi="Times New Roman"/>
          <w:color w:val="000000" w:themeColor="text1"/>
        </w:rPr>
        <w:t>日</w:t>
      </w:r>
      <w:r w:rsidRPr="00B27A29">
        <w:rPr>
          <w:rFonts w:ascii="Times New Roman" w:eastAsiaTheme="minorEastAsia" w:hAnsi="Times New Roman"/>
          <w:color w:val="000000" w:themeColor="text1"/>
        </w:rPr>
        <w:t>)</w:t>
      </w:r>
    </w:p>
    <w:p w:rsidR="005E6DF3" w:rsidRPr="00B27A29" w:rsidRDefault="005C671B">
      <w:pPr>
        <w:snapToGrid w:val="0"/>
        <w:spacing w:line="360" w:lineRule="auto"/>
        <w:rPr>
          <w:rFonts w:eastAsiaTheme="minorEastAsia"/>
          <w:color w:val="000000" w:themeColor="text1"/>
          <w:szCs w:val="21"/>
        </w:rPr>
      </w:pPr>
      <w:r w:rsidRPr="00B27A29">
        <w:rPr>
          <w:rFonts w:eastAsiaTheme="minorEastAsia"/>
          <w:color w:val="000000" w:themeColor="text1"/>
          <w:szCs w:val="21"/>
        </w:rPr>
        <w:t>1</w:t>
      </w:r>
      <w:r w:rsidRPr="00B27A29">
        <w:rPr>
          <w:rFonts w:eastAsiaTheme="minorEastAsia"/>
          <w:color w:val="000000" w:themeColor="text1"/>
          <w:szCs w:val="21"/>
        </w:rPr>
        <w:t>．上投摩根双息平衡混合</w:t>
      </w:r>
      <w:r w:rsidRPr="00B27A29">
        <w:rPr>
          <w:rFonts w:eastAsiaTheme="minorEastAsia"/>
          <w:color w:val="000000" w:themeColor="text1"/>
          <w:szCs w:val="21"/>
        </w:rPr>
        <w:t>A</w:t>
      </w:r>
      <w:r w:rsidRPr="00B27A29">
        <w:rPr>
          <w:rFonts w:eastAsiaTheme="minorEastAsia"/>
          <w:color w:val="000000" w:themeColor="text1"/>
          <w:szCs w:val="21"/>
        </w:rPr>
        <w:t>：</w:t>
      </w:r>
    </w:p>
    <w:p w:rsidR="005E6DF3" w:rsidRPr="00B27A29" w:rsidRDefault="005C671B">
      <w:pPr>
        <w:pStyle w:val="20"/>
        <w:spacing w:line="288" w:lineRule="auto"/>
        <w:ind w:firstLineChars="0" w:firstLine="0"/>
        <w:jc w:val="center"/>
        <w:rPr>
          <w:rFonts w:ascii="Times New Roman" w:eastAsiaTheme="minorEastAsia" w:hAnsi="Times New Roman"/>
          <w:color w:val="000000" w:themeColor="text1"/>
          <w:sz w:val="21"/>
          <w:szCs w:val="21"/>
        </w:rPr>
      </w:pPr>
      <w:r w:rsidRPr="00B27A29">
        <w:rPr>
          <w:rFonts w:ascii="Times New Roman" w:eastAsiaTheme="minorEastAsia" w:hAnsi="Times New Roman"/>
          <w:noProof/>
          <w:color w:val="000000" w:themeColor="text1"/>
          <w:sz w:val="21"/>
          <w:szCs w:val="21"/>
        </w:rPr>
        <w:lastRenderedPageBreak/>
        <w:drawing>
          <wp:inline distT="0" distB="0" distL="0" distR="0" wp14:anchorId="5E1D8726" wp14:editId="2DD6A0AF">
            <wp:extent cx="5591175" cy="3276600"/>
            <wp:effectExtent l="0" t="0" r="0" b="0"/>
            <wp:docPr id="2" name="图片 2"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浏览器下载\走势图柱状图\走势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591175" cy="3276600"/>
                    </a:xfrm>
                    <a:prstGeom prst="rect">
                      <a:avLst/>
                    </a:prstGeom>
                    <a:noFill/>
                    <a:ln>
                      <a:noFill/>
                    </a:ln>
                  </pic:spPr>
                </pic:pic>
              </a:graphicData>
            </a:graphic>
          </wp:inline>
        </w:drawing>
      </w:r>
    </w:p>
    <w:p w:rsidR="008D36E2" w:rsidRDefault="0013308F">
      <w:pPr>
        <w:spacing w:line="360" w:lineRule="auto"/>
        <w:ind w:firstLineChars="200" w:firstLine="420"/>
        <w:rPr>
          <w:rFonts w:eastAsiaTheme="minorEastAsia"/>
          <w:color w:val="000000" w:themeColor="text1"/>
          <w:szCs w:val="21"/>
        </w:rPr>
      </w:pPr>
      <w:r>
        <w:rPr>
          <w:rFonts w:eastAsiaTheme="minorEastAsia"/>
          <w:color w:val="000000" w:themeColor="text1"/>
          <w:szCs w:val="21"/>
        </w:rPr>
        <w:t>注：本基金合同生效日为</w:t>
      </w:r>
      <w:r>
        <w:rPr>
          <w:rFonts w:eastAsiaTheme="minorEastAsia"/>
          <w:color w:val="000000" w:themeColor="text1"/>
          <w:szCs w:val="21"/>
        </w:rPr>
        <w:t>2006</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w:t>
      </w:r>
      <w:r>
        <w:rPr>
          <w:rFonts w:eastAsiaTheme="minorEastAsia"/>
          <w:color w:val="000000" w:themeColor="text1"/>
          <w:szCs w:val="21"/>
        </w:rPr>
        <w:t>26</w:t>
      </w:r>
      <w:r>
        <w:rPr>
          <w:rFonts w:eastAsiaTheme="minorEastAsia"/>
          <w:color w:val="000000" w:themeColor="text1"/>
          <w:szCs w:val="21"/>
        </w:rPr>
        <w:t>日，图示的时间段为合同生效日至本报告期末。</w:t>
      </w:r>
    </w:p>
    <w:p w:rsidR="008D36E2" w:rsidRDefault="0013308F">
      <w:pPr>
        <w:spacing w:line="360" w:lineRule="auto"/>
        <w:ind w:firstLineChars="200" w:firstLine="420"/>
        <w:rPr>
          <w:rFonts w:eastAsiaTheme="minorEastAsia"/>
          <w:color w:val="000000" w:themeColor="text1"/>
          <w:szCs w:val="21"/>
        </w:rPr>
      </w:pPr>
      <w:r>
        <w:rPr>
          <w:rFonts w:eastAsiaTheme="minorEastAsia"/>
          <w:color w:val="000000" w:themeColor="text1"/>
          <w:szCs w:val="21"/>
        </w:rPr>
        <w:t>本基金建仓期为本基金合同生效日起</w:t>
      </w:r>
      <w:r>
        <w:rPr>
          <w:rFonts w:eastAsiaTheme="minorEastAsia"/>
          <w:color w:val="000000" w:themeColor="text1"/>
          <w:szCs w:val="21"/>
        </w:rPr>
        <w:t>6</w:t>
      </w:r>
      <w:r>
        <w:rPr>
          <w:rFonts w:eastAsiaTheme="minorEastAsia"/>
          <w:color w:val="000000" w:themeColor="text1"/>
          <w:szCs w:val="21"/>
        </w:rPr>
        <w:t>个月，建仓期结束时资产配置比例符合本基金基金合同规定。</w:t>
      </w:r>
    </w:p>
    <w:p w:rsidR="005E6DF3" w:rsidRPr="00B27A29" w:rsidRDefault="005C671B">
      <w:pPr>
        <w:spacing w:line="360" w:lineRule="auto"/>
        <w:ind w:firstLineChars="200" w:firstLine="420"/>
        <w:rPr>
          <w:rFonts w:eastAsiaTheme="minorEastAsia"/>
          <w:color w:val="000000" w:themeColor="text1"/>
          <w:szCs w:val="21"/>
        </w:rPr>
      </w:pPr>
      <w:r w:rsidRPr="00B27A29">
        <w:rPr>
          <w:rFonts w:eastAsiaTheme="minorEastAsia"/>
          <w:color w:val="000000" w:themeColor="text1"/>
          <w:szCs w:val="21"/>
        </w:rPr>
        <w:t>本基金自</w:t>
      </w:r>
      <w:r w:rsidRPr="00B27A29">
        <w:rPr>
          <w:rFonts w:eastAsiaTheme="minorEastAsia"/>
          <w:color w:val="000000" w:themeColor="text1"/>
          <w:szCs w:val="21"/>
        </w:rPr>
        <w:t>2013</w:t>
      </w:r>
      <w:r w:rsidRPr="00B27A29">
        <w:rPr>
          <w:rFonts w:eastAsiaTheme="minorEastAsia"/>
          <w:color w:val="000000" w:themeColor="text1"/>
          <w:szCs w:val="21"/>
        </w:rPr>
        <w:t>年</w:t>
      </w:r>
      <w:r w:rsidRPr="00B27A29">
        <w:rPr>
          <w:rFonts w:eastAsiaTheme="minorEastAsia"/>
          <w:color w:val="000000" w:themeColor="text1"/>
          <w:szCs w:val="21"/>
        </w:rPr>
        <w:t>12</w:t>
      </w:r>
      <w:r w:rsidRPr="00B27A29">
        <w:rPr>
          <w:rFonts w:eastAsiaTheme="minorEastAsia"/>
          <w:color w:val="000000" w:themeColor="text1"/>
          <w:szCs w:val="21"/>
        </w:rPr>
        <w:t>月</w:t>
      </w:r>
      <w:r w:rsidRPr="00B27A29">
        <w:rPr>
          <w:rFonts w:eastAsiaTheme="minorEastAsia"/>
          <w:color w:val="000000" w:themeColor="text1"/>
          <w:szCs w:val="21"/>
        </w:rPr>
        <w:t>7</w:t>
      </w:r>
      <w:r w:rsidRPr="00B27A29">
        <w:rPr>
          <w:rFonts w:eastAsiaTheme="minorEastAsia"/>
          <w:color w:val="000000" w:themeColor="text1"/>
          <w:szCs w:val="21"/>
        </w:rPr>
        <w:t>日起，将基金业绩比较基准由</w:t>
      </w:r>
      <w:r w:rsidRPr="00B27A29">
        <w:rPr>
          <w:rFonts w:eastAsiaTheme="minorEastAsia"/>
          <w:color w:val="000000" w:themeColor="text1"/>
          <w:szCs w:val="21"/>
        </w:rPr>
        <w:t>“</w:t>
      </w:r>
      <w:r w:rsidRPr="00B27A29">
        <w:rPr>
          <w:rFonts w:eastAsiaTheme="minorEastAsia"/>
          <w:color w:val="000000" w:themeColor="text1"/>
          <w:szCs w:val="21"/>
        </w:rPr>
        <w:t>富时中国</w:t>
      </w:r>
      <w:r w:rsidRPr="00B27A29">
        <w:rPr>
          <w:rFonts w:eastAsiaTheme="minorEastAsia"/>
          <w:color w:val="000000" w:themeColor="text1"/>
          <w:szCs w:val="21"/>
        </w:rPr>
        <w:t>150</w:t>
      </w:r>
      <w:r w:rsidRPr="00B27A29">
        <w:rPr>
          <w:rFonts w:eastAsiaTheme="minorEastAsia"/>
          <w:color w:val="000000" w:themeColor="text1"/>
          <w:szCs w:val="21"/>
        </w:rPr>
        <w:t>红利指数收益率</w:t>
      </w:r>
      <w:r w:rsidRPr="00B27A29">
        <w:rPr>
          <w:rFonts w:eastAsiaTheme="minorEastAsia"/>
          <w:color w:val="000000" w:themeColor="text1"/>
          <w:szCs w:val="21"/>
        </w:rPr>
        <w:t>×45%+</w:t>
      </w:r>
      <w:r w:rsidRPr="00B27A29">
        <w:rPr>
          <w:rFonts w:eastAsiaTheme="minorEastAsia"/>
          <w:color w:val="000000" w:themeColor="text1"/>
          <w:szCs w:val="21"/>
        </w:rPr>
        <w:t>富时中国国债指数收益率</w:t>
      </w:r>
      <w:r w:rsidRPr="00B27A29">
        <w:rPr>
          <w:rFonts w:eastAsiaTheme="minorEastAsia"/>
          <w:color w:val="000000" w:themeColor="text1"/>
          <w:szCs w:val="21"/>
        </w:rPr>
        <w:t>×45%+</w:t>
      </w:r>
      <w:r w:rsidRPr="00B27A29">
        <w:rPr>
          <w:rFonts w:eastAsiaTheme="minorEastAsia"/>
          <w:color w:val="000000" w:themeColor="text1"/>
          <w:szCs w:val="21"/>
        </w:rPr>
        <w:t>同业存款利率</w:t>
      </w:r>
      <w:r w:rsidRPr="00B27A29">
        <w:rPr>
          <w:rFonts w:eastAsiaTheme="minorEastAsia"/>
          <w:color w:val="000000" w:themeColor="text1"/>
          <w:szCs w:val="21"/>
        </w:rPr>
        <w:t>×10%”</w:t>
      </w:r>
      <w:r w:rsidRPr="00B27A29">
        <w:rPr>
          <w:rFonts w:eastAsiaTheme="minorEastAsia"/>
          <w:color w:val="000000" w:themeColor="text1"/>
          <w:szCs w:val="21"/>
        </w:rPr>
        <w:t>变更为</w:t>
      </w:r>
      <w:r w:rsidRPr="00B27A29">
        <w:rPr>
          <w:rFonts w:eastAsiaTheme="minorEastAsia"/>
          <w:color w:val="000000" w:themeColor="text1"/>
          <w:szCs w:val="21"/>
        </w:rPr>
        <w:t>“</w:t>
      </w:r>
      <w:r w:rsidRPr="00B27A29">
        <w:rPr>
          <w:rFonts w:eastAsiaTheme="minorEastAsia"/>
          <w:color w:val="000000" w:themeColor="text1"/>
          <w:szCs w:val="21"/>
        </w:rPr>
        <w:t>中证红利指数收益率</w:t>
      </w:r>
      <w:r w:rsidRPr="00B27A29">
        <w:rPr>
          <w:rFonts w:eastAsiaTheme="minorEastAsia"/>
          <w:color w:val="000000" w:themeColor="text1"/>
          <w:szCs w:val="21"/>
        </w:rPr>
        <w:t>×45%+</w:t>
      </w:r>
      <w:r w:rsidRPr="00B27A29">
        <w:rPr>
          <w:rFonts w:eastAsiaTheme="minorEastAsia"/>
          <w:color w:val="000000" w:themeColor="text1"/>
          <w:szCs w:val="21"/>
        </w:rPr>
        <w:t>中债总指数收益率</w:t>
      </w:r>
      <w:r w:rsidRPr="00B27A29">
        <w:rPr>
          <w:rFonts w:eastAsiaTheme="minorEastAsia"/>
          <w:color w:val="000000" w:themeColor="text1"/>
          <w:szCs w:val="21"/>
        </w:rPr>
        <w:t>×55%”</w:t>
      </w:r>
      <w:r w:rsidRPr="00B27A29">
        <w:rPr>
          <w:rFonts w:eastAsiaTheme="minorEastAsia"/>
          <w:color w:val="000000" w:themeColor="text1"/>
          <w:szCs w:val="21"/>
        </w:rPr>
        <w:t>。</w:t>
      </w:r>
    </w:p>
    <w:p w:rsidR="005E6DF3" w:rsidRPr="00B27A29" w:rsidRDefault="005C671B">
      <w:pPr>
        <w:snapToGrid w:val="0"/>
        <w:spacing w:beforeLines="100" w:before="312" w:line="360" w:lineRule="auto"/>
        <w:rPr>
          <w:rFonts w:eastAsiaTheme="minorEastAsia"/>
          <w:color w:val="000000" w:themeColor="text1"/>
          <w:szCs w:val="21"/>
        </w:rPr>
      </w:pPr>
      <w:r w:rsidRPr="00B27A29">
        <w:rPr>
          <w:rFonts w:eastAsiaTheme="minorEastAsia"/>
          <w:color w:val="000000" w:themeColor="text1"/>
          <w:szCs w:val="21"/>
        </w:rPr>
        <w:t>2</w:t>
      </w:r>
      <w:r w:rsidRPr="00B27A29">
        <w:rPr>
          <w:rFonts w:eastAsiaTheme="minorEastAsia"/>
          <w:color w:val="000000" w:themeColor="text1"/>
          <w:szCs w:val="21"/>
        </w:rPr>
        <w:t>．上投摩根双息平衡混合</w:t>
      </w:r>
      <w:r w:rsidRPr="00B27A29">
        <w:rPr>
          <w:rFonts w:eastAsiaTheme="minorEastAsia"/>
          <w:color w:val="000000" w:themeColor="text1"/>
          <w:szCs w:val="21"/>
        </w:rPr>
        <w:t>H</w:t>
      </w:r>
      <w:r w:rsidRPr="00B27A29">
        <w:rPr>
          <w:rFonts w:eastAsiaTheme="minorEastAsia"/>
          <w:color w:val="000000" w:themeColor="text1"/>
          <w:szCs w:val="21"/>
        </w:rPr>
        <w:t>：</w:t>
      </w:r>
    </w:p>
    <w:p w:rsidR="005E6DF3" w:rsidRPr="00B27A29" w:rsidRDefault="005C671B">
      <w:pPr>
        <w:pStyle w:val="20"/>
        <w:spacing w:line="288" w:lineRule="auto"/>
        <w:ind w:firstLineChars="0" w:firstLine="0"/>
        <w:jc w:val="center"/>
        <w:rPr>
          <w:rFonts w:ascii="Times New Roman" w:eastAsiaTheme="minorEastAsia" w:hAnsi="Times New Roman"/>
          <w:color w:val="000000" w:themeColor="text1"/>
          <w:sz w:val="21"/>
          <w:szCs w:val="21"/>
        </w:rPr>
      </w:pPr>
      <w:r w:rsidRPr="00B27A29">
        <w:rPr>
          <w:rFonts w:ascii="Times New Roman" w:eastAsiaTheme="minorEastAsia" w:hAnsi="Times New Roman"/>
          <w:noProof/>
          <w:color w:val="000000" w:themeColor="text1"/>
          <w:sz w:val="21"/>
          <w:szCs w:val="21"/>
        </w:rPr>
        <w:lastRenderedPageBreak/>
        <w:drawing>
          <wp:inline distT="0" distB="0" distL="0" distR="0" wp14:anchorId="1DDF3849" wp14:editId="177F12C7">
            <wp:extent cx="5591175" cy="3276600"/>
            <wp:effectExtent l="0" t="0" r="0" b="0"/>
            <wp:docPr id="3" name="图片 3" descr="D:\浏览器下载\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浏览器下载\走势图柱状图\走势图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591175" cy="3276600"/>
                    </a:xfrm>
                    <a:prstGeom prst="rect">
                      <a:avLst/>
                    </a:prstGeom>
                    <a:noFill/>
                    <a:ln>
                      <a:noFill/>
                    </a:ln>
                  </pic:spPr>
                </pic:pic>
              </a:graphicData>
            </a:graphic>
          </wp:inline>
        </w:drawing>
      </w:r>
    </w:p>
    <w:p w:rsidR="008D36E2" w:rsidRDefault="0013308F">
      <w:pPr>
        <w:spacing w:line="360" w:lineRule="auto"/>
        <w:ind w:firstLineChars="200" w:firstLine="420"/>
        <w:rPr>
          <w:rFonts w:eastAsiaTheme="minorEastAsia"/>
          <w:color w:val="000000" w:themeColor="text1"/>
          <w:szCs w:val="21"/>
        </w:rPr>
      </w:pPr>
      <w:r>
        <w:rPr>
          <w:rFonts w:eastAsiaTheme="minorEastAsia"/>
          <w:color w:val="000000" w:themeColor="text1"/>
          <w:szCs w:val="21"/>
        </w:rPr>
        <w:t>注：本基金建仓期为本基金合同生效日起</w:t>
      </w:r>
      <w:r>
        <w:rPr>
          <w:rFonts w:eastAsiaTheme="minorEastAsia"/>
          <w:color w:val="000000" w:themeColor="text1"/>
          <w:szCs w:val="21"/>
        </w:rPr>
        <w:t>6</w:t>
      </w:r>
      <w:r>
        <w:rPr>
          <w:rFonts w:eastAsiaTheme="minorEastAsia"/>
          <w:color w:val="000000" w:themeColor="text1"/>
          <w:szCs w:val="21"/>
        </w:rPr>
        <w:t>个月，建仓期结束时资产配置比例符合本基金基金合同规定。本类份额生效日为</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3</w:t>
      </w:r>
      <w:r>
        <w:rPr>
          <w:rFonts w:eastAsiaTheme="minorEastAsia"/>
          <w:color w:val="000000" w:themeColor="text1"/>
          <w:szCs w:val="21"/>
        </w:rPr>
        <w:t>月</w:t>
      </w:r>
      <w:r>
        <w:rPr>
          <w:rFonts w:eastAsiaTheme="minorEastAsia"/>
          <w:color w:val="000000" w:themeColor="text1"/>
          <w:szCs w:val="21"/>
        </w:rPr>
        <w:t>17</w:t>
      </w:r>
      <w:r>
        <w:rPr>
          <w:rFonts w:eastAsiaTheme="minorEastAsia"/>
          <w:color w:val="000000" w:themeColor="text1"/>
          <w:szCs w:val="21"/>
        </w:rPr>
        <w:t>日，图示的时间段为本类份额生效日至本报告期末。</w:t>
      </w:r>
    </w:p>
    <w:p w:rsidR="005E6DF3" w:rsidRPr="00B27A29" w:rsidRDefault="005C671B">
      <w:pPr>
        <w:spacing w:line="360" w:lineRule="auto"/>
        <w:ind w:firstLineChars="200" w:firstLine="420"/>
        <w:rPr>
          <w:rFonts w:eastAsiaTheme="minorEastAsia"/>
          <w:color w:val="000000" w:themeColor="text1"/>
          <w:szCs w:val="21"/>
        </w:rPr>
      </w:pPr>
      <w:r w:rsidRPr="00B27A29">
        <w:rPr>
          <w:rFonts w:eastAsiaTheme="minorEastAsia"/>
          <w:color w:val="000000" w:themeColor="text1"/>
          <w:szCs w:val="21"/>
        </w:rPr>
        <w:t>本基金自</w:t>
      </w:r>
      <w:r w:rsidRPr="00B27A29">
        <w:rPr>
          <w:rFonts w:eastAsiaTheme="minorEastAsia"/>
          <w:color w:val="000000" w:themeColor="text1"/>
          <w:szCs w:val="21"/>
        </w:rPr>
        <w:t>2013</w:t>
      </w:r>
      <w:r w:rsidRPr="00B27A29">
        <w:rPr>
          <w:rFonts w:eastAsiaTheme="minorEastAsia"/>
          <w:color w:val="000000" w:themeColor="text1"/>
          <w:szCs w:val="21"/>
        </w:rPr>
        <w:t>年</w:t>
      </w:r>
      <w:r w:rsidRPr="00B27A29">
        <w:rPr>
          <w:rFonts w:eastAsiaTheme="minorEastAsia"/>
          <w:color w:val="000000" w:themeColor="text1"/>
          <w:szCs w:val="21"/>
        </w:rPr>
        <w:t>12</w:t>
      </w:r>
      <w:r w:rsidRPr="00B27A29">
        <w:rPr>
          <w:rFonts w:eastAsiaTheme="minorEastAsia"/>
          <w:color w:val="000000" w:themeColor="text1"/>
          <w:szCs w:val="21"/>
        </w:rPr>
        <w:t>月</w:t>
      </w:r>
      <w:r w:rsidRPr="00B27A29">
        <w:rPr>
          <w:rFonts w:eastAsiaTheme="minorEastAsia"/>
          <w:color w:val="000000" w:themeColor="text1"/>
          <w:szCs w:val="21"/>
        </w:rPr>
        <w:t>7</w:t>
      </w:r>
      <w:r w:rsidRPr="00B27A29">
        <w:rPr>
          <w:rFonts w:eastAsiaTheme="minorEastAsia"/>
          <w:color w:val="000000" w:themeColor="text1"/>
          <w:szCs w:val="21"/>
        </w:rPr>
        <w:t>日起，将基金业绩比较基准由</w:t>
      </w:r>
      <w:r w:rsidRPr="00B27A29">
        <w:rPr>
          <w:rFonts w:eastAsiaTheme="minorEastAsia"/>
          <w:color w:val="000000" w:themeColor="text1"/>
          <w:szCs w:val="21"/>
        </w:rPr>
        <w:t>“</w:t>
      </w:r>
      <w:r w:rsidRPr="00B27A29">
        <w:rPr>
          <w:rFonts w:eastAsiaTheme="minorEastAsia"/>
          <w:color w:val="000000" w:themeColor="text1"/>
          <w:szCs w:val="21"/>
        </w:rPr>
        <w:t>富时中国</w:t>
      </w:r>
      <w:r w:rsidRPr="00B27A29">
        <w:rPr>
          <w:rFonts w:eastAsiaTheme="minorEastAsia"/>
          <w:color w:val="000000" w:themeColor="text1"/>
          <w:szCs w:val="21"/>
        </w:rPr>
        <w:t>150</w:t>
      </w:r>
      <w:r w:rsidRPr="00B27A29">
        <w:rPr>
          <w:rFonts w:eastAsiaTheme="minorEastAsia"/>
          <w:color w:val="000000" w:themeColor="text1"/>
          <w:szCs w:val="21"/>
        </w:rPr>
        <w:t>红利指数收益率</w:t>
      </w:r>
      <w:r w:rsidRPr="00B27A29">
        <w:rPr>
          <w:rFonts w:eastAsiaTheme="minorEastAsia"/>
          <w:color w:val="000000" w:themeColor="text1"/>
          <w:szCs w:val="21"/>
        </w:rPr>
        <w:t>×45%+</w:t>
      </w:r>
      <w:r w:rsidRPr="00B27A29">
        <w:rPr>
          <w:rFonts w:eastAsiaTheme="minorEastAsia"/>
          <w:color w:val="000000" w:themeColor="text1"/>
          <w:szCs w:val="21"/>
        </w:rPr>
        <w:t>富时中国国债指数收益率</w:t>
      </w:r>
      <w:r w:rsidRPr="00B27A29">
        <w:rPr>
          <w:rFonts w:eastAsiaTheme="minorEastAsia"/>
          <w:color w:val="000000" w:themeColor="text1"/>
          <w:szCs w:val="21"/>
        </w:rPr>
        <w:t>×45%+</w:t>
      </w:r>
      <w:r w:rsidRPr="00B27A29">
        <w:rPr>
          <w:rFonts w:eastAsiaTheme="minorEastAsia"/>
          <w:color w:val="000000" w:themeColor="text1"/>
          <w:szCs w:val="21"/>
        </w:rPr>
        <w:t>同业存款利率</w:t>
      </w:r>
      <w:r w:rsidRPr="00B27A29">
        <w:rPr>
          <w:rFonts w:eastAsiaTheme="minorEastAsia"/>
          <w:color w:val="000000" w:themeColor="text1"/>
          <w:szCs w:val="21"/>
        </w:rPr>
        <w:t>×10%”</w:t>
      </w:r>
      <w:r w:rsidRPr="00B27A29">
        <w:rPr>
          <w:rFonts w:eastAsiaTheme="minorEastAsia"/>
          <w:color w:val="000000" w:themeColor="text1"/>
          <w:szCs w:val="21"/>
        </w:rPr>
        <w:t>变更为</w:t>
      </w:r>
      <w:r w:rsidRPr="00B27A29">
        <w:rPr>
          <w:rFonts w:eastAsiaTheme="minorEastAsia"/>
          <w:color w:val="000000" w:themeColor="text1"/>
          <w:szCs w:val="21"/>
        </w:rPr>
        <w:t>“</w:t>
      </w:r>
      <w:r w:rsidRPr="00B27A29">
        <w:rPr>
          <w:rFonts w:eastAsiaTheme="minorEastAsia"/>
          <w:color w:val="000000" w:themeColor="text1"/>
          <w:szCs w:val="21"/>
        </w:rPr>
        <w:t>中证红利指数收益率</w:t>
      </w:r>
      <w:r w:rsidRPr="00B27A29">
        <w:rPr>
          <w:rFonts w:eastAsiaTheme="minorEastAsia"/>
          <w:color w:val="000000" w:themeColor="text1"/>
          <w:szCs w:val="21"/>
        </w:rPr>
        <w:t>×45%+</w:t>
      </w:r>
      <w:r w:rsidRPr="00B27A29">
        <w:rPr>
          <w:rFonts w:eastAsiaTheme="minorEastAsia"/>
          <w:color w:val="000000" w:themeColor="text1"/>
          <w:szCs w:val="21"/>
        </w:rPr>
        <w:t>中债总指数收益率</w:t>
      </w:r>
      <w:r w:rsidRPr="00B27A29">
        <w:rPr>
          <w:rFonts w:eastAsiaTheme="minorEastAsia"/>
          <w:color w:val="000000" w:themeColor="text1"/>
          <w:szCs w:val="21"/>
        </w:rPr>
        <w:t>×55%”</w:t>
      </w:r>
      <w:r w:rsidRPr="00B27A29">
        <w:rPr>
          <w:rFonts w:eastAsiaTheme="minorEastAsia"/>
          <w:color w:val="000000" w:themeColor="text1"/>
          <w:szCs w:val="21"/>
        </w:rPr>
        <w:t>。</w:t>
      </w:r>
    </w:p>
    <w:p w:rsidR="005E6DF3" w:rsidRPr="00B27A29" w:rsidRDefault="005E6DF3">
      <w:pPr>
        <w:tabs>
          <w:tab w:val="left" w:pos="1800"/>
        </w:tabs>
        <w:spacing w:line="288" w:lineRule="auto"/>
        <w:rPr>
          <w:rFonts w:eastAsiaTheme="minorEastAsia"/>
          <w:color w:val="000000" w:themeColor="text1"/>
          <w:szCs w:val="21"/>
        </w:rPr>
      </w:pPr>
    </w:p>
    <w:p w:rsidR="005E6DF3" w:rsidRPr="00B27A29" w:rsidRDefault="005C671B">
      <w:pPr>
        <w:pStyle w:val="1"/>
        <w:spacing w:beforeLines="100" w:before="312" w:afterLines="100" w:after="312" w:line="360" w:lineRule="auto"/>
        <w:jc w:val="center"/>
        <w:rPr>
          <w:rFonts w:eastAsiaTheme="minorEastAsia"/>
          <w:color w:val="000000" w:themeColor="text1"/>
          <w:kern w:val="0"/>
          <w:sz w:val="21"/>
          <w:szCs w:val="21"/>
        </w:rPr>
      </w:pPr>
      <w:r w:rsidRPr="00B27A29">
        <w:rPr>
          <w:rFonts w:eastAsiaTheme="minorEastAsia"/>
          <w:color w:val="000000" w:themeColor="text1"/>
          <w:kern w:val="0"/>
          <w:sz w:val="21"/>
          <w:szCs w:val="21"/>
        </w:rPr>
        <w:t xml:space="preserve">§4  </w:t>
      </w:r>
      <w:r w:rsidRPr="00B27A29">
        <w:rPr>
          <w:rFonts w:eastAsiaTheme="minorEastAsia"/>
          <w:color w:val="000000" w:themeColor="text1"/>
          <w:kern w:val="0"/>
          <w:sz w:val="21"/>
          <w:szCs w:val="21"/>
        </w:rPr>
        <w:t>管理人报告</w:t>
      </w:r>
    </w:p>
    <w:p w:rsidR="005E6DF3" w:rsidRPr="00B27A29" w:rsidRDefault="005C671B">
      <w:pPr>
        <w:autoSpaceDE w:val="0"/>
        <w:autoSpaceDN w:val="0"/>
        <w:adjustRightInd w:val="0"/>
        <w:spacing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 xml:space="preserve">4.1 </w:t>
      </w:r>
      <w:r w:rsidRPr="00B27A29">
        <w:rPr>
          <w:rFonts w:eastAsiaTheme="minorEastAsia"/>
          <w:b/>
          <w:color w:val="000000" w:themeColor="text1"/>
          <w:kern w:val="0"/>
          <w:szCs w:val="21"/>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930"/>
        <w:gridCol w:w="1210"/>
        <w:gridCol w:w="1309"/>
        <w:gridCol w:w="1254"/>
        <w:gridCol w:w="3276"/>
      </w:tblGrid>
      <w:tr w:rsidR="005E6DF3" w:rsidRPr="00B27A29">
        <w:tc>
          <w:tcPr>
            <w:tcW w:w="952" w:type="dxa"/>
            <w:vMerge w:val="restart"/>
            <w:vAlign w:val="center"/>
          </w:tcPr>
          <w:p w:rsidR="005E6DF3" w:rsidRPr="00B27A29" w:rsidRDefault="005C671B">
            <w:pPr>
              <w:autoSpaceDE w:val="0"/>
              <w:autoSpaceDN w:val="0"/>
              <w:adjustRightInd w:val="0"/>
              <w:spacing w:before="29" w:line="288" w:lineRule="auto"/>
              <w:ind w:left="15"/>
              <w:jc w:val="center"/>
              <w:rPr>
                <w:rFonts w:eastAsiaTheme="minorEastAsia"/>
                <w:color w:val="000000" w:themeColor="text1"/>
                <w:kern w:val="0"/>
                <w:szCs w:val="21"/>
              </w:rPr>
            </w:pPr>
            <w:r w:rsidRPr="00B27A29">
              <w:rPr>
                <w:rFonts w:eastAsiaTheme="minorEastAsia"/>
                <w:color w:val="000000" w:themeColor="text1"/>
                <w:kern w:val="0"/>
                <w:szCs w:val="21"/>
              </w:rPr>
              <w:t>姓名</w:t>
            </w:r>
          </w:p>
        </w:tc>
        <w:tc>
          <w:tcPr>
            <w:tcW w:w="930" w:type="dxa"/>
            <w:vMerge w:val="restart"/>
            <w:vAlign w:val="center"/>
          </w:tcPr>
          <w:p w:rsidR="005E6DF3" w:rsidRPr="00B27A29" w:rsidRDefault="005C671B">
            <w:pPr>
              <w:autoSpaceDE w:val="0"/>
              <w:autoSpaceDN w:val="0"/>
              <w:adjustRightInd w:val="0"/>
              <w:spacing w:before="29" w:line="288" w:lineRule="auto"/>
              <w:ind w:left="15"/>
              <w:jc w:val="center"/>
              <w:rPr>
                <w:rFonts w:eastAsiaTheme="minorEastAsia"/>
                <w:color w:val="000000" w:themeColor="text1"/>
                <w:kern w:val="0"/>
                <w:szCs w:val="21"/>
              </w:rPr>
            </w:pPr>
            <w:r w:rsidRPr="00B27A29">
              <w:rPr>
                <w:rFonts w:eastAsiaTheme="minorEastAsia"/>
                <w:color w:val="000000" w:themeColor="text1"/>
                <w:kern w:val="0"/>
                <w:szCs w:val="21"/>
              </w:rPr>
              <w:t>职务</w:t>
            </w:r>
          </w:p>
        </w:tc>
        <w:tc>
          <w:tcPr>
            <w:tcW w:w="2519" w:type="dxa"/>
            <w:gridSpan w:val="2"/>
            <w:vAlign w:val="center"/>
          </w:tcPr>
          <w:p w:rsidR="005E6DF3" w:rsidRPr="00B27A29" w:rsidRDefault="005C671B">
            <w:pPr>
              <w:autoSpaceDE w:val="0"/>
              <w:autoSpaceDN w:val="0"/>
              <w:adjustRightInd w:val="0"/>
              <w:spacing w:before="29" w:line="288" w:lineRule="auto"/>
              <w:ind w:left="15"/>
              <w:jc w:val="center"/>
              <w:rPr>
                <w:rFonts w:eastAsiaTheme="minorEastAsia"/>
                <w:color w:val="000000" w:themeColor="text1"/>
                <w:kern w:val="0"/>
                <w:szCs w:val="21"/>
              </w:rPr>
            </w:pPr>
            <w:r w:rsidRPr="00B27A29">
              <w:rPr>
                <w:rFonts w:eastAsiaTheme="minorEastAsia"/>
                <w:color w:val="000000" w:themeColor="text1"/>
                <w:kern w:val="0"/>
                <w:szCs w:val="21"/>
              </w:rPr>
              <w:t>任本基金的基金经理期限</w:t>
            </w:r>
          </w:p>
        </w:tc>
        <w:tc>
          <w:tcPr>
            <w:tcW w:w="1254" w:type="dxa"/>
            <w:vMerge w:val="restart"/>
            <w:vAlign w:val="center"/>
          </w:tcPr>
          <w:p w:rsidR="005E6DF3" w:rsidRPr="00B27A29" w:rsidRDefault="005C671B">
            <w:pPr>
              <w:autoSpaceDE w:val="0"/>
              <w:autoSpaceDN w:val="0"/>
              <w:adjustRightInd w:val="0"/>
              <w:spacing w:before="29" w:line="288" w:lineRule="auto"/>
              <w:ind w:left="15"/>
              <w:jc w:val="center"/>
              <w:rPr>
                <w:rFonts w:eastAsiaTheme="minorEastAsia"/>
                <w:color w:val="000000" w:themeColor="text1"/>
                <w:kern w:val="0"/>
                <w:szCs w:val="21"/>
              </w:rPr>
            </w:pPr>
            <w:r w:rsidRPr="00B27A29">
              <w:rPr>
                <w:rFonts w:eastAsiaTheme="minorEastAsia"/>
                <w:color w:val="000000" w:themeColor="text1"/>
                <w:kern w:val="0"/>
                <w:szCs w:val="21"/>
              </w:rPr>
              <w:t>证券从业年限</w:t>
            </w:r>
          </w:p>
        </w:tc>
        <w:tc>
          <w:tcPr>
            <w:tcW w:w="3276" w:type="dxa"/>
            <w:vMerge w:val="restart"/>
            <w:vAlign w:val="center"/>
          </w:tcPr>
          <w:p w:rsidR="005E6DF3" w:rsidRPr="00B27A29" w:rsidRDefault="005C671B">
            <w:pPr>
              <w:autoSpaceDE w:val="0"/>
              <w:autoSpaceDN w:val="0"/>
              <w:adjustRightInd w:val="0"/>
              <w:spacing w:before="29" w:line="288" w:lineRule="auto"/>
              <w:ind w:left="15"/>
              <w:jc w:val="center"/>
              <w:rPr>
                <w:rFonts w:eastAsiaTheme="minorEastAsia"/>
                <w:color w:val="000000" w:themeColor="text1"/>
                <w:kern w:val="0"/>
                <w:szCs w:val="21"/>
              </w:rPr>
            </w:pPr>
            <w:r w:rsidRPr="00B27A29">
              <w:rPr>
                <w:rFonts w:eastAsiaTheme="minorEastAsia"/>
                <w:color w:val="000000" w:themeColor="text1"/>
                <w:kern w:val="0"/>
                <w:szCs w:val="21"/>
              </w:rPr>
              <w:t>说明</w:t>
            </w:r>
          </w:p>
        </w:tc>
      </w:tr>
      <w:tr w:rsidR="005E6DF3" w:rsidRPr="00B27A29">
        <w:tc>
          <w:tcPr>
            <w:tcW w:w="952" w:type="dxa"/>
            <w:vMerge/>
            <w:vAlign w:val="center"/>
          </w:tcPr>
          <w:p w:rsidR="005E6DF3" w:rsidRPr="00B27A29" w:rsidRDefault="005E6DF3">
            <w:pPr>
              <w:autoSpaceDE w:val="0"/>
              <w:autoSpaceDN w:val="0"/>
              <w:adjustRightInd w:val="0"/>
              <w:spacing w:before="29" w:line="288" w:lineRule="auto"/>
              <w:ind w:left="15"/>
              <w:jc w:val="center"/>
              <w:rPr>
                <w:rFonts w:eastAsiaTheme="minorEastAsia"/>
                <w:color w:val="000000" w:themeColor="text1"/>
                <w:kern w:val="0"/>
                <w:szCs w:val="21"/>
              </w:rPr>
            </w:pPr>
          </w:p>
        </w:tc>
        <w:tc>
          <w:tcPr>
            <w:tcW w:w="930" w:type="dxa"/>
            <w:vMerge/>
          </w:tcPr>
          <w:p w:rsidR="005E6DF3" w:rsidRPr="00B27A29" w:rsidRDefault="005E6DF3">
            <w:pPr>
              <w:autoSpaceDE w:val="0"/>
              <w:autoSpaceDN w:val="0"/>
              <w:adjustRightInd w:val="0"/>
              <w:spacing w:before="29" w:line="288" w:lineRule="auto"/>
              <w:ind w:left="15"/>
              <w:jc w:val="center"/>
              <w:rPr>
                <w:rFonts w:eastAsiaTheme="minorEastAsia"/>
                <w:color w:val="000000" w:themeColor="text1"/>
                <w:kern w:val="0"/>
                <w:szCs w:val="21"/>
              </w:rPr>
            </w:pPr>
          </w:p>
        </w:tc>
        <w:tc>
          <w:tcPr>
            <w:tcW w:w="1210" w:type="dxa"/>
            <w:vAlign w:val="center"/>
          </w:tcPr>
          <w:p w:rsidR="005E6DF3" w:rsidRPr="00B27A29" w:rsidRDefault="005C671B">
            <w:pPr>
              <w:autoSpaceDE w:val="0"/>
              <w:autoSpaceDN w:val="0"/>
              <w:adjustRightInd w:val="0"/>
              <w:spacing w:before="29" w:line="288" w:lineRule="auto"/>
              <w:ind w:left="15"/>
              <w:jc w:val="center"/>
              <w:rPr>
                <w:rFonts w:eastAsiaTheme="minorEastAsia"/>
                <w:color w:val="000000" w:themeColor="text1"/>
                <w:kern w:val="0"/>
                <w:szCs w:val="21"/>
              </w:rPr>
            </w:pPr>
            <w:r w:rsidRPr="00B27A29">
              <w:rPr>
                <w:rFonts w:eastAsiaTheme="minorEastAsia"/>
                <w:color w:val="000000" w:themeColor="text1"/>
                <w:kern w:val="0"/>
                <w:szCs w:val="21"/>
              </w:rPr>
              <w:t>任职日期</w:t>
            </w:r>
          </w:p>
        </w:tc>
        <w:tc>
          <w:tcPr>
            <w:tcW w:w="1309" w:type="dxa"/>
            <w:vAlign w:val="center"/>
          </w:tcPr>
          <w:p w:rsidR="005E6DF3" w:rsidRPr="00B27A29" w:rsidRDefault="005C671B">
            <w:pPr>
              <w:autoSpaceDE w:val="0"/>
              <w:autoSpaceDN w:val="0"/>
              <w:adjustRightInd w:val="0"/>
              <w:spacing w:before="29" w:line="288" w:lineRule="auto"/>
              <w:ind w:left="15"/>
              <w:jc w:val="center"/>
              <w:rPr>
                <w:rFonts w:eastAsiaTheme="minorEastAsia"/>
                <w:color w:val="000000" w:themeColor="text1"/>
                <w:kern w:val="0"/>
                <w:szCs w:val="21"/>
              </w:rPr>
            </w:pPr>
            <w:r w:rsidRPr="00B27A29">
              <w:rPr>
                <w:rFonts w:eastAsiaTheme="minorEastAsia"/>
                <w:color w:val="000000" w:themeColor="text1"/>
                <w:kern w:val="0"/>
                <w:szCs w:val="21"/>
              </w:rPr>
              <w:t>离任日期</w:t>
            </w:r>
          </w:p>
        </w:tc>
        <w:tc>
          <w:tcPr>
            <w:tcW w:w="1254" w:type="dxa"/>
            <w:vMerge/>
            <w:vAlign w:val="center"/>
          </w:tcPr>
          <w:p w:rsidR="005E6DF3" w:rsidRPr="00B27A29" w:rsidRDefault="005E6DF3">
            <w:pPr>
              <w:autoSpaceDE w:val="0"/>
              <w:autoSpaceDN w:val="0"/>
              <w:adjustRightInd w:val="0"/>
              <w:spacing w:before="29" w:line="288" w:lineRule="auto"/>
              <w:ind w:left="15"/>
              <w:jc w:val="center"/>
              <w:rPr>
                <w:rFonts w:eastAsiaTheme="minorEastAsia"/>
                <w:color w:val="000000" w:themeColor="text1"/>
                <w:kern w:val="0"/>
                <w:szCs w:val="21"/>
              </w:rPr>
            </w:pPr>
          </w:p>
        </w:tc>
        <w:tc>
          <w:tcPr>
            <w:tcW w:w="3276" w:type="dxa"/>
            <w:vMerge/>
            <w:vAlign w:val="center"/>
          </w:tcPr>
          <w:p w:rsidR="005E6DF3" w:rsidRPr="00B27A29" w:rsidRDefault="005E6DF3">
            <w:pPr>
              <w:autoSpaceDE w:val="0"/>
              <w:autoSpaceDN w:val="0"/>
              <w:adjustRightInd w:val="0"/>
              <w:spacing w:before="29" w:line="288" w:lineRule="auto"/>
              <w:ind w:left="15"/>
              <w:jc w:val="center"/>
              <w:rPr>
                <w:rFonts w:eastAsiaTheme="minorEastAsia"/>
                <w:color w:val="000000" w:themeColor="text1"/>
                <w:kern w:val="0"/>
                <w:szCs w:val="21"/>
              </w:rPr>
            </w:pPr>
          </w:p>
        </w:tc>
      </w:tr>
      <w:tr w:rsidR="008D36E2">
        <w:tc>
          <w:tcPr>
            <w:tcW w:w="952" w:type="dxa"/>
            <w:vAlign w:val="center"/>
          </w:tcPr>
          <w:p w:rsidR="008D36E2" w:rsidRDefault="0013308F">
            <w:pPr>
              <w:jc w:val="center"/>
            </w:pPr>
            <w:r>
              <w:rPr>
                <w:rFonts w:eastAsiaTheme="minorEastAsia"/>
                <w:color w:val="000000" w:themeColor="text1"/>
                <w:szCs w:val="21"/>
              </w:rPr>
              <w:t>孙芳</w:t>
            </w:r>
          </w:p>
        </w:tc>
        <w:tc>
          <w:tcPr>
            <w:tcW w:w="930" w:type="dxa"/>
            <w:vAlign w:val="center"/>
          </w:tcPr>
          <w:p w:rsidR="008D36E2" w:rsidRDefault="0013308F">
            <w:pPr>
              <w:jc w:val="center"/>
            </w:pPr>
            <w:r>
              <w:rPr>
                <w:rFonts w:eastAsiaTheme="minorEastAsia"/>
                <w:color w:val="000000" w:themeColor="text1"/>
                <w:szCs w:val="21"/>
              </w:rPr>
              <w:t>本基金基金经理、副总经理兼投资副总监</w:t>
            </w:r>
          </w:p>
        </w:tc>
        <w:tc>
          <w:tcPr>
            <w:tcW w:w="1210" w:type="dxa"/>
            <w:vAlign w:val="center"/>
          </w:tcPr>
          <w:p w:rsidR="008D36E2" w:rsidRDefault="0013308F">
            <w:pPr>
              <w:jc w:val="center"/>
            </w:pPr>
            <w:r>
              <w:rPr>
                <w:rFonts w:eastAsiaTheme="minorEastAsia"/>
                <w:color w:val="000000" w:themeColor="text1"/>
                <w:szCs w:val="21"/>
              </w:rPr>
              <w:t>2011-12-08</w:t>
            </w:r>
          </w:p>
        </w:tc>
        <w:tc>
          <w:tcPr>
            <w:tcW w:w="1309" w:type="dxa"/>
            <w:vAlign w:val="center"/>
          </w:tcPr>
          <w:p w:rsidR="008D36E2" w:rsidRDefault="0013308F">
            <w:pPr>
              <w:jc w:val="center"/>
            </w:pPr>
            <w:r>
              <w:rPr>
                <w:rFonts w:eastAsiaTheme="minorEastAsia"/>
                <w:color w:val="000000" w:themeColor="text1"/>
                <w:szCs w:val="21"/>
              </w:rPr>
              <w:t>-</w:t>
            </w:r>
          </w:p>
        </w:tc>
        <w:tc>
          <w:tcPr>
            <w:tcW w:w="1254" w:type="dxa"/>
            <w:vAlign w:val="center"/>
          </w:tcPr>
          <w:p w:rsidR="008D36E2" w:rsidRDefault="0013308F">
            <w:pPr>
              <w:jc w:val="center"/>
            </w:pPr>
            <w:r>
              <w:rPr>
                <w:rFonts w:eastAsiaTheme="minorEastAsia"/>
                <w:color w:val="000000" w:themeColor="text1"/>
                <w:szCs w:val="21"/>
              </w:rPr>
              <w:t>18</w:t>
            </w:r>
            <w:r>
              <w:rPr>
                <w:rFonts w:eastAsiaTheme="minorEastAsia"/>
                <w:color w:val="000000" w:themeColor="text1"/>
                <w:szCs w:val="21"/>
              </w:rPr>
              <w:t>年</w:t>
            </w:r>
          </w:p>
        </w:tc>
        <w:tc>
          <w:tcPr>
            <w:tcW w:w="3276" w:type="dxa"/>
            <w:vAlign w:val="center"/>
          </w:tcPr>
          <w:p w:rsidR="008D36E2" w:rsidRDefault="0013308F">
            <w:r>
              <w:rPr>
                <w:rFonts w:eastAsiaTheme="minorEastAsia"/>
                <w:color w:val="000000" w:themeColor="text1"/>
                <w:szCs w:val="21"/>
              </w:rPr>
              <w:t>孙芳女士，华东师范大学经济学硕士，</w:t>
            </w:r>
            <w:r>
              <w:rPr>
                <w:rFonts w:eastAsiaTheme="minorEastAsia"/>
                <w:color w:val="000000" w:themeColor="text1"/>
                <w:szCs w:val="21"/>
              </w:rPr>
              <w:t>2003</w:t>
            </w:r>
            <w:r>
              <w:rPr>
                <w:rFonts w:eastAsiaTheme="minorEastAsia"/>
                <w:color w:val="000000" w:themeColor="text1"/>
                <w:szCs w:val="21"/>
              </w:rPr>
              <w:t>年</w:t>
            </w:r>
            <w:r>
              <w:rPr>
                <w:rFonts w:eastAsiaTheme="minorEastAsia"/>
                <w:color w:val="000000" w:themeColor="text1"/>
                <w:szCs w:val="21"/>
              </w:rPr>
              <w:t>7</w:t>
            </w:r>
            <w:r>
              <w:rPr>
                <w:rFonts w:eastAsiaTheme="minorEastAsia"/>
                <w:color w:val="000000" w:themeColor="text1"/>
                <w:szCs w:val="21"/>
              </w:rPr>
              <w:t>月至</w:t>
            </w:r>
            <w:r>
              <w:rPr>
                <w:rFonts w:eastAsiaTheme="minorEastAsia"/>
                <w:color w:val="000000" w:themeColor="text1"/>
                <w:szCs w:val="21"/>
              </w:rPr>
              <w:t>2006</w:t>
            </w:r>
            <w:r>
              <w:rPr>
                <w:rFonts w:eastAsiaTheme="minorEastAsia"/>
                <w:color w:val="000000" w:themeColor="text1"/>
                <w:szCs w:val="21"/>
              </w:rPr>
              <w:t>年</w:t>
            </w:r>
            <w:r>
              <w:rPr>
                <w:rFonts w:eastAsiaTheme="minorEastAsia"/>
                <w:color w:val="000000" w:themeColor="text1"/>
                <w:szCs w:val="21"/>
              </w:rPr>
              <w:t>10</w:t>
            </w:r>
            <w:r>
              <w:rPr>
                <w:rFonts w:eastAsiaTheme="minorEastAsia"/>
                <w:color w:val="000000" w:themeColor="text1"/>
                <w:szCs w:val="21"/>
              </w:rPr>
              <w:t>月任华宝兴业基金行业研究员。</w:t>
            </w:r>
            <w:r>
              <w:rPr>
                <w:rFonts w:eastAsiaTheme="minorEastAsia"/>
                <w:color w:val="000000" w:themeColor="text1"/>
                <w:szCs w:val="21"/>
              </w:rPr>
              <w:t>2006</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月起加入上投摩根基金管理有限公司，先后担任行业专家、基金经理助理、研究部副总监、基金经理、总经理助理</w:t>
            </w:r>
            <w:r>
              <w:rPr>
                <w:rFonts w:eastAsiaTheme="minorEastAsia"/>
                <w:color w:val="000000" w:themeColor="text1"/>
                <w:szCs w:val="21"/>
              </w:rPr>
              <w:t>/</w:t>
            </w:r>
            <w:r>
              <w:rPr>
                <w:rFonts w:eastAsiaTheme="minorEastAsia"/>
                <w:color w:val="000000" w:themeColor="text1"/>
                <w:szCs w:val="21"/>
              </w:rPr>
              <w:t>国内权益投资二部总监兼资深基金经理、副总经</w:t>
            </w:r>
            <w:r>
              <w:rPr>
                <w:rFonts w:eastAsiaTheme="minorEastAsia"/>
                <w:color w:val="000000" w:themeColor="text1"/>
                <w:szCs w:val="21"/>
              </w:rPr>
              <w:lastRenderedPageBreak/>
              <w:t>理兼投资副总监。自</w:t>
            </w:r>
            <w:r>
              <w:rPr>
                <w:rFonts w:eastAsiaTheme="minorEastAsia"/>
                <w:color w:val="000000" w:themeColor="text1"/>
                <w:szCs w:val="21"/>
              </w:rPr>
              <w:t>2011</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月起担任上投摩根双息平衡混合型证券投资基金基金经理，自</w:t>
            </w:r>
            <w:r>
              <w:rPr>
                <w:rFonts w:eastAsiaTheme="minorEastAsia"/>
                <w:color w:val="000000" w:themeColor="text1"/>
                <w:szCs w:val="21"/>
              </w:rPr>
              <w:t>2012</w:t>
            </w:r>
            <w:r>
              <w:rPr>
                <w:rFonts w:eastAsiaTheme="minorEastAsia"/>
                <w:color w:val="000000" w:themeColor="text1"/>
                <w:szCs w:val="21"/>
              </w:rPr>
              <w:t>年</w:t>
            </w:r>
            <w:r>
              <w:rPr>
                <w:rFonts w:eastAsiaTheme="minorEastAsia"/>
                <w:color w:val="000000" w:themeColor="text1"/>
                <w:szCs w:val="21"/>
              </w:rPr>
              <w:t>11</w:t>
            </w:r>
            <w:r>
              <w:rPr>
                <w:rFonts w:eastAsiaTheme="minorEastAsia"/>
                <w:color w:val="000000" w:themeColor="text1"/>
                <w:szCs w:val="21"/>
              </w:rPr>
              <w:t>月起同时担任上投摩根核心优选混合型证券投资基金基金经理，</w:t>
            </w:r>
            <w:r>
              <w:rPr>
                <w:rFonts w:eastAsiaTheme="minorEastAsia"/>
                <w:color w:val="000000" w:themeColor="text1"/>
                <w:szCs w:val="21"/>
              </w:rPr>
              <w:t>2014</w:t>
            </w:r>
            <w:r>
              <w:rPr>
                <w:rFonts w:eastAsiaTheme="minorEastAsia"/>
                <w:color w:val="000000" w:themeColor="text1"/>
                <w:szCs w:val="21"/>
              </w:rPr>
              <w:t>年</w:t>
            </w:r>
            <w:r>
              <w:rPr>
                <w:rFonts w:eastAsiaTheme="minorEastAsia"/>
                <w:color w:val="000000" w:themeColor="text1"/>
                <w:szCs w:val="21"/>
              </w:rPr>
              <w:t>2</w:t>
            </w:r>
            <w:r>
              <w:rPr>
                <w:rFonts w:eastAsiaTheme="minorEastAsia"/>
                <w:color w:val="000000" w:themeColor="text1"/>
                <w:szCs w:val="21"/>
              </w:rPr>
              <w:t>月至</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7</w:t>
            </w:r>
            <w:r>
              <w:rPr>
                <w:rFonts w:eastAsiaTheme="minorEastAsia"/>
                <w:color w:val="000000" w:themeColor="text1"/>
                <w:szCs w:val="21"/>
              </w:rPr>
              <w:t>月同时担任上投摩根核心成长股票型证券投资基金基金经理，自</w:t>
            </w:r>
            <w:r>
              <w:rPr>
                <w:rFonts w:eastAsiaTheme="minorEastAsia"/>
                <w:color w:val="000000" w:themeColor="text1"/>
                <w:szCs w:val="21"/>
              </w:rPr>
              <w:t>2014</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月起同时担任上投摩根行业轮动混合型证券投资基金基金经理，自</w:t>
            </w:r>
            <w:r>
              <w:rPr>
                <w:rFonts w:eastAsiaTheme="minorEastAsia"/>
                <w:color w:val="000000" w:themeColor="text1"/>
                <w:szCs w:val="21"/>
              </w:rPr>
              <w:t>2021</w:t>
            </w:r>
            <w:r>
              <w:rPr>
                <w:rFonts w:eastAsiaTheme="minorEastAsia"/>
                <w:color w:val="000000" w:themeColor="text1"/>
                <w:szCs w:val="21"/>
              </w:rPr>
              <w:t>年</w:t>
            </w:r>
            <w:r>
              <w:rPr>
                <w:rFonts w:eastAsiaTheme="minorEastAsia"/>
                <w:color w:val="000000" w:themeColor="text1"/>
                <w:szCs w:val="21"/>
              </w:rPr>
              <w:t>2</w:t>
            </w:r>
            <w:r>
              <w:rPr>
                <w:rFonts w:eastAsiaTheme="minorEastAsia"/>
                <w:color w:val="000000" w:themeColor="text1"/>
                <w:szCs w:val="21"/>
              </w:rPr>
              <w:t>月起同时担任上投摩根行业睿选股票型证券投资基金基金经理。</w:t>
            </w:r>
          </w:p>
        </w:tc>
      </w:tr>
      <w:tr w:rsidR="008D36E2">
        <w:tc>
          <w:tcPr>
            <w:tcW w:w="952" w:type="dxa"/>
            <w:vAlign w:val="center"/>
          </w:tcPr>
          <w:p w:rsidR="008D36E2" w:rsidRDefault="0013308F">
            <w:pPr>
              <w:jc w:val="center"/>
            </w:pPr>
            <w:r>
              <w:rPr>
                <w:rFonts w:eastAsiaTheme="minorEastAsia"/>
                <w:color w:val="000000" w:themeColor="text1"/>
                <w:szCs w:val="21"/>
              </w:rPr>
              <w:lastRenderedPageBreak/>
              <w:t>李博</w:t>
            </w:r>
          </w:p>
        </w:tc>
        <w:tc>
          <w:tcPr>
            <w:tcW w:w="930" w:type="dxa"/>
            <w:vAlign w:val="center"/>
          </w:tcPr>
          <w:p w:rsidR="008D36E2" w:rsidRDefault="0013308F">
            <w:pPr>
              <w:jc w:val="center"/>
            </w:pPr>
            <w:r>
              <w:rPr>
                <w:rFonts w:eastAsiaTheme="minorEastAsia"/>
                <w:color w:val="000000" w:themeColor="text1"/>
                <w:szCs w:val="21"/>
              </w:rPr>
              <w:t>本基金基金经理</w:t>
            </w:r>
          </w:p>
        </w:tc>
        <w:tc>
          <w:tcPr>
            <w:tcW w:w="1210" w:type="dxa"/>
            <w:vAlign w:val="center"/>
          </w:tcPr>
          <w:p w:rsidR="008D36E2" w:rsidRDefault="0013308F">
            <w:pPr>
              <w:jc w:val="center"/>
            </w:pPr>
            <w:r>
              <w:rPr>
                <w:rFonts w:eastAsiaTheme="minorEastAsia"/>
                <w:color w:val="000000" w:themeColor="text1"/>
                <w:szCs w:val="21"/>
              </w:rPr>
              <w:t>2016-10-28</w:t>
            </w:r>
          </w:p>
        </w:tc>
        <w:tc>
          <w:tcPr>
            <w:tcW w:w="1309" w:type="dxa"/>
            <w:vAlign w:val="center"/>
          </w:tcPr>
          <w:p w:rsidR="008D36E2" w:rsidRDefault="0013308F">
            <w:pPr>
              <w:jc w:val="center"/>
            </w:pPr>
            <w:r>
              <w:rPr>
                <w:rFonts w:eastAsiaTheme="minorEastAsia"/>
                <w:color w:val="000000" w:themeColor="text1"/>
                <w:szCs w:val="21"/>
              </w:rPr>
              <w:t>-</w:t>
            </w:r>
          </w:p>
        </w:tc>
        <w:tc>
          <w:tcPr>
            <w:tcW w:w="1254" w:type="dxa"/>
            <w:vAlign w:val="center"/>
          </w:tcPr>
          <w:p w:rsidR="008D36E2" w:rsidRDefault="0013308F">
            <w:pPr>
              <w:jc w:val="center"/>
            </w:pPr>
            <w:r>
              <w:rPr>
                <w:rFonts w:eastAsiaTheme="minorEastAsia"/>
                <w:color w:val="000000" w:themeColor="text1"/>
                <w:szCs w:val="21"/>
              </w:rPr>
              <w:t>12</w:t>
            </w:r>
            <w:r>
              <w:rPr>
                <w:rFonts w:eastAsiaTheme="minorEastAsia"/>
                <w:color w:val="000000" w:themeColor="text1"/>
                <w:szCs w:val="21"/>
              </w:rPr>
              <w:t>年</w:t>
            </w:r>
          </w:p>
        </w:tc>
        <w:tc>
          <w:tcPr>
            <w:tcW w:w="3276" w:type="dxa"/>
            <w:vAlign w:val="center"/>
          </w:tcPr>
          <w:p w:rsidR="008D36E2" w:rsidRDefault="0013308F">
            <w:r>
              <w:rPr>
                <w:rFonts w:eastAsiaTheme="minorEastAsia"/>
                <w:color w:val="000000" w:themeColor="text1"/>
                <w:szCs w:val="21"/>
              </w:rPr>
              <w:t>李博先生，上海交通大学硕士，自</w:t>
            </w:r>
            <w:r>
              <w:rPr>
                <w:rFonts w:eastAsiaTheme="minorEastAsia"/>
                <w:color w:val="000000" w:themeColor="text1"/>
                <w:szCs w:val="21"/>
              </w:rPr>
              <w:t>2009</w:t>
            </w:r>
            <w:r>
              <w:rPr>
                <w:rFonts w:eastAsiaTheme="minorEastAsia"/>
                <w:color w:val="000000" w:themeColor="text1"/>
                <w:szCs w:val="21"/>
              </w:rPr>
              <w:t>年</w:t>
            </w:r>
            <w:r>
              <w:rPr>
                <w:rFonts w:eastAsiaTheme="minorEastAsia"/>
                <w:color w:val="000000" w:themeColor="text1"/>
                <w:szCs w:val="21"/>
              </w:rPr>
              <w:t>3</w:t>
            </w:r>
            <w:r>
              <w:rPr>
                <w:rFonts w:eastAsiaTheme="minorEastAsia"/>
                <w:color w:val="000000" w:themeColor="text1"/>
                <w:szCs w:val="21"/>
              </w:rPr>
              <w:t>月至</w:t>
            </w:r>
            <w:r>
              <w:rPr>
                <w:rFonts w:eastAsiaTheme="minorEastAsia"/>
                <w:color w:val="000000" w:themeColor="text1"/>
                <w:szCs w:val="21"/>
              </w:rPr>
              <w:t>2010</w:t>
            </w:r>
            <w:r>
              <w:rPr>
                <w:rFonts w:eastAsiaTheme="minorEastAsia"/>
                <w:color w:val="000000" w:themeColor="text1"/>
                <w:szCs w:val="21"/>
              </w:rPr>
              <w:t>年</w:t>
            </w:r>
            <w:r>
              <w:rPr>
                <w:rFonts w:eastAsiaTheme="minorEastAsia"/>
                <w:color w:val="000000" w:themeColor="text1"/>
                <w:szCs w:val="21"/>
              </w:rPr>
              <w:t>10</w:t>
            </w:r>
            <w:r>
              <w:rPr>
                <w:rFonts w:eastAsiaTheme="minorEastAsia"/>
                <w:color w:val="000000" w:themeColor="text1"/>
                <w:szCs w:val="21"/>
              </w:rPr>
              <w:t>月在中银国际证券有限公司担任研究员，负责研究方面的工作。自</w:t>
            </w:r>
            <w:r>
              <w:rPr>
                <w:rFonts w:eastAsiaTheme="minorEastAsia"/>
                <w:color w:val="000000" w:themeColor="text1"/>
                <w:szCs w:val="21"/>
              </w:rPr>
              <w:t>2010</w:t>
            </w:r>
            <w:r>
              <w:rPr>
                <w:rFonts w:eastAsiaTheme="minorEastAsia"/>
                <w:color w:val="000000" w:themeColor="text1"/>
                <w:szCs w:val="21"/>
              </w:rPr>
              <w:t>年</w:t>
            </w:r>
            <w:r>
              <w:rPr>
                <w:rFonts w:eastAsiaTheme="minorEastAsia"/>
                <w:color w:val="000000" w:themeColor="text1"/>
                <w:szCs w:val="21"/>
              </w:rPr>
              <w:t>11</w:t>
            </w:r>
            <w:r>
              <w:rPr>
                <w:rFonts w:eastAsiaTheme="minorEastAsia"/>
                <w:color w:val="000000" w:themeColor="text1"/>
                <w:szCs w:val="21"/>
              </w:rPr>
              <w:t>月起加入上投摩根基金管理有限公司，先后担任行业专家、基金经理、资深基金经理、国内权益投资部价值成长组组长兼资深基金经理，自</w:t>
            </w:r>
            <w:r>
              <w:rPr>
                <w:rFonts w:eastAsiaTheme="minorEastAsia"/>
                <w:color w:val="000000" w:themeColor="text1"/>
                <w:szCs w:val="21"/>
              </w:rPr>
              <w:t>2014</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月起担任上投摩根核心成长股票型证券投资基金基金经理，</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8</w:t>
            </w:r>
            <w:r>
              <w:rPr>
                <w:rFonts w:eastAsiaTheme="minorEastAsia"/>
                <w:color w:val="000000" w:themeColor="text1"/>
                <w:szCs w:val="21"/>
              </w:rPr>
              <w:t>月至</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11</w:t>
            </w:r>
            <w:r>
              <w:rPr>
                <w:rFonts w:eastAsiaTheme="minorEastAsia"/>
                <w:color w:val="000000" w:themeColor="text1"/>
                <w:szCs w:val="21"/>
              </w:rPr>
              <w:t>月同时担任上投摩根科技前沿灵活配置混合型证券投资基金基金经理，自</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9</w:t>
            </w:r>
            <w:r>
              <w:rPr>
                <w:rFonts w:eastAsiaTheme="minorEastAsia"/>
                <w:color w:val="000000" w:themeColor="text1"/>
                <w:szCs w:val="21"/>
              </w:rPr>
              <w:t>月起同时担任上投摩根阿尔法混合型证券投资基金基金经理，自</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10</w:t>
            </w:r>
            <w:r>
              <w:rPr>
                <w:rFonts w:eastAsiaTheme="minorEastAsia"/>
                <w:color w:val="000000" w:themeColor="text1"/>
                <w:szCs w:val="21"/>
              </w:rPr>
              <w:t>月起同时担任上投摩根双息平衡混合型证券投资基金基金经理，自</w:t>
            </w:r>
            <w:r>
              <w:rPr>
                <w:rFonts w:eastAsiaTheme="minorEastAsia"/>
                <w:color w:val="000000" w:themeColor="text1"/>
                <w:szCs w:val="21"/>
              </w:rPr>
              <w:t>2018</w:t>
            </w:r>
            <w:r>
              <w:rPr>
                <w:rFonts w:eastAsiaTheme="minorEastAsia"/>
                <w:color w:val="000000" w:themeColor="text1"/>
                <w:szCs w:val="21"/>
              </w:rPr>
              <w:t>年</w:t>
            </w:r>
            <w:r>
              <w:rPr>
                <w:rFonts w:eastAsiaTheme="minorEastAsia"/>
                <w:color w:val="000000" w:themeColor="text1"/>
                <w:szCs w:val="21"/>
              </w:rPr>
              <w:t>11</w:t>
            </w:r>
            <w:r>
              <w:rPr>
                <w:rFonts w:eastAsiaTheme="minorEastAsia"/>
                <w:color w:val="000000" w:themeColor="text1"/>
                <w:szCs w:val="21"/>
              </w:rPr>
              <w:t>月起同时担任上投摩根核心精选股票型证券投资基金基金经理。</w:t>
            </w:r>
          </w:p>
        </w:tc>
      </w:tr>
    </w:tbl>
    <w:p w:rsidR="008D36E2" w:rsidRDefault="0013308F">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注：</w:t>
      </w:r>
      <w:r>
        <w:rPr>
          <w:rFonts w:eastAsiaTheme="minorEastAsia"/>
          <w:color w:val="000000" w:themeColor="text1"/>
          <w:szCs w:val="21"/>
        </w:rPr>
        <w:t>1</w:t>
      </w:r>
      <w:r>
        <w:rPr>
          <w:rFonts w:eastAsiaTheme="minorEastAsia"/>
          <w:color w:val="000000" w:themeColor="text1"/>
          <w:szCs w:val="21"/>
        </w:rPr>
        <w:t>、任职日期和离任日期均指根据公司决定确定的聘任日期和解聘日期。</w:t>
      </w:r>
    </w:p>
    <w:p w:rsidR="005E6DF3" w:rsidRPr="00B27A29" w:rsidRDefault="005C671B">
      <w:pPr>
        <w:autoSpaceDE w:val="0"/>
        <w:autoSpaceDN w:val="0"/>
        <w:adjustRightInd w:val="0"/>
        <w:spacing w:line="360" w:lineRule="auto"/>
        <w:ind w:firstLineChars="200" w:firstLine="420"/>
        <w:jc w:val="left"/>
        <w:rPr>
          <w:rFonts w:eastAsiaTheme="minorEastAsia"/>
          <w:color w:val="000000" w:themeColor="text1"/>
          <w:szCs w:val="21"/>
        </w:rPr>
      </w:pPr>
      <w:r w:rsidRPr="00B27A29">
        <w:rPr>
          <w:rFonts w:eastAsiaTheme="minorEastAsia"/>
          <w:color w:val="000000" w:themeColor="text1"/>
          <w:szCs w:val="21"/>
        </w:rPr>
        <w:t>2</w:t>
      </w:r>
      <w:r w:rsidRPr="00B27A29">
        <w:rPr>
          <w:rFonts w:eastAsiaTheme="minorEastAsia"/>
          <w:color w:val="000000" w:themeColor="text1"/>
          <w:szCs w:val="21"/>
        </w:rPr>
        <w:t>、证券从业的含义遵从行业协会《证券业从业人员资格管理办法》的相关规定。</w:t>
      </w:r>
    </w:p>
    <w:p w:rsidR="005E6DF3" w:rsidRPr="00B27A29" w:rsidRDefault="005C671B">
      <w:pPr>
        <w:autoSpaceDE w:val="0"/>
        <w:autoSpaceDN w:val="0"/>
        <w:adjustRightInd w:val="0"/>
        <w:spacing w:beforeLines="100" w:before="312"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4.2</w:t>
      </w:r>
      <w:r w:rsidRPr="00B27A29">
        <w:rPr>
          <w:rFonts w:eastAsiaTheme="minorEastAsia"/>
          <w:b/>
          <w:color w:val="000000" w:themeColor="text1"/>
          <w:kern w:val="0"/>
          <w:szCs w:val="21"/>
        </w:rPr>
        <w:t>管理人对报告期内本基金运作遵规守信情况的说明</w:t>
      </w:r>
    </w:p>
    <w:p w:rsidR="005E6DF3" w:rsidRPr="00B27A29" w:rsidRDefault="005C671B">
      <w:pPr>
        <w:spacing w:line="360" w:lineRule="auto"/>
        <w:ind w:firstLineChars="200" w:firstLine="420"/>
        <w:rPr>
          <w:rFonts w:eastAsiaTheme="minorEastAsia"/>
          <w:color w:val="000000" w:themeColor="text1"/>
          <w:szCs w:val="21"/>
        </w:rPr>
      </w:pPr>
      <w:r w:rsidRPr="00B27A29">
        <w:rPr>
          <w:rFonts w:eastAsiaTheme="minorEastAsia"/>
          <w:color w:val="000000" w:themeColor="text1"/>
          <w:szCs w:val="21"/>
        </w:rPr>
        <w:t>在本报告期内，基金管理人不存在损害基金份额持有人利益的行为，勤勉尽责地为基金份额持有人谋求利益。基金管理人遵守了《证券投资基金法》及其他有关法律法规、《上投摩根双息平衡混合型证券投资基金基金合同》的规定。基金经理对个股和投资组合的比例遵循了投资决策委</w:t>
      </w:r>
      <w:r w:rsidRPr="00B27A29">
        <w:rPr>
          <w:rFonts w:eastAsiaTheme="minorEastAsia"/>
          <w:color w:val="000000" w:themeColor="text1"/>
          <w:szCs w:val="21"/>
        </w:rPr>
        <w:lastRenderedPageBreak/>
        <w:t>员会的授权限制，基金投资比例符合基金合同和法律法规的要求。</w:t>
      </w:r>
    </w:p>
    <w:p w:rsidR="005E6DF3" w:rsidRPr="00B27A29" w:rsidRDefault="005C671B">
      <w:pPr>
        <w:autoSpaceDE w:val="0"/>
        <w:autoSpaceDN w:val="0"/>
        <w:adjustRightInd w:val="0"/>
        <w:spacing w:beforeLines="100" w:before="312"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 xml:space="preserve">4.3 </w:t>
      </w:r>
      <w:r w:rsidRPr="00B27A29">
        <w:rPr>
          <w:rFonts w:eastAsiaTheme="minorEastAsia"/>
          <w:b/>
          <w:color w:val="000000" w:themeColor="text1"/>
          <w:kern w:val="0"/>
          <w:szCs w:val="21"/>
        </w:rPr>
        <w:t>公平交易专项说明</w:t>
      </w:r>
    </w:p>
    <w:p w:rsidR="005E6DF3" w:rsidRPr="00B27A29" w:rsidRDefault="005C671B">
      <w:pPr>
        <w:spacing w:line="360" w:lineRule="auto"/>
        <w:rPr>
          <w:rFonts w:eastAsiaTheme="minorEastAsia"/>
          <w:color w:val="000000" w:themeColor="text1"/>
          <w:szCs w:val="21"/>
        </w:rPr>
      </w:pPr>
      <w:r w:rsidRPr="00B27A29">
        <w:rPr>
          <w:rFonts w:eastAsiaTheme="minorEastAsia"/>
          <w:color w:val="000000" w:themeColor="text1"/>
          <w:szCs w:val="21"/>
        </w:rPr>
        <w:t xml:space="preserve">4.3.1 </w:t>
      </w:r>
      <w:r w:rsidRPr="00B27A29">
        <w:rPr>
          <w:rFonts w:eastAsiaTheme="minorEastAsia"/>
          <w:color w:val="000000" w:themeColor="text1"/>
          <w:szCs w:val="21"/>
        </w:rPr>
        <w:t>公平交易制度的执行情况</w:t>
      </w:r>
    </w:p>
    <w:p w:rsidR="008D36E2" w:rsidRDefault="0013308F">
      <w:pPr>
        <w:spacing w:line="360" w:lineRule="auto"/>
        <w:ind w:firstLineChars="200" w:firstLine="420"/>
        <w:rPr>
          <w:rFonts w:eastAsiaTheme="minorEastAsia"/>
          <w:color w:val="000000" w:themeColor="text1"/>
          <w:szCs w:val="21"/>
        </w:rPr>
      </w:pPr>
      <w:r>
        <w:rPr>
          <w:rFonts w:eastAsiaTheme="minorEastAsia"/>
          <w:color w:val="000000" w:themeColor="text1"/>
          <w:szCs w:val="21"/>
        </w:rPr>
        <w:t>报告期内，本公司继续贯彻落实《证券投资基金管理公司公平交易制度指导意见》等相关法律法规和公司内部公平交易流程的各项要求，严格规范境内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w:t>
      </w:r>
    </w:p>
    <w:p w:rsidR="008D36E2" w:rsidRDefault="0013308F">
      <w:pPr>
        <w:spacing w:line="360" w:lineRule="auto"/>
        <w:ind w:firstLineChars="200" w:firstLine="420"/>
        <w:rPr>
          <w:rFonts w:eastAsiaTheme="minorEastAsia"/>
          <w:color w:val="000000" w:themeColor="text1"/>
          <w:szCs w:val="21"/>
        </w:rPr>
      </w:pPr>
      <w:r>
        <w:rPr>
          <w:rFonts w:eastAsiaTheme="minorEastAsia"/>
          <w:color w:val="000000" w:themeColor="text1"/>
          <w:szCs w:val="21"/>
        </w:rPr>
        <w:t>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w:t>
      </w:r>
    </w:p>
    <w:p w:rsidR="005E6DF3" w:rsidRPr="00B27A29" w:rsidRDefault="005C671B">
      <w:pPr>
        <w:spacing w:line="360" w:lineRule="auto"/>
        <w:ind w:firstLineChars="200" w:firstLine="420"/>
        <w:rPr>
          <w:rFonts w:eastAsiaTheme="minorEastAsia"/>
          <w:color w:val="000000" w:themeColor="text1"/>
          <w:szCs w:val="21"/>
        </w:rPr>
      </w:pPr>
      <w:r w:rsidRPr="00B27A29">
        <w:rPr>
          <w:rFonts w:eastAsiaTheme="minorEastAsia"/>
          <w:color w:val="000000" w:themeColor="text1"/>
          <w:szCs w:val="21"/>
        </w:rPr>
        <w:t>报告期内，通过对不同投资组合之间的收益率差异比较、对同向交易和反向交易的交易时机和交易价差监控分析，未发现整体公平交易执行出现异常的情况。</w:t>
      </w:r>
    </w:p>
    <w:p w:rsidR="005E6DF3" w:rsidRPr="00B27A29" w:rsidRDefault="005C671B">
      <w:pPr>
        <w:spacing w:line="360" w:lineRule="auto"/>
        <w:rPr>
          <w:rFonts w:eastAsiaTheme="minorEastAsia"/>
          <w:color w:val="000000" w:themeColor="text1"/>
          <w:szCs w:val="21"/>
        </w:rPr>
      </w:pPr>
      <w:r w:rsidRPr="00B27A29">
        <w:rPr>
          <w:rFonts w:eastAsiaTheme="minorEastAsia"/>
          <w:color w:val="000000" w:themeColor="text1"/>
          <w:szCs w:val="21"/>
        </w:rPr>
        <w:t xml:space="preserve">4.3.2 </w:t>
      </w:r>
      <w:r w:rsidRPr="00B27A29">
        <w:rPr>
          <w:rFonts w:eastAsiaTheme="minorEastAsia"/>
          <w:color w:val="000000" w:themeColor="text1"/>
          <w:szCs w:val="21"/>
        </w:rPr>
        <w:t>异常交易行为的专项说明</w:t>
      </w:r>
    </w:p>
    <w:p w:rsidR="008D36E2" w:rsidRDefault="0013308F">
      <w:pPr>
        <w:spacing w:line="360" w:lineRule="auto"/>
        <w:ind w:firstLineChars="200" w:firstLine="420"/>
        <w:rPr>
          <w:rFonts w:eastAsiaTheme="minorEastAsia"/>
          <w:color w:val="000000" w:themeColor="text1"/>
          <w:szCs w:val="21"/>
        </w:rPr>
      </w:pPr>
      <w:r>
        <w:rPr>
          <w:rFonts w:eastAsiaTheme="minorEastAsia"/>
          <w:color w:val="000000" w:themeColor="text1"/>
          <w:szCs w:val="21"/>
        </w:rPr>
        <w:t>报告期内，通过对交易价格、交易时间、交易方向等的分析，未发现有可能导致不公平交易和利益输送的异常交易行为。</w:t>
      </w:r>
    </w:p>
    <w:p w:rsidR="005E6DF3" w:rsidRPr="00B27A29" w:rsidRDefault="005C671B">
      <w:pPr>
        <w:spacing w:line="360" w:lineRule="auto"/>
        <w:ind w:firstLineChars="200" w:firstLine="420"/>
        <w:rPr>
          <w:rFonts w:eastAsiaTheme="minorEastAsia"/>
          <w:color w:val="000000" w:themeColor="text1"/>
          <w:szCs w:val="21"/>
        </w:rPr>
      </w:pPr>
      <w:r w:rsidRPr="00B27A29">
        <w:rPr>
          <w:rFonts w:eastAsiaTheme="minorEastAsia"/>
          <w:color w:val="000000" w:themeColor="text1"/>
          <w:szCs w:val="21"/>
        </w:rPr>
        <w:t>所有投资组合参与的交易所公开竞价同日反向交易成交较少的单边交易量超过该证券当日成交量的</w:t>
      </w:r>
      <w:r w:rsidRPr="00B27A29">
        <w:rPr>
          <w:rFonts w:eastAsiaTheme="minorEastAsia"/>
          <w:color w:val="000000" w:themeColor="text1"/>
          <w:szCs w:val="21"/>
        </w:rPr>
        <w:t>5%</w:t>
      </w:r>
      <w:r w:rsidRPr="00B27A29">
        <w:rPr>
          <w:rFonts w:eastAsiaTheme="minorEastAsia"/>
          <w:color w:val="000000" w:themeColor="text1"/>
          <w:szCs w:val="21"/>
        </w:rPr>
        <w:t>的情形：无。</w:t>
      </w:r>
    </w:p>
    <w:p w:rsidR="005E6DF3" w:rsidRPr="00B27A29" w:rsidRDefault="005C671B">
      <w:pPr>
        <w:autoSpaceDE w:val="0"/>
        <w:autoSpaceDN w:val="0"/>
        <w:adjustRightInd w:val="0"/>
        <w:spacing w:beforeLines="100" w:before="312"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 xml:space="preserve">4.4 </w:t>
      </w:r>
      <w:r w:rsidRPr="00B27A29">
        <w:rPr>
          <w:rFonts w:eastAsiaTheme="minorEastAsia"/>
          <w:b/>
          <w:color w:val="000000" w:themeColor="text1"/>
          <w:kern w:val="0"/>
          <w:szCs w:val="21"/>
        </w:rPr>
        <w:t>报告期内基金的投资策略和业绩表现说明</w:t>
      </w:r>
    </w:p>
    <w:p w:rsidR="005E6DF3" w:rsidRPr="00B27A29" w:rsidRDefault="005C671B">
      <w:pPr>
        <w:spacing w:line="360" w:lineRule="auto"/>
        <w:rPr>
          <w:rFonts w:eastAsiaTheme="minorEastAsia"/>
          <w:color w:val="000000" w:themeColor="text1"/>
          <w:szCs w:val="21"/>
        </w:rPr>
      </w:pPr>
      <w:r w:rsidRPr="00B27A29">
        <w:rPr>
          <w:rFonts w:eastAsiaTheme="minorEastAsia"/>
          <w:color w:val="000000" w:themeColor="text1"/>
          <w:szCs w:val="21"/>
        </w:rPr>
        <w:t>4.4.1</w:t>
      </w:r>
      <w:r w:rsidRPr="00B27A29">
        <w:rPr>
          <w:rFonts w:eastAsiaTheme="minorEastAsia"/>
          <w:color w:val="000000" w:themeColor="text1"/>
          <w:szCs w:val="21"/>
        </w:rPr>
        <w:t>报告期内基金投资策略和运作分析</w:t>
      </w:r>
    </w:p>
    <w:p w:rsidR="008D36E2" w:rsidRDefault="0013308F">
      <w:pPr>
        <w:spacing w:line="360" w:lineRule="auto"/>
        <w:ind w:firstLineChars="200" w:firstLine="420"/>
        <w:rPr>
          <w:rFonts w:eastAsiaTheme="minorEastAsia"/>
          <w:color w:val="000000" w:themeColor="text1"/>
          <w:szCs w:val="21"/>
        </w:rPr>
      </w:pPr>
      <w:r>
        <w:rPr>
          <w:rFonts w:eastAsiaTheme="minorEastAsia"/>
          <w:color w:val="000000" w:themeColor="text1"/>
          <w:szCs w:val="21"/>
        </w:rPr>
        <w:t>本报告期，市场整体呈现反弹态势，部分指数还创出新高。市场在一季度后期对于流动性收紧的担忧被证明过于放大，实际上二季度市场流动性非常宽裕，资金利率走势与此前市场预期截然不同。同时，经济处于持续恢复过程中，季报和中报预告显示，企业盈利也如期展示出同比高增速，且向好趋势从一季度延续到二季度，基本面因素对市场形成了强力支撑；特别是若干新兴成长性行业，高景气度清晰，利润高增长态势明确，为创业板、科创板指数贡献了主要涨幅。从行业结构来看，电气设备、电子、化工、汽车、医药等行业表现居前，农林牧渔、房地产、家电、</w:t>
      </w:r>
      <w:r>
        <w:rPr>
          <w:rFonts w:eastAsiaTheme="minorEastAsia"/>
          <w:color w:val="000000" w:themeColor="text1"/>
          <w:szCs w:val="21"/>
        </w:rPr>
        <w:lastRenderedPageBreak/>
        <w:t>休闲服务等行业表现垫底。行业的分化非常明显，表现较好的都是利润增长较高、未来预期较明确的方向；而落后的行业或为产品价格大幅下跌、或为利润增幅较低的领域；特别的，传统低估值的行业，例如银行、非银、房地产、家电、建材指数二季度均为负收益。二季度的市场风格不利于高股息类别资产，本基金降低了仓位，兑现了部分周期性行业的盈利。同时通过个股研究，增强了新能源上游的配置，希望能增强收益。</w:t>
      </w:r>
    </w:p>
    <w:p w:rsidR="005E6DF3" w:rsidRPr="00B27A29" w:rsidRDefault="005C671B">
      <w:pPr>
        <w:spacing w:line="360" w:lineRule="auto"/>
        <w:ind w:firstLineChars="200" w:firstLine="420"/>
        <w:rPr>
          <w:rFonts w:eastAsiaTheme="minorEastAsia"/>
          <w:color w:val="000000" w:themeColor="text1"/>
          <w:szCs w:val="21"/>
        </w:rPr>
      </w:pPr>
      <w:r w:rsidRPr="00B27A29">
        <w:rPr>
          <w:rFonts w:eastAsiaTheme="minorEastAsia"/>
          <w:color w:val="000000" w:themeColor="text1"/>
          <w:szCs w:val="21"/>
        </w:rPr>
        <w:t>展望后市，由于相关行业的中报预计呈现较高增长，市场或将继续维持该风格。然而，三季度开始宏观层面因素的变数边际增大，市场风险偏好也有波动的可能。本基金将继续保持高股息为核心的投资策略，优选个股；但同时将预设多种市场场景，密切跟踪各项指标的变化来动态调整组合。</w:t>
      </w:r>
    </w:p>
    <w:p w:rsidR="005E6DF3" w:rsidRPr="00B27A29" w:rsidRDefault="005C671B">
      <w:pPr>
        <w:spacing w:line="360" w:lineRule="auto"/>
        <w:rPr>
          <w:rFonts w:eastAsiaTheme="minorEastAsia"/>
          <w:color w:val="000000" w:themeColor="text1"/>
          <w:szCs w:val="21"/>
        </w:rPr>
      </w:pPr>
      <w:r w:rsidRPr="00B27A29">
        <w:rPr>
          <w:rFonts w:eastAsiaTheme="minorEastAsia"/>
          <w:color w:val="000000" w:themeColor="text1"/>
          <w:szCs w:val="21"/>
        </w:rPr>
        <w:t>4.4.2</w:t>
      </w:r>
      <w:r w:rsidRPr="00B27A29">
        <w:rPr>
          <w:rFonts w:eastAsiaTheme="minorEastAsia"/>
          <w:color w:val="000000" w:themeColor="text1"/>
          <w:szCs w:val="21"/>
        </w:rPr>
        <w:t>报告期内基金的业绩表现</w:t>
      </w:r>
    </w:p>
    <w:p w:rsidR="008D36E2" w:rsidRDefault="0013308F">
      <w:pPr>
        <w:spacing w:line="360" w:lineRule="auto"/>
        <w:ind w:firstLineChars="200" w:firstLine="420"/>
        <w:rPr>
          <w:rFonts w:eastAsiaTheme="minorEastAsia"/>
          <w:color w:val="000000" w:themeColor="text1"/>
          <w:szCs w:val="21"/>
        </w:rPr>
      </w:pPr>
      <w:r>
        <w:rPr>
          <w:rFonts w:eastAsiaTheme="minorEastAsia"/>
          <w:color w:val="000000" w:themeColor="text1"/>
          <w:szCs w:val="21"/>
        </w:rPr>
        <w:t>本报告期上投摩根双息平衡混合</w:t>
      </w:r>
      <w:r>
        <w:rPr>
          <w:rFonts w:eastAsiaTheme="minorEastAsia"/>
          <w:color w:val="000000" w:themeColor="text1"/>
          <w:szCs w:val="21"/>
        </w:rPr>
        <w:t>A</w:t>
      </w:r>
      <w:r>
        <w:rPr>
          <w:rFonts w:eastAsiaTheme="minorEastAsia"/>
          <w:color w:val="000000" w:themeColor="text1"/>
          <w:szCs w:val="21"/>
        </w:rPr>
        <w:t>份额净值增长率为</w:t>
      </w:r>
      <w:r>
        <w:rPr>
          <w:rFonts w:eastAsiaTheme="minorEastAsia"/>
          <w:color w:val="000000" w:themeColor="text1"/>
          <w:szCs w:val="21"/>
        </w:rPr>
        <w:t>:1.63%</w:t>
      </w:r>
      <w:r>
        <w:rPr>
          <w:rFonts w:eastAsiaTheme="minorEastAsia"/>
          <w:color w:val="000000" w:themeColor="text1"/>
          <w:szCs w:val="21"/>
        </w:rPr>
        <w:t>，同期业绩比较基准收益率为</w:t>
      </w:r>
      <w:r>
        <w:rPr>
          <w:rFonts w:eastAsiaTheme="minorEastAsia"/>
          <w:color w:val="000000" w:themeColor="text1"/>
          <w:szCs w:val="21"/>
        </w:rPr>
        <w:t>:3.29%,</w:t>
      </w:r>
    </w:p>
    <w:p w:rsidR="005E6DF3" w:rsidRPr="00B27A29" w:rsidRDefault="005C671B">
      <w:pPr>
        <w:spacing w:line="360" w:lineRule="auto"/>
        <w:ind w:firstLineChars="200" w:firstLine="420"/>
        <w:rPr>
          <w:rFonts w:eastAsiaTheme="minorEastAsia"/>
          <w:color w:val="000000" w:themeColor="text1"/>
          <w:szCs w:val="21"/>
        </w:rPr>
      </w:pPr>
      <w:r w:rsidRPr="00B27A29">
        <w:rPr>
          <w:rFonts w:eastAsiaTheme="minorEastAsia"/>
          <w:color w:val="000000" w:themeColor="text1"/>
          <w:szCs w:val="21"/>
        </w:rPr>
        <w:t>上投摩根双息平衡混合</w:t>
      </w:r>
      <w:r w:rsidRPr="00B27A29">
        <w:rPr>
          <w:rFonts w:eastAsiaTheme="minorEastAsia"/>
          <w:color w:val="000000" w:themeColor="text1"/>
          <w:szCs w:val="21"/>
        </w:rPr>
        <w:t>H</w:t>
      </w:r>
      <w:r w:rsidRPr="00B27A29">
        <w:rPr>
          <w:rFonts w:eastAsiaTheme="minorEastAsia"/>
          <w:color w:val="000000" w:themeColor="text1"/>
          <w:szCs w:val="21"/>
        </w:rPr>
        <w:t>份额净值增长率为</w:t>
      </w:r>
      <w:r w:rsidRPr="00B27A29">
        <w:rPr>
          <w:rFonts w:eastAsiaTheme="minorEastAsia"/>
          <w:color w:val="000000" w:themeColor="text1"/>
          <w:szCs w:val="21"/>
        </w:rPr>
        <w:t>:1.55%</w:t>
      </w:r>
      <w:r w:rsidRPr="00B27A29">
        <w:rPr>
          <w:rFonts w:eastAsiaTheme="minorEastAsia"/>
          <w:color w:val="000000" w:themeColor="text1"/>
          <w:szCs w:val="21"/>
        </w:rPr>
        <w:t>，同期业绩比较基准收益率为</w:t>
      </w:r>
      <w:r w:rsidRPr="00B27A29">
        <w:rPr>
          <w:rFonts w:eastAsiaTheme="minorEastAsia"/>
          <w:color w:val="000000" w:themeColor="text1"/>
          <w:szCs w:val="21"/>
        </w:rPr>
        <w:t>:3.29%</w:t>
      </w:r>
      <w:r w:rsidRPr="00B27A29">
        <w:rPr>
          <w:rFonts w:eastAsiaTheme="minorEastAsia"/>
          <w:color w:val="000000" w:themeColor="text1"/>
          <w:szCs w:val="21"/>
        </w:rPr>
        <w:t>。</w:t>
      </w:r>
    </w:p>
    <w:p w:rsidR="005E6DF3" w:rsidRPr="00B27A29" w:rsidRDefault="005E6DF3">
      <w:pPr>
        <w:spacing w:line="360" w:lineRule="auto"/>
        <w:ind w:firstLineChars="200" w:firstLine="420"/>
        <w:rPr>
          <w:rFonts w:eastAsiaTheme="minorEastAsia"/>
          <w:color w:val="000000" w:themeColor="text1"/>
          <w:szCs w:val="21"/>
        </w:rPr>
      </w:pPr>
    </w:p>
    <w:p w:rsidR="005E6DF3" w:rsidRPr="00B27A29" w:rsidRDefault="005C671B">
      <w:pPr>
        <w:spacing w:line="360" w:lineRule="auto"/>
        <w:rPr>
          <w:rFonts w:eastAsiaTheme="minorEastAsia"/>
          <w:color w:val="000000" w:themeColor="text1"/>
          <w:szCs w:val="21"/>
        </w:rPr>
      </w:pPr>
      <w:r w:rsidRPr="00B27A29">
        <w:rPr>
          <w:rFonts w:eastAsiaTheme="minorEastAsia"/>
          <w:b/>
          <w:color w:val="000000" w:themeColor="text1"/>
          <w:kern w:val="0"/>
          <w:szCs w:val="21"/>
        </w:rPr>
        <w:t>4.5</w:t>
      </w:r>
      <w:r w:rsidRPr="00B27A29">
        <w:rPr>
          <w:rFonts w:eastAsiaTheme="minorEastAsia"/>
          <w:b/>
          <w:color w:val="000000" w:themeColor="text1"/>
          <w:kern w:val="0"/>
          <w:szCs w:val="21"/>
        </w:rPr>
        <w:t>报告期内基金持有人数或基金资产净值预警说明</w:t>
      </w:r>
    </w:p>
    <w:p w:rsidR="005E6DF3" w:rsidRPr="00B27A29" w:rsidRDefault="005C671B">
      <w:pPr>
        <w:spacing w:line="360" w:lineRule="auto"/>
        <w:ind w:firstLineChars="200" w:firstLine="420"/>
        <w:rPr>
          <w:rFonts w:eastAsiaTheme="minorEastAsia"/>
          <w:color w:val="000000" w:themeColor="text1"/>
          <w:kern w:val="0"/>
          <w:szCs w:val="21"/>
        </w:rPr>
      </w:pPr>
      <w:r w:rsidRPr="00B27A29">
        <w:rPr>
          <w:rFonts w:eastAsiaTheme="minorEastAsia"/>
          <w:color w:val="000000" w:themeColor="text1"/>
          <w:kern w:val="0"/>
          <w:szCs w:val="21"/>
        </w:rPr>
        <w:t>无。</w:t>
      </w:r>
    </w:p>
    <w:p w:rsidR="005E6DF3" w:rsidRPr="00B27A29" w:rsidRDefault="005E6DF3">
      <w:pPr>
        <w:spacing w:line="360" w:lineRule="auto"/>
        <w:ind w:firstLineChars="200" w:firstLine="420"/>
        <w:rPr>
          <w:rFonts w:eastAsiaTheme="minorEastAsia"/>
          <w:color w:val="000000" w:themeColor="text1"/>
          <w:szCs w:val="21"/>
        </w:rPr>
      </w:pPr>
    </w:p>
    <w:p w:rsidR="005E6DF3" w:rsidRPr="00B27A29" w:rsidRDefault="005C671B">
      <w:pPr>
        <w:pStyle w:val="1"/>
        <w:spacing w:beforeLines="100" w:before="312" w:afterLines="100" w:after="312" w:line="360" w:lineRule="auto"/>
        <w:jc w:val="center"/>
        <w:rPr>
          <w:rFonts w:eastAsiaTheme="minorEastAsia"/>
          <w:color w:val="000000" w:themeColor="text1"/>
          <w:kern w:val="0"/>
          <w:sz w:val="21"/>
          <w:szCs w:val="21"/>
        </w:rPr>
      </w:pPr>
      <w:r w:rsidRPr="00B27A29">
        <w:rPr>
          <w:rFonts w:eastAsiaTheme="minorEastAsia"/>
          <w:color w:val="000000" w:themeColor="text1"/>
          <w:kern w:val="0"/>
          <w:sz w:val="21"/>
          <w:szCs w:val="21"/>
        </w:rPr>
        <w:t xml:space="preserve">§5  </w:t>
      </w:r>
      <w:r w:rsidRPr="00B27A29">
        <w:rPr>
          <w:rFonts w:eastAsiaTheme="minorEastAsia"/>
          <w:color w:val="000000" w:themeColor="text1"/>
          <w:kern w:val="0"/>
          <w:sz w:val="21"/>
          <w:szCs w:val="21"/>
        </w:rPr>
        <w:t>投资组合报告</w:t>
      </w:r>
    </w:p>
    <w:p w:rsidR="005E6DF3" w:rsidRPr="00B27A29" w:rsidRDefault="005C671B">
      <w:pPr>
        <w:autoSpaceDE w:val="0"/>
        <w:autoSpaceDN w:val="0"/>
        <w:adjustRightInd w:val="0"/>
        <w:spacing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 xml:space="preserve">5.1 </w:t>
      </w:r>
      <w:r w:rsidRPr="00B27A29">
        <w:rPr>
          <w:rFonts w:eastAsiaTheme="minorEastAsia"/>
          <w:b/>
          <w:color w:val="000000" w:themeColor="text1"/>
          <w:kern w:val="0"/>
          <w:szCs w:val="21"/>
        </w:rPr>
        <w:t>报告期末基金资产组合情况</w:t>
      </w:r>
    </w:p>
    <w:tbl>
      <w:tblPr>
        <w:tblStyle w:val="afa"/>
        <w:tblW w:w="8897" w:type="dxa"/>
        <w:tblInd w:w="108" w:type="dxa"/>
        <w:tblLayout w:type="fixed"/>
        <w:tblLook w:val="04A0" w:firstRow="1" w:lastRow="0" w:firstColumn="1" w:lastColumn="0" w:noHBand="0" w:noVBand="1"/>
      </w:tblPr>
      <w:tblGrid>
        <w:gridCol w:w="720"/>
        <w:gridCol w:w="3357"/>
        <w:gridCol w:w="2977"/>
        <w:gridCol w:w="1843"/>
      </w:tblGrid>
      <w:tr w:rsidR="005E6DF3" w:rsidRPr="00B27A29">
        <w:tc>
          <w:tcPr>
            <w:tcW w:w="720"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序号</w:t>
            </w:r>
          </w:p>
        </w:tc>
        <w:tc>
          <w:tcPr>
            <w:tcW w:w="3357"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项目</w:t>
            </w:r>
          </w:p>
        </w:tc>
        <w:tc>
          <w:tcPr>
            <w:tcW w:w="2977"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金额</w:t>
            </w:r>
            <w:r w:rsidRPr="00B27A29">
              <w:rPr>
                <w:rFonts w:eastAsiaTheme="minorEastAsia"/>
                <w:color w:val="000000" w:themeColor="text1"/>
                <w:szCs w:val="21"/>
              </w:rPr>
              <w:t>(</w:t>
            </w:r>
            <w:r w:rsidRPr="00B27A29">
              <w:rPr>
                <w:rFonts w:eastAsiaTheme="minorEastAsia"/>
                <w:color w:val="000000" w:themeColor="text1"/>
                <w:szCs w:val="21"/>
              </w:rPr>
              <w:t>元</w:t>
            </w:r>
            <w:r w:rsidRPr="00B27A29">
              <w:rPr>
                <w:rFonts w:eastAsiaTheme="minorEastAsia"/>
                <w:color w:val="000000" w:themeColor="text1"/>
                <w:szCs w:val="21"/>
              </w:rPr>
              <w:t>)</w:t>
            </w:r>
          </w:p>
        </w:tc>
        <w:tc>
          <w:tcPr>
            <w:tcW w:w="1843"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占基金总资产的比例</w:t>
            </w:r>
            <w:r w:rsidRPr="00B27A29">
              <w:rPr>
                <w:rFonts w:eastAsiaTheme="minorEastAsia"/>
                <w:color w:val="000000" w:themeColor="text1"/>
                <w:szCs w:val="21"/>
              </w:rPr>
              <w:t>(%)</w:t>
            </w:r>
          </w:p>
        </w:tc>
      </w:tr>
      <w:tr w:rsidR="005E6DF3" w:rsidRPr="00B27A29">
        <w:tc>
          <w:tcPr>
            <w:tcW w:w="720"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1</w:t>
            </w:r>
          </w:p>
        </w:tc>
        <w:tc>
          <w:tcPr>
            <w:tcW w:w="3357"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权益投资</w:t>
            </w:r>
          </w:p>
        </w:tc>
        <w:tc>
          <w:tcPr>
            <w:tcW w:w="2977"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597,319,901.18</w:t>
            </w:r>
          </w:p>
        </w:tc>
        <w:tc>
          <w:tcPr>
            <w:tcW w:w="1843"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54.57</w:t>
            </w:r>
          </w:p>
        </w:tc>
      </w:tr>
      <w:tr w:rsidR="005E6DF3" w:rsidRPr="00B27A29">
        <w:tc>
          <w:tcPr>
            <w:tcW w:w="720" w:type="dxa"/>
            <w:vAlign w:val="center"/>
          </w:tcPr>
          <w:p w:rsidR="005E6DF3" w:rsidRPr="00B27A29" w:rsidRDefault="005E6DF3">
            <w:pPr>
              <w:spacing w:before="29" w:line="360" w:lineRule="auto"/>
              <w:ind w:left="17"/>
              <w:jc w:val="center"/>
              <w:rPr>
                <w:rFonts w:eastAsiaTheme="minorEastAsia"/>
                <w:color w:val="000000" w:themeColor="text1"/>
                <w:szCs w:val="21"/>
              </w:rPr>
            </w:pPr>
          </w:p>
        </w:tc>
        <w:tc>
          <w:tcPr>
            <w:tcW w:w="3357"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其中：股票</w:t>
            </w:r>
          </w:p>
        </w:tc>
        <w:tc>
          <w:tcPr>
            <w:tcW w:w="2977"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597,319,901.18</w:t>
            </w:r>
          </w:p>
        </w:tc>
        <w:tc>
          <w:tcPr>
            <w:tcW w:w="1843"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54.57</w:t>
            </w:r>
          </w:p>
        </w:tc>
      </w:tr>
      <w:tr w:rsidR="005E6DF3" w:rsidRPr="00B27A29">
        <w:tc>
          <w:tcPr>
            <w:tcW w:w="720"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2</w:t>
            </w:r>
          </w:p>
        </w:tc>
        <w:tc>
          <w:tcPr>
            <w:tcW w:w="3357"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固定收益投资</w:t>
            </w:r>
          </w:p>
        </w:tc>
        <w:tc>
          <w:tcPr>
            <w:tcW w:w="2977"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340,474,990.50</w:t>
            </w:r>
          </w:p>
        </w:tc>
        <w:tc>
          <w:tcPr>
            <w:tcW w:w="1843"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31.10</w:t>
            </w:r>
          </w:p>
        </w:tc>
      </w:tr>
      <w:tr w:rsidR="005E6DF3" w:rsidRPr="00B27A29">
        <w:tc>
          <w:tcPr>
            <w:tcW w:w="720" w:type="dxa"/>
            <w:vAlign w:val="center"/>
          </w:tcPr>
          <w:p w:rsidR="005E6DF3" w:rsidRPr="00B27A29" w:rsidRDefault="005E6DF3">
            <w:pPr>
              <w:spacing w:before="29" w:line="360" w:lineRule="auto"/>
              <w:ind w:left="17"/>
              <w:jc w:val="center"/>
              <w:rPr>
                <w:rFonts w:eastAsiaTheme="minorEastAsia"/>
                <w:color w:val="000000" w:themeColor="text1"/>
                <w:szCs w:val="21"/>
              </w:rPr>
            </w:pPr>
          </w:p>
        </w:tc>
        <w:tc>
          <w:tcPr>
            <w:tcW w:w="3357"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其中：债券</w:t>
            </w:r>
          </w:p>
        </w:tc>
        <w:tc>
          <w:tcPr>
            <w:tcW w:w="2977"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340,474,990.50</w:t>
            </w:r>
          </w:p>
        </w:tc>
        <w:tc>
          <w:tcPr>
            <w:tcW w:w="1843"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31.10</w:t>
            </w:r>
          </w:p>
        </w:tc>
      </w:tr>
      <w:tr w:rsidR="005E6DF3" w:rsidRPr="00B27A29">
        <w:tc>
          <w:tcPr>
            <w:tcW w:w="720" w:type="dxa"/>
            <w:vAlign w:val="center"/>
          </w:tcPr>
          <w:p w:rsidR="005E6DF3" w:rsidRPr="00B27A29" w:rsidRDefault="005E6DF3">
            <w:pPr>
              <w:spacing w:before="29" w:line="360" w:lineRule="auto"/>
              <w:ind w:left="17"/>
              <w:jc w:val="center"/>
              <w:rPr>
                <w:rFonts w:eastAsiaTheme="minorEastAsia"/>
                <w:color w:val="000000" w:themeColor="text1"/>
                <w:szCs w:val="21"/>
              </w:rPr>
            </w:pPr>
          </w:p>
        </w:tc>
        <w:tc>
          <w:tcPr>
            <w:tcW w:w="3357" w:type="dxa"/>
            <w:vAlign w:val="center"/>
          </w:tcPr>
          <w:p w:rsidR="005E6DF3" w:rsidRPr="00B27A29" w:rsidRDefault="005C671B">
            <w:pPr>
              <w:autoSpaceDE w:val="0"/>
              <w:autoSpaceDN w:val="0"/>
              <w:adjustRightInd w:val="0"/>
              <w:spacing w:before="29" w:line="360" w:lineRule="auto"/>
              <w:ind w:left="17" w:firstLineChars="300" w:firstLine="630"/>
              <w:jc w:val="left"/>
              <w:rPr>
                <w:rFonts w:eastAsiaTheme="minorEastAsia"/>
                <w:color w:val="000000" w:themeColor="text1"/>
                <w:szCs w:val="21"/>
              </w:rPr>
            </w:pPr>
            <w:r w:rsidRPr="00B27A29">
              <w:rPr>
                <w:rFonts w:eastAsiaTheme="minorEastAsia"/>
                <w:color w:val="000000" w:themeColor="text1"/>
                <w:szCs w:val="21"/>
              </w:rPr>
              <w:t>资产支持证券</w:t>
            </w:r>
          </w:p>
        </w:tc>
        <w:tc>
          <w:tcPr>
            <w:tcW w:w="2977"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c>
          <w:tcPr>
            <w:tcW w:w="1843"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c>
          <w:tcPr>
            <w:tcW w:w="720" w:type="dxa"/>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3</w:t>
            </w:r>
          </w:p>
        </w:tc>
        <w:tc>
          <w:tcPr>
            <w:tcW w:w="3357" w:type="dxa"/>
          </w:tcPr>
          <w:p w:rsidR="005E6DF3" w:rsidRPr="00B27A29" w:rsidRDefault="005C671B">
            <w:pPr>
              <w:spacing w:before="29" w:line="360" w:lineRule="auto"/>
              <w:ind w:leftChars="50" w:left="105"/>
              <w:rPr>
                <w:rFonts w:eastAsiaTheme="minorEastAsia"/>
                <w:color w:val="000000" w:themeColor="text1"/>
                <w:szCs w:val="21"/>
              </w:rPr>
            </w:pPr>
            <w:r w:rsidRPr="00B27A29">
              <w:rPr>
                <w:rFonts w:eastAsiaTheme="minorEastAsia"/>
                <w:color w:val="000000" w:themeColor="text1"/>
                <w:szCs w:val="21"/>
              </w:rPr>
              <w:t>贵金属投资</w:t>
            </w:r>
          </w:p>
        </w:tc>
        <w:tc>
          <w:tcPr>
            <w:tcW w:w="2977"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c>
          <w:tcPr>
            <w:tcW w:w="1843"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c>
          <w:tcPr>
            <w:tcW w:w="720"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lastRenderedPageBreak/>
              <w:t>4</w:t>
            </w:r>
          </w:p>
        </w:tc>
        <w:tc>
          <w:tcPr>
            <w:tcW w:w="3357"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金融衍生品投资</w:t>
            </w:r>
          </w:p>
        </w:tc>
        <w:tc>
          <w:tcPr>
            <w:tcW w:w="2977"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c>
          <w:tcPr>
            <w:tcW w:w="1843"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c>
          <w:tcPr>
            <w:tcW w:w="720"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5</w:t>
            </w:r>
          </w:p>
        </w:tc>
        <w:tc>
          <w:tcPr>
            <w:tcW w:w="3357"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买入返售金融资产</w:t>
            </w:r>
          </w:p>
        </w:tc>
        <w:tc>
          <w:tcPr>
            <w:tcW w:w="2977"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c>
          <w:tcPr>
            <w:tcW w:w="1843"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c>
          <w:tcPr>
            <w:tcW w:w="720" w:type="dxa"/>
            <w:vAlign w:val="center"/>
          </w:tcPr>
          <w:p w:rsidR="005E6DF3" w:rsidRPr="00B27A29" w:rsidRDefault="005E6DF3">
            <w:pPr>
              <w:spacing w:before="29" w:line="360" w:lineRule="auto"/>
              <w:ind w:left="17"/>
              <w:jc w:val="center"/>
              <w:rPr>
                <w:rFonts w:eastAsiaTheme="minorEastAsia"/>
                <w:color w:val="000000" w:themeColor="text1"/>
                <w:szCs w:val="21"/>
              </w:rPr>
            </w:pPr>
          </w:p>
        </w:tc>
        <w:tc>
          <w:tcPr>
            <w:tcW w:w="3357"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其中：买断式回购的买入返售金融资产</w:t>
            </w:r>
          </w:p>
        </w:tc>
        <w:tc>
          <w:tcPr>
            <w:tcW w:w="2977"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c>
          <w:tcPr>
            <w:tcW w:w="1843"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c>
          <w:tcPr>
            <w:tcW w:w="720"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6</w:t>
            </w:r>
          </w:p>
        </w:tc>
        <w:tc>
          <w:tcPr>
            <w:tcW w:w="3357"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银行存款和结算备付金合计</w:t>
            </w:r>
          </w:p>
        </w:tc>
        <w:tc>
          <w:tcPr>
            <w:tcW w:w="2977"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149,089,178.58</w:t>
            </w:r>
          </w:p>
        </w:tc>
        <w:tc>
          <w:tcPr>
            <w:tcW w:w="1843"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13.62</w:t>
            </w:r>
          </w:p>
        </w:tc>
      </w:tr>
      <w:tr w:rsidR="005E6DF3" w:rsidRPr="00B27A29">
        <w:tc>
          <w:tcPr>
            <w:tcW w:w="720"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7</w:t>
            </w:r>
          </w:p>
        </w:tc>
        <w:tc>
          <w:tcPr>
            <w:tcW w:w="3357" w:type="dxa"/>
            <w:vAlign w:val="center"/>
          </w:tcPr>
          <w:p w:rsidR="005E6DF3" w:rsidRPr="00B27A29" w:rsidRDefault="005C671B">
            <w:pPr>
              <w:rPr>
                <w:rFonts w:eastAsiaTheme="minorEastAsia"/>
                <w:color w:val="000000" w:themeColor="text1"/>
                <w:szCs w:val="21"/>
              </w:rPr>
            </w:pPr>
            <w:r w:rsidRPr="00B27A29">
              <w:rPr>
                <w:rFonts w:eastAsiaTheme="minorEastAsia"/>
                <w:color w:val="000000" w:themeColor="text1"/>
                <w:szCs w:val="21"/>
              </w:rPr>
              <w:t>其他各项资产</w:t>
            </w:r>
          </w:p>
        </w:tc>
        <w:tc>
          <w:tcPr>
            <w:tcW w:w="2977" w:type="dxa"/>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7,770,151.91</w:t>
            </w:r>
          </w:p>
        </w:tc>
        <w:tc>
          <w:tcPr>
            <w:tcW w:w="1843" w:type="dxa"/>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0.71</w:t>
            </w:r>
          </w:p>
        </w:tc>
      </w:tr>
      <w:tr w:rsidR="005E6DF3" w:rsidRPr="00B27A29">
        <w:tc>
          <w:tcPr>
            <w:tcW w:w="720"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8</w:t>
            </w:r>
          </w:p>
        </w:tc>
        <w:tc>
          <w:tcPr>
            <w:tcW w:w="3357" w:type="dxa"/>
            <w:vAlign w:val="center"/>
          </w:tcPr>
          <w:p w:rsidR="005E6DF3" w:rsidRPr="00B27A29" w:rsidRDefault="005C671B">
            <w:pPr>
              <w:rPr>
                <w:rFonts w:eastAsiaTheme="minorEastAsia"/>
                <w:color w:val="000000" w:themeColor="text1"/>
                <w:szCs w:val="21"/>
              </w:rPr>
            </w:pPr>
            <w:r w:rsidRPr="00B27A29">
              <w:rPr>
                <w:rFonts w:eastAsiaTheme="minorEastAsia"/>
                <w:color w:val="000000" w:themeColor="text1"/>
                <w:szCs w:val="21"/>
              </w:rPr>
              <w:t>合计</w:t>
            </w:r>
          </w:p>
        </w:tc>
        <w:tc>
          <w:tcPr>
            <w:tcW w:w="2977" w:type="dxa"/>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1,094,654,222.17</w:t>
            </w:r>
          </w:p>
        </w:tc>
        <w:tc>
          <w:tcPr>
            <w:tcW w:w="1843" w:type="dxa"/>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100.00</w:t>
            </w:r>
          </w:p>
        </w:tc>
      </w:tr>
    </w:tbl>
    <w:p w:rsidR="005E6DF3" w:rsidRPr="00B27A29" w:rsidRDefault="005C671B">
      <w:pPr>
        <w:autoSpaceDE w:val="0"/>
        <w:autoSpaceDN w:val="0"/>
        <w:adjustRightInd w:val="0"/>
        <w:spacing w:beforeLines="100" w:before="312"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 xml:space="preserve">5.2 </w:t>
      </w:r>
      <w:r w:rsidRPr="00B27A29">
        <w:rPr>
          <w:rFonts w:eastAsiaTheme="minorEastAsia"/>
          <w:b/>
          <w:color w:val="000000" w:themeColor="text1"/>
          <w:kern w:val="0"/>
          <w:szCs w:val="21"/>
        </w:rPr>
        <w:t>报告期末按行业分类的股票投资组合</w:t>
      </w:r>
    </w:p>
    <w:p w:rsidR="005E6DF3" w:rsidRPr="00B27A29" w:rsidRDefault="005C671B">
      <w:pPr>
        <w:rPr>
          <w:b/>
        </w:rPr>
      </w:pPr>
      <w:r w:rsidRPr="00B27A29">
        <w:rPr>
          <w:b/>
        </w:rPr>
        <w:t xml:space="preserve"> </w:t>
      </w:r>
      <w:r w:rsidRPr="00B27A29">
        <w:rPr>
          <w:rFonts w:eastAsiaTheme="minorEastAsia"/>
          <w:b/>
          <w:color w:val="000000" w:themeColor="text1"/>
          <w:kern w:val="0"/>
          <w:szCs w:val="21"/>
        </w:rPr>
        <w:t>5.2.1</w:t>
      </w:r>
      <w:r w:rsidRPr="00B27A29">
        <w:rPr>
          <w:rFonts w:eastAsiaTheme="minorEastAsia"/>
          <w:b/>
          <w:color w:val="000000" w:themeColor="text1"/>
          <w:kern w:val="0"/>
          <w:szCs w:val="21"/>
        </w:rPr>
        <w:t>报告期末按行业分类的境内股票投资组合</w:t>
      </w:r>
    </w:p>
    <w:tbl>
      <w:tblPr>
        <w:tblW w:w="87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
        <w:gridCol w:w="3691"/>
        <w:gridCol w:w="2852"/>
        <w:gridCol w:w="1648"/>
      </w:tblGrid>
      <w:tr w:rsidR="005E6DF3" w:rsidRPr="00B27A29">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占基金资产净值比例（％）</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autoSpaceDE w:val="0"/>
              <w:autoSpaceDN w:val="0"/>
              <w:adjustRightInd w:val="0"/>
              <w:spacing w:before="29" w:line="360" w:lineRule="auto"/>
              <w:ind w:left="15"/>
              <w:jc w:val="right"/>
              <w:rPr>
                <w:rFonts w:eastAsiaTheme="minorEastAsia"/>
                <w:color w:val="000000" w:themeColor="text1"/>
                <w:szCs w:val="21"/>
              </w:rPr>
            </w:pPr>
            <w:r w:rsidRPr="00B27A29">
              <w:rPr>
                <w:rFonts w:eastAsiaTheme="minorEastAsia"/>
                <w:color w:val="000000" w:themeColor="text1"/>
                <w:szCs w:val="21"/>
              </w:rPr>
              <w:t>13,816,236.12</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utoSpaceDE w:val="0"/>
              <w:autoSpaceDN w:val="0"/>
              <w:adjustRightInd w:val="0"/>
              <w:spacing w:before="29" w:line="360" w:lineRule="auto"/>
              <w:ind w:left="15"/>
              <w:jc w:val="right"/>
              <w:rPr>
                <w:rFonts w:eastAsiaTheme="minorEastAsia"/>
                <w:color w:val="000000" w:themeColor="text1"/>
                <w:szCs w:val="21"/>
              </w:rPr>
            </w:pPr>
            <w:r w:rsidRPr="00B27A29">
              <w:rPr>
                <w:rFonts w:eastAsiaTheme="minorEastAsia"/>
                <w:color w:val="000000" w:themeColor="text1"/>
                <w:szCs w:val="21"/>
              </w:rPr>
              <w:t>1.29</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42,161,829.54</w:t>
            </w:r>
          </w:p>
          <w:p w:rsidR="005E6DF3" w:rsidRPr="00B27A29" w:rsidRDefault="005E6DF3">
            <w:pPr>
              <w:jc w:val="right"/>
              <w:rPr>
                <w:rFonts w:eastAsiaTheme="minorEastAsia"/>
                <w:color w:val="000000" w:themeColor="text1"/>
                <w:szCs w:val="21"/>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3.93</w:t>
            </w:r>
          </w:p>
          <w:p w:rsidR="005E6DF3" w:rsidRPr="00B27A29" w:rsidRDefault="005E6DF3">
            <w:pPr>
              <w:jc w:val="right"/>
              <w:rPr>
                <w:rFonts w:eastAsiaTheme="minorEastAsia"/>
                <w:color w:val="000000" w:themeColor="text1"/>
                <w:szCs w:val="21"/>
              </w:rPr>
            </w:pP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380,216,535.26</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35.46</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15,466,576.37</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1.44</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25,371.37</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0.00</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5,355,471.22</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0.50</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573,489.35</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0.05</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114,885,641.06</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10.72</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24,667,872.04</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2.30</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145,471.20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0.01</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5,407.65</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0.00</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E6DF3">
            <w:pPr>
              <w:adjustRightInd w:val="0"/>
              <w:snapToGrid w:val="0"/>
              <w:spacing w:line="400" w:lineRule="exact"/>
              <w:jc w:val="center"/>
              <w:rPr>
                <w:rFonts w:eastAsiaTheme="minorEastAsia"/>
                <w:color w:val="000000" w:themeColor="text1"/>
                <w:szCs w:val="21"/>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597,319,901.18</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55.71</w:t>
            </w:r>
          </w:p>
        </w:tc>
      </w:tr>
    </w:tbl>
    <w:p w:rsidR="00B27A29" w:rsidRPr="00B27A29" w:rsidRDefault="00B27A29" w:rsidP="00B27A29">
      <w:pPr>
        <w:spacing w:line="360" w:lineRule="auto"/>
        <w:rPr>
          <w:rFonts w:eastAsiaTheme="minorEastAsia"/>
          <w:szCs w:val="21"/>
        </w:rPr>
      </w:pPr>
      <w:bookmarkStart w:id="1" w:name="_Hlk73460790"/>
      <w:r w:rsidRPr="00B27A29">
        <w:rPr>
          <w:rFonts w:eastAsiaTheme="minorEastAsia"/>
          <w:b/>
          <w:bCs/>
          <w:kern w:val="0"/>
          <w:szCs w:val="21"/>
        </w:rPr>
        <w:t>5.3</w:t>
      </w:r>
      <w:r w:rsidRPr="00B27A29">
        <w:rPr>
          <w:rFonts w:asciiTheme="minorEastAsia" w:eastAsiaTheme="minorEastAsia" w:hAnsiTheme="minorEastAsia" w:hint="eastAsia"/>
          <w:b/>
          <w:bCs/>
          <w:kern w:val="0"/>
          <w:szCs w:val="21"/>
        </w:rPr>
        <w:t>期末按公允价值占基金资产净值比例大小排序的股票投资明细</w:t>
      </w:r>
      <w:r w:rsidRPr="00B27A29">
        <w:rPr>
          <w:rFonts w:asciiTheme="minorEastAsia" w:eastAsiaTheme="minorEastAsia" w:hAnsiTheme="minorEastAsia" w:hint="eastAsia"/>
          <w:b/>
          <w:bCs/>
          <w:kern w:val="0"/>
          <w:szCs w:val="21"/>
        </w:rPr>
        <w:cr/>
      </w:r>
      <w:r w:rsidRPr="00B27A29">
        <w:rPr>
          <w:rFonts w:eastAsiaTheme="minorEastAsia"/>
          <w:b/>
          <w:bCs/>
          <w:kern w:val="0"/>
          <w:szCs w:val="21"/>
        </w:rPr>
        <w:t>5.3.1</w:t>
      </w:r>
      <w:r w:rsidRPr="00B27A29">
        <w:rPr>
          <w:rFonts w:asciiTheme="minorEastAsia" w:eastAsiaTheme="minorEastAsia" w:hAnsiTheme="minorEastAsia" w:hint="eastAsia"/>
          <w:b/>
          <w:bCs/>
          <w:kern w:val="0"/>
          <w:szCs w:val="21"/>
        </w:rPr>
        <w:t>报告期末按公允价值占基金资产净值比例大小排序的前十名股票投资明细</w:t>
      </w:r>
    </w:p>
    <w:tbl>
      <w:tblPr>
        <w:tblStyle w:val="afa"/>
        <w:tblW w:w="0" w:type="auto"/>
        <w:tblLayout w:type="fixed"/>
        <w:tblLook w:val="04A0" w:firstRow="1" w:lastRow="0" w:firstColumn="1" w:lastColumn="0" w:noHBand="0" w:noVBand="1"/>
      </w:tblPr>
      <w:tblGrid>
        <w:gridCol w:w="817"/>
        <w:gridCol w:w="1276"/>
        <w:gridCol w:w="1701"/>
        <w:gridCol w:w="1276"/>
        <w:gridCol w:w="1842"/>
        <w:gridCol w:w="1616"/>
      </w:tblGrid>
      <w:tr w:rsidR="00B27A29" w:rsidRPr="00B27A29" w:rsidTr="00D913A1">
        <w:tc>
          <w:tcPr>
            <w:tcW w:w="817" w:type="dxa"/>
            <w:vAlign w:val="center"/>
          </w:tcPr>
          <w:p w:rsidR="00B27A29" w:rsidRPr="00B27A29" w:rsidRDefault="00B27A29" w:rsidP="00D913A1">
            <w:pPr>
              <w:spacing w:before="29" w:line="360" w:lineRule="auto"/>
              <w:ind w:left="17"/>
              <w:jc w:val="center"/>
              <w:rPr>
                <w:rFonts w:eastAsiaTheme="minorEastAsia"/>
                <w:kern w:val="0"/>
                <w:szCs w:val="21"/>
              </w:rPr>
            </w:pPr>
            <w:r w:rsidRPr="00B27A29">
              <w:rPr>
                <w:rFonts w:eastAsiaTheme="minorEastAsia"/>
                <w:kern w:val="0"/>
                <w:szCs w:val="21"/>
              </w:rPr>
              <w:t>序号</w:t>
            </w:r>
          </w:p>
        </w:tc>
        <w:tc>
          <w:tcPr>
            <w:tcW w:w="1276" w:type="dxa"/>
            <w:vAlign w:val="center"/>
          </w:tcPr>
          <w:p w:rsidR="00B27A29" w:rsidRPr="00B27A29" w:rsidRDefault="00B27A29" w:rsidP="00D913A1">
            <w:pPr>
              <w:spacing w:before="29" w:line="360" w:lineRule="auto"/>
              <w:ind w:left="17"/>
              <w:jc w:val="center"/>
              <w:rPr>
                <w:rFonts w:eastAsiaTheme="minorEastAsia"/>
                <w:kern w:val="0"/>
                <w:szCs w:val="21"/>
              </w:rPr>
            </w:pPr>
            <w:r w:rsidRPr="00B27A29">
              <w:rPr>
                <w:rFonts w:eastAsiaTheme="minorEastAsia"/>
                <w:kern w:val="0"/>
                <w:szCs w:val="21"/>
              </w:rPr>
              <w:t>股票代码</w:t>
            </w:r>
          </w:p>
        </w:tc>
        <w:tc>
          <w:tcPr>
            <w:tcW w:w="1701" w:type="dxa"/>
            <w:vAlign w:val="center"/>
          </w:tcPr>
          <w:p w:rsidR="00B27A29" w:rsidRPr="00B27A29" w:rsidRDefault="00B27A29" w:rsidP="00D913A1">
            <w:pPr>
              <w:spacing w:before="29" w:line="360" w:lineRule="auto"/>
              <w:ind w:left="17"/>
              <w:jc w:val="center"/>
              <w:rPr>
                <w:rFonts w:eastAsiaTheme="minorEastAsia"/>
                <w:kern w:val="0"/>
                <w:szCs w:val="21"/>
              </w:rPr>
            </w:pPr>
            <w:r w:rsidRPr="00B27A29">
              <w:rPr>
                <w:rFonts w:eastAsiaTheme="minorEastAsia"/>
                <w:kern w:val="0"/>
                <w:szCs w:val="21"/>
              </w:rPr>
              <w:t>股票名称</w:t>
            </w:r>
          </w:p>
        </w:tc>
        <w:tc>
          <w:tcPr>
            <w:tcW w:w="1276" w:type="dxa"/>
            <w:vAlign w:val="center"/>
          </w:tcPr>
          <w:p w:rsidR="00B27A29" w:rsidRPr="00B27A29" w:rsidRDefault="00B27A29" w:rsidP="00D913A1">
            <w:pPr>
              <w:spacing w:before="29" w:line="360" w:lineRule="auto"/>
              <w:ind w:left="17"/>
              <w:jc w:val="center"/>
              <w:rPr>
                <w:rFonts w:eastAsiaTheme="minorEastAsia"/>
                <w:kern w:val="0"/>
                <w:szCs w:val="21"/>
              </w:rPr>
            </w:pPr>
            <w:r w:rsidRPr="00B27A29">
              <w:rPr>
                <w:rFonts w:eastAsiaTheme="minorEastAsia"/>
                <w:kern w:val="0"/>
                <w:szCs w:val="21"/>
              </w:rPr>
              <w:t>数量</w:t>
            </w:r>
            <w:r w:rsidRPr="00B27A29">
              <w:rPr>
                <w:rFonts w:eastAsiaTheme="minorEastAsia"/>
                <w:kern w:val="0"/>
                <w:szCs w:val="21"/>
              </w:rPr>
              <w:t>(</w:t>
            </w:r>
            <w:r w:rsidRPr="00B27A29">
              <w:rPr>
                <w:rFonts w:eastAsiaTheme="minorEastAsia"/>
                <w:kern w:val="0"/>
                <w:szCs w:val="21"/>
              </w:rPr>
              <w:t>股</w:t>
            </w:r>
            <w:r w:rsidRPr="00B27A29">
              <w:rPr>
                <w:rFonts w:eastAsiaTheme="minorEastAsia"/>
                <w:kern w:val="0"/>
                <w:szCs w:val="21"/>
              </w:rPr>
              <w:t>)</w:t>
            </w:r>
          </w:p>
        </w:tc>
        <w:tc>
          <w:tcPr>
            <w:tcW w:w="1842" w:type="dxa"/>
            <w:vAlign w:val="center"/>
          </w:tcPr>
          <w:p w:rsidR="00B27A29" w:rsidRPr="00B27A29" w:rsidRDefault="00B27A29" w:rsidP="00D913A1">
            <w:pPr>
              <w:autoSpaceDE w:val="0"/>
              <w:autoSpaceDN w:val="0"/>
              <w:adjustRightInd w:val="0"/>
              <w:spacing w:before="29" w:line="360" w:lineRule="auto"/>
              <w:ind w:left="17"/>
              <w:jc w:val="center"/>
              <w:rPr>
                <w:rFonts w:eastAsiaTheme="minorEastAsia"/>
                <w:kern w:val="0"/>
                <w:szCs w:val="21"/>
              </w:rPr>
            </w:pPr>
            <w:r w:rsidRPr="00B27A29">
              <w:rPr>
                <w:rFonts w:eastAsiaTheme="minorEastAsia"/>
                <w:kern w:val="0"/>
                <w:szCs w:val="21"/>
              </w:rPr>
              <w:t>公允价值</w:t>
            </w:r>
            <w:r w:rsidRPr="00B27A29">
              <w:rPr>
                <w:rFonts w:eastAsiaTheme="minorEastAsia"/>
                <w:kern w:val="0"/>
                <w:szCs w:val="21"/>
              </w:rPr>
              <w:t>(</w:t>
            </w:r>
            <w:r w:rsidRPr="00B27A29">
              <w:rPr>
                <w:rFonts w:eastAsiaTheme="minorEastAsia"/>
                <w:kern w:val="0"/>
                <w:szCs w:val="21"/>
              </w:rPr>
              <w:t>元</w:t>
            </w:r>
            <w:r w:rsidRPr="00B27A29">
              <w:rPr>
                <w:rFonts w:eastAsiaTheme="minorEastAsia"/>
                <w:kern w:val="0"/>
                <w:szCs w:val="21"/>
              </w:rPr>
              <w:t>)</w:t>
            </w:r>
          </w:p>
        </w:tc>
        <w:tc>
          <w:tcPr>
            <w:tcW w:w="1616" w:type="dxa"/>
            <w:vAlign w:val="center"/>
          </w:tcPr>
          <w:p w:rsidR="00B27A29" w:rsidRPr="00B27A29" w:rsidRDefault="00B27A29" w:rsidP="00D913A1">
            <w:pPr>
              <w:spacing w:before="29" w:line="360" w:lineRule="auto"/>
              <w:ind w:left="17"/>
              <w:jc w:val="center"/>
              <w:rPr>
                <w:rFonts w:eastAsiaTheme="minorEastAsia"/>
                <w:kern w:val="0"/>
                <w:szCs w:val="21"/>
              </w:rPr>
            </w:pPr>
            <w:r w:rsidRPr="00B27A29">
              <w:rPr>
                <w:rFonts w:eastAsiaTheme="minorEastAsia"/>
                <w:kern w:val="0"/>
                <w:szCs w:val="21"/>
              </w:rPr>
              <w:t>占基金资产净值比例</w:t>
            </w:r>
            <w:r w:rsidRPr="00B27A29">
              <w:rPr>
                <w:rFonts w:eastAsiaTheme="minorEastAsia"/>
                <w:kern w:val="0"/>
                <w:szCs w:val="21"/>
              </w:rPr>
              <w:t>(</w:t>
            </w:r>
            <w:r w:rsidRPr="00B27A29">
              <w:rPr>
                <w:rFonts w:eastAsiaTheme="minorEastAsia"/>
                <w:kern w:val="0"/>
                <w:szCs w:val="21"/>
              </w:rPr>
              <w:t>％</w:t>
            </w:r>
            <w:r w:rsidRPr="00B27A29">
              <w:rPr>
                <w:rFonts w:eastAsiaTheme="minorEastAsia"/>
                <w:kern w:val="0"/>
                <w:szCs w:val="21"/>
              </w:rPr>
              <w:t>)</w:t>
            </w:r>
          </w:p>
        </w:tc>
      </w:tr>
      <w:tr w:rsidR="008D36E2">
        <w:tc>
          <w:tcPr>
            <w:tcW w:w="817" w:type="dxa"/>
            <w:vAlign w:val="center"/>
          </w:tcPr>
          <w:p w:rsidR="008D36E2" w:rsidRDefault="0013308F">
            <w:pPr>
              <w:jc w:val="center"/>
            </w:pPr>
            <w:r>
              <w:rPr>
                <w:rFonts w:eastAsiaTheme="minorEastAsia"/>
                <w:kern w:val="0"/>
                <w:szCs w:val="21"/>
              </w:rPr>
              <w:t>1</w:t>
            </w:r>
          </w:p>
        </w:tc>
        <w:tc>
          <w:tcPr>
            <w:tcW w:w="1276" w:type="dxa"/>
            <w:vAlign w:val="center"/>
          </w:tcPr>
          <w:p w:rsidR="008D36E2" w:rsidRDefault="0013308F">
            <w:pPr>
              <w:jc w:val="center"/>
            </w:pPr>
            <w:r>
              <w:rPr>
                <w:rFonts w:eastAsiaTheme="minorEastAsia"/>
                <w:kern w:val="0"/>
                <w:szCs w:val="21"/>
              </w:rPr>
              <w:t>601899</w:t>
            </w:r>
          </w:p>
        </w:tc>
        <w:tc>
          <w:tcPr>
            <w:tcW w:w="1701" w:type="dxa"/>
            <w:vAlign w:val="center"/>
          </w:tcPr>
          <w:p w:rsidR="008D36E2" w:rsidRDefault="0013308F">
            <w:pPr>
              <w:jc w:val="center"/>
            </w:pPr>
            <w:r>
              <w:rPr>
                <w:rFonts w:eastAsiaTheme="minorEastAsia"/>
                <w:kern w:val="0"/>
                <w:szCs w:val="21"/>
              </w:rPr>
              <w:t>紫金矿业</w:t>
            </w:r>
          </w:p>
        </w:tc>
        <w:tc>
          <w:tcPr>
            <w:tcW w:w="1276" w:type="dxa"/>
            <w:vAlign w:val="center"/>
          </w:tcPr>
          <w:p w:rsidR="008D36E2" w:rsidRDefault="0013308F">
            <w:pPr>
              <w:jc w:val="right"/>
            </w:pPr>
            <w:r>
              <w:rPr>
                <w:rFonts w:eastAsiaTheme="minorEastAsia"/>
                <w:kern w:val="0"/>
                <w:szCs w:val="21"/>
              </w:rPr>
              <w:t>4,351,066</w:t>
            </w:r>
          </w:p>
        </w:tc>
        <w:tc>
          <w:tcPr>
            <w:tcW w:w="1842" w:type="dxa"/>
            <w:vAlign w:val="center"/>
          </w:tcPr>
          <w:p w:rsidR="008D36E2" w:rsidRDefault="0013308F">
            <w:pPr>
              <w:jc w:val="right"/>
            </w:pPr>
            <w:r>
              <w:rPr>
                <w:rFonts w:eastAsiaTheme="minorEastAsia"/>
                <w:kern w:val="0"/>
                <w:szCs w:val="21"/>
              </w:rPr>
              <w:t>42,161,829.54</w:t>
            </w:r>
          </w:p>
        </w:tc>
        <w:tc>
          <w:tcPr>
            <w:tcW w:w="1616" w:type="dxa"/>
            <w:vAlign w:val="center"/>
          </w:tcPr>
          <w:p w:rsidR="008D36E2" w:rsidRDefault="0013308F">
            <w:pPr>
              <w:jc w:val="right"/>
            </w:pPr>
            <w:r>
              <w:rPr>
                <w:rFonts w:eastAsiaTheme="minorEastAsia"/>
                <w:kern w:val="0"/>
                <w:szCs w:val="21"/>
              </w:rPr>
              <w:t>3.93</w:t>
            </w:r>
          </w:p>
        </w:tc>
      </w:tr>
      <w:tr w:rsidR="008D36E2">
        <w:tc>
          <w:tcPr>
            <w:tcW w:w="817" w:type="dxa"/>
            <w:vAlign w:val="center"/>
          </w:tcPr>
          <w:p w:rsidR="008D36E2" w:rsidRDefault="0013308F">
            <w:pPr>
              <w:jc w:val="center"/>
            </w:pPr>
            <w:r>
              <w:rPr>
                <w:rFonts w:eastAsiaTheme="minorEastAsia"/>
                <w:kern w:val="0"/>
                <w:szCs w:val="21"/>
              </w:rPr>
              <w:t>2</w:t>
            </w:r>
          </w:p>
        </w:tc>
        <w:tc>
          <w:tcPr>
            <w:tcW w:w="1276" w:type="dxa"/>
            <w:vAlign w:val="center"/>
          </w:tcPr>
          <w:p w:rsidR="008D36E2" w:rsidRDefault="0013308F">
            <w:pPr>
              <w:jc w:val="center"/>
            </w:pPr>
            <w:r>
              <w:rPr>
                <w:rFonts w:eastAsiaTheme="minorEastAsia"/>
                <w:kern w:val="0"/>
                <w:szCs w:val="21"/>
              </w:rPr>
              <w:t>600089</w:t>
            </w:r>
          </w:p>
        </w:tc>
        <w:tc>
          <w:tcPr>
            <w:tcW w:w="1701" w:type="dxa"/>
            <w:vAlign w:val="center"/>
          </w:tcPr>
          <w:p w:rsidR="008D36E2" w:rsidRDefault="0013308F">
            <w:pPr>
              <w:jc w:val="center"/>
            </w:pPr>
            <w:r>
              <w:rPr>
                <w:rFonts w:eastAsiaTheme="minorEastAsia"/>
                <w:kern w:val="0"/>
                <w:szCs w:val="21"/>
              </w:rPr>
              <w:t>特变电工</w:t>
            </w:r>
          </w:p>
        </w:tc>
        <w:tc>
          <w:tcPr>
            <w:tcW w:w="1276" w:type="dxa"/>
            <w:vAlign w:val="center"/>
          </w:tcPr>
          <w:p w:rsidR="008D36E2" w:rsidRDefault="0013308F">
            <w:pPr>
              <w:jc w:val="right"/>
            </w:pPr>
            <w:r>
              <w:rPr>
                <w:rFonts w:eastAsiaTheme="minorEastAsia"/>
                <w:kern w:val="0"/>
                <w:szCs w:val="21"/>
              </w:rPr>
              <w:t>2,874,057</w:t>
            </w:r>
          </w:p>
        </w:tc>
        <w:tc>
          <w:tcPr>
            <w:tcW w:w="1842" w:type="dxa"/>
            <w:vAlign w:val="center"/>
          </w:tcPr>
          <w:p w:rsidR="008D36E2" w:rsidRDefault="0013308F">
            <w:pPr>
              <w:jc w:val="right"/>
            </w:pPr>
            <w:r>
              <w:rPr>
                <w:rFonts w:eastAsiaTheme="minorEastAsia"/>
                <w:kern w:val="0"/>
                <w:szCs w:val="21"/>
              </w:rPr>
              <w:t>36,931,632.45</w:t>
            </w:r>
          </w:p>
        </w:tc>
        <w:tc>
          <w:tcPr>
            <w:tcW w:w="1616" w:type="dxa"/>
            <w:vAlign w:val="center"/>
          </w:tcPr>
          <w:p w:rsidR="008D36E2" w:rsidRDefault="0013308F">
            <w:pPr>
              <w:jc w:val="right"/>
            </w:pPr>
            <w:r>
              <w:rPr>
                <w:rFonts w:eastAsiaTheme="minorEastAsia"/>
                <w:kern w:val="0"/>
                <w:szCs w:val="21"/>
              </w:rPr>
              <w:t>3.44</w:t>
            </w:r>
          </w:p>
        </w:tc>
      </w:tr>
      <w:tr w:rsidR="008D36E2">
        <w:tc>
          <w:tcPr>
            <w:tcW w:w="817" w:type="dxa"/>
            <w:vAlign w:val="center"/>
          </w:tcPr>
          <w:p w:rsidR="008D36E2" w:rsidRDefault="0013308F">
            <w:pPr>
              <w:jc w:val="center"/>
            </w:pPr>
            <w:r>
              <w:rPr>
                <w:rFonts w:eastAsiaTheme="minorEastAsia"/>
                <w:kern w:val="0"/>
                <w:szCs w:val="21"/>
              </w:rPr>
              <w:t>3</w:t>
            </w:r>
          </w:p>
        </w:tc>
        <w:tc>
          <w:tcPr>
            <w:tcW w:w="1276" w:type="dxa"/>
            <w:vAlign w:val="center"/>
          </w:tcPr>
          <w:p w:rsidR="008D36E2" w:rsidRDefault="0013308F">
            <w:pPr>
              <w:jc w:val="center"/>
            </w:pPr>
            <w:r>
              <w:rPr>
                <w:rFonts w:eastAsiaTheme="minorEastAsia"/>
                <w:kern w:val="0"/>
                <w:szCs w:val="21"/>
              </w:rPr>
              <w:t>002756</w:t>
            </w:r>
          </w:p>
        </w:tc>
        <w:tc>
          <w:tcPr>
            <w:tcW w:w="1701" w:type="dxa"/>
            <w:vAlign w:val="center"/>
          </w:tcPr>
          <w:p w:rsidR="008D36E2" w:rsidRDefault="0013308F">
            <w:pPr>
              <w:jc w:val="center"/>
            </w:pPr>
            <w:r>
              <w:rPr>
                <w:rFonts w:eastAsiaTheme="minorEastAsia"/>
                <w:kern w:val="0"/>
                <w:szCs w:val="21"/>
              </w:rPr>
              <w:t>永兴材料</w:t>
            </w:r>
          </w:p>
        </w:tc>
        <w:tc>
          <w:tcPr>
            <w:tcW w:w="1276" w:type="dxa"/>
            <w:vAlign w:val="center"/>
          </w:tcPr>
          <w:p w:rsidR="008D36E2" w:rsidRDefault="0013308F">
            <w:pPr>
              <w:jc w:val="right"/>
            </w:pPr>
            <w:r>
              <w:rPr>
                <w:rFonts w:eastAsiaTheme="minorEastAsia"/>
                <w:kern w:val="0"/>
                <w:szCs w:val="21"/>
              </w:rPr>
              <w:t>584,753</w:t>
            </w:r>
          </w:p>
        </w:tc>
        <w:tc>
          <w:tcPr>
            <w:tcW w:w="1842" w:type="dxa"/>
            <w:vAlign w:val="center"/>
          </w:tcPr>
          <w:p w:rsidR="008D36E2" w:rsidRDefault="0013308F">
            <w:pPr>
              <w:jc w:val="right"/>
            </w:pPr>
            <w:r>
              <w:rPr>
                <w:rFonts w:eastAsiaTheme="minorEastAsia"/>
                <w:kern w:val="0"/>
                <w:szCs w:val="21"/>
              </w:rPr>
              <w:t>34,728,480.67</w:t>
            </w:r>
          </w:p>
        </w:tc>
        <w:tc>
          <w:tcPr>
            <w:tcW w:w="1616" w:type="dxa"/>
            <w:vAlign w:val="center"/>
          </w:tcPr>
          <w:p w:rsidR="008D36E2" w:rsidRDefault="0013308F">
            <w:pPr>
              <w:jc w:val="right"/>
            </w:pPr>
            <w:r>
              <w:rPr>
                <w:rFonts w:eastAsiaTheme="minorEastAsia"/>
                <w:kern w:val="0"/>
                <w:szCs w:val="21"/>
              </w:rPr>
              <w:t>3.24</w:t>
            </w:r>
          </w:p>
        </w:tc>
      </w:tr>
      <w:tr w:rsidR="008D36E2">
        <w:tc>
          <w:tcPr>
            <w:tcW w:w="817" w:type="dxa"/>
            <w:vAlign w:val="center"/>
          </w:tcPr>
          <w:p w:rsidR="008D36E2" w:rsidRDefault="0013308F">
            <w:pPr>
              <w:jc w:val="center"/>
            </w:pPr>
            <w:r>
              <w:rPr>
                <w:rFonts w:eastAsiaTheme="minorEastAsia"/>
                <w:kern w:val="0"/>
                <w:szCs w:val="21"/>
              </w:rPr>
              <w:t>4</w:t>
            </w:r>
          </w:p>
        </w:tc>
        <w:tc>
          <w:tcPr>
            <w:tcW w:w="1276" w:type="dxa"/>
            <w:vAlign w:val="center"/>
          </w:tcPr>
          <w:p w:rsidR="008D36E2" w:rsidRDefault="0013308F">
            <w:pPr>
              <w:jc w:val="center"/>
            </w:pPr>
            <w:r>
              <w:rPr>
                <w:rFonts w:eastAsiaTheme="minorEastAsia"/>
                <w:kern w:val="0"/>
                <w:szCs w:val="21"/>
              </w:rPr>
              <w:t>002001</w:t>
            </w:r>
          </w:p>
        </w:tc>
        <w:tc>
          <w:tcPr>
            <w:tcW w:w="1701" w:type="dxa"/>
            <w:vAlign w:val="center"/>
          </w:tcPr>
          <w:p w:rsidR="008D36E2" w:rsidRDefault="0013308F">
            <w:pPr>
              <w:jc w:val="center"/>
            </w:pPr>
            <w:r>
              <w:rPr>
                <w:rFonts w:eastAsiaTheme="minorEastAsia"/>
                <w:kern w:val="0"/>
                <w:szCs w:val="21"/>
              </w:rPr>
              <w:t>新和成</w:t>
            </w:r>
          </w:p>
        </w:tc>
        <w:tc>
          <w:tcPr>
            <w:tcW w:w="1276" w:type="dxa"/>
            <w:vAlign w:val="center"/>
          </w:tcPr>
          <w:p w:rsidR="008D36E2" w:rsidRDefault="0013308F">
            <w:pPr>
              <w:jc w:val="right"/>
            </w:pPr>
            <w:r>
              <w:rPr>
                <w:rFonts w:eastAsiaTheme="minorEastAsia"/>
                <w:kern w:val="0"/>
                <w:szCs w:val="21"/>
              </w:rPr>
              <w:t>998,107</w:t>
            </w:r>
          </w:p>
        </w:tc>
        <w:tc>
          <w:tcPr>
            <w:tcW w:w="1842" w:type="dxa"/>
            <w:vAlign w:val="center"/>
          </w:tcPr>
          <w:p w:rsidR="008D36E2" w:rsidRDefault="0013308F">
            <w:pPr>
              <w:jc w:val="right"/>
            </w:pPr>
            <w:r>
              <w:rPr>
                <w:rFonts w:eastAsiaTheme="minorEastAsia"/>
                <w:kern w:val="0"/>
                <w:szCs w:val="21"/>
              </w:rPr>
              <w:t>28,625,708.76</w:t>
            </w:r>
          </w:p>
        </w:tc>
        <w:tc>
          <w:tcPr>
            <w:tcW w:w="1616" w:type="dxa"/>
            <w:vAlign w:val="center"/>
          </w:tcPr>
          <w:p w:rsidR="008D36E2" w:rsidRDefault="0013308F">
            <w:pPr>
              <w:jc w:val="right"/>
            </w:pPr>
            <w:r>
              <w:rPr>
                <w:rFonts w:eastAsiaTheme="minorEastAsia"/>
                <w:kern w:val="0"/>
                <w:szCs w:val="21"/>
              </w:rPr>
              <w:t>2.67</w:t>
            </w:r>
          </w:p>
        </w:tc>
      </w:tr>
      <w:tr w:rsidR="008D36E2">
        <w:tc>
          <w:tcPr>
            <w:tcW w:w="817" w:type="dxa"/>
            <w:vAlign w:val="center"/>
          </w:tcPr>
          <w:p w:rsidR="008D36E2" w:rsidRDefault="0013308F">
            <w:pPr>
              <w:jc w:val="center"/>
            </w:pPr>
            <w:r>
              <w:rPr>
                <w:rFonts w:eastAsiaTheme="minorEastAsia"/>
                <w:kern w:val="0"/>
                <w:szCs w:val="21"/>
              </w:rPr>
              <w:t>5</w:t>
            </w:r>
          </w:p>
        </w:tc>
        <w:tc>
          <w:tcPr>
            <w:tcW w:w="1276" w:type="dxa"/>
            <w:vAlign w:val="center"/>
          </w:tcPr>
          <w:p w:rsidR="008D36E2" w:rsidRDefault="0013308F">
            <w:pPr>
              <w:jc w:val="center"/>
            </w:pPr>
            <w:r>
              <w:rPr>
                <w:rFonts w:eastAsiaTheme="minorEastAsia"/>
                <w:kern w:val="0"/>
                <w:szCs w:val="21"/>
              </w:rPr>
              <w:t>002142</w:t>
            </w:r>
          </w:p>
        </w:tc>
        <w:tc>
          <w:tcPr>
            <w:tcW w:w="1701" w:type="dxa"/>
            <w:vAlign w:val="center"/>
          </w:tcPr>
          <w:p w:rsidR="008D36E2" w:rsidRDefault="0013308F">
            <w:pPr>
              <w:jc w:val="center"/>
            </w:pPr>
            <w:r>
              <w:rPr>
                <w:rFonts w:eastAsiaTheme="minorEastAsia"/>
                <w:kern w:val="0"/>
                <w:szCs w:val="21"/>
              </w:rPr>
              <w:t>宁波银行</w:t>
            </w:r>
          </w:p>
        </w:tc>
        <w:tc>
          <w:tcPr>
            <w:tcW w:w="1276" w:type="dxa"/>
            <w:vAlign w:val="center"/>
          </w:tcPr>
          <w:p w:rsidR="008D36E2" w:rsidRDefault="0013308F">
            <w:pPr>
              <w:jc w:val="right"/>
            </w:pPr>
            <w:r>
              <w:rPr>
                <w:rFonts w:eastAsiaTheme="minorEastAsia"/>
                <w:kern w:val="0"/>
                <w:szCs w:val="21"/>
              </w:rPr>
              <w:t>664,800</w:t>
            </w:r>
          </w:p>
        </w:tc>
        <w:tc>
          <w:tcPr>
            <w:tcW w:w="1842" w:type="dxa"/>
            <w:vAlign w:val="center"/>
          </w:tcPr>
          <w:p w:rsidR="008D36E2" w:rsidRDefault="0013308F">
            <w:pPr>
              <w:jc w:val="right"/>
            </w:pPr>
            <w:r>
              <w:rPr>
                <w:rFonts w:eastAsiaTheme="minorEastAsia"/>
                <w:kern w:val="0"/>
                <w:szCs w:val="21"/>
              </w:rPr>
              <w:t>25,907,256.00</w:t>
            </w:r>
          </w:p>
        </w:tc>
        <w:tc>
          <w:tcPr>
            <w:tcW w:w="1616" w:type="dxa"/>
            <w:vAlign w:val="center"/>
          </w:tcPr>
          <w:p w:rsidR="008D36E2" w:rsidRDefault="0013308F">
            <w:pPr>
              <w:jc w:val="right"/>
            </w:pPr>
            <w:r>
              <w:rPr>
                <w:rFonts w:eastAsiaTheme="minorEastAsia"/>
                <w:kern w:val="0"/>
                <w:szCs w:val="21"/>
              </w:rPr>
              <w:t>2.42</w:t>
            </w:r>
          </w:p>
        </w:tc>
      </w:tr>
      <w:tr w:rsidR="008D36E2">
        <w:tc>
          <w:tcPr>
            <w:tcW w:w="817" w:type="dxa"/>
            <w:vAlign w:val="center"/>
          </w:tcPr>
          <w:p w:rsidR="008D36E2" w:rsidRDefault="0013308F">
            <w:pPr>
              <w:jc w:val="center"/>
            </w:pPr>
            <w:r>
              <w:rPr>
                <w:rFonts w:eastAsiaTheme="minorEastAsia"/>
                <w:kern w:val="0"/>
                <w:szCs w:val="21"/>
              </w:rPr>
              <w:t>6</w:t>
            </w:r>
          </w:p>
        </w:tc>
        <w:tc>
          <w:tcPr>
            <w:tcW w:w="1276" w:type="dxa"/>
            <w:vAlign w:val="center"/>
          </w:tcPr>
          <w:p w:rsidR="008D36E2" w:rsidRDefault="0013308F">
            <w:pPr>
              <w:jc w:val="center"/>
            </w:pPr>
            <w:r>
              <w:rPr>
                <w:rFonts w:eastAsiaTheme="minorEastAsia"/>
                <w:kern w:val="0"/>
                <w:szCs w:val="21"/>
              </w:rPr>
              <w:t>600660</w:t>
            </w:r>
          </w:p>
        </w:tc>
        <w:tc>
          <w:tcPr>
            <w:tcW w:w="1701" w:type="dxa"/>
            <w:vAlign w:val="center"/>
          </w:tcPr>
          <w:p w:rsidR="008D36E2" w:rsidRDefault="0013308F">
            <w:pPr>
              <w:jc w:val="center"/>
            </w:pPr>
            <w:r>
              <w:rPr>
                <w:rFonts w:eastAsiaTheme="minorEastAsia"/>
                <w:kern w:val="0"/>
                <w:szCs w:val="21"/>
              </w:rPr>
              <w:t>福耀玻璃</w:t>
            </w:r>
          </w:p>
        </w:tc>
        <w:tc>
          <w:tcPr>
            <w:tcW w:w="1276" w:type="dxa"/>
            <w:vAlign w:val="center"/>
          </w:tcPr>
          <w:p w:rsidR="008D36E2" w:rsidRDefault="0013308F">
            <w:pPr>
              <w:jc w:val="right"/>
            </w:pPr>
            <w:r>
              <w:rPr>
                <w:rFonts w:eastAsiaTheme="minorEastAsia"/>
                <w:kern w:val="0"/>
                <w:szCs w:val="21"/>
              </w:rPr>
              <w:t>452,274</w:t>
            </w:r>
          </w:p>
        </w:tc>
        <w:tc>
          <w:tcPr>
            <w:tcW w:w="1842" w:type="dxa"/>
            <w:vAlign w:val="center"/>
          </w:tcPr>
          <w:p w:rsidR="008D36E2" w:rsidRDefault="0013308F">
            <w:pPr>
              <w:jc w:val="right"/>
            </w:pPr>
            <w:r>
              <w:rPr>
                <w:rFonts w:eastAsiaTheme="minorEastAsia"/>
                <w:kern w:val="0"/>
                <w:szCs w:val="21"/>
              </w:rPr>
              <w:t>25,259,502.90</w:t>
            </w:r>
          </w:p>
        </w:tc>
        <w:tc>
          <w:tcPr>
            <w:tcW w:w="1616" w:type="dxa"/>
            <w:vAlign w:val="center"/>
          </w:tcPr>
          <w:p w:rsidR="008D36E2" w:rsidRDefault="0013308F">
            <w:pPr>
              <w:jc w:val="right"/>
            </w:pPr>
            <w:r>
              <w:rPr>
                <w:rFonts w:eastAsiaTheme="minorEastAsia"/>
                <w:kern w:val="0"/>
                <w:szCs w:val="21"/>
              </w:rPr>
              <w:t>2.36</w:t>
            </w:r>
          </w:p>
        </w:tc>
      </w:tr>
      <w:tr w:rsidR="008D36E2">
        <w:tc>
          <w:tcPr>
            <w:tcW w:w="817" w:type="dxa"/>
            <w:vAlign w:val="center"/>
          </w:tcPr>
          <w:p w:rsidR="008D36E2" w:rsidRDefault="0013308F">
            <w:pPr>
              <w:jc w:val="center"/>
            </w:pPr>
            <w:r>
              <w:rPr>
                <w:rFonts w:eastAsiaTheme="minorEastAsia"/>
                <w:kern w:val="0"/>
                <w:szCs w:val="21"/>
              </w:rPr>
              <w:t>7</w:t>
            </w:r>
          </w:p>
        </w:tc>
        <w:tc>
          <w:tcPr>
            <w:tcW w:w="1276" w:type="dxa"/>
            <w:vAlign w:val="center"/>
          </w:tcPr>
          <w:p w:rsidR="008D36E2" w:rsidRDefault="0013308F">
            <w:pPr>
              <w:jc w:val="center"/>
            </w:pPr>
            <w:r>
              <w:rPr>
                <w:rFonts w:eastAsiaTheme="minorEastAsia"/>
                <w:kern w:val="0"/>
                <w:szCs w:val="21"/>
              </w:rPr>
              <w:t>000661</w:t>
            </w:r>
          </w:p>
        </w:tc>
        <w:tc>
          <w:tcPr>
            <w:tcW w:w="1701" w:type="dxa"/>
            <w:vAlign w:val="center"/>
          </w:tcPr>
          <w:p w:rsidR="008D36E2" w:rsidRDefault="0013308F">
            <w:pPr>
              <w:jc w:val="center"/>
            </w:pPr>
            <w:r>
              <w:rPr>
                <w:rFonts w:eastAsiaTheme="minorEastAsia"/>
                <w:kern w:val="0"/>
                <w:szCs w:val="21"/>
              </w:rPr>
              <w:t>长春高新</w:t>
            </w:r>
          </w:p>
        </w:tc>
        <w:tc>
          <w:tcPr>
            <w:tcW w:w="1276" w:type="dxa"/>
            <w:vAlign w:val="center"/>
          </w:tcPr>
          <w:p w:rsidR="008D36E2" w:rsidRDefault="0013308F">
            <w:pPr>
              <w:jc w:val="right"/>
            </w:pPr>
            <w:r>
              <w:rPr>
                <w:rFonts w:eastAsiaTheme="minorEastAsia"/>
                <w:kern w:val="0"/>
                <w:szCs w:val="21"/>
              </w:rPr>
              <w:t>52,580</w:t>
            </w:r>
          </w:p>
        </w:tc>
        <w:tc>
          <w:tcPr>
            <w:tcW w:w="1842" w:type="dxa"/>
            <w:vAlign w:val="center"/>
          </w:tcPr>
          <w:p w:rsidR="008D36E2" w:rsidRDefault="0013308F">
            <w:pPr>
              <w:jc w:val="right"/>
            </w:pPr>
            <w:r>
              <w:rPr>
                <w:rFonts w:eastAsiaTheme="minorEastAsia"/>
                <w:kern w:val="0"/>
                <w:szCs w:val="21"/>
              </w:rPr>
              <w:t>20,348,460.00</w:t>
            </w:r>
          </w:p>
        </w:tc>
        <w:tc>
          <w:tcPr>
            <w:tcW w:w="1616" w:type="dxa"/>
            <w:vAlign w:val="center"/>
          </w:tcPr>
          <w:p w:rsidR="008D36E2" w:rsidRDefault="0013308F">
            <w:pPr>
              <w:jc w:val="right"/>
            </w:pPr>
            <w:r>
              <w:rPr>
                <w:rFonts w:eastAsiaTheme="minorEastAsia"/>
                <w:kern w:val="0"/>
                <w:szCs w:val="21"/>
              </w:rPr>
              <w:t>1.90</w:t>
            </w:r>
          </w:p>
        </w:tc>
      </w:tr>
      <w:tr w:rsidR="008D36E2">
        <w:tc>
          <w:tcPr>
            <w:tcW w:w="817" w:type="dxa"/>
            <w:vAlign w:val="center"/>
          </w:tcPr>
          <w:p w:rsidR="008D36E2" w:rsidRDefault="0013308F">
            <w:pPr>
              <w:jc w:val="center"/>
            </w:pPr>
            <w:r>
              <w:rPr>
                <w:rFonts w:eastAsiaTheme="minorEastAsia"/>
                <w:kern w:val="0"/>
                <w:szCs w:val="21"/>
              </w:rPr>
              <w:t>8</w:t>
            </w:r>
          </w:p>
        </w:tc>
        <w:tc>
          <w:tcPr>
            <w:tcW w:w="1276" w:type="dxa"/>
            <w:vAlign w:val="center"/>
          </w:tcPr>
          <w:p w:rsidR="008D36E2" w:rsidRDefault="0013308F">
            <w:pPr>
              <w:jc w:val="center"/>
            </w:pPr>
            <w:r>
              <w:rPr>
                <w:rFonts w:eastAsiaTheme="minorEastAsia"/>
                <w:kern w:val="0"/>
                <w:szCs w:val="21"/>
              </w:rPr>
              <w:t>600438</w:t>
            </w:r>
          </w:p>
        </w:tc>
        <w:tc>
          <w:tcPr>
            <w:tcW w:w="1701" w:type="dxa"/>
            <w:vAlign w:val="center"/>
          </w:tcPr>
          <w:p w:rsidR="008D36E2" w:rsidRDefault="0013308F">
            <w:pPr>
              <w:jc w:val="center"/>
            </w:pPr>
            <w:r>
              <w:rPr>
                <w:rFonts w:eastAsiaTheme="minorEastAsia"/>
                <w:kern w:val="0"/>
                <w:szCs w:val="21"/>
              </w:rPr>
              <w:t>通威股份</w:t>
            </w:r>
          </w:p>
        </w:tc>
        <w:tc>
          <w:tcPr>
            <w:tcW w:w="1276" w:type="dxa"/>
            <w:vAlign w:val="center"/>
          </w:tcPr>
          <w:p w:rsidR="008D36E2" w:rsidRDefault="0013308F">
            <w:pPr>
              <w:jc w:val="right"/>
            </w:pPr>
            <w:r>
              <w:rPr>
                <w:rFonts w:eastAsiaTheme="minorEastAsia"/>
                <w:kern w:val="0"/>
                <w:szCs w:val="21"/>
              </w:rPr>
              <w:t>462,576</w:t>
            </w:r>
          </w:p>
        </w:tc>
        <w:tc>
          <w:tcPr>
            <w:tcW w:w="1842" w:type="dxa"/>
            <w:vAlign w:val="center"/>
          </w:tcPr>
          <w:p w:rsidR="008D36E2" w:rsidRDefault="0013308F">
            <w:pPr>
              <w:jc w:val="right"/>
            </w:pPr>
            <w:r>
              <w:rPr>
                <w:rFonts w:eastAsiaTheme="minorEastAsia"/>
                <w:kern w:val="0"/>
                <w:szCs w:val="21"/>
              </w:rPr>
              <w:t>20,015,663.52</w:t>
            </w:r>
          </w:p>
        </w:tc>
        <w:tc>
          <w:tcPr>
            <w:tcW w:w="1616" w:type="dxa"/>
            <w:vAlign w:val="center"/>
          </w:tcPr>
          <w:p w:rsidR="008D36E2" w:rsidRDefault="0013308F">
            <w:pPr>
              <w:jc w:val="right"/>
            </w:pPr>
            <w:r>
              <w:rPr>
                <w:rFonts w:eastAsiaTheme="minorEastAsia"/>
                <w:kern w:val="0"/>
                <w:szCs w:val="21"/>
              </w:rPr>
              <w:t>1.87</w:t>
            </w:r>
          </w:p>
        </w:tc>
      </w:tr>
      <w:tr w:rsidR="008D36E2">
        <w:tc>
          <w:tcPr>
            <w:tcW w:w="817" w:type="dxa"/>
            <w:vAlign w:val="center"/>
          </w:tcPr>
          <w:p w:rsidR="008D36E2" w:rsidRDefault="0013308F">
            <w:pPr>
              <w:jc w:val="center"/>
            </w:pPr>
            <w:r>
              <w:rPr>
                <w:rFonts w:eastAsiaTheme="minorEastAsia"/>
                <w:kern w:val="0"/>
                <w:szCs w:val="21"/>
              </w:rPr>
              <w:t>9</w:t>
            </w:r>
          </w:p>
        </w:tc>
        <w:tc>
          <w:tcPr>
            <w:tcW w:w="1276" w:type="dxa"/>
            <w:vAlign w:val="center"/>
          </w:tcPr>
          <w:p w:rsidR="008D36E2" w:rsidRDefault="0013308F">
            <w:pPr>
              <w:jc w:val="center"/>
            </w:pPr>
            <w:r>
              <w:rPr>
                <w:rFonts w:eastAsiaTheme="minorEastAsia"/>
                <w:kern w:val="0"/>
                <w:szCs w:val="21"/>
              </w:rPr>
              <w:t>000858</w:t>
            </w:r>
          </w:p>
        </w:tc>
        <w:tc>
          <w:tcPr>
            <w:tcW w:w="1701" w:type="dxa"/>
            <w:vAlign w:val="center"/>
          </w:tcPr>
          <w:p w:rsidR="008D36E2" w:rsidRDefault="0013308F">
            <w:pPr>
              <w:jc w:val="center"/>
            </w:pPr>
            <w:r>
              <w:rPr>
                <w:rFonts w:eastAsiaTheme="minorEastAsia"/>
                <w:kern w:val="0"/>
                <w:szCs w:val="21"/>
              </w:rPr>
              <w:t>五粮液</w:t>
            </w:r>
          </w:p>
        </w:tc>
        <w:tc>
          <w:tcPr>
            <w:tcW w:w="1276" w:type="dxa"/>
            <w:vAlign w:val="center"/>
          </w:tcPr>
          <w:p w:rsidR="008D36E2" w:rsidRDefault="0013308F">
            <w:pPr>
              <w:jc w:val="right"/>
            </w:pPr>
            <w:r>
              <w:rPr>
                <w:rFonts w:eastAsiaTheme="minorEastAsia"/>
                <w:kern w:val="0"/>
                <w:szCs w:val="21"/>
              </w:rPr>
              <w:t>66,788</w:t>
            </w:r>
          </w:p>
        </w:tc>
        <w:tc>
          <w:tcPr>
            <w:tcW w:w="1842" w:type="dxa"/>
            <w:vAlign w:val="center"/>
          </w:tcPr>
          <w:p w:rsidR="008D36E2" w:rsidRDefault="0013308F">
            <w:pPr>
              <w:jc w:val="right"/>
            </w:pPr>
            <w:r>
              <w:rPr>
                <w:rFonts w:eastAsiaTheme="minorEastAsia"/>
                <w:kern w:val="0"/>
                <w:szCs w:val="21"/>
              </w:rPr>
              <w:t>19,895,477.32</w:t>
            </w:r>
          </w:p>
        </w:tc>
        <w:tc>
          <w:tcPr>
            <w:tcW w:w="1616" w:type="dxa"/>
            <w:vAlign w:val="center"/>
          </w:tcPr>
          <w:p w:rsidR="008D36E2" w:rsidRDefault="0013308F">
            <w:pPr>
              <w:jc w:val="right"/>
            </w:pPr>
            <w:r>
              <w:rPr>
                <w:rFonts w:eastAsiaTheme="minorEastAsia"/>
                <w:kern w:val="0"/>
                <w:szCs w:val="21"/>
              </w:rPr>
              <w:t>1.86</w:t>
            </w:r>
          </w:p>
        </w:tc>
      </w:tr>
      <w:tr w:rsidR="008D36E2">
        <w:tc>
          <w:tcPr>
            <w:tcW w:w="817" w:type="dxa"/>
            <w:vAlign w:val="center"/>
          </w:tcPr>
          <w:p w:rsidR="008D36E2" w:rsidRDefault="0013308F">
            <w:pPr>
              <w:jc w:val="center"/>
            </w:pPr>
            <w:r>
              <w:rPr>
                <w:rFonts w:eastAsiaTheme="minorEastAsia"/>
                <w:kern w:val="0"/>
                <w:szCs w:val="21"/>
              </w:rPr>
              <w:t>10</w:t>
            </w:r>
          </w:p>
        </w:tc>
        <w:tc>
          <w:tcPr>
            <w:tcW w:w="1276" w:type="dxa"/>
            <w:vAlign w:val="center"/>
          </w:tcPr>
          <w:p w:rsidR="008D36E2" w:rsidRDefault="0013308F">
            <w:pPr>
              <w:jc w:val="center"/>
            </w:pPr>
            <w:r>
              <w:rPr>
                <w:rFonts w:eastAsiaTheme="minorEastAsia"/>
                <w:kern w:val="0"/>
                <w:szCs w:val="21"/>
              </w:rPr>
              <w:t>688169</w:t>
            </w:r>
          </w:p>
        </w:tc>
        <w:tc>
          <w:tcPr>
            <w:tcW w:w="1701" w:type="dxa"/>
            <w:vAlign w:val="center"/>
          </w:tcPr>
          <w:p w:rsidR="008D36E2" w:rsidRDefault="0013308F">
            <w:pPr>
              <w:jc w:val="center"/>
            </w:pPr>
            <w:r>
              <w:rPr>
                <w:rFonts w:eastAsiaTheme="minorEastAsia"/>
                <w:kern w:val="0"/>
                <w:szCs w:val="21"/>
              </w:rPr>
              <w:t>石头科技</w:t>
            </w:r>
          </w:p>
        </w:tc>
        <w:tc>
          <w:tcPr>
            <w:tcW w:w="1276" w:type="dxa"/>
            <w:vAlign w:val="center"/>
          </w:tcPr>
          <w:p w:rsidR="008D36E2" w:rsidRDefault="0013308F">
            <w:pPr>
              <w:jc w:val="right"/>
            </w:pPr>
            <w:r>
              <w:rPr>
                <w:rFonts w:eastAsiaTheme="minorEastAsia"/>
                <w:kern w:val="0"/>
                <w:szCs w:val="21"/>
              </w:rPr>
              <w:t>14,532</w:t>
            </w:r>
          </w:p>
        </w:tc>
        <w:tc>
          <w:tcPr>
            <w:tcW w:w="1842" w:type="dxa"/>
            <w:vAlign w:val="center"/>
          </w:tcPr>
          <w:p w:rsidR="008D36E2" w:rsidRDefault="0013308F">
            <w:pPr>
              <w:jc w:val="right"/>
            </w:pPr>
            <w:r>
              <w:rPr>
                <w:rFonts w:eastAsiaTheme="minorEastAsia"/>
                <w:kern w:val="0"/>
                <w:szCs w:val="21"/>
              </w:rPr>
              <w:t>18,324,852.00</w:t>
            </w:r>
          </w:p>
        </w:tc>
        <w:tc>
          <w:tcPr>
            <w:tcW w:w="1616" w:type="dxa"/>
            <w:vAlign w:val="center"/>
          </w:tcPr>
          <w:p w:rsidR="008D36E2" w:rsidRDefault="0013308F">
            <w:pPr>
              <w:jc w:val="right"/>
            </w:pPr>
            <w:r>
              <w:rPr>
                <w:rFonts w:eastAsiaTheme="minorEastAsia"/>
                <w:kern w:val="0"/>
                <w:szCs w:val="21"/>
              </w:rPr>
              <w:t>1.71</w:t>
            </w:r>
          </w:p>
        </w:tc>
      </w:tr>
    </w:tbl>
    <w:bookmarkEnd w:id="1"/>
    <w:p w:rsidR="005E6DF3" w:rsidRPr="00B27A29" w:rsidRDefault="005C671B">
      <w:pPr>
        <w:autoSpaceDE w:val="0"/>
        <w:autoSpaceDN w:val="0"/>
        <w:adjustRightInd w:val="0"/>
        <w:spacing w:beforeLines="100" w:before="312"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 xml:space="preserve">5.4 </w:t>
      </w:r>
      <w:r w:rsidRPr="00B27A29">
        <w:rPr>
          <w:rFonts w:eastAsiaTheme="minorEastAsia"/>
          <w:b/>
          <w:color w:val="000000" w:themeColor="text1"/>
          <w:kern w:val="0"/>
          <w:szCs w:val="21"/>
        </w:rPr>
        <w:t>报告期末按债券品种分类的债券投资组合</w:t>
      </w:r>
    </w:p>
    <w:tbl>
      <w:tblPr>
        <w:tblW w:w="85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5E6DF3" w:rsidRPr="00B27A29">
        <w:tc>
          <w:tcPr>
            <w:tcW w:w="817"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序号</w:t>
            </w:r>
          </w:p>
        </w:tc>
        <w:tc>
          <w:tcPr>
            <w:tcW w:w="3260"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债券品种</w:t>
            </w:r>
          </w:p>
        </w:tc>
        <w:tc>
          <w:tcPr>
            <w:tcW w:w="2835"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公允价值</w:t>
            </w:r>
            <w:r w:rsidRPr="00B27A29">
              <w:rPr>
                <w:rFonts w:eastAsiaTheme="minorEastAsia"/>
                <w:color w:val="000000" w:themeColor="text1"/>
                <w:szCs w:val="21"/>
              </w:rPr>
              <w:t>(</w:t>
            </w:r>
            <w:r w:rsidRPr="00B27A29">
              <w:rPr>
                <w:rFonts w:eastAsiaTheme="minorEastAsia"/>
                <w:color w:val="000000" w:themeColor="text1"/>
                <w:szCs w:val="21"/>
              </w:rPr>
              <w:t>元</w:t>
            </w:r>
            <w:r w:rsidRPr="00B27A29">
              <w:rPr>
                <w:rFonts w:eastAsiaTheme="minorEastAsia"/>
                <w:color w:val="000000" w:themeColor="text1"/>
                <w:szCs w:val="21"/>
              </w:rPr>
              <w:t>)</w:t>
            </w:r>
          </w:p>
        </w:tc>
        <w:tc>
          <w:tcPr>
            <w:tcW w:w="1616"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占基金资产净值比例</w:t>
            </w:r>
            <w:r w:rsidRPr="00B27A29">
              <w:rPr>
                <w:rFonts w:eastAsiaTheme="minorEastAsia"/>
                <w:color w:val="000000" w:themeColor="text1"/>
                <w:szCs w:val="21"/>
              </w:rPr>
              <w:t>(</w:t>
            </w:r>
            <w:r w:rsidRPr="00B27A29">
              <w:rPr>
                <w:rFonts w:eastAsiaTheme="minorEastAsia"/>
                <w:color w:val="000000" w:themeColor="text1"/>
                <w:szCs w:val="21"/>
              </w:rPr>
              <w:t>％</w:t>
            </w:r>
            <w:r w:rsidRPr="00B27A29">
              <w:rPr>
                <w:rFonts w:eastAsiaTheme="minorEastAsia"/>
                <w:color w:val="000000" w:themeColor="text1"/>
                <w:szCs w:val="21"/>
              </w:rPr>
              <w:t>)</w:t>
            </w:r>
          </w:p>
        </w:tc>
      </w:tr>
      <w:tr w:rsidR="005E6DF3" w:rsidRPr="00B27A29">
        <w:tc>
          <w:tcPr>
            <w:tcW w:w="817"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1</w:t>
            </w:r>
          </w:p>
        </w:tc>
        <w:tc>
          <w:tcPr>
            <w:tcW w:w="3260"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国家债券</w:t>
            </w:r>
          </w:p>
        </w:tc>
        <w:tc>
          <w:tcPr>
            <w:tcW w:w="2835"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63,024,016.00</w:t>
            </w:r>
          </w:p>
        </w:tc>
        <w:tc>
          <w:tcPr>
            <w:tcW w:w="1616"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5.88</w:t>
            </w:r>
          </w:p>
        </w:tc>
      </w:tr>
      <w:tr w:rsidR="005E6DF3" w:rsidRPr="00B27A29">
        <w:tc>
          <w:tcPr>
            <w:tcW w:w="817"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2</w:t>
            </w:r>
          </w:p>
        </w:tc>
        <w:tc>
          <w:tcPr>
            <w:tcW w:w="3260"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央行票据</w:t>
            </w:r>
          </w:p>
        </w:tc>
        <w:tc>
          <w:tcPr>
            <w:tcW w:w="2835"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c>
          <w:tcPr>
            <w:tcW w:w="1616"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c>
          <w:tcPr>
            <w:tcW w:w="817"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3</w:t>
            </w:r>
          </w:p>
        </w:tc>
        <w:tc>
          <w:tcPr>
            <w:tcW w:w="3260"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金融债券</w:t>
            </w:r>
          </w:p>
        </w:tc>
        <w:tc>
          <w:tcPr>
            <w:tcW w:w="2835"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30,238,000.00</w:t>
            </w:r>
          </w:p>
        </w:tc>
        <w:tc>
          <w:tcPr>
            <w:tcW w:w="1616"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2.82</w:t>
            </w:r>
          </w:p>
        </w:tc>
      </w:tr>
      <w:tr w:rsidR="005E6DF3" w:rsidRPr="00B27A29">
        <w:tc>
          <w:tcPr>
            <w:tcW w:w="817" w:type="dxa"/>
            <w:vAlign w:val="center"/>
          </w:tcPr>
          <w:p w:rsidR="005E6DF3" w:rsidRPr="00B27A29" w:rsidRDefault="005E6DF3">
            <w:pPr>
              <w:spacing w:before="29" w:line="360" w:lineRule="auto"/>
              <w:ind w:left="17"/>
              <w:jc w:val="center"/>
              <w:rPr>
                <w:rFonts w:eastAsiaTheme="minorEastAsia"/>
                <w:color w:val="000000" w:themeColor="text1"/>
                <w:szCs w:val="21"/>
              </w:rPr>
            </w:pPr>
          </w:p>
        </w:tc>
        <w:tc>
          <w:tcPr>
            <w:tcW w:w="3260"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其中：政策性金融债</w:t>
            </w:r>
          </w:p>
        </w:tc>
        <w:tc>
          <w:tcPr>
            <w:tcW w:w="2835"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20,236,000.00</w:t>
            </w:r>
          </w:p>
        </w:tc>
        <w:tc>
          <w:tcPr>
            <w:tcW w:w="1616"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1.89</w:t>
            </w:r>
          </w:p>
        </w:tc>
      </w:tr>
      <w:tr w:rsidR="005E6DF3" w:rsidRPr="00B27A29">
        <w:tc>
          <w:tcPr>
            <w:tcW w:w="817"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4</w:t>
            </w:r>
          </w:p>
        </w:tc>
        <w:tc>
          <w:tcPr>
            <w:tcW w:w="3260"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企业债券</w:t>
            </w:r>
          </w:p>
        </w:tc>
        <w:tc>
          <w:tcPr>
            <w:tcW w:w="2835"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51,564,457.50</w:t>
            </w:r>
          </w:p>
        </w:tc>
        <w:tc>
          <w:tcPr>
            <w:tcW w:w="1616"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4.81</w:t>
            </w:r>
          </w:p>
        </w:tc>
      </w:tr>
      <w:tr w:rsidR="005E6DF3" w:rsidRPr="00B27A29">
        <w:tc>
          <w:tcPr>
            <w:tcW w:w="817"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5</w:t>
            </w:r>
          </w:p>
        </w:tc>
        <w:tc>
          <w:tcPr>
            <w:tcW w:w="3260"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企业短期融资券</w:t>
            </w:r>
          </w:p>
        </w:tc>
        <w:tc>
          <w:tcPr>
            <w:tcW w:w="2835"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c>
          <w:tcPr>
            <w:tcW w:w="1616"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c>
          <w:tcPr>
            <w:tcW w:w="817"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6</w:t>
            </w:r>
          </w:p>
        </w:tc>
        <w:tc>
          <w:tcPr>
            <w:tcW w:w="3260"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中期票据</w:t>
            </w:r>
          </w:p>
        </w:tc>
        <w:tc>
          <w:tcPr>
            <w:tcW w:w="2835"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181,203,000.00</w:t>
            </w:r>
          </w:p>
        </w:tc>
        <w:tc>
          <w:tcPr>
            <w:tcW w:w="1616"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16.90</w:t>
            </w:r>
          </w:p>
        </w:tc>
      </w:tr>
      <w:tr w:rsidR="005E6DF3" w:rsidRPr="00B27A29">
        <w:tc>
          <w:tcPr>
            <w:tcW w:w="817"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7</w:t>
            </w:r>
          </w:p>
        </w:tc>
        <w:tc>
          <w:tcPr>
            <w:tcW w:w="3260"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可转债（可交换债）</w:t>
            </w:r>
          </w:p>
        </w:tc>
        <w:tc>
          <w:tcPr>
            <w:tcW w:w="2835"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14,445,517.00</w:t>
            </w:r>
          </w:p>
        </w:tc>
        <w:tc>
          <w:tcPr>
            <w:tcW w:w="1616"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1.35</w:t>
            </w:r>
          </w:p>
        </w:tc>
      </w:tr>
      <w:tr w:rsidR="005E6DF3" w:rsidRPr="00B27A29">
        <w:tc>
          <w:tcPr>
            <w:tcW w:w="817"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8</w:t>
            </w:r>
          </w:p>
        </w:tc>
        <w:tc>
          <w:tcPr>
            <w:tcW w:w="3260"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同业存单</w:t>
            </w:r>
          </w:p>
        </w:tc>
        <w:tc>
          <w:tcPr>
            <w:tcW w:w="2835"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c>
          <w:tcPr>
            <w:tcW w:w="1616"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c>
          <w:tcPr>
            <w:tcW w:w="817"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9</w:t>
            </w:r>
          </w:p>
        </w:tc>
        <w:tc>
          <w:tcPr>
            <w:tcW w:w="3260"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其他</w:t>
            </w:r>
          </w:p>
        </w:tc>
        <w:tc>
          <w:tcPr>
            <w:tcW w:w="2835"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c>
          <w:tcPr>
            <w:tcW w:w="1616"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c>
          <w:tcPr>
            <w:tcW w:w="817"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10</w:t>
            </w:r>
          </w:p>
        </w:tc>
        <w:tc>
          <w:tcPr>
            <w:tcW w:w="3260"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合计</w:t>
            </w:r>
          </w:p>
        </w:tc>
        <w:tc>
          <w:tcPr>
            <w:tcW w:w="2835"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340,474,990.50</w:t>
            </w:r>
          </w:p>
        </w:tc>
        <w:tc>
          <w:tcPr>
            <w:tcW w:w="1616"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31.76</w:t>
            </w:r>
          </w:p>
        </w:tc>
      </w:tr>
    </w:tbl>
    <w:p w:rsidR="005E6DF3" w:rsidRPr="00B27A29" w:rsidRDefault="005C671B">
      <w:pPr>
        <w:autoSpaceDE w:val="0"/>
        <w:autoSpaceDN w:val="0"/>
        <w:adjustRightInd w:val="0"/>
        <w:spacing w:beforeLines="100" w:before="312"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 xml:space="preserve">5.5 </w:t>
      </w:r>
      <w:r w:rsidRPr="00B27A29">
        <w:rPr>
          <w:rFonts w:eastAsiaTheme="minorEastAsia"/>
          <w:b/>
          <w:color w:val="000000" w:themeColor="text1"/>
          <w:kern w:val="0"/>
          <w:szCs w:val="21"/>
        </w:rPr>
        <w:t>报告期末按公允价值占基金资产净值比例大小排序的前五名债券投资明细</w:t>
      </w:r>
    </w:p>
    <w:tbl>
      <w:tblPr>
        <w:tblStyle w:val="afa"/>
        <w:tblW w:w="9021" w:type="dxa"/>
        <w:tblInd w:w="108" w:type="dxa"/>
        <w:tblLayout w:type="fixed"/>
        <w:tblLook w:val="04A0" w:firstRow="1" w:lastRow="0" w:firstColumn="1" w:lastColumn="0" w:noHBand="0" w:noVBand="1"/>
      </w:tblPr>
      <w:tblGrid>
        <w:gridCol w:w="1504"/>
        <w:gridCol w:w="1504"/>
        <w:gridCol w:w="1504"/>
        <w:gridCol w:w="1503"/>
        <w:gridCol w:w="1503"/>
        <w:gridCol w:w="1503"/>
      </w:tblGrid>
      <w:tr w:rsidR="005E6DF3" w:rsidRPr="00B27A29">
        <w:tc>
          <w:tcPr>
            <w:tcW w:w="1504" w:type="dxa"/>
            <w:vAlign w:val="center"/>
          </w:tcPr>
          <w:p w:rsidR="005E6DF3" w:rsidRPr="00B27A29" w:rsidRDefault="005C671B">
            <w:pPr>
              <w:autoSpaceDE w:val="0"/>
              <w:autoSpaceDN w:val="0"/>
              <w:adjustRightInd w:val="0"/>
              <w:spacing w:before="29" w:line="288" w:lineRule="auto"/>
              <w:ind w:left="15"/>
              <w:jc w:val="center"/>
              <w:rPr>
                <w:rFonts w:eastAsiaTheme="minorEastAsia"/>
                <w:color w:val="000000" w:themeColor="text1"/>
                <w:kern w:val="0"/>
                <w:szCs w:val="21"/>
              </w:rPr>
            </w:pPr>
            <w:r w:rsidRPr="00B27A29">
              <w:rPr>
                <w:rFonts w:eastAsiaTheme="minorEastAsia"/>
                <w:color w:val="000000" w:themeColor="text1"/>
                <w:kern w:val="0"/>
                <w:szCs w:val="21"/>
              </w:rPr>
              <w:lastRenderedPageBreak/>
              <w:t>序号</w:t>
            </w:r>
          </w:p>
        </w:tc>
        <w:tc>
          <w:tcPr>
            <w:tcW w:w="1504" w:type="dxa"/>
            <w:vAlign w:val="center"/>
          </w:tcPr>
          <w:p w:rsidR="005E6DF3" w:rsidRPr="00B27A29" w:rsidRDefault="005C671B">
            <w:pPr>
              <w:autoSpaceDE w:val="0"/>
              <w:autoSpaceDN w:val="0"/>
              <w:adjustRightInd w:val="0"/>
              <w:spacing w:before="29" w:line="288" w:lineRule="auto"/>
              <w:ind w:left="15"/>
              <w:jc w:val="center"/>
              <w:rPr>
                <w:rFonts w:eastAsiaTheme="minorEastAsia"/>
                <w:color w:val="000000" w:themeColor="text1"/>
                <w:kern w:val="0"/>
                <w:szCs w:val="21"/>
              </w:rPr>
            </w:pPr>
            <w:r w:rsidRPr="00B27A29">
              <w:rPr>
                <w:rFonts w:eastAsiaTheme="minorEastAsia"/>
                <w:color w:val="000000" w:themeColor="text1"/>
                <w:kern w:val="0"/>
                <w:szCs w:val="21"/>
              </w:rPr>
              <w:t>债券代码</w:t>
            </w:r>
          </w:p>
        </w:tc>
        <w:tc>
          <w:tcPr>
            <w:tcW w:w="1504" w:type="dxa"/>
            <w:vAlign w:val="center"/>
          </w:tcPr>
          <w:p w:rsidR="005E6DF3" w:rsidRPr="00B27A29" w:rsidRDefault="005C671B">
            <w:pPr>
              <w:autoSpaceDE w:val="0"/>
              <w:autoSpaceDN w:val="0"/>
              <w:adjustRightInd w:val="0"/>
              <w:spacing w:before="29" w:line="288" w:lineRule="auto"/>
              <w:ind w:left="15"/>
              <w:jc w:val="center"/>
              <w:rPr>
                <w:rFonts w:eastAsiaTheme="minorEastAsia"/>
                <w:color w:val="000000" w:themeColor="text1"/>
                <w:kern w:val="0"/>
                <w:szCs w:val="21"/>
              </w:rPr>
            </w:pPr>
            <w:r w:rsidRPr="00B27A29">
              <w:rPr>
                <w:rFonts w:eastAsiaTheme="minorEastAsia"/>
                <w:color w:val="000000" w:themeColor="text1"/>
                <w:kern w:val="0"/>
                <w:szCs w:val="21"/>
              </w:rPr>
              <w:t>债券名称</w:t>
            </w:r>
          </w:p>
        </w:tc>
        <w:tc>
          <w:tcPr>
            <w:tcW w:w="1503" w:type="dxa"/>
            <w:vAlign w:val="center"/>
          </w:tcPr>
          <w:p w:rsidR="005E6DF3" w:rsidRPr="00B27A29" w:rsidRDefault="005C671B">
            <w:pPr>
              <w:autoSpaceDE w:val="0"/>
              <w:autoSpaceDN w:val="0"/>
              <w:adjustRightInd w:val="0"/>
              <w:spacing w:before="29" w:line="288" w:lineRule="auto"/>
              <w:ind w:left="15"/>
              <w:jc w:val="center"/>
              <w:rPr>
                <w:rFonts w:eastAsiaTheme="minorEastAsia"/>
                <w:color w:val="000000" w:themeColor="text1"/>
                <w:kern w:val="0"/>
                <w:szCs w:val="21"/>
              </w:rPr>
            </w:pPr>
            <w:r w:rsidRPr="00B27A29">
              <w:rPr>
                <w:rFonts w:eastAsiaTheme="minorEastAsia"/>
                <w:color w:val="000000" w:themeColor="text1"/>
                <w:kern w:val="0"/>
                <w:szCs w:val="21"/>
              </w:rPr>
              <w:t>数量（张）</w:t>
            </w:r>
          </w:p>
        </w:tc>
        <w:tc>
          <w:tcPr>
            <w:tcW w:w="1503" w:type="dxa"/>
            <w:vAlign w:val="center"/>
          </w:tcPr>
          <w:p w:rsidR="005E6DF3" w:rsidRPr="00B27A29" w:rsidRDefault="005C671B">
            <w:pPr>
              <w:autoSpaceDE w:val="0"/>
              <w:autoSpaceDN w:val="0"/>
              <w:adjustRightInd w:val="0"/>
              <w:spacing w:before="29" w:line="288" w:lineRule="auto"/>
              <w:ind w:left="15"/>
              <w:jc w:val="center"/>
              <w:rPr>
                <w:rFonts w:eastAsiaTheme="minorEastAsia"/>
                <w:color w:val="000000" w:themeColor="text1"/>
                <w:kern w:val="0"/>
                <w:szCs w:val="21"/>
              </w:rPr>
            </w:pPr>
            <w:r w:rsidRPr="00B27A29">
              <w:rPr>
                <w:rFonts w:eastAsiaTheme="minorEastAsia"/>
                <w:color w:val="000000" w:themeColor="text1"/>
                <w:kern w:val="0"/>
                <w:szCs w:val="21"/>
              </w:rPr>
              <w:t>公允价值</w:t>
            </w:r>
            <w:r w:rsidRPr="00B27A29">
              <w:rPr>
                <w:rFonts w:eastAsiaTheme="minorEastAsia"/>
                <w:color w:val="000000" w:themeColor="text1"/>
                <w:kern w:val="0"/>
                <w:szCs w:val="21"/>
              </w:rPr>
              <w:t>(</w:t>
            </w:r>
            <w:r w:rsidRPr="00B27A29">
              <w:rPr>
                <w:rFonts w:eastAsiaTheme="minorEastAsia"/>
                <w:color w:val="000000" w:themeColor="text1"/>
                <w:kern w:val="0"/>
                <w:szCs w:val="21"/>
              </w:rPr>
              <w:t>元</w:t>
            </w:r>
            <w:r w:rsidRPr="00B27A29">
              <w:rPr>
                <w:rFonts w:eastAsiaTheme="minorEastAsia"/>
                <w:color w:val="000000" w:themeColor="text1"/>
                <w:kern w:val="0"/>
                <w:szCs w:val="21"/>
              </w:rPr>
              <w:t>)</w:t>
            </w:r>
          </w:p>
        </w:tc>
        <w:tc>
          <w:tcPr>
            <w:tcW w:w="1503" w:type="dxa"/>
            <w:vAlign w:val="center"/>
          </w:tcPr>
          <w:p w:rsidR="005E6DF3" w:rsidRPr="00B27A29" w:rsidRDefault="005C671B">
            <w:pPr>
              <w:autoSpaceDE w:val="0"/>
              <w:autoSpaceDN w:val="0"/>
              <w:adjustRightInd w:val="0"/>
              <w:spacing w:before="29" w:line="288" w:lineRule="auto"/>
              <w:ind w:left="15"/>
              <w:jc w:val="center"/>
              <w:rPr>
                <w:rFonts w:eastAsiaTheme="minorEastAsia"/>
                <w:color w:val="000000" w:themeColor="text1"/>
                <w:kern w:val="0"/>
                <w:szCs w:val="21"/>
              </w:rPr>
            </w:pPr>
            <w:r w:rsidRPr="00B27A29">
              <w:rPr>
                <w:rFonts w:eastAsiaTheme="minorEastAsia"/>
                <w:color w:val="000000" w:themeColor="text1"/>
                <w:kern w:val="0"/>
                <w:szCs w:val="21"/>
              </w:rPr>
              <w:t>占基金资产净值比例（％）</w:t>
            </w:r>
          </w:p>
        </w:tc>
      </w:tr>
      <w:tr w:rsidR="008D36E2">
        <w:tc>
          <w:tcPr>
            <w:tcW w:w="1504" w:type="dxa"/>
            <w:vAlign w:val="center"/>
          </w:tcPr>
          <w:p w:rsidR="008D36E2" w:rsidRDefault="0013308F">
            <w:pPr>
              <w:jc w:val="center"/>
            </w:pPr>
            <w:r>
              <w:rPr>
                <w:rFonts w:eastAsiaTheme="minorEastAsia"/>
                <w:color w:val="000000" w:themeColor="text1"/>
                <w:szCs w:val="21"/>
              </w:rPr>
              <w:t>1</w:t>
            </w:r>
          </w:p>
        </w:tc>
        <w:tc>
          <w:tcPr>
            <w:tcW w:w="1504" w:type="dxa"/>
            <w:vAlign w:val="center"/>
          </w:tcPr>
          <w:p w:rsidR="008D36E2" w:rsidRDefault="0013308F">
            <w:pPr>
              <w:jc w:val="center"/>
            </w:pPr>
            <w:r>
              <w:rPr>
                <w:rFonts w:eastAsiaTheme="minorEastAsia"/>
                <w:color w:val="000000" w:themeColor="text1"/>
                <w:szCs w:val="21"/>
              </w:rPr>
              <w:t>019640</w:t>
            </w:r>
          </w:p>
        </w:tc>
        <w:tc>
          <w:tcPr>
            <w:tcW w:w="1504" w:type="dxa"/>
            <w:vAlign w:val="center"/>
          </w:tcPr>
          <w:p w:rsidR="008D36E2" w:rsidRDefault="0013308F">
            <w:pPr>
              <w:jc w:val="center"/>
            </w:pPr>
            <w:r>
              <w:rPr>
                <w:rFonts w:eastAsiaTheme="minorEastAsia"/>
                <w:color w:val="000000" w:themeColor="text1"/>
                <w:szCs w:val="21"/>
              </w:rPr>
              <w:t>20</w:t>
            </w:r>
            <w:r>
              <w:rPr>
                <w:rFonts w:eastAsiaTheme="minorEastAsia"/>
                <w:color w:val="000000" w:themeColor="text1"/>
                <w:szCs w:val="21"/>
              </w:rPr>
              <w:t>国债</w:t>
            </w:r>
            <w:r>
              <w:rPr>
                <w:rFonts w:eastAsiaTheme="minorEastAsia"/>
                <w:color w:val="000000" w:themeColor="text1"/>
                <w:szCs w:val="21"/>
              </w:rPr>
              <w:t>10</w:t>
            </w:r>
          </w:p>
        </w:tc>
        <w:tc>
          <w:tcPr>
            <w:tcW w:w="1503" w:type="dxa"/>
            <w:vAlign w:val="center"/>
          </w:tcPr>
          <w:p w:rsidR="008D36E2" w:rsidRDefault="0013308F">
            <w:pPr>
              <w:jc w:val="right"/>
            </w:pPr>
            <w:r>
              <w:rPr>
                <w:rFonts w:eastAsiaTheme="minorEastAsia"/>
                <w:color w:val="000000" w:themeColor="text1"/>
                <w:szCs w:val="21"/>
              </w:rPr>
              <w:t>550,000</w:t>
            </w:r>
          </w:p>
        </w:tc>
        <w:tc>
          <w:tcPr>
            <w:tcW w:w="1503" w:type="dxa"/>
            <w:vAlign w:val="center"/>
          </w:tcPr>
          <w:p w:rsidR="008D36E2" w:rsidRDefault="0013308F">
            <w:pPr>
              <w:jc w:val="right"/>
            </w:pPr>
            <w:r>
              <w:rPr>
                <w:rFonts w:eastAsiaTheme="minorEastAsia"/>
                <w:color w:val="000000" w:themeColor="text1"/>
                <w:szCs w:val="21"/>
              </w:rPr>
              <w:t>55,000,000.00</w:t>
            </w:r>
          </w:p>
        </w:tc>
        <w:tc>
          <w:tcPr>
            <w:tcW w:w="1503" w:type="dxa"/>
            <w:vAlign w:val="center"/>
          </w:tcPr>
          <w:p w:rsidR="008D36E2" w:rsidRDefault="0013308F">
            <w:pPr>
              <w:jc w:val="right"/>
            </w:pPr>
            <w:r>
              <w:rPr>
                <w:rFonts w:eastAsiaTheme="minorEastAsia"/>
                <w:color w:val="000000" w:themeColor="text1"/>
                <w:szCs w:val="21"/>
              </w:rPr>
              <w:t>5.13</w:t>
            </w:r>
          </w:p>
        </w:tc>
      </w:tr>
      <w:tr w:rsidR="008D36E2">
        <w:tc>
          <w:tcPr>
            <w:tcW w:w="1504" w:type="dxa"/>
            <w:vAlign w:val="center"/>
          </w:tcPr>
          <w:p w:rsidR="008D36E2" w:rsidRDefault="0013308F">
            <w:pPr>
              <w:jc w:val="center"/>
            </w:pPr>
            <w:r>
              <w:rPr>
                <w:rFonts w:eastAsiaTheme="minorEastAsia"/>
                <w:color w:val="000000" w:themeColor="text1"/>
                <w:szCs w:val="21"/>
              </w:rPr>
              <w:t>2</w:t>
            </w:r>
          </w:p>
        </w:tc>
        <w:tc>
          <w:tcPr>
            <w:tcW w:w="1504" w:type="dxa"/>
            <w:vAlign w:val="center"/>
          </w:tcPr>
          <w:p w:rsidR="008D36E2" w:rsidRDefault="0013308F">
            <w:pPr>
              <w:jc w:val="center"/>
            </w:pPr>
            <w:r>
              <w:rPr>
                <w:rFonts w:eastAsiaTheme="minorEastAsia"/>
                <w:color w:val="000000" w:themeColor="text1"/>
                <w:szCs w:val="21"/>
              </w:rPr>
              <w:t>101678004</w:t>
            </w:r>
          </w:p>
        </w:tc>
        <w:tc>
          <w:tcPr>
            <w:tcW w:w="1504" w:type="dxa"/>
            <w:vAlign w:val="center"/>
          </w:tcPr>
          <w:p w:rsidR="008D36E2" w:rsidRDefault="0013308F">
            <w:pPr>
              <w:jc w:val="center"/>
            </w:pPr>
            <w:r>
              <w:rPr>
                <w:rFonts w:eastAsiaTheme="minorEastAsia"/>
                <w:color w:val="000000" w:themeColor="text1"/>
                <w:szCs w:val="21"/>
              </w:rPr>
              <w:t>16</w:t>
            </w:r>
            <w:r>
              <w:rPr>
                <w:rFonts w:eastAsiaTheme="minorEastAsia"/>
                <w:color w:val="000000" w:themeColor="text1"/>
                <w:szCs w:val="21"/>
              </w:rPr>
              <w:t>首钢</w:t>
            </w:r>
            <w:r>
              <w:rPr>
                <w:rFonts w:eastAsiaTheme="minorEastAsia"/>
                <w:color w:val="000000" w:themeColor="text1"/>
                <w:szCs w:val="21"/>
              </w:rPr>
              <w:t>MTN001</w:t>
            </w:r>
          </w:p>
        </w:tc>
        <w:tc>
          <w:tcPr>
            <w:tcW w:w="1503" w:type="dxa"/>
            <w:vAlign w:val="center"/>
          </w:tcPr>
          <w:p w:rsidR="008D36E2" w:rsidRDefault="0013308F">
            <w:pPr>
              <w:jc w:val="right"/>
            </w:pPr>
            <w:r>
              <w:rPr>
                <w:rFonts w:eastAsiaTheme="minorEastAsia"/>
                <w:color w:val="000000" w:themeColor="text1"/>
                <w:szCs w:val="21"/>
              </w:rPr>
              <w:t>400,000</w:t>
            </w:r>
          </w:p>
        </w:tc>
        <w:tc>
          <w:tcPr>
            <w:tcW w:w="1503" w:type="dxa"/>
            <w:vAlign w:val="center"/>
          </w:tcPr>
          <w:p w:rsidR="008D36E2" w:rsidRDefault="0013308F">
            <w:pPr>
              <w:jc w:val="right"/>
            </w:pPr>
            <w:r>
              <w:rPr>
                <w:rFonts w:eastAsiaTheme="minorEastAsia"/>
                <w:color w:val="000000" w:themeColor="text1"/>
                <w:szCs w:val="21"/>
              </w:rPr>
              <w:t>40,372,000.00</w:t>
            </w:r>
          </w:p>
        </w:tc>
        <w:tc>
          <w:tcPr>
            <w:tcW w:w="1503" w:type="dxa"/>
            <w:vAlign w:val="center"/>
          </w:tcPr>
          <w:p w:rsidR="008D36E2" w:rsidRDefault="0013308F">
            <w:pPr>
              <w:jc w:val="right"/>
            </w:pPr>
            <w:r>
              <w:rPr>
                <w:rFonts w:eastAsiaTheme="minorEastAsia"/>
                <w:color w:val="000000" w:themeColor="text1"/>
                <w:szCs w:val="21"/>
              </w:rPr>
              <w:t>3.77</w:t>
            </w:r>
          </w:p>
        </w:tc>
      </w:tr>
      <w:tr w:rsidR="008D36E2">
        <w:tc>
          <w:tcPr>
            <w:tcW w:w="1504" w:type="dxa"/>
            <w:vAlign w:val="center"/>
          </w:tcPr>
          <w:p w:rsidR="008D36E2" w:rsidRDefault="0013308F">
            <w:pPr>
              <w:jc w:val="center"/>
            </w:pPr>
            <w:r>
              <w:rPr>
                <w:rFonts w:eastAsiaTheme="minorEastAsia"/>
                <w:color w:val="000000" w:themeColor="text1"/>
                <w:szCs w:val="21"/>
              </w:rPr>
              <w:t>3</w:t>
            </w:r>
          </w:p>
        </w:tc>
        <w:tc>
          <w:tcPr>
            <w:tcW w:w="1504" w:type="dxa"/>
            <w:vAlign w:val="center"/>
          </w:tcPr>
          <w:p w:rsidR="008D36E2" w:rsidRDefault="0013308F">
            <w:pPr>
              <w:jc w:val="center"/>
            </w:pPr>
            <w:r>
              <w:rPr>
                <w:rFonts w:eastAsiaTheme="minorEastAsia"/>
                <w:color w:val="000000" w:themeColor="text1"/>
                <w:szCs w:val="21"/>
              </w:rPr>
              <w:t>143825</w:t>
            </w:r>
          </w:p>
        </w:tc>
        <w:tc>
          <w:tcPr>
            <w:tcW w:w="1504" w:type="dxa"/>
            <w:vAlign w:val="center"/>
          </w:tcPr>
          <w:p w:rsidR="008D36E2" w:rsidRDefault="0013308F">
            <w:pPr>
              <w:jc w:val="center"/>
            </w:pPr>
            <w:r>
              <w:rPr>
                <w:rFonts w:eastAsiaTheme="minorEastAsia"/>
                <w:color w:val="000000" w:themeColor="text1"/>
                <w:szCs w:val="21"/>
              </w:rPr>
              <w:t>18</w:t>
            </w:r>
            <w:r>
              <w:rPr>
                <w:rFonts w:eastAsiaTheme="minorEastAsia"/>
                <w:color w:val="000000" w:themeColor="text1"/>
                <w:szCs w:val="21"/>
              </w:rPr>
              <w:t>长电</w:t>
            </w:r>
            <w:r>
              <w:rPr>
                <w:rFonts w:eastAsiaTheme="minorEastAsia"/>
                <w:color w:val="000000" w:themeColor="text1"/>
                <w:szCs w:val="21"/>
              </w:rPr>
              <w:t>02</w:t>
            </w:r>
          </w:p>
        </w:tc>
        <w:tc>
          <w:tcPr>
            <w:tcW w:w="1503" w:type="dxa"/>
            <w:vAlign w:val="center"/>
          </w:tcPr>
          <w:p w:rsidR="008D36E2" w:rsidRDefault="0013308F">
            <w:pPr>
              <w:jc w:val="right"/>
            </w:pPr>
            <w:r>
              <w:rPr>
                <w:rFonts w:eastAsiaTheme="minorEastAsia"/>
                <w:color w:val="000000" w:themeColor="text1"/>
                <w:szCs w:val="21"/>
              </w:rPr>
              <w:t>400,000</w:t>
            </w:r>
          </w:p>
        </w:tc>
        <w:tc>
          <w:tcPr>
            <w:tcW w:w="1503" w:type="dxa"/>
            <w:vAlign w:val="center"/>
          </w:tcPr>
          <w:p w:rsidR="008D36E2" w:rsidRDefault="0013308F">
            <w:pPr>
              <w:jc w:val="right"/>
            </w:pPr>
            <w:r>
              <w:rPr>
                <w:rFonts w:eastAsiaTheme="minorEastAsia"/>
                <w:color w:val="000000" w:themeColor="text1"/>
                <w:szCs w:val="21"/>
              </w:rPr>
              <w:t>40,036,000.00</w:t>
            </w:r>
          </w:p>
        </w:tc>
        <w:tc>
          <w:tcPr>
            <w:tcW w:w="1503" w:type="dxa"/>
            <w:vAlign w:val="center"/>
          </w:tcPr>
          <w:p w:rsidR="008D36E2" w:rsidRDefault="0013308F">
            <w:pPr>
              <w:jc w:val="right"/>
            </w:pPr>
            <w:r>
              <w:rPr>
                <w:rFonts w:eastAsiaTheme="minorEastAsia"/>
                <w:color w:val="000000" w:themeColor="text1"/>
                <w:szCs w:val="21"/>
              </w:rPr>
              <w:t>3.73</w:t>
            </w:r>
          </w:p>
        </w:tc>
      </w:tr>
      <w:tr w:rsidR="008D36E2">
        <w:tc>
          <w:tcPr>
            <w:tcW w:w="1504" w:type="dxa"/>
            <w:vAlign w:val="center"/>
          </w:tcPr>
          <w:p w:rsidR="008D36E2" w:rsidRDefault="0013308F">
            <w:pPr>
              <w:jc w:val="center"/>
            </w:pPr>
            <w:r>
              <w:rPr>
                <w:rFonts w:eastAsiaTheme="minorEastAsia"/>
                <w:color w:val="000000" w:themeColor="text1"/>
                <w:szCs w:val="21"/>
              </w:rPr>
              <w:t>4</w:t>
            </w:r>
          </w:p>
        </w:tc>
        <w:tc>
          <w:tcPr>
            <w:tcW w:w="1504" w:type="dxa"/>
            <w:vAlign w:val="center"/>
          </w:tcPr>
          <w:p w:rsidR="008D36E2" w:rsidRDefault="0013308F">
            <w:pPr>
              <w:jc w:val="center"/>
            </w:pPr>
            <w:r>
              <w:rPr>
                <w:rFonts w:eastAsiaTheme="minorEastAsia"/>
                <w:color w:val="000000" w:themeColor="text1"/>
                <w:szCs w:val="21"/>
              </w:rPr>
              <w:t>101801455</w:t>
            </w:r>
          </w:p>
        </w:tc>
        <w:tc>
          <w:tcPr>
            <w:tcW w:w="1504" w:type="dxa"/>
            <w:vAlign w:val="center"/>
          </w:tcPr>
          <w:p w:rsidR="008D36E2" w:rsidRDefault="0013308F">
            <w:pPr>
              <w:jc w:val="center"/>
            </w:pPr>
            <w:r>
              <w:rPr>
                <w:rFonts w:eastAsiaTheme="minorEastAsia"/>
                <w:color w:val="000000" w:themeColor="text1"/>
                <w:szCs w:val="21"/>
              </w:rPr>
              <w:t>18</w:t>
            </w:r>
            <w:r>
              <w:rPr>
                <w:rFonts w:eastAsiaTheme="minorEastAsia"/>
                <w:color w:val="000000" w:themeColor="text1"/>
                <w:szCs w:val="21"/>
              </w:rPr>
              <w:t>中铝集</w:t>
            </w:r>
            <w:r>
              <w:rPr>
                <w:rFonts w:eastAsiaTheme="minorEastAsia"/>
                <w:color w:val="000000" w:themeColor="text1"/>
                <w:szCs w:val="21"/>
              </w:rPr>
              <w:t>MTN005</w:t>
            </w:r>
          </w:p>
        </w:tc>
        <w:tc>
          <w:tcPr>
            <w:tcW w:w="1503" w:type="dxa"/>
            <w:vAlign w:val="center"/>
          </w:tcPr>
          <w:p w:rsidR="008D36E2" w:rsidRDefault="0013308F">
            <w:pPr>
              <w:jc w:val="right"/>
            </w:pPr>
            <w:r>
              <w:rPr>
                <w:rFonts w:eastAsiaTheme="minorEastAsia"/>
                <w:color w:val="000000" w:themeColor="text1"/>
                <w:szCs w:val="21"/>
              </w:rPr>
              <w:t>300,000</w:t>
            </w:r>
          </w:p>
        </w:tc>
        <w:tc>
          <w:tcPr>
            <w:tcW w:w="1503" w:type="dxa"/>
            <w:vAlign w:val="center"/>
          </w:tcPr>
          <w:p w:rsidR="008D36E2" w:rsidRDefault="0013308F">
            <w:pPr>
              <w:jc w:val="right"/>
            </w:pPr>
            <w:r>
              <w:rPr>
                <w:rFonts w:eastAsiaTheme="minorEastAsia"/>
                <w:color w:val="000000" w:themeColor="text1"/>
                <w:szCs w:val="21"/>
              </w:rPr>
              <w:t>30,297,000.00</w:t>
            </w:r>
          </w:p>
        </w:tc>
        <w:tc>
          <w:tcPr>
            <w:tcW w:w="1503" w:type="dxa"/>
            <w:vAlign w:val="center"/>
          </w:tcPr>
          <w:p w:rsidR="008D36E2" w:rsidRDefault="0013308F">
            <w:pPr>
              <w:jc w:val="right"/>
            </w:pPr>
            <w:r>
              <w:rPr>
                <w:rFonts w:eastAsiaTheme="minorEastAsia"/>
                <w:color w:val="000000" w:themeColor="text1"/>
                <w:szCs w:val="21"/>
              </w:rPr>
              <w:t>2.83</w:t>
            </w:r>
          </w:p>
        </w:tc>
      </w:tr>
      <w:tr w:rsidR="008D36E2">
        <w:tc>
          <w:tcPr>
            <w:tcW w:w="1504" w:type="dxa"/>
            <w:vAlign w:val="center"/>
          </w:tcPr>
          <w:p w:rsidR="008D36E2" w:rsidRDefault="0013308F">
            <w:pPr>
              <w:jc w:val="center"/>
            </w:pPr>
            <w:r>
              <w:rPr>
                <w:rFonts w:eastAsiaTheme="minorEastAsia"/>
                <w:color w:val="000000" w:themeColor="text1"/>
                <w:szCs w:val="21"/>
              </w:rPr>
              <w:t>5</w:t>
            </w:r>
          </w:p>
        </w:tc>
        <w:tc>
          <w:tcPr>
            <w:tcW w:w="1504" w:type="dxa"/>
            <w:vAlign w:val="center"/>
          </w:tcPr>
          <w:p w:rsidR="008D36E2" w:rsidRDefault="0013308F">
            <w:pPr>
              <w:jc w:val="center"/>
            </w:pPr>
            <w:r>
              <w:rPr>
                <w:rFonts w:eastAsiaTheme="minorEastAsia"/>
                <w:color w:val="000000" w:themeColor="text1"/>
                <w:szCs w:val="21"/>
              </w:rPr>
              <w:t>101900071</w:t>
            </w:r>
          </w:p>
        </w:tc>
        <w:tc>
          <w:tcPr>
            <w:tcW w:w="1504" w:type="dxa"/>
            <w:vAlign w:val="center"/>
          </w:tcPr>
          <w:p w:rsidR="008D36E2" w:rsidRDefault="0013308F">
            <w:pPr>
              <w:jc w:val="center"/>
            </w:pPr>
            <w:r>
              <w:rPr>
                <w:rFonts w:eastAsiaTheme="minorEastAsia"/>
                <w:color w:val="000000" w:themeColor="text1"/>
                <w:szCs w:val="21"/>
              </w:rPr>
              <w:t>19</w:t>
            </w:r>
            <w:r>
              <w:rPr>
                <w:rFonts w:eastAsiaTheme="minorEastAsia"/>
                <w:color w:val="000000" w:themeColor="text1"/>
                <w:szCs w:val="21"/>
              </w:rPr>
              <w:t>保利发展</w:t>
            </w:r>
            <w:r>
              <w:rPr>
                <w:rFonts w:eastAsiaTheme="minorEastAsia"/>
                <w:color w:val="000000" w:themeColor="text1"/>
                <w:szCs w:val="21"/>
              </w:rPr>
              <w:t>MTN001</w:t>
            </w:r>
          </w:p>
        </w:tc>
        <w:tc>
          <w:tcPr>
            <w:tcW w:w="1503" w:type="dxa"/>
            <w:vAlign w:val="center"/>
          </w:tcPr>
          <w:p w:rsidR="008D36E2" w:rsidRDefault="0013308F">
            <w:pPr>
              <w:jc w:val="right"/>
            </w:pPr>
            <w:r>
              <w:rPr>
                <w:rFonts w:eastAsiaTheme="minorEastAsia"/>
                <w:color w:val="000000" w:themeColor="text1"/>
                <w:szCs w:val="21"/>
              </w:rPr>
              <w:t>300,000</w:t>
            </w:r>
          </w:p>
        </w:tc>
        <w:tc>
          <w:tcPr>
            <w:tcW w:w="1503" w:type="dxa"/>
            <w:vAlign w:val="center"/>
          </w:tcPr>
          <w:p w:rsidR="008D36E2" w:rsidRDefault="0013308F">
            <w:pPr>
              <w:jc w:val="right"/>
            </w:pPr>
            <w:r>
              <w:rPr>
                <w:rFonts w:eastAsiaTheme="minorEastAsia"/>
                <w:color w:val="000000" w:themeColor="text1"/>
                <w:szCs w:val="21"/>
              </w:rPr>
              <w:t>30,210,000.00</w:t>
            </w:r>
          </w:p>
        </w:tc>
        <w:tc>
          <w:tcPr>
            <w:tcW w:w="1503" w:type="dxa"/>
            <w:vAlign w:val="center"/>
          </w:tcPr>
          <w:p w:rsidR="008D36E2" w:rsidRDefault="0013308F">
            <w:pPr>
              <w:jc w:val="right"/>
            </w:pPr>
            <w:r>
              <w:rPr>
                <w:rFonts w:eastAsiaTheme="minorEastAsia"/>
                <w:color w:val="000000" w:themeColor="text1"/>
                <w:szCs w:val="21"/>
              </w:rPr>
              <w:t>2.82</w:t>
            </w:r>
          </w:p>
        </w:tc>
      </w:tr>
    </w:tbl>
    <w:p w:rsidR="005E6DF3" w:rsidRPr="00B27A29" w:rsidRDefault="005C671B">
      <w:pPr>
        <w:autoSpaceDE w:val="0"/>
        <w:autoSpaceDN w:val="0"/>
        <w:adjustRightInd w:val="0"/>
        <w:spacing w:beforeLines="100" w:before="312"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5.6</w:t>
      </w:r>
      <w:r w:rsidRPr="00B27A29">
        <w:rPr>
          <w:rFonts w:eastAsiaTheme="minorEastAsia"/>
          <w:b/>
          <w:color w:val="000000" w:themeColor="text1"/>
          <w:kern w:val="0"/>
          <w:szCs w:val="21"/>
        </w:rPr>
        <w:t xml:space="preserve">　报告期末按公允价值占基金资产净值比例大小排序的前十名资产支持证券投资明细</w:t>
      </w:r>
    </w:p>
    <w:p w:rsidR="005E6DF3" w:rsidRPr="00B27A29" w:rsidRDefault="005C671B">
      <w:pPr>
        <w:autoSpaceDE w:val="0"/>
        <w:autoSpaceDN w:val="0"/>
        <w:adjustRightInd w:val="0"/>
        <w:spacing w:line="360" w:lineRule="auto"/>
        <w:ind w:firstLineChars="200" w:firstLine="420"/>
        <w:jc w:val="left"/>
        <w:rPr>
          <w:rFonts w:eastAsiaTheme="minorEastAsia"/>
          <w:color w:val="000000" w:themeColor="text1"/>
          <w:szCs w:val="21"/>
        </w:rPr>
      </w:pPr>
      <w:r w:rsidRPr="00B27A29">
        <w:rPr>
          <w:rFonts w:eastAsiaTheme="minorEastAsia"/>
          <w:color w:val="000000" w:themeColor="text1"/>
          <w:szCs w:val="21"/>
        </w:rPr>
        <w:t>本基金本报告期末未持有资产支持证券。</w:t>
      </w:r>
    </w:p>
    <w:p w:rsidR="005E6DF3" w:rsidRPr="00B27A29" w:rsidRDefault="005C671B">
      <w:pPr>
        <w:autoSpaceDE w:val="0"/>
        <w:autoSpaceDN w:val="0"/>
        <w:adjustRightInd w:val="0"/>
        <w:spacing w:beforeLines="100" w:before="312" w:line="360" w:lineRule="auto"/>
        <w:jc w:val="left"/>
        <w:rPr>
          <w:rFonts w:eastAsiaTheme="minorEastAsia"/>
          <w:b/>
          <w:bCs/>
          <w:color w:val="000000" w:themeColor="text1"/>
          <w:kern w:val="0"/>
          <w:szCs w:val="21"/>
        </w:rPr>
      </w:pPr>
      <w:r w:rsidRPr="00B27A29">
        <w:rPr>
          <w:rFonts w:eastAsiaTheme="minorEastAsia"/>
          <w:b/>
          <w:bCs/>
          <w:color w:val="000000" w:themeColor="text1"/>
          <w:kern w:val="0"/>
          <w:szCs w:val="21"/>
        </w:rPr>
        <w:t xml:space="preserve">5.7 </w:t>
      </w:r>
      <w:r w:rsidRPr="00B27A29">
        <w:rPr>
          <w:rFonts w:eastAsiaTheme="minorEastAsia"/>
          <w:b/>
          <w:bCs/>
          <w:color w:val="000000" w:themeColor="text1"/>
          <w:kern w:val="0"/>
          <w:szCs w:val="21"/>
        </w:rPr>
        <w:t>报告期末按公允价值占基金资产净值比例大小排序的前五名贵金属投资明细</w:t>
      </w:r>
    </w:p>
    <w:p w:rsidR="005E6DF3" w:rsidRPr="00B27A29" w:rsidRDefault="005C671B">
      <w:pPr>
        <w:widowControl/>
        <w:spacing w:line="360" w:lineRule="auto"/>
        <w:ind w:firstLineChars="200" w:firstLine="420"/>
        <w:jc w:val="left"/>
        <w:rPr>
          <w:color w:val="000000" w:themeColor="text1"/>
          <w:szCs w:val="21"/>
        </w:rPr>
      </w:pPr>
      <w:r w:rsidRPr="00B27A29">
        <w:rPr>
          <w:color w:val="000000" w:themeColor="text1"/>
          <w:szCs w:val="21"/>
        </w:rPr>
        <w:t>本基金本报告期末未持有贵金属。</w:t>
      </w:r>
    </w:p>
    <w:p w:rsidR="005E6DF3" w:rsidRPr="00B27A29" w:rsidRDefault="005C671B">
      <w:pPr>
        <w:autoSpaceDE w:val="0"/>
        <w:autoSpaceDN w:val="0"/>
        <w:adjustRightInd w:val="0"/>
        <w:spacing w:beforeLines="100" w:before="312"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5.8</w:t>
      </w:r>
      <w:r w:rsidRPr="00B27A29">
        <w:rPr>
          <w:rFonts w:eastAsiaTheme="minorEastAsia"/>
          <w:b/>
          <w:color w:val="000000" w:themeColor="text1"/>
          <w:kern w:val="0"/>
          <w:szCs w:val="21"/>
        </w:rPr>
        <w:t>报告期末按公允价值占基金资产净值比例大小排序的前五名权证投资明细</w:t>
      </w:r>
    </w:p>
    <w:p w:rsidR="005E6DF3" w:rsidRPr="00B27A29" w:rsidRDefault="005C671B">
      <w:pPr>
        <w:autoSpaceDE w:val="0"/>
        <w:autoSpaceDN w:val="0"/>
        <w:adjustRightInd w:val="0"/>
        <w:spacing w:line="360" w:lineRule="auto"/>
        <w:ind w:firstLineChars="200" w:firstLine="420"/>
        <w:jc w:val="left"/>
        <w:rPr>
          <w:rFonts w:eastAsiaTheme="minorEastAsia"/>
          <w:color w:val="000000" w:themeColor="text1"/>
          <w:szCs w:val="21"/>
        </w:rPr>
      </w:pPr>
      <w:r w:rsidRPr="00B27A29">
        <w:rPr>
          <w:rFonts w:eastAsiaTheme="minorEastAsia"/>
          <w:color w:val="000000" w:themeColor="text1"/>
          <w:szCs w:val="21"/>
        </w:rPr>
        <w:t>本基金本报告期末未持有权证。</w:t>
      </w:r>
    </w:p>
    <w:p w:rsidR="005E6DF3" w:rsidRPr="00B27A29" w:rsidRDefault="005C671B">
      <w:pPr>
        <w:adjustRightInd w:val="0"/>
        <w:snapToGrid w:val="0"/>
        <w:spacing w:beforeLines="100" w:before="312" w:line="360" w:lineRule="auto"/>
        <w:rPr>
          <w:rFonts w:eastAsiaTheme="minorEastAsia"/>
          <w:b/>
          <w:color w:val="000000" w:themeColor="text1"/>
          <w:szCs w:val="21"/>
        </w:rPr>
      </w:pPr>
      <w:r w:rsidRPr="00B27A29">
        <w:rPr>
          <w:rFonts w:eastAsiaTheme="minorEastAsia"/>
          <w:b/>
          <w:color w:val="000000" w:themeColor="text1"/>
          <w:szCs w:val="21"/>
        </w:rPr>
        <w:t xml:space="preserve">5.9 </w:t>
      </w:r>
      <w:r w:rsidRPr="00B27A29">
        <w:rPr>
          <w:rFonts w:eastAsiaTheme="minorEastAsia"/>
          <w:b/>
          <w:color w:val="000000" w:themeColor="text1"/>
          <w:szCs w:val="21"/>
        </w:rPr>
        <w:t>报告期末本基金投资的股指期货交易情况说明</w:t>
      </w:r>
    </w:p>
    <w:p w:rsidR="005E6DF3" w:rsidRPr="00B27A29" w:rsidRDefault="005C671B">
      <w:pPr>
        <w:autoSpaceDE w:val="0"/>
        <w:autoSpaceDN w:val="0"/>
        <w:adjustRightInd w:val="0"/>
        <w:spacing w:line="360" w:lineRule="auto"/>
        <w:ind w:firstLineChars="200" w:firstLine="420"/>
        <w:jc w:val="left"/>
        <w:rPr>
          <w:rFonts w:eastAsiaTheme="minorEastAsia"/>
          <w:color w:val="000000" w:themeColor="text1"/>
          <w:szCs w:val="21"/>
        </w:rPr>
      </w:pPr>
      <w:r w:rsidRPr="00B27A29">
        <w:rPr>
          <w:rFonts w:eastAsiaTheme="minorEastAsia"/>
          <w:color w:val="000000" w:themeColor="text1"/>
          <w:szCs w:val="21"/>
        </w:rPr>
        <w:t>本基金本报告期末未持有股指期货。</w:t>
      </w:r>
    </w:p>
    <w:p w:rsidR="005E6DF3" w:rsidRPr="00B27A29" w:rsidRDefault="005C671B">
      <w:pPr>
        <w:adjustRightInd w:val="0"/>
        <w:snapToGrid w:val="0"/>
        <w:spacing w:beforeLines="100" w:before="312" w:line="360" w:lineRule="auto"/>
        <w:rPr>
          <w:rFonts w:eastAsiaTheme="minorEastAsia"/>
          <w:b/>
          <w:color w:val="000000" w:themeColor="text1"/>
          <w:szCs w:val="21"/>
        </w:rPr>
      </w:pPr>
      <w:r w:rsidRPr="00B27A29">
        <w:rPr>
          <w:rFonts w:eastAsiaTheme="minorEastAsia"/>
          <w:b/>
          <w:color w:val="000000" w:themeColor="text1"/>
          <w:szCs w:val="21"/>
        </w:rPr>
        <w:t>5.10</w:t>
      </w:r>
      <w:r w:rsidRPr="00B27A29">
        <w:rPr>
          <w:rFonts w:eastAsiaTheme="minorEastAsia"/>
          <w:b/>
          <w:color w:val="000000" w:themeColor="text1"/>
          <w:szCs w:val="21"/>
        </w:rPr>
        <w:t>报告期末本基金投资的国债期货交易情况说明</w:t>
      </w:r>
    </w:p>
    <w:p w:rsidR="005E6DF3" w:rsidRPr="00B27A29" w:rsidRDefault="005C671B">
      <w:pPr>
        <w:autoSpaceDE w:val="0"/>
        <w:autoSpaceDN w:val="0"/>
        <w:adjustRightInd w:val="0"/>
        <w:spacing w:line="360" w:lineRule="auto"/>
        <w:ind w:firstLineChars="200" w:firstLine="420"/>
        <w:jc w:val="left"/>
        <w:rPr>
          <w:rFonts w:eastAsiaTheme="minorEastAsia"/>
          <w:color w:val="000000" w:themeColor="text1"/>
          <w:szCs w:val="21"/>
        </w:rPr>
      </w:pPr>
      <w:r w:rsidRPr="00B27A29">
        <w:rPr>
          <w:rFonts w:eastAsiaTheme="minorEastAsia"/>
          <w:color w:val="000000" w:themeColor="text1"/>
          <w:szCs w:val="21"/>
        </w:rPr>
        <w:t>本基金本报告期末未持有国债期货。</w:t>
      </w:r>
    </w:p>
    <w:p w:rsidR="005E6DF3" w:rsidRPr="00B27A29" w:rsidRDefault="005C671B">
      <w:pPr>
        <w:autoSpaceDE w:val="0"/>
        <w:autoSpaceDN w:val="0"/>
        <w:adjustRightInd w:val="0"/>
        <w:spacing w:beforeLines="100" w:before="312"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5.11</w:t>
      </w:r>
      <w:r w:rsidRPr="00B27A29">
        <w:rPr>
          <w:rFonts w:eastAsiaTheme="minorEastAsia"/>
          <w:b/>
          <w:color w:val="000000" w:themeColor="text1"/>
          <w:kern w:val="0"/>
          <w:szCs w:val="21"/>
        </w:rPr>
        <w:t>投资组合报告附注</w:t>
      </w:r>
    </w:p>
    <w:p w:rsidR="005E6DF3" w:rsidRPr="00B27A29" w:rsidRDefault="005C671B">
      <w:pPr>
        <w:widowControl/>
        <w:spacing w:line="360" w:lineRule="auto"/>
        <w:rPr>
          <w:rFonts w:eastAsiaTheme="minorEastAsia"/>
          <w:color w:val="000000" w:themeColor="text1"/>
          <w:szCs w:val="21"/>
        </w:rPr>
      </w:pPr>
      <w:r w:rsidRPr="00B27A29">
        <w:rPr>
          <w:rFonts w:eastAsiaTheme="minorEastAsia"/>
          <w:color w:val="000000" w:themeColor="text1"/>
          <w:szCs w:val="21"/>
        </w:rPr>
        <w:t>5.11.1</w:t>
      </w:r>
      <w:r w:rsidRPr="00B27A29">
        <w:rPr>
          <w:rFonts w:eastAsiaTheme="minorEastAsia"/>
          <w:color w:val="000000" w:themeColor="text1"/>
          <w:szCs w:val="21"/>
        </w:rPr>
        <w:t>报告期内本基金投资的前十名证券的发行主体本期没有出现被监管部门立案调查，或在报告编制日前一年内受到公开谴责、处罚的情形。</w:t>
      </w:r>
    </w:p>
    <w:p w:rsidR="005E6DF3" w:rsidRPr="00B27A29" w:rsidRDefault="005C671B">
      <w:pPr>
        <w:widowControl/>
        <w:spacing w:line="360" w:lineRule="auto"/>
        <w:rPr>
          <w:rFonts w:eastAsiaTheme="minorEastAsia"/>
          <w:color w:val="000000" w:themeColor="text1"/>
          <w:szCs w:val="21"/>
        </w:rPr>
      </w:pPr>
      <w:r w:rsidRPr="00B27A29">
        <w:rPr>
          <w:rFonts w:eastAsiaTheme="minorEastAsia"/>
          <w:color w:val="000000" w:themeColor="text1"/>
          <w:szCs w:val="21"/>
        </w:rPr>
        <w:t>5.11.2</w:t>
      </w:r>
      <w:r w:rsidRPr="00B27A29">
        <w:rPr>
          <w:rFonts w:eastAsiaTheme="minorEastAsia"/>
          <w:color w:val="000000" w:themeColor="text1"/>
          <w:szCs w:val="21"/>
        </w:rPr>
        <w:t>报告期内本基金投资的前十名股票中没有在基金合同规定备选股票库之外的股票。</w:t>
      </w:r>
    </w:p>
    <w:p w:rsidR="005E6DF3" w:rsidRPr="00B27A29" w:rsidRDefault="005C671B">
      <w:pPr>
        <w:autoSpaceDE w:val="0"/>
        <w:autoSpaceDN w:val="0"/>
        <w:adjustRightInd w:val="0"/>
        <w:spacing w:line="360" w:lineRule="auto"/>
        <w:rPr>
          <w:rFonts w:eastAsiaTheme="minorEastAsia"/>
          <w:b/>
          <w:color w:val="000000" w:themeColor="text1"/>
          <w:kern w:val="0"/>
          <w:szCs w:val="21"/>
        </w:rPr>
      </w:pPr>
      <w:r w:rsidRPr="00B27A29">
        <w:rPr>
          <w:rFonts w:eastAsiaTheme="minorEastAsia"/>
          <w:b/>
          <w:color w:val="000000" w:themeColor="text1"/>
          <w:kern w:val="0"/>
          <w:szCs w:val="21"/>
        </w:rPr>
        <w:t>5.11.3</w:t>
      </w:r>
      <w:r w:rsidRPr="00B27A29">
        <w:rPr>
          <w:rFonts w:eastAsiaTheme="minorEastAsia"/>
          <w:b/>
          <w:color w:val="000000" w:themeColor="text1"/>
          <w:kern w:val="0"/>
          <w:szCs w:val="21"/>
        </w:rPr>
        <w:t>其他资产构成</w:t>
      </w:r>
    </w:p>
    <w:tbl>
      <w:tblPr>
        <w:tblStyle w:val="afa"/>
        <w:tblW w:w="8679" w:type="dxa"/>
        <w:tblInd w:w="108" w:type="dxa"/>
        <w:tblLayout w:type="fixed"/>
        <w:tblLook w:val="04A0" w:firstRow="1" w:lastRow="0" w:firstColumn="1" w:lastColumn="0" w:noHBand="0" w:noVBand="1"/>
      </w:tblPr>
      <w:tblGrid>
        <w:gridCol w:w="1110"/>
        <w:gridCol w:w="2761"/>
        <w:gridCol w:w="4808"/>
      </w:tblGrid>
      <w:tr w:rsidR="005E6DF3" w:rsidRPr="00B27A29">
        <w:tc>
          <w:tcPr>
            <w:tcW w:w="1110" w:type="dxa"/>
            <w:vAlign w:val="center"/>
          </w:tcPr>
          <w:p w:rsidR="005E6DF3" w:rsidRPr="00B27A29" w:rsidRDefault="005C671B">
            <w:pPr>
              <w:autoSpaceDE w:val="0"/>
              <w:autoSpaceDN w:val="0"/>
              <w:adjustRightInd w:val="0"/>
              <w:spacing w:before="29" w:line="360" w:lineRule="auto"/>
              <w:ind w:left="17"/>
              <w:jc w:val="center"/>
              <w:rPr>
                <w:rFonts w:eastAsiaTheme="minorEastAsia"/>
                <w:color w:val="000000" w:themeColor="text1"/>
                <w:kern w:val="0"/>
                <w:szCs w:val="21"/>
              </w:rPr>
            </w:pPr>
            <w:r w:rsidRPr="00B27A29">
              <w:rPr>
                <w:rFonts w:eastAsiaTheme="minorEastAsia"/>
                <w:color w:val="000000" w:themeColor="text1"/>
                <w:kern w:val="0"/>
                <w:szCs w:val="21"/>
              </w:rPr>
              <w:t>序号</w:t>
            </w:r>
          </w:p>
        </w:tc>
        <w:tc>
          <w:tcPr>
            <w:tcW w:w="2761" w:type="dxa"/>
            <w:vAlign w:val="center"/>
          </w:tcPr>
          <w:p w:rsidR="005E6DF3" w:rsidRPr="00B27A29" w:rsidRDefault="005C671B">
            <w:pPr>
              <w:autoSpaceDE w:val="0"/>
              <w:autoSpaceDN w:val="0"/>
              <w:adjustRightInd w:val="0"/>
              <w:spacing w:before="29" w:line="360" w:lineRule="auto"/>
              <w:ind w:left="17"/>
              <w:jc w:val="center"/>
              <w:rPr>
                <w:rFonts w:eastAsiaTheme="minorEastAsia"/>
                <w:color w:val="000000" w:themeColor="text1"/>
                <w:kern w:val="0"/>
                <w:szCs w:val="21"/>
              </w:rPr>
            </w:pPr>
            <w:r w:rsidRPr="00B27A29">
              <w:rPr>
                <w:rFonts w:eastAsiaTheme="minorEastAsia"/>
                <w:color w:val="000000" w:themeColor="text1"/>
                <w:kern w:val="0"/>
                <w:szCs w:val="21"/>
              </w:rPr>
              <w:t>名称</w:t>
            </w:r>
          </w:p>
        </w:tc>
        <w:tc>
          <w:tcPr>
            <w:tcW w:w="4808" w:type="dxa"/>
            <w:vAlign w:val="center"/>
          </w:tcPr>
          <w:p w:rsidR="005E6DF3" w:rsidRPr="00B27A29" w:rsidRDefault="005C671B">
            <w:pPr>
              <w:autoSpaceDE w:val="0"/>
              <w:autoSpaceDN w:val="0"/>
              <w:adjustRightInd w:val="0"/>
              <w:spacing w:before="29" w:line="360" w:lineRule="auto"/>
              <w:ind w:left="17"/>
              <w:jc w:val="center"/>
              <w:rPr>
                <w:rFonts w:eastAsiaTheme="minorEastAsia"/>
                <w:color w:val="000000" w:themeColor="text1"/>
                <w:kern w:val="0"/>
                <w:szCs w:val="21"/>
              </w:rPr>
            </w:pPr>
            <w:r w:rsidRPr="00B27A29">
              <w:rPr>
                <w:rFonts w:eastAsiaTheme="minorEastAsia"/>
                <w:color w:val="000000" w:themeColor="text1"/>
                <w:kern w:val="0"/>
                <w:szCs w:val="21"/>
              </w:rPr>
              <w:t>金额</w:t>
            </w:r>
            <w:r w:rsidRPr="00B27A29">
              <w:rPr>
                <w:rFonts w:eastAsiaTheme="minorEastAsia"/>
                <w:color w:val="000000" w:themeColor="text1"/>
                <w:kern w:val="0"/>
                <w:szCs w:val="21"/>
              </w:rPr>
              <w:t>(</w:t>
            </w:r>
            <w:r w:rsidRPr="00B27A29">
              <w:rPr>
                <w:rFonts w:eastAsiaTheme="minorEastAsia"/>
                <w:color w:val="000000" w:themeColor="text1"/>
                <w:kern w:val="0"/>
                <w:szCs w:val="21"/>
              </w:rPr>
              <w:t>元</w:t>
            </w:r>
            <w:r w:rsidRPr="00B27A29">
              <w:rPr>
                <w:rFonts w:eastAsiaTheme="minorEastAsia"/>
                <w:color w:val="000000" w:themeColor="text1"/>
                <w:kern w:val="0"/>
                <w:szCs w:val="21"/>
              </w:rPr>
              <w:t>)</w:t>
            </w:r>
          </w:p>
        </w:tc>
      </w:tr>
      <w:tr w:rsidR="005E6DF3" w:rsidRPr="00B27A29">
        <w:tc>
          <w:tcPr>
            <w:tcW w:w="1110" w:type="dxa"/>
            <w:vAlign w:val="center"/>
          </w:tcPr>
          <w:p w:rsidR="005E6DF3" w:rsidRPr="00B27A29" w:rsidRDefault="005C671B">
            <w:pPr>
              <w:autoSpaceDE w:val="0"/>
              <w:autoSpaceDN w:val="0"/>
              <w:adjustRightInd w:val="0"/>
              <w:spacing w:before="29" w:line="360" w:lineRule="auto"/>
              <w:ind w:left="15"/>
              <w:jc w:val="center"/>
              <w:rPr>
                <w:rFonts w:eastAsiaTheme="minorEastAsia"/>
                <w:color w:val="000000" w:themeColor="text1"/>
                <w:kern w:val="0"/>
                <w:szCs w:val="21"/>
              </w:rPr>
            </w:pPr>
            <w:r w:rsidRPr="00B27A29">
              <w:rPr>
                <w:rFonts w:eastAsiaTheme="minorEastAsia"/>
                <w:color w:val="000000" w:themeColor="text1"/>
                <w:szCs w:val="21"/>
              </w:rPr>
              <w:t>1</w:t>
            </w:r>
          </w:p>
        </w:tc>
        <w:tc>
          <w:tcPr>
            <w:tcW w:w="2761" w:type="dxa"/>
            <w:vAlign w:val="center"/>
          </w:tcPr>
          <w:p w:rsidR="005E6DF3" w:rsidRPr="00B27A29" w:rsidRDefault="005C671B">
            <w:pPr>
              <w:autoSpaceDE w:val="0"/>
              <w:autoSpaceDN w:val="0"/>
              <w:adjustRightInd w:val="0"/>
              <w:spacing w:before="29" w:line="360" w:lineRule="auto"/>
              <w:ind w:left="15"/>
              <w:jc w:val="left"/>
              <w:rPr>
                <w:rFonts w:eastAsiaTheme="minorEastAsia"/>
                <w:color w:val="000000" w:themeColor="text1"/>
                <w:kern w:val="0"/>
                <w:szCs w:val="21"/>
              </w:rPr>
            </w:pPr>
            <w:r w:rsidRPr="00B27A29">
              <w:rPr>
                <w:rFonts w:eastAsiaTheme="minorEastAsia"/>
                <w:color w:val="000000" w:themeColor="text1"/>
                <w:kern w:val="0"/>
                <w:szCs w:val="21"/>
              </w:rPr>
              <w:t>存出保证金</w:t>
            </w:r>
          </w:p>
        </w:tc>
        <w:tc>
          <w:tcPr>
            <w:tcW w:w="4808" w:type="dxa"/>
            <w:vAlign w:val="center"/>
          </w:tcPr>
          <w:p w:rsidR="005E6DF3" w:rsidRPr="00B27A29" w:rsidRDefault="005C671B">
            <w:pPr>
              <w:autoSpaceDE w:val="0"/>
              <w:autoSpaceDN w:val="0"/>
              <w:adjustRightInd w:val="0"/>
              <w:spacing w:before="29" w:line="360" w:lineRule="auto"/>
              <w:ind w:left="15"/>
              <w:jc w:val="right"/>
              <w:rPr>
                <w:rFonts w:eastAsiaTheme="minorEastAsia"/>
                <w:color w:val="000000" w:themeColor="text1"/>
                <w:kern w:val="0"/>
                <w:szCs w:val="21"/>
              </w:rPr>
            </w:pPr>
            <w:r w:rsidRPr="00B27A29">
              <w:rPr>
                <w:rFonts w:eastAsiaTheme="minorEastAsia"/>
                <w:color w:val="000000" w:themeColor="text1"/>
                <w:kern w:val="0"/>
                <w:szCs w:val="21"/>
              </w:rPr>
              <w:t>219,174.67</w:t>
            </w:r>
          </w:p>
        </w:tc>
      </w:tr>
      <w:tr w:rsidR="005E6DF3" w:rsidRPr="00B27A29">
        <w:tc>
          <w:tcPr>
            <w:tcW w:w="1110" w:type="dxa"/>
            <w:vAlign w:val="center"/>
          </w:tcPr>
          <w:p w:rsidR="005E6DF3" w:rsidRPr="00B27A29" w:rsidRDefault="005C671B">
            <w:pPr>
              <w:autoSpaceDE w:val="0"/>
              <w:autoSpaceDN w:val="0"/>
              <w:adjustRightInd w:val="0"/>
              <w:spacing w:before="29" w:line="360" w:lineRule="auto"/>
              <w:ind w:left="15"/>
              <w:jc w:val="center"/>
              <w:rPr>
                <w:rFonts w:eastAsiaTheme="minorEastAsia"/>
                <w:color w:val="000000" w:themeColor="text1"/>
                <w:szCs w:val="21"/>
              </w:rPr>
            </w:pPr>
            <w:r w:rsidRPr="00B27A29">
              <w:rPr>
                <w:rFonts w:eastAsiaTheme="minorEastAsia"/>
                <w:color w:val="000000" w:themeColor="text1"/>
                <w:szCs w:val="21"/>
              </w:rPr>
              <w:t>2</w:t>
            </w:r>
          </w:p>
        </w:tc>
        <w:tc>
          <w:tcPr>
            <w:tcW w:w="2761" w:type="dxa"/>
            <w:vAlign w:val="center"/>
          </w:tcPr>
          <w:p w:rsidR="005E6DF3" w:rsidRPr="00B27A29" w:rsidRDefault="005C671B">
            <w:pPr>
              <w:autoSpaceDE w:val="0"/>
              <w:autoSpaceDN w:val="0"/>
              <w:adjustRightInd w:val="0"/>
              <w:spacing w:before="29" w:line="360" w:lineRule="auto"/>
              <w:ind w:left="15"/>
              <w:jc w:val="left"/>
              <w:rPr>
                <w:rFonts w:eastAsiaTheme="minorEastAsia"/>
                <w:color w:val="000000" w:themeColor="text1"/>
                <w:kern w:val="0"/>
                <w:szCs w:val="21"/>
              </w:rPr>
            </w:pPr>
            <w:r w:rsidRPr="00B27A29">
              <w:rPr>
                <w:rFonts w:eastAsiaTheme="minorEastAsia"/>
                <w:color w:val="000000" w:themeColor="text1"/>
                <w:kern w:val="0"/>
                <w:szCs w:val="21"/>
              </w:rPr>
              <w:t>应收证券清算款</w:t>
            </w:r>
          </w:p>
        </w:tc>
        <w:tc>
          <w:tcPr>
            <w:tcW w:w="4808" w:type="dxa"/>
            <w:vAlign w:val="center"/>
          </w:tcPr>
          <w:p w:rsidR="005E6DF3" w:rsidRPr="00B27A29" w:rsidRDefault="005C671B">
            <w:pPr>
              <w:autoSpaceDE w:val="0"/>
              <w:autoSpaceDN w:val="0"/>
              <w:adjustRightInd w:val="0"/>
              <w:spacing w:before="29" w:line="360" w:lineRule="auto"/>
              <w:ind w:left="15"/>
              <w:jc w:val="right"/>
              <w:rPr>
                <w:rFonts w:eastAsiaTheme="minorEastAsia"/>
                <w:color w:val="000000" w:themeColor="text1"/>
                <w:kern w:val="0"/>
                <w:szCs w:val="21"/>
              </w:rPr>
            </w:pPr>
            <w:r w:rsidRPr="00B27A29">
              <w:rPr>
                <w:rFonts w:eastAsiaTheme="minorEastAsia"/>
                <w:color w:val="000000" w:themeColor="text1"/>
                <w:kern w:val="0"/>
                <w:szCs w:val="21"/>
              </w:rPr>
              <w:t>1,566,870.67</w:t>
            </w:r>
          </w:p>
        </w:tc>
      </w:tr>
      <w:tr w:rsidR="005E6DF3" w:rsidRPr="00B27A29">
        <w:tc>
          <w:tcPr>
            <w:tcW w:w="1110" w:type="dxa"/>
            <w:vAlign w:val="center"/>
          </w:tcPr>
          <w:p w:rsidR="005E6DF3" w:rsidRPr="00B27A29" w:rsidRDefault="005C671B">
            <w:pPr>
              <w:autoSpaceDE w:val="0"/>
              <w:autoSpaceDN w:val="0"/>
              <w:adjustRightInd w:val="0"/>
              <w:spacing w:before="29" w:line="360" w:lineRule="auto"/>
              <w:ind w:left="15"/>
              <w:jc w:val="center"/>
              <w:rPr>
                <w:rFonts w:eastAsiaTheme="minorEastAsia"/>
                <w:color w:val="000000" w:themeColor="text1"/>
                <w:szCs w:val="21"/>
              </w:rPr>
            </w:pPr>
            <w:r w:rsidRPr="00B27A29">
              <w:rPr>
                <w:rFonts w:eastAsiaTheme="minorEastAsia"/>
                <w:color w:val="000000" w:themeColor="text1"/>
                <w:szCs w:val="21"/>
              </w:rPr>
              <w:lastRenderedPageBreak/>
              <w:t>3</w:t>
            </w:r>
          </w:p>
        </w:tc>
        <w:tc>
          <w:tcPr>
            <w:tcW w:w="2761" w:type="dxa"/>
            <w:vAlign w:val="center"/>
          </w:tcPr>
          <w:p w:rsidR="005E6DF3" w:rsidRPr="00B27A29" w:rsidRDefault="005C671B">
            <w:pPr>
              <w:autoSpaceDE w:val="0"/>
              <w:autoSpaceDN w:val="0"/>
              <w:adjustRightInd w:val="0"/>
              <w:spacing w:before="29" w:line="360" w:lineRule="auto"/>
              <w:ind w:left="15"/>
              <w:jc w:val="left"/>
              <w:rPr>
                <w:rFonts w:eastAsiaTheme="minorEastAsia"/>
                <w:color w:val="000000" w:themeColor="text1"/>
                <w:kern w:val="0"/>
                <w:szCs w:val="21"/>
              </w:rPr>
            </w:pPr>
            <w:r w:rsidRPr="00B27A29">
              <w:rPr>
                <w:rFonts w:eastAsiaTheme="minorEastAsia"/>
                <w:color w:val="000000" w:themeColor="text1"/>
                <w:kern w:val="0"/>
                <w:szCs w:val="21"/>
              </w:rPr>
              <w:t>应收股利</w:t>
            </w:r>
          </w:p>
        </w:tc>
        <w:tc>
          <w:tcPr>
            <w:tcW w:w="4808" w:type="dxa"/>
            <w:vAlign w:val="center"/>
          </w:tcPr>
          <w:p w:rsidR="005E6DF3" w:rsidRPr="00B27A29" w:rsidRDefault="005C671B">
            <w:pPr>
              <w:autoSpaceDE w:val="0"/>
              <w:autoSpaceDN w:val="0"/>
              <w:adjustRightInd w:val="0"/>
              <w:spacing w:before="29" w:line="360" w:lineRule="auto"/>
              <w:ind w:left="15"/>
              <w:jc w:val="right"/>
              <w:rPr>
                <w:rFonts w:eastAsiaTheme="minorEastAsia"/>
                <w:color w:val="000000" w:themeColor="text1"/>
                <w:kern w:val="0"/>
                <w:szCs w:val="21"/>
              </w:rPr>
            </w:pPr>
            <w:r w:rsidRPr="00B27A29">
              <w:rPr>
                <w:rFonts w:eastAsiaTheme="minorEastAsia"/>
                <w:color w:val="000000" w:themeColor="text1"/>
                <w:kern w:val="0"/>
                <w:szCs w:val="21"/>
              </w:rPr>
              <w:t>-</w:t>
            </w:r>
          </w:p>
        </w:tc>
      </w:tr>
      <w:tr w:rsidR="005E6DF3" w:rsidRPr="00B27A29">
        <w:tc>
          <w:tcPr>
            <w:tcW w:w="1110" w:type="dxa"/>
            <w:vAlign w:val="center"/>
          </w:tcPr>
          <w:p w:rsidR="005E6DF3" w:rsidRPr="00B27A29" w:rsidRDefault="005C671B">
            <w:pPr>
              <w:autoSpaceDE w:val="0"/>
              <w:autoSpaceDN w:val="0"/>
              <w:adjustRightInd w:val="0"/>
              <w:spacing w:before="29" w:line="360" w:lineRule="auto"/>
              <w:ind w:left="15"/>
              <w:jc w:val="center"/>
              <w:rPr>
                <w:rFonts w:eastAsiaTheme="minorEastAsia"/>
                <w:color w:val="000000" w:themeColor="text1"/>
                <w:szCs w:val="21"/>
              </w:rPr>
            </w:pPr>
            <w:r w:rsidRPr="00B27A29">
              <w:rPr>
                <w:rFonts w:eastAsiaTheme="minorEastAsia"/>
                <w:color w:val="000000" w:themeColor="text1"/>
                <w:szCs w:val="21"/>
              </w:rPr>
              <w:t>4</w:t>
            </w:r>
          </w:p>
        </w:tc>
        <w:tc>
          <w:tcPr>
            <w:tcW w:w="2761" w:type="dxa"/>
            <w:vAlign w:val="center"/>
          </w:tcPr>
          <w:p w:rsidR="005E6DF3" w:rsidRPr="00B27A29" w:rsidRDefault="005C671B">
            <w:pPr>
              <w:autoSpaceDE w:val="0"/>
              <w:autoSpaceDN w:val="0"/>
              <w:adjustRightInd w:val="0"/>
              <w:spacing w:before="29" w:line="360" w:lineRule="auto"/>
              <w:ind w:left="15"/>
              <w:jc w:val="left"/>
              <w:rPr>
                <w:rFonts w:eastAsiaTheme="minorEastAsia"/>
                <w:color w:val="000000" w:themeColor="text1"/>
                <w:kern w:val="0"/>
                <w:szCs w:val="21"/>
              </w:rPr>
            </w:pPr>
            <w:r w:rsidRPr="00B27A29">
              <w:rPr>
                <w:rFonts w:eastAsiaTheme="minorEastAsia"/>
                <w:color w:val="000000" w:themeColor="text1"/>
                <w:kern w:val="0"/>
                <w:szCs w:val="21"/>
              </w:rPr>
              <w:t>应收利息</w:t>
            </w:r>
          </w:p>
        </w:tc>
        <w:tc>
          <w:tcPr>
            <w:tcW w:w="4808" w:type="dxa"/>
            <w:vAlign w:val="center"/>
          </w:tcPr>
          <w:p w:rsidR="005E6DF3" w:rsidRPr="00B27A29" w:rsidRDefault="005C671B">
            <w:pPr>
              <w:autoSpaceDE w:val="0"/>
              <w:autoSpaceDN w:val="0"/>
              <w:adjustRightInd w:val="0"/>
              <w:spacing w:before="29" w:line="360" w:lineRule="auto"/>
              <w:ind w:left="15"/>
              <w:jc w:val="right"/>
              <w:rPr>
                <w:rFonts w:eastAsiaTheme="minorEastAsia"/>
                <w:color w:val="000000" w:themeColor="text1"/>
                <w:kern w:val="0"/>
                <w:szCs w:val="21"/>
              </w:rPr>
            </w:pPr>
            <w:r w:rsidRPr="00B27A29">
              <w:rPr>
                <w:rFonts w:eastAsiaTheme="minorEastAsia"/>
                <w:color w:val="000000" w:themeColor="text1"/>
                <w:kern w:val="0"/>
                <w:szCs w:val="21"/>
              </w:rPr>
              <w:t>5,961,623.07</w:t>
            </w:r>
          </w:p>
        </w:tc>
      </w:tr>
      <w:tr w:rsidR="005E6DF3" w:rsidRPr="00B27A29">
        <w:tc>
          <w:tcPr>
            <w:tcW w:w="1110" w:type="dxa"/>
            <w:vAlign w:val="center"/>
          </w:tcPr>
          <w:p w:rsidR="005E6DF3" w:rsidRPr="00B27A29" w:rsidRDefault="005C671B">
            <w:pPr>
              <w:autoSpaceDE w:val="0"/>
              <w:autoSpaceDN w:val="0"/>
              <w:adjustRightInd w:val="0"/>
              <w:spacing w:before="29" w:line="360" w:lineRule="auto"/>
              <w:ind w:left="15"/>
              <w:jc w:val="center"/>
              <w:rPr>
                <w:rFonts w:eastAsiaTheme="minorEastAsia"/>
                <w:color w:val="000000" w:themeColor="text1"/>
                <w:szCs w:val="21"/>
              </w:rPr>
            </w:pPr>
            <w:r w:rsidRPr="00B27A29">
              <w:rPr>
                <w:rFonts w:eastAsiaTheme="minorEastAsia"/>
                <w:color w:val="000000" w:themeColor="text1"/>
                <w:szCs w:val="21"/>
              </w:rPr>
              <w:t>5</w:t>
            </w:r>
          </w:p>
        </w:tc>
        <w:tc>
          <w:tcPr>
            <w:tcW w:w="2761" w:type="dxa"/>
            <w:vAlign w:val="center"/>
          </w:tcPr>
          <w:p w:rsidR="005E6DF3" w:rsidRPr="00B27A29" w:rsidRDefault="005C671B">
            <w:pPr>
              <w:autoSpaceDE w:val="0"/>
              <w:autoSpaceDN w:val="0"/>
              <w:adjustRightInd w:val="0"/>
              <w:spacing w:before="29" w:line="360" w:lineRule="auto"/>
              <w:ind w:left="15"/>
              <w:jc w:val="left"/>
              <w:rPr>
                <w:rFonts w:eastAsiaTheme="minorEastAsia"/>
                <w:color w:val="000000" w:themeColor="text1"/>
                <w:kern w:val="0"/>
                <w:szCs w:val="21"/>
              </w:rPr>
            </w:pPr>
            <w:r w:rsidRPr="00B27A29">
              <w:rPr>
                <w:rFonts w:eastAsiaTheme="minorEastAsia"/>
                <w:color w:val="000000" w:themeColor="text1"/>
                <w:kern w:val="0"/>
                <w:szCs w:val="21"/>
              </w:rPr>
              <w:t>应收申购款</w:t>
            </w:r>
          </w:p>
        </w:tc>
        <w:tc>
          <w:tcPr>
            <w:tcW w:w="4808" w:type="dxa"/>
            <w:vAlign w:val="center"/>
          </w:tcPr>
          <w:p w:rsidR="005E6DF3" w:rsidRPr="00B27A29" w:rsidRDefault="005C671B">
            <w:pPr>
              <w:autoSpaceDE w:val="0"/>
              <w:autoSpaceDN w:val="0"/>
              <w:adjustRightInd w:val="0"/>
              <w:spacing w:before="29" w:line="360" w:lineRule="auto"/>
              <w:ind w:left="15"/>
              <w:jc w:val="right"/>
              <w:rPr>
                <w:rFonts w:eastAsiaTheme="minorEastAsia"/>
                <w:color w:val="000000" w:themeColor="text1"/>
                <w:kern w:val="0"/>
                <w:szCs w:val="21"/>
              </w:rPr>
            </w:pPr>
            <w:r w:rsidRPr="00B27A29">
              <w:rPr>
                <w:rFonts w:eastAsiaTheme="minorEastAsia"/>
                <w:color w:val="000000" w:themeColor="text1"/>
                <w:kern w:val="0"/>
                <w:szCs w:val="21"/>
              </w:rPr>
              <w:t>22,483.50</w:t>
            </w:r>
          </w:p>
        </w:tc>
      </w:tr>
      <w:tr w:rsidR="005E6DF3" w:rsidRPr="00B27A29">
        <w:tc>
          <w:tcPr>
            <w:tcW w:w="1110" w:type="dxa"/>
            <w:vAlign w:val="center"/>
          </w:tcPr>
          <w:p w:rsidR="005E6DF3" w:rsidRPr="00B27A29" w:rsidRDefault="005C671B">
            <w:pPr>
              <w:autoSpaceDE w:val="0"/>
              <w:autoSpaceDN w:val="0"/>
              <w:adjustRightInd w:val="0"/>
              <w:spacing w:before="29" w:line="360" w:lineRule="auto"/>
              <w:ind w:left="15"/>
              <w:jc w:val="center"/>
              <w:rPr>
                <w:rFonts w:eastAsiaTheme="minorEastAsia"/>
                <w:color w:val="000000" w:themeColor="text1"/>
                <w:szCs w:val="21"/>
              </w:rPr>
            </w:pPr>
            <w:r w:rsidRPr="00B27A29">
              <w:rPr>
                <w:rFonts w:eastAsiaTheme="minorEastAsia"/>
                <w:color w:val="000000" w:themeColor="text1"/>
                <w:szCs w:val="21"/>
              </w:rPr>
              <w:t>6</w:t>
            </w:r>
          </w:p>
        </w:tc>
        <w:tc>
          <w:tcPr>
            <w:tcW w:w="2761" w:type="dxa"/>
            <w:vAlign w:val="center"/>
          </w:tcPr>
          <w:p w:rsidR="005E6DF3" w:rsidRPr="00B27A29" w:rsidRDefault="005C671B">
            <w:pPr>
              <w:autoSpaceDE w:val="0"/>
              <w:autoSpaceDN w:val="0"/>
              <w:adjustRightInd w:val="0"/>
              <w:spacing w:before="29" w:line="360" w:lineRule="auto"/>
              <w:ind w:left="15"/>
              <w:jc w:val="left"/>
              <w:rPr>
                <w:rFonts w:eastAsiaTheme="minorEastAsia"/>
                <w:color w:val="000000" w:themeColor="text1"/>
                <w:kern w:val="0"/>
                <w:szCs w:val="21"/>
              </w:rPr>
            </w:pPr>
            <w:r w:rsidRPr="00B27A29">
              <w:rPr>
                <w:rFonts w:eastAsiaTheme="minorEastAsia"/>
                <w:color w:val="000000" w:themeColor="text1"/>
                <w:kern w:val="0"/>
                <w:szCs w:val="21"/>
              </w:rPr>
              <w:t>其他应收款</w:t>
            </w:r>
          </w:p>
        </w:tc>
        <w:tc>
          <w:tcPr>
            <w:tcW w:w="4808" w:type="dxa"/>
            <w:vAlign w:val="center"/>
          </w:tcPr>
          <w:p w:rsidR="005E6DF3" w:rsidRPr="00B27A29" w:rsidRDefault="005C671B">
            <w:pPr>
              <w:autoSpaceDE w:val="0"/>
              <w:autoSpaceDN w:val="0"/>
              <w:adjustRightInd w:val="0"/>
              <w:spacing w:before="29" w:line="360" w:lineRule="auto"/>
              <w:ind w:left="15"/>
              <w:jc w:val="right"/>
              <w:rPr>
                <w:rFonts w:eastAsiaTheme="minorEastAsia"/>
                <w:color w:val="000000" w:themeColor="text1"/>
                <w:kern w:val="0"/>
                <w:szCs w:val="21"/>
              </w:rPr>
            </w:pPr>
            <w:r w:rsidRPr="00B27A29">
              <w:rPr>
                <w:rFonts w:eastAsiaTheme="minorEastAsia"/>
                <w:color w:val="000000" w:themeColor="text1"/>
                <w:kern w:val="0"/>
                <w:szCs w:val="21"/>
              </w:rPr>
              <w:t>-</w:t>
            </w:r>
          </w:p>
        </w:tc>
      </w:tr>
      <w:tr w:rsidR="005E6DF3" w:rsidRPr="00B27A29">
        <w:tc>
          <w:tcPr>
            <w:tcW w:w="1110" w:type="dxa"/>
            <w:vAlign w:val="center"/>
          </w:tcPr>
          <w:p w:rsidR="005E6DF3" w:rsidRPr="00B27A29" w:rsidRDefault="005C671B">
            <w:pPr>
              <w:autoSpaceDE w:val="0"/>
              <w:autoSpaceDN w:val="0"/>
              <w:adjustRightInd w:val="0"/>
              <w:spacing w:before="29" w:line="360" w:lineRule="auto"/>
              <w:ind w:left="15"/>
              <w:jc w:val="center"/>
              <w:rPr>
                <w:rFonts w:eastAsiaTheme="minorEastAsia"/>
                <w:color w:val="000000" w:themeColor="text1"/>
                <w:szCs w:val="21"/>
              </w:rPr>
            </w:pPr>
            <w:r w:rsidRPr="00B27A29">
              <w:rPr>
                <w:rFonts w:eastAsiaTheme="minorEastAsia"/>
                <w:color w:val="000000" w:themeColor="text1"/>
                <w:szCs w:val="21"/>
              </w:rPr>
              <w:t>7</w:t>
            </w:r>
          </w:p>
        </w:tc>
        <w:tc>
          <w:tcPr>
            <w:tcW w:w="2761" w:type="dxa"/>
            <w:vAlign w:val="center"/>
          </w:tcPr>
          <w:p w:rsidR="005E6DF3" w:rsidRPr="00B27A29" w:rsidRDefault="005C671B">
            <w:pPr>
              <w:autoSpaceDE w:val="0"/>
              <w:autoSpaceDN w:val="0"/>
              <w:adjustRightInd w:val="0"/>
              <w:spacing w:before="29" w:line="360" w:lineRule="auto"/>
              <w:ind w:left="15"/>
              <w:jc w:val="left"/>
              <w:rPr>
                <w:rFonts w:eastAsiaTheme="minorEastAsia"/>
                <w:color w:val="000000" w:themeColor="text1"/>
                <w:szCs w:val="21"/>
              </w:rPr>
            </w:pPr>
            <w:r w:rsidRPr="00B27A29">
              <w:rPr>
                <w:rFonts w:eastAsiaTheme="minorEastAsia"/>
                <w:color w:val="000000" w:themeColor="text1"/>
                <w:szCs w:val="21"/>
              </w:rPr>
              <w:t>待摊费用</w:t>
            </w:r>
          </w:p>
        </w:tc>
        <w:tc>
          <w:tcPr>
            <w:tcW w:w="4808" w:type="dxa"/>
            <w:vAlign w:val="center"/>
          </w:tcPr>
          <w:p w:rsidR="005E6DF3" w:rsidRPr="00B27A29" w:rsidRDefault="005C671B">
            <w:pPr>
              <w:autoSpaceDE w:val="0"/>
              <w:autoSpaceDN w:val="0"/>
              <w:adjustRightInd w:val="0"/>
              <w:spacing w:before="29" w:line="360" w:lineRule="auto"/>
              <w:ind w:left="15"/>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c>
          <w:tcPr>
            <w:tcW w:w="1110" w:type="dxa"/>
            <w:vAlign w:val="center"/>
          </w:tcPr>
          <w:p w:rsidR="005E6DF3" w:rsidRPr="00B27A29" w:rsidRDefault="005C671B">
            <w:pPr>
              <w:autoSpaceDE w:val="0"/>
              <w:autoSpaceDN w:val="0"/>
              <w:adjustRightInd w:val="0"/>
              <w:spacing w:before="29" w:line="360" w:lineRule="auto"/>
              <w:ind w:left="15"/>
              <w:jc w:val="center"/>
              <w:rPr>
                <w:rFonts w:eastAsiaTheme="minorEastAsia"/>
                <w:color w:val="000000" w:themeColor="text1"/>
                <w:szCs w:val="21"/>
              </w:rPr>
            </w:pPr>
            <w:r w:rsidRPr="00B27A29">
              <w:rPr>
                <w:rFonts w:eastAsiaTheme="minorEastAsia"/>
                <w:color w:val="000000" w:themeColor="text1"/>
                <w:szCs w:val="21"/>
              </w:rPr>
              <w:t>8</w:t>
            </w:r>
          </w:p>
        </w:tc>
        <w:tc>
          <w:tcPr>
            <w:tcW w:w="2761" w:type="dxa"/>
            <w:vAlign w:val="center"/>
          </w:tcPr>
          <w:p w:rsidR="005E6DF3" w:rsidRPr="00B27A29" w:rsidRDefault="005C671B">
            <w:pPr>
              <w:autoSpaceDE w:val="0"/>
              <w:autoSpaceDN w:val="0"/>
              <w:adjustRightInd w:val="0"/>
              <w:spacing w:before="29" w:line="360" w:lineRule="auto"/>
              <w:ind w:left="15"/>
              <w:jc w:val="left"/>
              <w:rPr>
                <w:rFonts w:eastAsiaTheme="minorEastAsia"/>
                <w:color w:val="000000" w:themeColor="text1"/>
                <w:kern w:val="0"/>
                <w:szCs w:val="21"/>
              </w:rPr>
            </w:pPr>
            <w:r w:rsidRPr="00B27A29">
              <w:rPr>
                <w:rFonts w:eastAsiaTheme="minorEastAsia"/>
                <w:color w:val="000000" w:themeColor="text1"/>
                <w:kern w:val="0"/>
                <w:szCs w:val="21"/>
              </w:rPr>
              <w:t>其他</w:t>
            </w:r>
          </w:p>
        </w:tc>
        <w:tc>
          <w:tcPr>
            <w:tcW w:w="4808" w:type="dxa"/>
            <w:vAlign w:val="center"/>
          </w:tcPr>
          <w:p w:rsidR="005E6DF3" w:rsidRPr="00B27A29" w:rsidRDefault="005C671B">
            <w:pPr>
              <w:autoSpaceDE w:val="0"/>
              <w:autoSpaceDN w:val="0"/>
              <w:adjustRightInd w:val="0"/>
              <w:spacing w:before="29" w:line="360" w:lineRule="auto"/>
              <w:ind w:left="15"/>
              <w:jc w:val="right"/>
              <w:rPr>
                <w:rFonts w:eastAsiaTheme="minorEastAsia"/>
                <w:color w:val="000000" w:themeColor="text1"/>
                <w:kern w:val="0"/>
                <w:szCs w:val="21"/>
              </w:rPr>
            </w:pPr>
            <w:r w:rsidRPr="00B27A29">
              <w:rPr>
                <w:rFonts w:eastAsiaTheme="minorEastAsia"/>
                <w:color w:val="000000" w:themeColor="text1"/>
                <w:kern w:val="0"/>
                <w:szCs w:val="21"/>
              </w:rPr>
              <w:t>-</w:t>
            </w:r>
          </w:p>
        </w:tc>
      </w:tr>
      <w:tr w:rsidR="005E6DF3" w:rsidRPr="00B27A29">
        <w:tc>
          <w:tcPr>
            <w:tcW w:w="1110" w:type="dxa"/>
            <w:vAlign w:val="center"/>
          </w:tcPr>
          <w:p w:rsidR="005E6DF3" w:rsidRPr="00B27A29" w:rsidRDefault="005C671B">
            <w:pPr>
              <w:autoSpaceDE w:val="0"/>
              <w:autoSpaceDN w:val="0"/>
              <w:adjustRightInd w:val="0"/>
              <w:spacing w:before="29" w:line="360" w:lineRule="auto"/>
              <w:ind w:left="15"/>
              <w:jc w:val="center"/>
              <w:rPr>
                <w:rFonts w:eastAsiaTheme="minorEastAsia"/>
                <w:color w:val="000000" w:themeColor="text1"/>
                <w:szCs w:val="21"/>
              </w:rPr>
            </w:pPr>
            <w:r w:rsidRPr="00B27A29">
              <w:rPr>
                <w:rFonts w:eastAsiaTheme="minorEastAsia"/>
                <w:color w:val="000000" w:themeColor="text1"/>
                <w:szCs w:val="21"/>
              </w:rPr>
              <w:t>9</w:t>
            </w:r>
          </w:p>
        </w:tc>
        <w:tc>
          <w:tcPr>
            <w:tcW w:w="2761" w:type="dxa"/>
            <w:vAlign w:val="center"/>
          </w:tcPr>
          <w:p w:rsidR="005E6DF3" w:rsidRPr="00B27A29" w:rsidRDefault="005C671B">
            <w:pPr>
              <w:autoSpaceDE w:val="0"/>
              <w:autoSpaceDN w:val="0"/>
              <w:adjustRightInd w:val="0"/>
              <w:spacing w:before="29" w:line="360" w:lineRule="auto"/>
              <w:ind w:left="15"/>
              <w:jc w:val="left"/>
              <w:rPr>
                <w:rFonts w:eastAsiaTheme="minorEastAsia"/>
                <w:color w:val="000000" w:themeColor="text1"/>
                <w:kern w:val="0"/>
                <w:szCs w:val="21"/>
              </w:rPr>
            </w:pPr>
            <w:r w:rsidRPr="00B27A29">
              <w:rPr>
                <w:rFonts w:eastAsiaTheme="minorEastAsia"/>
                <w:color w:val="000000" w:themeColor="text1"/>
                <w:kern w:val="0"/>
                <w:szCs w:val="21"/>
              </w:rPr>
              <w:t>合计</w:t>
            </w:r>
          </w:p>
        </w:tc>
        <w:tc>
          <w:tcPr>
            <w:tcW w:w="4808" w:type="dxa"/>
            <w:vAlign w:val="center"/>
          </w:tcPr>
          <w:p w:rsidR="005E6DF3" w:rsidRPr="00B27A29" w:rsidRDefault="005C671B">
            <w:pPr>
              <w:autoSpaceDE w:val="0"/>
              <w:autoSpaceDN w:val="0"/>
              <w:adjustRightInd w:val="0"/>
              <w:spacing w:before="29" w:line="360" w:lineRule="auto"/>
              <w:ind w:left="15"/>
              <w:jc w:val="right"/>
              <w:rPr>
                <w:rFonts w:eastAsiaTheme="minorEastAsia"/>
                <w:color w:val="000000" w:themeColor="text1"/>
                <w:kern w:val="0"/>
                <w:szCs w:val="21"/>
              </w:rPr>
            </w:pPr>
            <w:r w:rsidRPr="00B27A29">
              <w:rPr>
                <w:rFonts w:eastAsiaTheme="minorEastAsia"/>
                <w:color w:val="000000" w:themeColor="text1"/>
                <w:kern w:val="0"/>
                <w:szCs w:val="21"/>
              </w:rPr>
              <w:t>7,770,151.91</w:t>
            </w:r>
          </w:p>
        </w:tc>
      </w:tr>
    </w:tbl>
    <w:p w:rsidR="005E6DF3" w:rsidRPr="00B27A29" w:rsidRDefault="005C671B">
      <w:pPr>
        <w:autoSpaceDE w:val="0"/>
        <w:autoSpaceDN w:val="0"/>
        <w:adjustRightInd w:val="0"/>
        <w:spacing w:beforeLines="100" w:before="312"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5.11.4</w:t>
      </w:r>
      <w:r w:rsidRPr="00B27A29">
        <w:rPr>
          <w:rFonts w:eastAsiaTheme="minorEastAsia"/>
          <w:b/>
          <w:color w:val="000000" w:themeColor="text1"/>
          <w:kern w:val="0"/>
          <w:szCs w:val="21"/>
        </w:rPr>
        <w:t>报告期末持有的处于转股期的可转换债券明细</w:t>
      </w:r>
    </w:p>
    <w:tbl>
      <w:tblPr>
        <w:tblStyle w:val="afa"/>
        <w:tblW w:w="8928" w:type="dxa"/>
        <w:tblInd w:w="108" w:type="dxa"/>
        <w:tblLayout w:type="fixed"/>
        <w:tblLook w:val="04A0" w:firstRow="1" w:lastRow="0" w:firstColumn="1" w:lastColumn="0" w:noHBand="0" w:noVBand="1"/>
      </w:tblPr>
      <w:tblGrid>
        <w:gridCol w:w="1181"/>
        <w:gridCol w:w="2497"/>
        <w:gridCol w:w="1746"/>
        <w:gridCol w:w="1825"/>
        <w:gridCol w:w="1679"/>
      </w:tblGrid>
      <w:tr w:rsidR="005E6DF3" w:rsidRPr="00B27A29">
        <w:tc>
          <w:tcPr>
            <w:tcW w:w="1181"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序号</w:t>
            </w:r>
          </w:p>
        </w:tc>
        <w:tc>
          <w:tcPr>
            <w:tcW w:w="2497"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债券代码</w:t>
            </w:r>
          </w:p>
        </w:tc>
        <w:tc>
          <w:tcPr>
            <w:tcW w:w="1746"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债券名称</w:t>
            </w:r>
          </w:p>
        </w:tc>
        <w:tc>
          <w:tcPr>
            <w:tcW w:w="1825"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公允价值</w:t>
            </w:r>
            <w:r w:rsidRPr="00B27A29">
              <w:rPr>
                <w:rFonts w:eastAsiaTheme="minorEastAsia"/>
                <w:color w:val="000000" w:themeColor="text1"/>
                <w:szCs w:val="21"/>
              </w:rPr>
              <w:t>(</w:t>
            </w:r>
            <w:r w:rsidRPr="00B27A29">
              <w:rPr>
                <w:rFonts w:eastAsiaTheme="minorEastAsia"/>
                <w:color w:val="000000" w:themeColor="text1"/>
                <w:szCs w:val="21"/>
              </w:rPr>
              <w:t>元</w:t>
            </w:r>
            <w:r w:rsidRPr="00B27A29">
              <w:rPr>
                <w:rFonts w:eastAsiaTheme="minorEastAsia"/>
                <w:color w:val="000000" w:themeColor="text1"/>
                <w:szCs w:val="21"/>
              </w:rPr>
              <w:t>)</w:t>
            </w:r>
          </w:p>
        </w:tc>
        <w:tc>
          <w:tcPr>
            <w:tcW w:w="1679"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占基金资产净值比例</w:t>
            </w:r>
            <w:r w:rsidRPr="00B27A29">
              <w:rPr>
                <w:rFonts w:eastAsiaTheme="minorEastAsia"/>
                <w:color w:val="000000" w:themeColor="text1"/>
                <w:szCs w:val="21"/>
              </w:rPr>
              <w:t>(%)</w:t>
            </w:r>
          </w:p>
        </w:tc>
      </w:tr>
      <w:tr w:rsidR="008D36E2">
        <w:tc>
          <w:tcPr>
            <w:tcW w:w="1181" w:type="dxa"/>
            <w:vAlign w:val="center"/>
          </w:tcPr>
          <w:p w:rsidR="008D36E2" w:rsidRDefault="0013308F">
            <w:pPr>
              <w:jc w:val="center"/>
            </w:pPr>
            <w:r>
              <w:rPr>
                <w:rFonts w:eastAsiaTheme="minorEastAsia"/>
                <w:color w:val="000000" w:themeColor="text1"/>
                <w:szCs w:val="21"/>
              </w:rPr>
              <w:t>1</w:t>
            </w:r>
          </w:p>
        </w:tc>
        <w:tc>
          <w:tcPr>
            <w:tcW w:w="2497" w:type="dxa"/>
            <w:vAlign w:val="center"/>
          </w:tcPr>
          <w:p w:rsidR="008D36E2" w:rsidRDefault="0013308F">
            <w:pPr>
              <w:jc w:val="center"/>
            </w:pPr>
            <w:r>
              <w:rPr>
                <w:rFonts w:eastAsiaTheme="minorEastAsia"/>
                <w:color w:val="000000" w:themeColor="text1"/>
                <w:szCs w:val="21"/>
              </w:rPr>
              <w:t>113543</w:t>
            </w:r>
          </w:p>
        </w:tc>
        <w:tc>
          <w:tcPr>
            <w:tcW w:w="1746" w:type="dxa"/>
            <w:vAlign w:val="center"/>
          </w:tcPr>
          <w:p w:rsidR="008D36E2" w:rsidRDefault="0013308F">
            <w:pPr>
              <w:jc w:val="center"/>
            </w:pPr>
            <w:r>
              <w:rPr>
                <w:rFonts w:eastAsiaTheme="minorEastAsia"/>
                <w:color w:val="000000" w:themeColor="text1"/>
                <w:szCs w:val="21"/>
              </w:rPr>
              <w:t>欧派转债</w:t>
            </w:r>
          </w:p>
        </w:tc>
        <w:tc>
          <w:tcPr>
            <w:tcW w:w="1825" w:type="dxa"/>
            <w:vAlign w:val="center"/>
          </w:tcPr>
          <w:p w:rsidR="008D36E2" w:rsidRDefault="0013308F">
            <w:pPr>
              <w:jc w:val="right"/>
            </w:pPr>
            <w:r>
              <w:rPr>
                <w:rFonts w:eastAsiaTheme="minorEastAsia"/>
                <w:color w:val="000000" w:themeColor="text1"/>
                <w:szCs w:val="21"/>
              </w:rPr>
              <w:t>11,561,517.00</w:t>
            </w:r>
          </w:p>
        </w:tc>
        <w:tc>
          <w:tcPr>
            <w:tcW w:w="1679" w:type="dxa"/>
            <w:vAlign w:val="center"/>
          </w:tcPr>
          <w:p w:rsidR="008D36E2" w:rsidRDefault="0013308F">
            <w:pPr>
              <w:jc w:val="right"/>
            </w:pPr>
            <w:r>
              <w:rPr>
                <w:rFonts w:eastAsiaTheme="minorEastAsia"/>
                <w:color w:val="000000" w:themeColor="text1"/>
                <w:szCs w:val="21"/>
              </w:rPr>
              <w:t>1.08</w:t>
            </w:r>
          </w:p>
        </w:tc>
      </w:tr>
    </w:tbl>
    <w:p w:rsidR="005E6DF3" w:rsidRPr="00B27A29" w:rsidRDefault="005C671B">
      <w:pPr>
        <w:autoSpaceDE w:val="0"/>
        <w:autoSpaceDN w:val="0"/>
        <w:adjustRightInd w:val="0"/>
        <w:spacing w:beforeLines="100" w:before="312" w:line="360" w:lineRule="auto"/>
        <w:jc w:val="left"/>
        <w:rPr>
          <w:rFonts w:eastAsiaTheme="minorEastAsia"/>
          <w:b/>
          <w:bCs/>
          <w:color w:val="000000" w:themeColor="text1"/>
          <w:szCs w:val="21"/>
        </w:rPr>
      </w:pPr>
      <w:r w:rsidRPr="00B27A29">
        <w:rPr>
          <w:rFonts w:eastAsiaTheme="minorEastAsia"/>
          <w:b/>
          <w:color w:val="000000" w:themeColor="text1"/>
          <w:kern w:val="0"/>
          <w:szCs w:val="21"/>
        </w:rPr>
        <w:t>5.11.5</w:t>
      </w:r>
      <w:r w:rsidRPr="00B27A29">
        <w:rPr>
          <w:rFonts w:eastAsiaTheme="minorEastAsia"/>
          <w:b/>
          <w:bCs/>
          <w:color w:val="000000" w:themeColor="text1"/>
          <w:szCs w:val="21"/>
        </w:rPr>
        <w:t>报告期末前十名股票中存在流通受限情况的说明</w:t>
      </w:r>
    </w:p>
    <w:p w:rsidR="005E6DF3" w:rsidRPr="00B27A29" w:rsidRDefault="005C671B">
      <w:pPr>
        <w:autoSpaceDE w:val="0"/>
        <w:autoSpaceDN w:val="0"/>
        <w:adjustRightInd w:val="0"/>
        <w:spacing w:line="360" w:lineRule="auto"/>
        <w:ind w:firstLineChars="200" w:firstLine="420"/>
        <w:jc w:val="left"/>
        <w:rPr>
          <w:rFonts w:eastAsiaTheme="minorEastAsia"/>
          <w:color w:val="000000" w:themeColor="text1"/>
          <w:szCs w:val="21"/>
        </w:rPr>
      </w:pPr>
      <w:r w:rsidRPr="00B27A29">
        <w:rPr>
          <w:rFonts w:eastAsiaTheme="minorEastAsia"/>
          <w:color w:val="000000" w:themeColor="text1"/>
          <w:szCs w:val="21"/>
        </w:rPr>
        <w:t>本基金本报告期末前十名股票中不存在流通受限情况。</w:t>
      </w:r>
    </w:p>
    <w:p w:rsidR="005E6DF3" w:rsidRPr="00B27A29" w:rsidRDefault="005C671B">
      <w:pPr>
        <w:spacing w:beforeLines="100" w:before="312" w:line="360" w:lineRule="auto"/>
        <w:rPr>
          <w:rFonts w:eastAsiaTheme="minorEastAsia"/>
          <w:b/>
          <w:color w:val="000000" w:themeColor="text1"/>
          <w:kern w:val="0"/>
          <w:szCs w:val="21"/>
        </w:rPr>
      </w:pPr>
      <w:r w:rsidRPr="00B27A29">
        <w:rPr>
          <w:rFonts w:eastAsiaTheme="minorEastAsia"/>
          <w:b/>
          <w:color w:val="000000" w:themeColor="text1"/>
          <w:kern w:val="0"/>
          <w:szCs w:val="21"/>
        </w:rPr>
        <w:t>5.11.6</w:t>
      </w:r>
      <w:r w:rsidRPr="00B27A29">
        <w:rPr>
          <w:rFonts w:eastAsiaTheme="minorEastAsia"/>
          <w:b/>
          <w:color w:val="000000" w:themeColor="text1"/>
          <w:kern w:val="0"/>
          <w:szCs w:val="21"/>
        </w:rPr>
        <w:t>投资组合报告附注的其他文字描述部分</w:t>
      </w:r>
    </w:p>
    <w:p w:rsidR="005E6DF3" w:rsidRPr="00B27A29" w:rsidRDefault="005C671B">
      <w:pPr>
        <w:spacing w:line="360" w:lineRule="auto"/>
        <w:ind w:firstLineChars="200" w:firstLine="420"/>
        <w:rPr>
          <w:rFonts w:eastAsiaTheme="minorEastAsia"/>
          <w:color w:val="000000" w:themeColor="text1"/>
          <w:szCs w:val="21"/>
        </w:rPr>
      </w:pPr>
      <w:r w:rsidRPr="00B27A29">
        <w:rPr>
          <w:rFonts w:eastAsiaTheme="minorEastAsia"/>
          <w:color w:val="000000" w:themeColor="text1"/>
          <w:szCs w:val="21"/>
        </w:rPr>
        <w:t>因四舍五入的原因，投资组合报告中分项之和与合计数可能存在尾差。</w:t>
      </w:r>
    </w:p>
    <w:p w:rsidR="005E6DF3" w:rsidRPr="00B27A29" w:rsidRDefault="005C671B">
      <w:pPr>
        <w:pStyle w:val="1"/>
        <w:spacing w:beforeLines="100" w:before="312" w:afterLines="100" w:after="312" w:line="360" w:lineRule="auto"/>
        <w:jc w:val="center"/>
        <w:rPr>
          <w:rFonts w:eastAsiaTheme="minorEastAsia"/>
          <w:color w:val="000000" w:themeColor="text1"/>
          <w:kern w:val="0"/>
          <w:sz w:val="21"/>
          <w:szCs w:val="21"/>
        </w:rPr>
      </w:pPr>
      <w:r w:rsidRPr="00B27A29">
        <w:rPr>
          <w:rFonts w:eastAsiaTheme="minorEastAsia"/>
          <w:color w:val="000000" w:themeColor="text1"/>
          <w:kern w:val="0"/>
          <w:sz w:val="21"/>
          <w:szCs w:val="21"/>
        </w:rPr>
        <w:t xml:space="preserve">§6  </w:t>
      </w:r>
      <w:r w:rsidRPr="00B27A29">
        <w:rPr>
          <w:rFonts w:eastAsiaTheme="minorEastAsia"/>
          <w:color w:val="000000" w:themeColor="text1"/>
          <w:kern w:val="0"/>
          <w:sz w:val="21"/>
          <w:szCs w:val="21"/>
        </w:rPr>
        <w:t>开放式基金份额变动</w:t>
      </w:r>
    </w:p>
    <w:p w:rsidR="005E6DF3" w:rsidRPr="00B27A29" w:rsidRDefault="005C671B">
      <w:pPr>
        <w:autoSpaceDE w:val="0"/>
        <w:autoSpaceDN w:val="0"/>
        <w:adjustRightInd w:val="0"/>
        <w:spacing w:before="29" w:line="288" w:lineRule="auto"/>
        <w:ind w:left="15" w:right="480"/>
        <w:jc w:val="right"/>
        <w:rPr>
          <w:rFonts w:eastAsiaTheme="minorEastAsia"/>
          <w:color w:val="000000" w:themeColor="text1"/>
          <w:kern w:val="0"/>
          <w:szCs w:val="21"/>
        </w:rPr>
      </w:pPr>
      <w:r w:rsidRPr="00B27A29">
        <w:rPr>
          <w:rFonts w:eastAsiaTheme="minorEastAsia"/>
          <w:color w:val="000000" w:themeColor="text1"/>
          <w:kern w:val="0"/>
          <w:szCs w:val="21"/>
        </w:rPr>
        <w:t>单位：份</w:t>
      </w:r>
    </w:p>
    <w:tbl>
      <w:tblPr>
        <w:tblW w:w="8634" w:type="dxa"/>
        <w:tblInd w:w="108" w:type="dxa"/>
        <w:tblLayout w:type="fixed"/>
        <w:tblLook w:val="04A0" w:firstRow="1" w:lastRow="0" w:firstColumn="1" w:lastColumn="0" w:noHBand="0" w:noVBand="1"/>
      </w:tblPr>
      <w:tblGrid>
        <w:gridCol w:w="3900"/>
        <w:gridCol w:w="2367"/>
        <w:gridCol w:w="2367"/>
      </w:tblGrid>
      <w:tr w:rsidR="005E6DF3" w:rsidRPr="00B27A29">
        <w:tc>
          <w:tcPr>
            <w:tcW w:w="3900"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center"/>
              <w:rPr>
                <w:rFonts w:eastAsiaTheme="minorEastAsia"/>
                <w:color w:val="000000" w:themeColor="text1"/>
                <w:kern w:val="0"/>
                <w:szCs w:val="21"/>
              </w:rPr>
            </w:pPr>
            <w:r w:rsidRPr="00B27A29">
              <w:rPr>
                <w:rFonts w:eastAsiaTheme="minorEastAsia"/>
                <w:color w:val="000000" w:themeColor="text1"/>
                <w:kern w:val="0"/>
                <w:szCs w:val="21"/>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上投摩根双息平衡混合</w:t>
            </w:r>
            <w:r w:rsidRPr="00B27A29">
              <w:rPr>
                <w:rFonts w:eastAsiaTheme="minorEastAsia"/>
                <w:color w:val="000000" w:themeColor="text1"/>
                <w:szCs w:val="21"/>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上投摩根双息平衡混合</w:t>
            </w:r>
            <w:r w:rsidRPr="00B27A29">
              <w:rPr>
                <w:rFonts w:eastAsiaTheme="minorEastAsia"/>
                <w:color w:val="000000" w:themeColor="text1"/>
                <w:szCs w:val="21"/>
              </w:rPr>
              <w:t>H</w:t>
            </w:r>
          </w:p>
        </w:tc>
      </w:tr>
      <w:tr w:rsidR="005E6DF3" w:rsidRPr="00B27A29">
        <w:tc>
          <w:tcPr>
            <w:tcW w:w="3900"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left"/>
              <w:rPr>
                <w:rFonts w:eastAsiaTheme="minorEastAsia"/>
                <w:color w:val="000000" w:themeColor="text1"/>
                <w:kern w:val="0"/>
                <w:szCs w:val="21"/>
              </w:rPr>
            </w:pPr>
            <w:r w:rsidRPr="00B27A29">
              <w:rPr>
                <w:rFonts w:eastAsiaTheme="minorEastAsia"/>
                <w:color w:val="000000" w:themeColor="text1"/>
                <w:kern w:val="0"/>
                <w:szCs w:val="21"/>
              </w:rPr>
              <w:t>本报告期期初基金份额总额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1,190,593,929.46</w:t>
            </w:r>
          </w:p>
        </w:tc>
        <w:tc>
          <w:tcPr>
            <w:tcW w:w="236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270,781.75</w:t>
            </w:r>
          </w:p>
        </w:tc>
      </w:tr>
      <w:tr w:rsidR="005E6DF3" w:rsidRPr="00B27A29">
        <w:tc>
          <w:tcPr>
            <w:tcW w:w="3900"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left"/>
              <w:rPr>
                <w:rFonts w:eastAsiaTheme="minorEastAsia"/>
                <w:color w:val="000000" w:themeColor="text1"/>
                <w:kern w:val="0"/>
                <w:szCs w:val="21"/>
              </w:rPr>
            </w:pPr>
            <w:r w:rsidRPr="00B27A29">
              <w:rPr>
                <w:rFonts w:eastAsiaTheme="minorEastAsia"/>
                <w:color w:val="000000" w:themeColor="text1"/>
                <w:kern w:val="0"/>
                <w:szCs w:val="21"/>
              </w:rPr>
              <w:t>报告期期间基金总申购份额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9,181,686.93</w:t>
            </w:r>
          </w:p>
        </w:tc>
        <w:tc>
          <w:tcPr>
            <w:tcW w:w="236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3,107.24</w:t>
            </w:r>
          </w:p>
        </w:tc>
      </w:tr>
      <w:tr w:rsidR="005E6DF3" w:rsidRPr="00B27A29">
        <w:tc>
          <w:tcPr>
            <w:tcW w:w="3900"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left"/>
              <w:rPr>
                <w:rFonts w:eastAsiaTheme="minorEastAsia"/>
                <w:color w:val="000000" w:themeColor="text1"/>
                <w:kern w:val="0"/>
                <w:szCs w:val="21"/>
              </w:rPr>
            </w:pPr>
            <w:r w:rsidRPr="00B27A29">
              <w:rPr>
                <w:rFonts w:eastAsiaTheme="minorEastAsia"/>
                <w:color w:val="000000" w:themeColor="text1"/>
                <w:kern w:val="0"/>
                <w:szCs w:val="21"/>
              </w:rPr>
              <w:t>减：报告期期间基金总赎回份额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58,026,851.50</w:t>
            </w:r>
          </w:p>
        </w:tc>
        <w:tc>
          <w:tcPr>
            <w:tcW w:w="236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3,071.74</w:t>
            </w:r>
          </w:p>
        </w:tc>
      </w:tr>
      <w:tr w:rsidR="005E6DF3" w:rsidRPr="00B27A29">
        <w:tc>
          <w:tcPr>
            <w:tcW w:w="3900"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left"/>
              <w:rPr>
                <w:rFonts w:eastAsiaTheme="minorEastAsia"/>
                <w:color w:val="000000" w:themeColor="text1"/>
                <w:kern w:val="0"/>
                <w:szCs w:val="21"/>
              </w:rPr>
            </w:pPr>
            <w:r w:rsidRPr="00B27A29">
              <w:rPr>
                <w:rFonts w:eastAsiaTheme="minorEastAsia"/>
                <w:color w:val="000000" w:themeColor="text1"/>
                <w:kern w:val="0"/>
                <w:szCs w:val="21"/>
              </w:rPr>
              <w:t>报告期期间基金拆分变动份额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c>
          <w:tcPr>
            <w:tcW w:w="3900"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left"/>
              <w:rPr>
                <w:rFonts w:eastAsiaTheme="minorEastAsia"/>
                <w:color w:val="000000" w:themeColor="text1"/>
                <w:kern w:val="0"/>
                <w:szCs w:val="21"/>
              </w:rPr>
            </w:pPr>
            <w:r w:rsidRPr="00B27A29">
              <w:rPr>
                <w:rFonts w:eastAsiaTheme="minorEastAsia"/>
                <w:color w:val="000000" w:themeColor="text1"/>
                <w:kern w:val="0"/>
                <w:szCs w:val="21"/>
              </w:rPr>
              <w:t>本报告期期末基金份额总额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1,141,748,764.89</w:t>
            </w:r>
          </w:p>
        </w:tc>
        <w:tc>
          <w:tcPr>
            <w:tcW w:w="236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270,817.25</w:t>
            </w:r>
          </w:p>
        </w:tc>
      </w:tr>
    </w:tbl>
    <w:p w:rsidR="005E6DF3" w:rsidRPr="00B27A29" w:rsidRDefault="005C671B">
      <w:pPr>
        <w:pStyle w:val="1"/>
        <w:tabs>
          <w:tab w:val="center" w:pos="4156"/>
          <w:tab w:val="right" w:pos="8312"/>
        </w:tabs>
        <w:spacing w:beforeLines="100" w:before="312" w:afterLines="100" w:after="312" w:line="360" w:lineRule="auto"/>
        <w:jc w:val="center"/>
        <w:rPr>
          <w:color w:val="000000" w:themeColor="text1"/>
          <w:sz w:val="21"/>
          <w:szCs w:val="21"/>
        </w:rPr>
      </w:pPr>
      <w:r w:rsidRPr="00B27A29">
        <w:rPr>
          <w:rFonts w:eastAsiaTheme="minorEastAsia"/>
          <w:color w:val="000000" w:themeColor="text1"/>
          <w:kern w:val="0"/>
          <w:sz w:val="21"/>
          <w:szCs w:val="21"/>
        </w:rPr>
        <w:lastRenderedPageBreak/>
        <w:t>§7</w:t>
      </w:r>
      <w:r w:rsidRPr="00B27A29">
        <w:rPr>
          <w:color w:val="000000"/>
          <w:sz w:val="21"/>
          <w:szCs w:val="21"/>
          <w:shd w:val="clear" w:color="auto" w:fill="FFFFFF"/>
        </w:rPr>
        <w:t>基金管理人运用固有资金投资本基金情况</w:t>
      </w:r>
    </w:p>
    <w:p w:rsidR="005E6DF3" w:rsidRPr="00B27A29" w:rsidRDefault="005C671B">
      <w:pPr>
        <w:spacing w:line="360" w:lineRule="auto"/>
        <w:jc w:val="left"/>
        <w:rPr>
          <w:color w:val="000000" w:themeColor="text1"/>
          <w:szCs w:val="21"/>
        </w:rPr>
      </w:pPr>
      <w:r w:rsidRPr="00B27A29">
        <w:rPr>
          <w:b/>
          <w:color w:val="000000" w:themeColor="text1"/>
          <w:szCs w:val="21"/>
        </w:rPr>
        <w:t>7.1</w:t>
      </w:r>
      <w:r w:rsidRPr="00B27A29">
        <w:rPr>
          <w:rFonts w:eastAsiaTheme="minorEastAsia"/>
          <w:b/>
          <w:bCs/>
          <w:color w:val="000000" w:themeColor="text1"/>
          <w:kern w:val="44"/>
          <w:szCs w:val="21"/>
        </w:rPr>
        <w:t>基金管理人持有本基金份额变动情况</w:t>
      </w:r>
    </w:p>
    <w:p w:rsidR="005E6DF3" w:rsidRPr="00B27A29" w:rsidRDefault="005C671B">
      <w:pPr>
        <w:autoSpaceDE w:val="0"/>
        <w:autoSpaceDN w:val="0"/>
        <w:adjustRightInd w:val="0"/>
        <w:spacing w:before="29" w:line="360" w:lineRule="auto"/>
        <w:ind w:left="15"/>
        <w:jc w:val="right"/>
        <w:rPr>
          <w:rFonts w:eastAsiaTheme="minorEastAsia"/>
          <w:color w:val="000000" w:themeColor="text1"/>
          <w:kern w:val="0"/>
          <w:szCs w:val="21"/>
        </w:rPr>
      </w:pPr>
      <w:r w:rsidRPr="00B27A29">
        <w:rPr>
          <w:rFonts w:eastAsiaTheme="minorEastAsia"/>
          <w:color w:val="000000" w:themeColor="text1"/>
          <w:kern w:val="0"/>
          <w:szCs w:val="21"/>
        </w:rPr>
        <w:t>单位：份</w:t>
      </w:r>
    </w:p>
    <w:tbl>
      <w:tblPr>
        <w:tblW w:w="8363" w:type="dxa"/>
        <w:tblInd w:w="108" w:type="dxa"/>
        <w:tblLayout w:type="fixed"/>
        <w:tblLook w:val="04A0" w:firstRow="1" w:lastRow="0" w:firstColumn="1" w:lastColumn="0" w:noHBand="0" w:noVBand="1"/>
      </w:tblPr>
      <w:tblGrid>
        <w:gridCol w:w="2977"/>
        <w:gridCol w:w="2693"/>
        <w:gridCol w:w="2693"/>
      </w:tblGrid>
      <w:tr w:rsidR="005E6DF3" w:rsidRPr="00B27A29">
        <w:tc>
          <w:tcPr>
            <w:tcW w:w="297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center"/>
              <w:rPr>
                <w:rFonts w:eastAsiaTheme="minorEastAsia"/>
                <w:color w:val="000000" w:themeColor="text1"/>
                <w:kern w:val="0"/>
                <w:szCs w:val="21"/>
              </w:rPr>
            </w:pPr>
            <w:r w:rsidRPr="00B27A29">
              <w:rPr>
                <w:rFonts w:eastAsiaTheme="minorEastAsia"/>
                <w:color w:val="000000" w:themeColor="text1"/>
                <w:kern w:val="0"/>
                <w:szCs w:val="21"/>
              </w:rPr>
              <w:t>项目</w:t>
            </w:r>
          </w:p>
        </w:tc>
        <w:tc>
          <w:tcPr>
            <w:tcW w:w="2693"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上投摩根双息平衡混合</w:t>
            </w:r>
            <w:r w:rsidRPr="00B27A29">
              <w:rPr>
                <w:rFonts w:eastAsiaTheme="minorEastAsia"/>
                <w:color w:val="000000" w:themeColor="text1"/>
                <w:szCs w:val="21"/>
              </w:rPr>
              <w:t>A</w:t>
            </w:r>
          </w:p>
        </w:tc>
        <w:tc>
          <w:tcPr>
            <w:tcW w:w="2693"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上投摩根双息平衡混合</w:t>
            </w:r>
            <w:r w:rsidRPr="00B27A29">
              <w:rPr>
                <w:rFonts w:eastAsiaTheme="minorEastAsia"/>
                <w:color w:val="000000" w:themeColor="text1"/>
                <w:szCs w:val="21"/>
              </w:rPr>
              <w:t>H</w:t>
            </w:r>
          </w:p>
        </w:tc>
      </w:tr>
      <w:tr w:rsidR="005E6DF3" w:rsidRPr="00B27A29">
        <w:tc>
          <w:tcPr>
            <w:tcW w:w="297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pStyle w:val="ab"/>
              <w:adjustRightInd w:val="0"/>
              <w:snapToGrid w:val="0"/>
              <w:spacing w:line="360" w:lineRule="exact"/>
              <w:rPr>
                <w:rFonts w:eastAsia="方正仿宋简体"/>
                <w:color w:val="000000" w:themeColor="text1"/>
                <w:sz w:val="21"/>
                <w:szCs w:val="21"/>
              </w:rPr>
            </w:pPr>
            <w:r w:rsidRPr="00B27A29">
              <w:rPr>
                <w:color w:val="000000" w:themeColor="text1"/>
                <w:sz w:val="21"/>
                <w:szCs w:val="21"/>
              </w:rPr>
              <w:t>报告期期初管理人持有的本基金份额</w:t>
            </w:r>
          </w:p>
        </w:tc>
        <w:tc>
          <w:tcPr>
            <w:tcW w:w="2693"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2,677,390.51</w:t>
            </w:r>
          </w:p>
        </w:tc>
        <w:tc>
          <w:tcPr>
            <w:tcW w:w="2693"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c>
          <w:tcPr>
            <w:tcW w:w="297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djustRightInd w:val="0"/>
              <w:snapToGrid w:val="0"/>
              <w:spacing w:line="360" w:lineRule="exact"/>
              <w:rPr>
                <w:color w:val="000000" w:themeColor="text1"/>
                <w:szCs w:val="21"/>
              </w:rPr>
            </w:pPr>
            <w:r w:rsidRPr="00B27A29">
              <w:rPr>
                <w:rFonts w:eastAsiaTheme="minorEastAsia"/>
                <w:color w:val="000000" w:themeColor="text1"/>
                <w:kern w:val="0"/>
                <w:szCs w:val="21"/>
              </w:rPr>
              <w:t>报告期期间</w:t>
            </w:r>
            <w:r w:rsidRPr="00B27A29">
              <w:rPr>
                <w:color w:val="000000" w:themeColor="text1"/>
                <w:szCs w:val="21"/>
              </w:rPr>
              <w:t>买入</w:t>
            </w:r>
            <w:r w:rsidRPr="00B27A29">
              <w:rPr>
                <w:color w:val="000000" w:themeColor="text1"/>
                <w:szCs w:val="21"/>
              </w:rPr>
              <w:t>/</w:t>
            </w:r>
            <w:r w:rsidRPr="00B27A29">
              <w:rPr>
                <w:color w:val="000000" w:themeColor="text1"/>
                <w:szCs w:val="21"/>
              </w:rPr>
              <w:t>申购总份额</w:t>
            </w:r>
          </w:p>
        </w:tc>
        <w:tc>
          <w:tcPr>
            <w:tcW w:w="2693"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jc w:val="right"/>
              <w:rPr>
                <w:rFonts w:eastAsiaTheme="minorEastAsia"/>
                <w:color w:val="000000" w:themeColor="text1"/>
                <w:kern w:val="0"/>
                <w:szCs w:val="21"/>
              </w:rPr>
            </w:pPr>
            <w:r w:rsidRPr="00B27A29">
              <w:rPr>
                <w:rFonts w:eastAsiaTheme="minorEastAsia"/>
                <w:color w:val="000000" w:themeColor="text1"/>
                <w:szCs w:val="21"/>
              </w:rPr>
              <w:t>-</w:t>
            </w:r>
          </w:p>
        </w:tc>
        <w:tc>
          <w:tcPr>
            <w:tcW w:w="2693"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jc w:val="right"/>
              <w:rPr>
                <w:rFonts w:eastAsiaTheme="minorEastAsia"/>
                <w:color w:val="000000" w:themeColor="text1"/>
                <w:kern w:val="0"/>
                <w:szCs w:val="21"/>
              </w:rPr>
            </w:pPr>
            <w:r w:rsidRPr="00B27A29">
              <w:rPr>
                <w:rFonts w:eastAsiaTheme="minorEastAsia"/>
                <w:color w:val="000000" w:themeColor="text1"/>
                <w:szCs w:val="21"/>
              </w:rPr>
              <w:t>-</w:t>
            </w:r>
          </w:p>
        </w:tc>
      </w:tr>
      <w:tr w:rsidR="005E6DF3" w:rsidRPr="00B27A29">
        <w:tc>
          <w:tcPr>
            <w:tcW w:w="297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djustRightInd w:val="0"/>
              <w:snapToGrid w:val="0"/>
              <w:spacing w:line="360" w:lineRule="exact"/>
              <w:rPr>
                <w:color w:val="000000" w:themeColor="text1"/>
                <w:szCs w:val="21"/>
              </w:rPr>
            </w:pPr>
            <w:r w:rsidRPr="00B27A29">
              <w:rPr>
                <w:rFonts w:eastAsiaTheme="minorEastAsia"/>
                <w:color w:val="000000" w:themeColor="text1"/>
                <w:kern w:val="0"/>
                <w:szCs w:val="21"/>
              </w:rPr>
              <w:t>报告期期间</w:t>
            </w:r>
            <w:r w:rsidRPr="00B27A29">
              <w:rPr>
                <w:color w:val="000000" w:themeColor="text1"/>
                <w:szCs w:val="21"/>
              </w:rPr>
              <w:t>卖出</w:t>
            </w:r>
            <w:r w:rsidRPr="00B27A29">
              <w:rPr>
                <w:color w:val="000000" w:themeColor="text1"/>
                <w:szCs w:val="21"/>
              </w:rPr>
              <w:t>/</w:t>
            </w:r>
            <w:r w:rsidRPr="00B27A29">
              <w:rPr>
                <w:color w:val="000000" w:themeColor="text1"/>
                <w:szCs w:val="21"/>
              </w:rPr>
              <w:t>赎回总份额</w:t>
            </w:r>
          </w:p>
        </w:tc>
        <w:tc>
          <w:tcPr>
            <w:tcW w:w="2693"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jc w:val="right"/>
              <w:rPr>
                <w:rFonts w:eastAsiaTheme="minorEastAsia"/>
                <w:color w:val="000000" w:themeColor="text1"/>
                <w:kern w:val="0"/>
                <w:szCs w:val="21"/>
              </w:rPr>
            </w:pPr>
            <w:r w:rsidRPr="00B27A29">
              <w:rPr>
                <w:rFonts w:eastAsiaTheme="minorEastAsia"/>
                <w:color w:val="000000" w:themeColor="text1"/>
                <w:szCs w:val="21"/>
              </w:rPr>
              <w:t>-</w:t>
            </w:r>
          </w:p>
        </w:tc>
        <w:tc>
          <w:tcPr>
            <w:tcW w:w="2693"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jc w:val="right"/>
              <w:rPr>
                <w:rFonts w:eastAsiaTheme="minorEastAsia"/>
                <w:color w:val="000000" w:themeColor="text1"/>
                <w:kern w:val="0"/>
                <w:szCs w:val="21"/>
              </w:rPr>
            </w:pPr>
            <w:r w:rsidRPr="00B27A29">
              <w:rPr>
                <w:rFonts w:eastAsiaTheme="minorEastAsia"/>
                <w:color w:val="000000" w:themeColor="text1"/>
                <w:szCs w:val="21"/>
              </w:rPr>
              <w:t>-</w:t>
            </w:r>
          </w:p>
        </w:tc>
      </w:tr>
      <w:tr w:rsidR="005E6DF3" w:rsidRPr="00B27A29">
        <w:tc>
          <w:tcPr>
            <w:tcW w:w="297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djustRightInd w:val="0"/>
              <w:snapToGrid w:val="0"/>
              <w:spacing w:line="360" w:lineRule="exact"/>
              <w:rPr>
                <w:color w:val="000000" w:themeColor="text1"/>
                <w:szCs w:val="21"/>
              </w:rPr>
            </w:pPr>
            <w:r w:rsidRPr="00B27A29">
              <w:rPr>
                <w:color w:val="000000" w:themeColor="text1"/>
                <w:szCs w:val="21"/>
              </w:rPr>
              <w:t>报告期期末管理人持有的本基金份额</w:t>
            </w:r>
          </w:p>
        </w:tc>
        <w:tc>
          <w:tcPr>
            <w:tcW w:w="2693"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2,677,390.51</w:t>
            </w:r>
          </w:p>
        </w:tc>
        <w:tc>
          <w:tcPr>
            <w:tcW w:w="2693"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c>
          <w:tcPr>
            <w:tcW w:w="297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djustRightInd w:val="0"/>
              <w:snapToGrid w:val="0"/>
              <w:spacing w:line="360" w:lineRule="exact"/>
              <w:rPr>
                <w:color w:val="000000" w:themeColor="text1"/>
                <w:szCs w:val="21"/>
              </w:rPr>
            </w:pPr>
            <w:r w:rsidRPr="00B27A29">
              <w:rPr>
                <w:color w:val="000000" w:themeColor="text1"/>
                <w:szCs w:val="21"/>
              </w:rPr>
              <w:t>报告期期末持有的本基金份额占基金总份额比例（</w:t>
            </w:r>
            <w:r w:rsidRPr="00B27A29">
              <w:rPr>
                <w:color w:val="000000" w:themeColor="text1"/>
                <w:szCs w:val="21"/>
              </w:rPr>
              <w:t>%</w:t>
            </w:r>
            <w:r w:rsidRPr="00B27A29">
              <w:rPr>
                <w:color w:val="000000" w:themeColor="text1"/>
                <w:szCs w:val="21"/>
              </w:rPr>
              <w:t>）</w:t>
            </w:r>
          </w:p>
        </w:tc>
        <w:tc>
          <w:tcPr>
            <w:tcW w:w="2693"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jc w:val="right"/>
              <w:rPr>
                <w:rFonts w:eastAsiaTheme="minorEastAsia"/>
                <w:color w:val="000000" w:themeColor="text1"/>
                <w:kern w:val="0"/>
                <w:szCs w:val="21"/>
              </w:rPr>
            </w:pPr>
            <w:r w:rsidRPr="00B27A29">
              <w:rPr>
                <w:rFonts w:eastAsiaTheme="minorEastAsia"/>
                <w:color w:val="000000" w:themeColor="text1"/>
                <w:szCs w:val="21"/>
              </w:rPr>
              <w:t>0.23</w:t>
            </w:r>
          </w:p>
        </w:tc>
        <w:tc>
          <w:tcPr>
            <w:tcW w:w="2693"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jc w:val="right"/>
              <w:rPr>
                <w:rFonts w:eastAsiaTheme="minorEastAsia"/>
                <w:color w:val="000000" w:themeColor="text1"/>
                <w:kern w:val="0"/>
                <w:szCs w:val="21"/>
              </w:rPr>
            </w:pPr>
            <w:r w:rsidRPr="00B27A29">
              <w:rPr>
                <w:rFonts w:eastAsiaTheme="minorEastAsia"/>
                <w:color w:val="000000" w:themeColor="text1"/>
                <w:szCs w:val="21"/>
              </w:rPr>
              <w:t>-</w:t>
            </w:r>
          </w:p>
        </w:tc>
      </w:tr>
    </w:tbl>
    <w:p w:rsidR="005E6DF3" w:rsidRPr="00B27A29" w:rsidRDefault="005C671B">
      <w:pPr>
        <w:spacing w:beforeLines="100" w:before="312" w:line="360" w:lineRule="auto"/>
        <w:jc w:val="left"/>
        <w:rPr>
          <w:color w:val="000000" w:themeColor="text1"/>
          <w:szCs w:val="21"/>
        </w:rPr>
      </w:pPr>
      <w:r w:rsidRPr="00B27A29">
        <w:rPr>
          <w:b/>
          <w:color w:val="000000" w:themeColor="text1"/>
          <w:szCs w:val="21"/>
        </w:rPr>
        <w:t>7.2</w:t>
      </w:r>
      <w:r w:rsidRPr="00B27A29">
        <w:rPr>
          <w:b/>
          <w:color w:val="000000"/>
          <w:szCs w:val="21"/>
          <w:shd w:val="clear" w:color="auto" w:fill="FFFFFF"/>
        </w:rPr>
        <w:t>基金管理人运用固有资金投资本基金交易明细</w:t>
      </w:r>
    </w:p>
    <w:p w:rsidR="005E6DF3" w:rsidRPr="00B27A29" w:rsidRDefault="005C671B">
      <w:pPr>
        <w:autoSpaceDE w:val="0"/>
        <w:autoSpaceDN w:val="0"/>
        <w:adjustRightInd w:val="0"/>
        <w:spacing w:line="360" w:lineRule="auto"/>
        <w:ind w:firstLineChars="200" w:firstLine="420"/>
        <w:jc w:val="left"/>
        <w:rPr>
          <w:rFonts w:eastAsiaTheme="minorEastAsia"/>
          <w:color w:val="000000" w:themeColor="text1"/>
          <w:szCs w:val="21"/>
        </w:rPr>
      </w:pPr>
      <w:r w:rsidRPr="00B27A29">
        <w:rPr>
          <w:rFonts w:eastAsiaTheme="minorEastAsia"/>
          <w:color w:val="000000" w:themeColor="text1"/>
          <w:szCs w:val="21"/>
        </w:rPr>
        <w:t>无。</w:t>
      </w:r>
    </w:p>
    <w:p w:rsidR="005E6DF3" w:rsidRPr="00B27A29" w:rsidRDefault="005C671B">
      <w:pPr>
        <w:pStyle w:val="1"/>
        <w:spacing w:beforeLines="100" w:before="312" w:afterLines="100" w:after="312" w:line="360" w:lineRule="auto"/>
        <w:jc w:val="center"/>
        <w:rPr>
          <w:rFonts w:eastAsiaTheme="minorEastAsia"/>
          <w:color w:val="000000" w:themeColor="text1"/>
          <w:kern w:val="0"/>
          <w:sz w:val="21"/>
          <w:szCs w:val="21"/>
        </w:rPr>
      </w:pPr>
      <w:r w:rsidRPr="00B27A29">
        <w:rPr>
          <w:rFonts w:eastAsiaTheme="minorEastAsia"/>
          <w:color w:val="000000" w:themeColor="text1"/>
          <w:kern w:val="0"/>
          <w:sz w:val="21"/>
          <w:szCs w:val="21"/>
        </w:rPr>
        <w:t xml:space="preserve">§8 </w:t>
      </w:r>
      <w:r w:rsidRPr="00B27A29">
        <w:rPr>
          <w:rFonts w:eastAsiaTheme="minorEastAsia"/>
          <w:color w:val="000000" w:themeColor="text1"/>
          <w:kern w:val="0"/>
          <w:sz w:val="21"/>
          <w:szCs w:val="21"/>
        </w:rPr>
        <w:t>备查文件目录</w:t>
      </w:r>
    </w:p>
    <w:p w:rsidR="005E6DF3" w:rsidRPr="00B27A29" w:rsidRDefault="005C671B">
      <w:pPr>
        <w:autoSpaceDE w:val="0"/>
        <w:autoSpaceDN w:val="0"/>
        <w:adjustRightInd w:val="0"/>
        <w:spacing w:line="360" w:lineRule="auto"/>
        <w:jc w:val="left"/>
        <w:rPr>
          <w:rFonts w:eastAsiaTheme="minorEastAsia"/>
          <w:b/>
          <w:bCs/>
          <w:color w:val="000000" w:themeColor="text1"/>
          <w:kern w:val="0"/>
          <w:szCs w:val="21"/>
        </w:rPr>
      </w:pPr>
      <w:r w:rsidRPr="00B27A29">
        <w:rPr>
          <w:rFonts w:eastAsiaTheme="minorEastAsia"/>
          <w:b/>
          <w:bCs/>
          <w:color w:val="000000" w:themeColor="text1"/>
          <w:kern w:val="0"/>
          <w:szCs w:val="21"/>
        </w:rPr>
        <w:t>8.1</w:t>
      </w:r>
      <w:r w:rsidRPr="00B27A29">
        <w:rPr>
          <w:rFonts w:eastAsiaTheme="minorEastAsia"/>
          <w:b/>
          <w:bCs/>
          <w:color w:val="000000" w:themeColor="text1"/>
          <w:kern w:val="0"/>
          <w:szCs w:val="21"/>
        </w:rPr>
        <w:t>备查文件目录</w:t>
      </w:r>
    </w:p>
    <w:p w:rsidR="008D36E2" w:rsidRDefault="0013308F">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1. </w:t>
      </w:r>
      <w:r>
        <w:rPr>
          <w:rFonts w:eastAsiaTheme="minorEastAsia"/>
          <w:color w:val="000000" w:themeColor="text1"/>
          <w:szCs w:val="21"/>
        </w:rPr>
        <w:t>中国证监会批准上投摩根双息平衡混合型证券投资基金设立的文件；</w:t>
      </w:r>
      <w:r>
        <w:rPr>
          <w:rFonts w:eastAsiaTheme="minorEastAsia"/>
          <w:color w:val="000000" w:themeColor="text1"/>
          <w:szCs w:val="21"/>
        </w:rPr>
        <w:t xml:space="preserve"> </w:t>
      </w:r>
    </w:p>
    <w:p w:rsidR="008D36E2" w:rsidRDefault="0013308F">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2. </w:t>
      </w:r>
      <w:r>
        <w:rPr>
          <w:rFonts w:eastAsiaTheme="minorEastAsia"/>
          <w:color w:val="000000" w:themeColor="text1"/>
          <w:szCs w:val="21"/>
        </w:rPr>
        <w:t>《上投摩根双息平衡混合型证券投资基金基金合同》；</w:t>
      </w:r>
      <w:r>
        <w:rPr>
          <w:rFonts w:eastAsiaTheme="minorEastAsia"/>
          <w:color w:val="000000" w:themeColor="text1"/>
          <w:szCs w:val="21"/>
        </w:rPr>
        <w:t xml:space="preserve"> </w:t>
      </w:r>
    </w:p>
    <w:p w:rsidR="008D36E2" w:rsidRDefault="0013308F">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3. </w:t>
      </w:r>
      <w:r>
        <w:rPr>
          <w:rFonts w:eastAsiaTheme="minorEastAsia"/>
          <w:color w:val="000000" w:themeColor="text1"/>
          <w:szCs w:val="21"/>
        </w:rPr>
        <w:t>《上投摩根双息平衡混合型证券投资基金托管协议》；</w:t>
      </w:r>
      <w:r>
        <w:rPr>
          <w:rFonts w:eastAsiaTheme="minorEastAsia"/>
          <w:color w:val="000000" w:themeColor="text1"/>
          <w:szCs w:val="21"/>
        </w:rPr>
        <w:t xml:space="preserve"> </w:t>
      </w:r>
    </w:p>
    <w:p w:rsidR="008D36E2" w:rsidRDefault="0013308F">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4. </w:t>
      </w:r>
      <w:r>
        <w:rPr>
          <w:rFonts w:eastAsiaTheme="minorEastAsia"/>
          <w:color w:val="000000" w:themeColor="text1"/>
          <w:szCs w:val="21"/>
        </w:rPr>
        <w:t>《上投摩根开放式基金业务规则》；</w:t>
      </w:r>
      <w:r>
        <w:rPr>
          <w:rFonts w:eastAsiaTheme="minorEastAsia"/>
          <w:color w:val="000000" w:themeColor="text1"/>
          <w:szCs w:val="21"/>
        </w:rPr>
        <w:t xml:space="preserve"> </w:t>
      </w:r>
    </w:p>
    <w:p w:rsidR="008D36E2" w:rsidRDefault="0013308F">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5. </w:t>
      </w:r>
      <w:r>
        <w:rPr>
          <w:rFonts w:eastAsiaTheme="minorEastAsia"/>
          <w:color w:val="000000" w:themeColor="text1"/>
          <w:szCs w:val="21"/>
        </w:rPr>
        <w:t>基金管理人业务资格批件、营业执照；</w:t>
      </w:r>
      <w:r>
        <w:rPr>
          <w:rFonts w:eastAsiaTheme="minorEastAsia"/>
          <w:color w:val="000000" w:themeColor="text1"/>
          <w:szCs w:val="21"/>
        </w:rPr>
        <w:t xml:space="preserve"> </w:t>
      </w:r>
    </w:p>
    <w:p w:rsidR="005E6DF3" w:rsidRPr="00B27A29" w:rsidRDefault="005C671B">
      <w:pPr>
        <w:spacing w:line="360" w:lineRule="auto"/>
        <w:ind w:firstLineChars="200" w:firstLine="420"/>
        <w:rPr>
          <w:rFonts w:eastAsiaTheme="minorEastAsia"/>
          <w:color w:val="000000" w:themeColor="text1"/>
          <w:szCs w:val="21"/>
        </w:rPr>
      </w:pPr>
      <w:r w:rsidRPr="00B27A29">
        <w:rPr>
          <w:rFonts w:eastAsiaTheme="minorEastAsia"/>
          <w:color w:val="000000" w:themeColor="text1"/>
          <w:szCs w:val="21"/>
        </w:rPr>
        <w:t xml:space="preserve">6. </w:t>
      </w:r>
      <w:r w:rsidRPr="00B27A29">
        <w:rPr>
          <w:rFonts w:eastAsiaTheme="minorEastAsia"/>
          <w:color w:val="000000" w:themeColor="text1"/>
          <w:szCs w:val="21"/>
        </w:rPr>
        <w:t>基金托管人业务资格批件和营业执照。</w:t>
      </w:r>
    </w:p>
    <w:p w:rsidR="005E6DF3" w:rsidRPr="00B27A29" w:rsidRDefault="005C671B">
      <w:pPr>
        <w:autoSpaceDE w:val="0"/>
        <w:autoSpaceDN w:val="0"/>
        <w:adjustRightInd w:val="0"/>
        <w:spacing w:beforeLines="100" w:before="312" w:line="360" w:lineRule="auto"/>
        <w:jc w:val="left"/>
        <w:rPr>
          <w:rFonts w:eastAsiaTheme="minorEastAsia"/>
          <w:b/>
          <w:bCs/>
          <w:color w:val="000000" w:themeColor="text1"/>
          <w:kern w:val="0"/>
          <w:szCs w:val="21"/>
        </w:rPr>
      </w:pPr>
      <w:r w:rsidRPr="00B27A29">
        <w:rPr>
          <w:rFonts w:eastAsiaTheme="minorEastAsia"/>
          <w:b/>
          <w:bCs/>
          <w:color w:val="000000" w:themeColor="text1"/>
          <w:kern w:val="0"/>
          <w:szCs w:val="21"/>
        </w:rPr>
        <w:t>8.2</w:t>
      </w:r>
      <w:r w:rsidRPr="00B27A29">
        <w:rPr>
          <w:rFonts w:eastAsiaTheme="minorEastAsia"/>
          <w:b/>
          <w:bCs/>
          <w:color w:val="000000" w:themeColor="text1"/>
          <w:kern w:val="0"/>
          <w:szCs w:val="21"/>
        </w:rPr>
        <w:t>存放地点</w:t>
      </w:r>
    </w:p>
    <w:p w:rsidR="005E6DF3" w:rsidRPr="00B27A29" w:rsidRDefault="005C671B">
      <w:pPr>
        <w:spacing w:line="360" w:lineRule="auto"/>
        <w:ind w:firstLineChars="200" w:firstLine="420"/>
        <w:rPr>
          <w:rFonts w:eastAsiaTheme="minorEastAsia"/>
          <w:color w:val="000000" w:themeColor="text1"/>
          <w:szCs w:val="21"/>
        </w:rPr>
      </w:pPr>
      <w:r w:rsidRPr="00B27A29">
        <w:rPr>
          <w:rFonts w:eastAsiaTheme="minorEastAsia"/>
          <w:color w:val="000000" w:themeColor="text1"/>
          <w:szCs w:val="21"/>
        </w:rPr>
        <w:t>基金管理人或基金托管人处。</w:t>
      </w:r>
    </w:p>
    <w:p w:rsidR="005E6DF3" w:rsidRPr="00B27A29" w:rsidRDefault="005C671B">
      <w:pPr>
        <w:autoSpaceDE w:val="0"/>
        <w:autoSpaceDN w:val="0"/>
        <w:adjustRightInd w:val="0"/>
        <w:spacing w:beforeLines="100" w:before="312" w:line="360" w:lineRule="auto"/>
        <w:jc w:val="left"/>
        <w:rPr>
          <w:rFonts w:eastAsiaTheme="minorEastAsia"/>
          <w:b/>
          <w:bCs/>
          <w:color w:val="000000" w:themeColor="text1"/>
          <w:kern w:val="0"/>
          <w:szCs w:val="21"/>
        </w:rPr>
      </w:pPr>
      <w:r w:rsidRPr="00B27A29">
        <w:rPr>
          <w:rFonts w:eastAsiaTheme="minorEastAsia"/>
          <w:b/>
          <w:bCs/>
          <w:color w:val="000000" w:themeColor="text1"/>
          <w:kern w:val="0"/>
          <w:szCs w:val="21"/>
        </w:rPr>
        <w:t>8.3</w:t>
      </w:r>
      <w:r w:rsidRPr="00B27A29">
        <w:rPr>
          <w:rFonts w:eastAsiaTheme="minorEastAsia"/>
          <w:b/>
          <w:bCs/>
          <w:color w:val="000000" w:themeColor="text1"/>
          <w:kern w:val="0"/>
          <w:szCs w:val="21"/>
        </w:rPr>
        <w:t>查阅方式</w:t>
      </w:r>
    </w:p>
    <w:p w:rsidR="005E6DF3" w:rsidRPr="00B27A29" w:rsidRDefault="005C671B">
      <w:pPr>
        <w:spacing w:line="360" w:lineRule="auto"/>
        <w:ind w:firstLineChars="200" w:firstLine="420"/>
        <w:rPr>
          <w:rFonts w:eastAsiaTheme="minorEastAsia"/>
          <w:color w:val="000000" w:themeColor="text1"/>
          <w:szCs w:val="21"/>
        </w:rPr>
      </w:pPr>
      <w:r w:rsidRPr="00B27A29">
        <w:rPr>
          <w:rFonts w:eastAsiaTheme="minorEastAsia"/>
          <w:color w:val="000000" w:themeColor="text1"/>
          <w:szCs w:val="21"/>
        </w:rPr>
        <w:t>投资者可在营业时间免费查阅，也可按工本费购买复印件。</w:t>
      </w:r>
    </w:p>
    <w:p w:rsidR="005E6DF3" w:rsidRPr="00B27A29" w:rsidRDefault="005E6DF3">
      <w:pPr>
        <w:spacing w:line="360" w:lineRule="auto"/>
        <w:ind w:left="840"/>
        <w:jc w:val="right"/>
        <w:rPr>
          <w:rFonts w:eastAsiaTheme="minorEastAsia"/>
          <w:color w:val="000000" w:themeColor="text1"/>
          <w:szCs w:val="21"/>
        </w:rPr>
      </w:pPr>
    </w:p>
    <w:p w:rsidR="005E6DF3" w:rsidRPr="00B27A29" w:rsidRDefault="005E6DF3">
      <w:pPr>
        <w:spacing w:line="360" w:lineRule="auto"/>
        <w:ind w:left="840"/>
        <w:jc w:val="center"/>
        <w:rPr>
          <w:rFonts w:eastAsiaTheme="minorEastAsia"/>
          <w:b/>
          <w:color w:val="000000" w:themeColor="text1"/>
          <w:szCs w:val="21"/>
        </w:rPr>
      </w:pPr>
    </w:p>
    <w:p w:rsidR="005E6DF3" w:rsidRPr="00B27A29" w:rsidRDefault="005C671B">
      <w:pPr>
        <w:spacing w:line="360" w:lineRule="auto"/>
        <w:jc w:val="right"/>
        <w:rPr>
          <w:rFonts w:eastAsiaTheme="minorEastAsia"/>
          <w:b/>
          <w:bCs/>
          <w:color w:val="000000" w:themeColor="text1"/>
          <w:szCs w:val="21"/>
        </w:rPr>
      </w:pPr>
      <w:r w:rsidRPr="00B27A29">
        <w:rPr>
          <w:rFonts w:eastAsiaTheme="minorEastAsia"/>
          <w:b/>
          <w:bCs/>
          <w:color w:val="000000" w:themeColor="text1"/>
          <w:szCs w:val="21"/>
        </w:rPr>
        <w:t>上投摩根基金管理有限公司</w:t>
      </w:r>
    </w:p>
    <w:p w:rsidR="005E6DF3" w:rsidRPr="00B27A29" w:rsidRDefault="005C671B">
      <w:pPr>
        <w:spacing w:line="360" w:lineRule="auto"/>
        <w:jc w:val="right"/>
        <w:rPr>
          <w:rFonts w:eastAsiaTheme="minorEastAsia"/>
          <w:b/>
          <w:bCs/>
          <w:color w:val="000000" w:themeColor="text1"/>
          <w:szCs w:val="21"/>
        </w:rPr>
      </w:pPr>
      <w:r w:rsidRPr="00B27A29">
        <w:rPr>
          <w:rFonts w:eastAsiaTheme="minorEastAsia"/>
          <w:b/>
          <w:bCs/>
          <w:color w:val="000000" w:themeColor="text1"/>
          <w:szCs w:val="21"/>
        </w:rPr>
        <w:t>二〇二一年七月二十一日</w:t>
      </w:r>
    </w:p>
    <w:sectPr w:rsidR="005E6DF3" w:rsidRPr="00B27A29">
      <w:footerReference w:type="even" r:id="rId12"/>
      <w:footerReference w:type="default" r:id="rId13"/>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E0E" w:rsidRDefault="00E54E0E">
      <w:r>
        <w:separator/>
      </w:r>
    </w:p>
  </w:endnote>
  <w:endnote w:type="continuationSeparator" w:id="0">
    <w:p w:rsidR="00E54E0E" w:rsidRDefault="00E54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1B" w:rsidRDefault="005C671B">
    <w:pPr>
      <w:pStyle w:val="ae"/>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F37F36">
      <w:rPr>
        <w:noProof/>
        <w:kern w:val="0"/>
        <w:szCs w:val="21"/>
      </w:rPr>
      <w:t>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F37F36">
      <w:rPr>
        <w:noProof/>
        <w:kern w:val="0"/>
        <w:szCs w:val="21"/>
      </w:rPr>
      <w:t>16</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1B" w:rsidRDefault="005C671B">
    <w:pPr>
      <w:pStyle w:val="ae"/>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5C671B" w:rsidRDefault="005C671B">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1B" w:rsidRDefault="005C671B">
    <w:pPr>
      <w:pStyle w:val="ae"/>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F37F36">
      <w:rPr>
        <w:rStyle w:val="af6"/>
        <w:noProof/>
      </w:rPr>
      <w:t>2</w:t>
    </w:r>
    <w:r>
      <w:rPr>
        <w:rStyle w:val="af6"/>
      </w:rPr>
      <w:fldChar w:fldCharType="end"/>
    </w:r>
  </w:p>
  <w:p w:rsidR="005C671B" w:rsidRDefault="005C671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E0E" w:rsidRDefault="00E54E0E">
      <w:r>
        <w:separator/>
      </w:r>
    </w:p>
  </w:footnote>
  <w:footnote w:type="continuationSeparator" w:id="0">
    <w:p w:rsidR="00E54E0E" w:rsidRDefault="00E54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1B" w:rsidRDefault="005C671B">
    <w:pPr>
      <w:pStyle w:val="af"/>
      <w:pBdr>
        <w:bottom w:val="single" w:sz="6" w:space="0" w:color="auto"/>
      </w:pBdr>
      <w:jc w:val="right"/>
    </w:pPr>
    <w:r>
      <w:t>上投摩根双息平衡混合型证券投资基金</w:t>
    </w:r>
    <w:r>
      <w:t>2021</w:t>
    </w:r>
    <w:r>
      <w:t>年第</w:t>
    </w:r>
    <w:r>
      <w:t>2</w:t>
    </w:r>
    <w:r>
      <w:t>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B1"/>
    <w:rsid w:val="0000403B"/>
    <w:rsid w:val="00007441"/>
    <w:rsid w:val="00007F1F"/>
    <w:rsid w:val="00010A83"/>
    <w:rsid w:val="000137C1"/>
    <w:rsid w:val="0001579C"/>
    <w:rsid w:val="00016551"/>
    <w:rsid w:val="00020737"/>
    <w:rsid w:val="00020C27"/>
    <w:rsid w:val="00020EB3"/>
    <w:rsid w:val="000219D5"/>
    <w:rsid w:val="00022396"/>
    <w:rsid w:val="00022662"/>
    <w:rsid w:val="00023073"/>
    <w:rsid w:val="00023B97"/>
    <w:rsid w:val="00024836"/>
    <w:rsid w:val="000252D8"/>
    <w:rsid w:val="0003564A"/>
    <w:rsid w:val="00037B55"/>
    <w:rsid w:val="00037C73"/>
    <w:rsid w:val="00042065"/>
    <w:rsid w:val="00043FD2"/>
    <w:rsid w:val="00045476"/>
    <w:rsid w:val="00045558"/>
    <w:rsid w:val="00045BA9"/>
    <w:rsid w:val="00047D87"/>
    <w:rsid w:val="00047DC8"/>
    <w:rsid w:val="000510AB"/>
    <w:rsid w:val="00053FFD"/>
    <w:rsid w:val="00056D5C"/>
    <w:rsid w:val="00061B0B"/>
    <w:rsid w:val="00061E09"/>
    <w:rsid w:val="00062C69"/>
    <w:rsid w:val="00062E1F"/>
    <w:rsid w:val="00064601"/>
    <w:rsid w:val="00064AE3"/>
    <w:rsid w:val="0006750A"/>
    <w:rsid w:val="000739C3"/>
    <w:rsid w:val="000776C0"/>
    <w:rsid w:val="00077849"/>
    <w:rsid w:val="000803AD"/>
    <w:rsid w:val="000813D6"/>
    <w:rsid w:val="00081D05"/>
    <w:rsid w:val="000827CC"/>
    <w:rsid w:val="000871DB"/>
    <w:rsid w:val="00087C69"/>
    <w:rsid w:val="00090834"/>
    <w:rsid w:val="000922C5"/>
    <w:rsid w:val="0009314F"/>
    <w:rsid w:val="00093A23"/>
    <w:rsid w:val="000A08FC"/>
    <w:rsid w:val="000A15F1"/>
    <w:rsid w:val="000A1617"/>
    <w:rsid w:val="000A40A5"/>
    <w:rsid w:val="000A457E"/>
    <w:rsid w:val="000A549A"/>
    <w:rsid w:val="000A5A81"/>
    <w:rsid w:val="000A72F2"/>
    <w:rsid w:val="000A7BFD"/>
    <w:rsid w:val="000B000E"/>
    <w:rsid w:val="000B1CB9"/>
    <w:rsid w:val="000B24AF"/>
    <w:rsid w:val="000B251E"/>
    <w:rsid w:val="000B3E43"/>
    <w:rsid w:val="000B4E99"/>
    <w:rsid w:val="000B648A"/>
    <w:rsid w:val="000C45E7"/>
    <w:rsid w:val="000C5956"/>
    <w:rsid w:val="000C757F"/>
    <w:rsid w:val="000C7DD4"/>
    <w:rsid w:val="000D0474"/>
    <w:rsid w:val="000D1164"/>
    <w:rsid w:val="000D1BBE"/>
    <w:rsid w:val="000D3773"/>
    <w:rsid w:val="000D4DE9"/>
    <w:rsid w:val="000D6660"/>
    <w:rsid w:val="000D6BA0"/>
    <w:rsid w:val="000D7ECA"/>
    <w:rsid w:val="000E0D84"/>
    <w:rsid w:val="000E2F81"/>
    <w:rsid w:val="000E3726"/>
    <w:rsid w:val="000E39DB"/>
    <w:rsid w:val="000F0558"/>
    <w:rsid w:val="000F0AC3"/>
    <w:rsid w:val="000F125F"/>
    <w:rsid w:val="000F175F"/>
    <w:rsid w:val="000F17D1"/>
    <w:rsid w:val="000F1CC9"/>
    <w:rsid w:val="000F5ABD"/>
    <w:rsid w:val="000F60FF"/>
    <w:rsid w:val="000F6F7C"/>
    <w:rsid w:val="001005BB"/>
    <w:rsid w:val="00103B0E"/>
    <w:rsid w:val="001040EA"/>
    <w:rsid w:val="0011283B"/>
    <w:rsid w:val="00112BCF"/>
    <w:rsid w:val="00114E7E"/>
    <w:rsid w:val="00117465"/>
    <w:rsid w:val="00117F22"/>
    <w:rsid w:val="00120280"/>
    <w:rsid w:val="001207F2"/>
    <w:rsid w:val="00121533"/>
    <w:rsid w:val="0012304E"/>
    <w:rsid w:val="00123051"/>
    <w:rsid w:val="001257C7"/>
    <w:rsid w:val="00125E66"/>
    <w:rsid w:val="001263E1"/>
    <w:rsid w:val="00126AC0"/>
    <w:rsid w:val="00126C2B"/>
    <w:rsid w:val="00127A01"/>
    <w:rsid w:val="00130D77"/>
    <w:rsid w:val="00131EF6"/>
    <w:rsid w:val="0013251D"/>
    <w:rsid w:val="0013308F"/>
    <w:rsid w:val="00134734"/>
    <w:rsid w:val="00134CBE"/>
    <w:rsid w:val="001405D3"/>
    <w:rsid w:val="00140C30"/>
    <w:rsid w:val="00142C74"/>
    <w:rsid w:val="00145E5B"/>
    <w:rsid w:val="00147319"/>
    <w:rsid w:val="00147551"/>
    <w:rsid w:val="0015012F"/>
    <w:rsid w:val="00150C2E"/>
    <w:rsid w:val="0015170D"/>
    <w:rsid w:val="001517AE"/>
    <w:rsid w:val="00154FA5"/>
    <w:rsid w:val="0015531A"/>
    <w:rsid w:val="00156F9D"/>
    <w:rsid w:val="001602E3"/>
    <w:rsid w:val="00160539"/>
    <w:rsid w:val="00161548"/>
    <w:rsid w:val="0017176A"/>
    <w:rsid w:val="00172B54"/>
    <w:rsid w:val="001763D8"/>
    <w:rsid w:val="00176874"/>
    <w:rsid w:val="0017725A"/>
    <w:rsid w:val="0018052A"/>
    <w:rsid w:val="00180952"/>
    <w:rsid w:val="0018191A"/>
    <w:rsid w:val="00184F7E"/>
    <w:rsid w:val="00185B68"/>
    <w:rsid w:val="00186199"/>
    <w:rsid w:val="001874E3"/>
    <w:rsid w:val="00193196"/>
    <w:rsid w:val="00194155"/>
    <w:rsid w:val="001A0417"/>
    <w:rsid w:val="001A0B71"/>
    <w:rsid w:val="001A1389"/>
    <w:rsid w:val="001A3016"/>
    <w:rsid w:val="001A3914"/>
    <w:rsid w:val="001A5FA6"/>
    <w:rsid w:val="001A68D9"/>
    <w:rsid w:val="001B053A"/>
    <w:rsid w:val="001B0C78"/>
    <w:rsid w:val="001B151C"/>
    <w:rsid w:val="001B1A13"/>
    <w:rsid w:val="001B1A6E"/>
    <w:rsid w:val="001B22BA"/>
    <w:rsid w:val="001C2045"/>
    <w:rsid w:val="001C5040"/>
    <w:rsid w:val="001C715A"/>
    <w:rsid w:val="001C7B5E"/>
    <w:rsid w:val="001D0F6A"/>
    <w:rsid w:val="001D2FA5"/>
    <w:rsid w:val="001D3394"/>
    <w:rsid w:val="001D3D57"/>
    <w:rsid w:val="001D4980"/>
    <w:rsid w:val="001D5045"/>
    <w:rsid w:val="001D5A44"/>
    <w:rsid w:val="001D5CD0"/>
    <w:rsid w:val="001D724B"/>
    <w:rsid w:val="001E023C"/>
    <w:rsid w:val="001E0BA5"/>
    <w:rsid w:val="001F03E1"/>
    <w:rsid w:val="001F1F19"/>
    <w:rsid w:val="001F2BD1"/>
    <w:rsid w:val="001F3080"/>
    <w:rsid w:val="001F3CC6"/>
    <w:rsid w:val="001F5F5F"/>
    <w:rsid w:val="00205064"/>
    <w:rsid w:val="0020548A"/>
    <w:rsid w:val="00211668"/>
    <w:rsid w:val="002118A6"/>
    <w:rsid w:val="002122FF"/>
    <w:rsid w:val="002125F7"/>
    <w:rsid w:val="0021288A"/>
    <w:rsid w:val="002150AC"/>
    <w:rsid w:val="0021650B"/>
    <w:rsid w:val="002170FF"/>
    <w:rsid w:val="00221938"/>
    <w:rsid w:val="00222262"/>
    <w:rsid w:val="00222ABD"/>
    <w:rsid w:val="002230A8"/>
    <w:rsid w:val="00227D20"/>
    <w:rsid w:val="00231BCE"/>
    <w:rsid w:val="0023336A"/>
    <w:rsid w:val="00233D00"/>
    <w:rsid w:val="002359EB"/>
    <w:rsid w:val="0023649E"/>
    <w:rsid w:val="00241222"/>
    <w:rsid w:val="00241740"/>
    <w:rsid w:val="00241BA9"/>
    <w:rsid w:val="002424E4"/>
    <w:rsid w:val="00243122"/>
    <w:rsid w:val="002437F5"/>
    <w:rsid w:val="00244DB1"/>
    <w:rsid w:val="00245012"/>
    <w:rsid w:val="0024504E"/>
    <w:rsid w:val="0024651F"/>
    <w:rsid w:val="00246874"/>
    <w:rsid w:val="00246D81"/>
    <w:rsid w:val="00250869"/>
    <w:rsid w:val="00251920"/>
    <w:rsid w:val="00251CC4"/>
    <w:rsid w:val="00253D3C"/>
    <w:rsid w:val="00254A7E"/>
    <w:rsid w:val="00255292"/>
    <w:rsid w:val="002553A9"/>
    <w:rsid w:val="00256047"/>
    <w:rsid w:val="0025722F"/>
    <w:rsid w:val="00257E84"/>
    <w:rsid w:val="00260200"/>
    <w:rsid w:val="00263106"/>
    <w:rsid w:val="002642F2"/>
    <w:rsid w:val="00264AE1"/>
    <w:rsid w:val="00266645"/>
    <w:rsid w:val="00267386"/>
    <w:rsid w:val="00267C2E"/>
    <w:rsid w:val="00267DA9"/>
    <w:rsid w:val="00273E5C"/>
    <w:rsid w:val="00275FD0"/>
    <w:rsid w:val="00280514"/>
    <w:rsid w:val="002819E7"/>
    <w:rsid w:val="00282FF2"/>
    <w:rsid w:val="00283483"/>
    <w:rsid w:val="002844B5"/>
    <w:rsid w:val="0028459B"/>
    <w:rsid w:val="00285618"/>
    <w:rsid w:val="002872F8"/>
    <w:rsid w:val="00290EEA"/>
    <w:rsid w:val="00291E9A"/>
    <w:rsid w:val="002935BF"/>
    <w:rsid w:val="00296E4A"/>
    <w:rsid w:val="002976E5"/>
    <w:rsid w:val="002A1F14"/>
    <w:rsid w:val="002A2678"/>
    <w:rsid w:val="002A3369"/>
    <w:rsid w:val="002A4B8A"/>
    <w:rsid w:val="002A5161"/>
    <w:rsid w:val="002A5C0F"/>
    <w:rsid w:val="002A6385"/>
    <w:rsid w:val="002A7929"/>
    <w:rsid w:val="002B41D7"/>
    <w:rsid w:val="002B5240"/>
    <w:rsid w:val="002B6A13"/>
    <w:rsid w:val="002C0904"/>
    <w:rsid w:val="002C0F67"/>
    <w:rsid w:val="002C1E84"/>
    <w:rsid w:val="002C36C3"/>
    <w:rsid w:val="002C41B1"/>
    <w:rsid w:val="002C77CC"/>
    <w:rsid w:val="002D2A00"/>
    <w:rsid w:val="002D5199"/>
    <w:rsid w:val="002E2862"/>
    <w:rsid w:val="002E356A"/>
    <w:rsid w:val="002E4C01"/>
    <w:rsid w:val="002F0516"/>
    <w:rsid w:val="002F22D2"/>
    <w:rsid w:val="002F2863"/>
    <w:rsid w:val="002F778A"/>
    <w:rsid w:val="00302187"/>
    <w:rsid w:val="00302293"/>
    <w:rsid w:val="003028D8"/>
    <w:rsid w:val="0030290F"/>
    <w:rsid w:val="00302DE9"/>
    <w:rsid w:val="00303869"/>
    <w:rsid w:val="00303F1D"/>
    <w:rsid w:val="00305084"/>
    <w:rsid w:val="003052C5"/>
    <w:rsid w:val="00311ABF"/>
    <w:rsid w:val="00314A81"/>
    <w:rsid w:val="00314DD2"/>
    <w:rsid w:val="00315A7C"/>
    <w:rsid w:val="00317705"/>
    <w:rsid w:val="003204E9"/>
    <w:rsid w:val="003232AA"/>
    <w:rsid w:val="00323A10"/>
    <w:rsid w:val="00323E6A"/>
    <w:rsid w:val="00323F25"/>
    <w:rsid w:val="00324A71"/>
    <w:rsid w:val="003303E3"/>
    <w:rsid w:val="00334656"/>
    <w:rsid w:val="00337A86"/>
    <w:rsid w:val="00337C2E"/>
    <w:rsid w:val="0034147B"/>
    <w:rsid w:val="00341889"/>
    <w:rsid w:val="003426CE"/>
    <w:rsid w:val="00343016"/>
    <w:rsid w:val="0034447B"/>
    <w:rsid w:val="00351704"/>
    <w:rsid w:val="003570C8"/>
    <w:rsid w:val="00360D91"/>
    <w:rsid w:val="00367770"/>
    <w:rsid w:val="00370BEA"/>
    <w:rsid w:val="00371424"/>
    <w:rsid w:val="00371FF4"/>
    <w:rsid w:val="00372209"/>
    <w:rsid w:val="00374C4E"/>
    <w:rsid w:val="003771ED"/>
    <w:rsid w:val="0037768B"/>
    <w:rsid w:val="00381791"/>
    <w:rsid w:val="00382E6F"/>
    <w:rsid w:val="00387C00"/>
    <w:rsid w:val="0039032E"/>
    <w:rsid w:val="003968CD"/>
    <w:rsid w:val="00397960"/>
    <w:rsid w:val="00397F75"/>
    <w:rsid w:val="003A2008"/>
    <w:rsid w:val="003A3BC4"/>
    <w:rsid w:val="003A4AA3"/>
    <w:rsid w:val="003B405E"/>
    <w:rsid w:val="003B4843"/>
    <w:rsid w:val="003B494E"/>
    <w:rsid w:val="003C3C8C"/>
    <w:rsid w:val="003C6E9E"/>
    <w:rsid w:val="003C792F"/>
    <w:rsid w:val="003D117A"/>
    <w:rsid w:val="003D36B2"/>
    <w:rsid w:val="003D42D5"/>
    <w:rsid w:val="003D656E"/>
    <w:rsid w:val="003D78B5"/>
    <w:rsid w:val="003E0BD4"/>
    <w:rsid w:val="003E45B9"/>
    <w:rsid w:val="003E654C"/>
    <w:rsid w:val="003F0DE5"/>
    <w:rsid w:val="003F46FC"/>
    <w:rsid w:val="003F4AA5"/>
    <w:rsid w:val="003F61CF"/>
    <w:rsid w:val="003F697D"/>
    <w:rsid w:val="003F7026"/>
    <w:rsid w:val="003F7C45"/>
    <w:rsid w:val="00400500"/>
    <w:rsid w:val="0040132C"/>
    <w:rsid w:val="00404257"/>
    <w:rsid w:val="00407F66"/>
    <w:rsid w:val="004113B4"/>
    <w:rsid w:val="0041220A"/>
    <w:rsid w:val="00413B96"/>
    <w:rsid w:val="00413C2C"/>
    <w:rsid w:val="00415168"/>
    <w:rsid w:val="00415B04"/>
    <w:rsid w:val="00416A6B"/>
    <w:rsid w:val="0042044C"/>
    <w:rsid w:val="00421624"/>
    <w:rsid w:val="00424151"/>
    <w:rsid w:val="00425A5A"/>
    <w:rsid w:val="00425FB6"/>
    <w:rsid w:val="004264FD"/>
    <w:rsid w:val="004268BB"/>
    <w:rsid w:val="0042785F"/>
    <w:rsid w:val="004314FF"/>
    <w:rsid w:val="004408EC"/>
    <w:rsid w:val="00440F74"/>
    <w:rsid w:val="00441A6E"/>
    <w:rsid w:val="00441FEC"/>
    <w:rsid w:val="004425E8"/>
    <w:rsid w:val="00443C8F"/>
    <w:rsid w:val="00447BC6"/>
    <w:rsid w:val="004501CE"/>
    <w:rsid w:val="00452481"/>
    <w:rsid w:val="00453832"/>
    <w:rsid w:val="00454A0F"/>
    <w:rsid w:val="0046335D"/>
    <w:rsid w:val="00463C2C"/>
    <w:rsid w:val="00466BBC"/>
    <w:rsid w:val="004733AC"/>
    <w:rsid w:val="004734F0"/>
    <w:rsid w:val="00483271"/>
    <w:rsid w:val="0049210E"/>
    <w:rsid w:val="0049297D"/>
    <w:rsid w:val="0049327D"/>
    <w:rsid w:val="0049405D"/>
    <w:rsid w:val="0049455C"/>
    <w:rsid w:val="00495A03"/>
    <w:rsid w:val="004A135B"/>
    <w:rsid w:val="004A1BE1"/>
    <w:rsid w:val="004A4980"/>
    <w:rsid w:val="004A4F68"/>
    <w:rsid w:val="004A63CB"/>
    <w:rsid w:val="004A67B0"/>
    <w:rsid w:val="004A6FB2"/>
    <w:rsid w:val="004B0847"/>
    <w:rsid w:val="004B0E6D"/>
    <w:rsid w:val="004B16E8"/>
    <w:rsid w:val="004C0541"/>
    <w:rsid w:val="004C3A16"/>
    <w:rsid w:val="004C634A"/>
    <w:rsid w:val="004C660B"/>
    <w:rsid w:val="004D050C"/>
    <w:rsid w:val="004D23D9"/>
    <w:rsid w:val="004D29A9"/>
    <w:rsid w:val="004D3537"/>
    <w:rsid w:val="004D4D4E"/>
    <w:rsid w:val="004D5974"/>
    <w:rsid w:val="004D614E"/>
    <w:rsid w:val="004D650F"/>
    <w:rsid w:val="004E2133"/>
    <w:rsid w:val="004E4E04"/>
    <w:rsid w:val="004E6CBA"/>
    <w:rsid w:val="004F521C"/>
    <w:rsid w:val="00502CD8"/>
    <w:rsid w:val="0050361C"/>
    <w:rsid w:val="00503ABF"/>
    <w:rsid w:val="00506A40"/>
    <w:rsid w:val="00506D4F"/>
    <w:rsid w:val="0051064F"/>
    <w:rsid w:val="00513A0E"/>
    <w:rsid w:val="00515D7B"/>
    <w:rsid w:val="00515F29"/>
    <w:rsid w:val="0052009E"/>
    <w:rsid w:val="0052306A"/>
    <w:rsid w:val="00530161"/>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4B"/>
    <w:rsid w:val="005742DB"/>
    <w:rsid w:val="00576A51"/>
    <w:rsid w:val="00577209"/>
    <w:rsid w:val="005800A9"/>
    <w:rsid w:val="00581139"/>
    <w:rsid w:val="00581645"/>
    <w:rsid w:val="00585D10"/>
    <w:rsid w:val="0058694E"/>
    <w:rsid w:val="005875F9"/>
    <w:rsid w:val="00593A35"/>
    <w:rsid w:val="00593C74"/>
    <w:rsid w:val="00597D8B"/>
    <w:rsid w:val="005A46FF"/>
    <w:rsid w:val="005A557E"/>
    <w:rsid w:val="005A63FD"/>
    <w:rsid w:val="005B462A"/>
    <w:rsid w:val="005B5137"/>
    <w:rsid w:val="005B6047"/>
    <w:rsid w:val="005C0ED7"/>
    <w:rsid w:val="005C5409"/>
    <w:rsid w:val="005C62A5"/>
    <w:rsid w:val="005C671B"/>
    <w:rsid w:val="005C6FF7"/>
    <w:rsid w:val="005C7C75"/>
    <w:rsid w:val="005C7D00"/>
    <w:rsid w:val="005D01A4"/>
    <w:rsid w:val="005D0BAB"/>
    <w:rsid w:val="005D1893"/>
    <w:rsid w:val="005D26E9"/>
    <w:rsid w:val="005D2CAA"/>
    <w:rsid w:val="005D4CBA"/>
    <w:rsid w:val="005E01A3"/>
    <w:rsid w:val="005E0354"/>
    <w:rsid w:val="005E4F74"/>
    <w:rsid w:val="005E6C62"/>
    <w:rsid w:val="005E6DF3"/>
    <w:rsid w:val="005E6F13"/>
    <w:rsid w:val="005E726C"/>
    <w:rsid w:val="005F293E"/>
    <w:rsid w:val="005F43B9"/>
    <w:rsid w:val="005F458B"/>
    <w:rsid w:val="005F4A6A"/>
    <w:rsid w:val="005F4E28"/>
    <w:rsid w:val="005F56BA"/>
    <w:rsid w:val="0060008E"/>
    <w:rsid w:val="006016F2"/>
    <w:rsid w:val="00602321"/>
    <w:rsid w:val="006033E3"/>
    <w:rsid w:val="00606B29"/>
    <w:rsid w:val="0060758A"/>
    <w:rsid w:val="00607D0E"/>
    <w:rsid w:val="006101F5"/>
    <w:rsid w:val="00610DA5"/>
    <w:rsid w:val="00611663"/>
    <w:rsid w:val="0061321C"/>
    <w:rsid w:val="00613C20"/>
    <w:rsid w:val="00613F44"/>
    <w:rsid w:val="006149D4"/>
    <w:rsid w:val="00615A56"/>
    <w:rsid w:val="006160BD"/>
    <w:rsid w:val="00620EDB"/>
    <w:rsid w:val="0062386E"/>
    <w:rsid w:val="006253EF"/>
    <w:rsid w:val="00626075"/>
    <w:rsid w:val="0062680E"/>
    <w:rsid w:val="00631158"/>
    <w:rsid w:val="00632923"/>
    <w:rsid w:val="006341E6"/>
    <w:rsid w:val="00634439"/>
    <w:rsid w:val="00634B21"/>
    <w:rsid w:val="006366C6"/>
    <w:rsid w:val="0063693D"/>
    <w:rsid w:val="00636B55"/>
    <w:rsid w:val="00636EB1"/>
    <w:rsid w:val="006373D6"/>
    <w:rsid w:val="006403D4"/>
    <w:rsid w:val="00642CBC"/>
    <w:rsid w:val="0064454A"/>
    <w:rsid w:val="00645293"/>
    <w:rsid w:val="006456D3"/>
    <w:rsid w:val="006464C1"/>
    <w:rsid w:val="00651B78"/>
    <w:rsid w:val="0065237A"/>
    <w:rsid w:val="00652FF5"/>
    <w:rsid w:val="0065303C"/>
    <w:rsid w:val="00653246"/>
    <w:rsid w:val="00654382"/>
    <w:rsid w:val="00661244"/>
    <w:rsid w:val="006640DF"/>
    <w:rsid w:val="00666A3C"/>
    <w:rsid w:val="00667519"/>
    <w:rsid w:val="006676A0"/>
    <w:rsid w:val="00670857"/>
    <w:rsid w:val="00670868"/>
    <w:rsid w:val="006721BC"/>
    <w:rsid w:val="00673D69"/>
    <w:rsid w:val="00676431"/>
    <w:rsid w:val="00677A9C"/>
    <w:rsid w:val="0068050D"/>
    <w:rsid w:val="00685FFC"/>
    <w:rsid w:val="00686943"/>
    <w:rsid w:val="00686EDE"/>
    <w:rsid w:val="00687AD5"/>
    <w:rsid w:val="00690A31"/>
    <w:rsid w:val="006911CE"/>
    <w:rsid w:val="00692002"/>
    <w:rsid w:val="00695251"/>
    <w:rsid w:val="00695B58"/>
    <w:rsid w:val="006979FE"/>
    <w:rsid w:val="006A4828"/>
    <w:rsid w:val="006A7C09"/>
    <w:rsid w:val="006B046C"/>
    <w:rsid w:val="006B252F"/>
    <w:rsid w:val="006B3940"/>
    <w:rsid w:val="006B792C"/>
    <w:rsid w:val="006C168D"/>
    <w:rsid w:val="006C4033"/>
    <w:rsid w:val="006C5BC9"/>
    <w:rsid w:val="006C642C"/>
    <w:rsid w:val="006D462B"/>
    <w:rsid w:val="006D7386"/>
    <w:rsid w:val="006E0DAD"/>
    <w:rsid w:val="006E313F"/>
    <w:rsid w:val="006F1F1A"/>
    <w:rsid w:val="006F5AC2"/>
    <w:rsid w:val="006F6C28"/>
    <w:rsid w:val="007007EB"/>
    <w:rsid w:val="00701F57"/>
    <w:rsid w:val="00703E8A"/>
    <w:rsid w:val="00706046"/>
    <w:rsid w:val="007112F0"/>
    <w:rsid w:val="00711343"/>
    <w:rsid w:val="00714309"/>
    <w:rsid w:val="0071450F"/>
    <w:rsid w:val="00717772"/>
    <w:rsid w:val="00721DBE"/>
    <w:rsid w:val="007226EC"/>
    <w:rsid w:val="00722B5E"/>
    <w:rsid w:val="00724F6D"/>
    <w:rsid w:val="0072678C"/>
    <w:rsid w:val="00732D1D"/>
    <w:rsid w:val="007350D4"/>
    <w:rsid w:val="00736034"/>
    <w:rsid w:val="00737E79"/>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4FE0"/>
    <w:rsid w:val="007858B1"/>
    <w:rsid w:val="0078648E"/>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2100"/>
    <w:rsid w:val="008428A9"/>
    <w:rsid w:val="0084308F"/>
    <w:rsid w:val="00846C2B"/>
    <w:rsid w:val="008473F2"/>
    <w:rsid w:val="0085139A"/>
    <w:rsid w:val="008524F6"/>
    <w:rsid w:val="008532F3"/>
    <w:rsid w:val="00854B3F"/>
    <w:rsid w:val="00861C2C"/>
    <w:rsid w:val="00863744"/>
    <w:rsid w:val="008668B8"/>
    <w:rsid w:val="0086748F"/>
    <w:rsid w:val="0086758B"/>
    <w:rsid w:val="00867B4D"/>
    <w:rsid w:val="00867CF3"/>
    <w:rsid w:val="00874AB5"/>
    <w:rsid w:val="00877671"/>
    <w:rsid w:val="00877A13"/>
    <w:rsid w:val="0088020A"/>
    <w:rsid w:val="008869BC"/>
    <w:rsid w:val="00887DDD"/>
    <w:rsid w:val="00887DE6"/>
    <w:rsid w:val="00887E9F"/>
    <w:rsid w:val="008908AA"/>
    <w:rsid w:val="00890E08"/>
    <w:rsid w:val="008926E3"/>
    <w:rsid w:val="00894DCA"/>
    <w:rsid w:val="00897D88"/>
    <w:rsid w:val="008A00BE"/>
    <w:rsid w:val="008A1539"/>
    <w:rsid w:val="008A2C5D"/>
    <w:rsid w:val="008A3BE2"/>
    <w:rsid w:val="008A6B30"/>
    <w:rsid w:val="008B05E7"/>
    <w:rsid w:val="008B0758"/>
    <w:rsid w:val="008B1875"/>
    <w:rsid w:val="008B4146"/>
    <w:rsid w:val="008B5312"/>
    <w:rsid w:val="008B59CE"/>
    <w:rsid w:val="008B6078"/>
    <w:rsid w:val="008B7110"/>
    <w:rsid w:val="008B7F4A"/>
    <w:rsid w:val="008C04E1"/>
    <w:rsid w:val="008C04FE"/>
    <w:rsid w:val="008C2F50"/>
    <w:rsid w:val="008C3109"/>
    <w:rsid w:val="008C5312"/>
    <w:rsid w:val="008C5DBD"/>
    <w:rsid w:val="008C61D6"/>
    <w:rsid w:val="008D36E2"/>
    <w:rsid w:val="008D49AF"/>
    <w:rsid w:val="008D4A2B"/>
    <w:rsid w:val="008D4A9F"/>
    <w:rsid w:val="008D6294"/>
    <w:rsid w:val="008E1FE0"/>
    <w:rsid w:val="008E3939"/>
    <w:rsid w:val="008E3B41"/>
    <w:rsid w:val="008E3DDD"/>
    <w:rsid w:val="008F0212"/>
    <w:rsid w:val="008F0559"/>
    <w:rsid w:val="008F23F4"/>
    <w:rsid w:val="008F61C4"/>
    <w:rsid w:val="008F7763"/>
    <w:rsid w:val="009007CB"/>
    <w:rsid w:val="009010F0"/>
    <w:rsid w:val="00901162"/>
    <w:rsid w:val="00901D46"/>
    <w:rsid w:val="009020F1"/>
    <w:rsid w:val="009028E2"/>
    <w:rsid w:val="00903692"/>
    <w:rsid w:val="00904E07"/>
    <w:rsid w:val="00912BAF"/>
    <w:rsid w:val="0091311E"/>
    <w:rsid w:val="00914EAB"/>
    <w:rsid w:val="0091541F"/>
    <w:rsid w:val="00916E71"/>
    <w:rsid w:val="00920D98"/>
    <w:rsid w:val="0092108C"/>
    <w:rsid w:val="00922D49"/>
    <w:rsid w:val="009238DB"/>
    <w:rsid w:val="00925E37"/>
    <w:rsid w:val="00925EDD"/>
    <w:rsid w:val="00927348"/>
    <w:rsid w:val="00930079"/>
    <w:rsid w:val="00930966"/>
    <w:rsid w:val="00932F64"/>
    <w:rsid w:val="00935FB1"/>
    <w:rsid w:val="00936075"/>
    <w:rsid w:val="00936D40"/>
    <w:rsid w:val="00937ABF"/>
    <w:rsid w:val="00937DB1"/>
    <w:rsid w:val="0094296E"/>
    <w:rsid w:val="009463CC"/>
    <w:rsid w:val="0094687A"/>
    <w:rsid w:val="00950413"/>
    <w:rsid w:val="0095078E"/>
    <w:rsid w:val="00952404"/>
    <w:rsid w:val="00952A72"/>
    <w:rsid w:val="009542B3"/>
    <w:rsid w:val="009550A8"/>
    <w:rsid w:val="00955FF2"/>
    <w:rsid w:val="0095693D"/>
    <w:rsid w:val="00956B0D"/>
    <w:rsid w:val="0096260B"/>
    <w:rsid w:val="009631C1"/>
    <w:rsid w:val="00970C69"/>
    <w:rsid w:val="00973B57"/>
    <w:rsid w:val="00973E0D"/>
    <w:rsid w:val="0097403F"/>
    <w:rsid w:val="00976797"/>
    <w:rsid w:val="00980C0C"/>
    <w:rsid w:val="00982E47"/>
    <w:rsid w:val="00982EAE"/>
    <w:rsid w:val="00983E7D"/>
    <w:rsid w:val="00991642"/>
    <w:rsid w:val="0099260C"/>
    <w:rsid w:val="009942F4"/>
    <w:rsid w:val="00995B3C"/>
    <w:rsid w:val="00996BCA"/>
    <w:rsid w:val="009A045B"/>
    <w:rsid w:val="009A0513"/>
    <w:rsid w:val="009A07C1"/>
    <w:rsid w:val="009A2283"/>
    <w:rsid w:val="009A31AF"/>
    <w:rsid w:val="009A3507"/>
    <w:rsid w:val="009A529F"/>
    <w:rsid w:val="009A5C1D"/>
    <w:rsid w:val="009A6018"/>
    <w:rsid w:val="009A7920"/>
    <w:rsid w:val="009B4286"/>
    <w:rsid w:val="009B5BF9"/>
    <w:rsid w:val="009B5DAF"/>
    <w:rsid w:val="009B5F83"/>
    <w:rsid w:val="009B61C5"/>
    <w:rsid w:val="009B769E"/>
    <w:rsid w:val="009C03E5"/>
    <w:rsid w:val="009C4D19"/>
    <w:rsid w:val="009C5FDB"/>
    <w:rsid w:val="009C6334"/>
    <w:rsid w:val="009C65AF"/>
    <w:rsid w:val="009C70CB"/>
    <w:rsid w:val="009C74DD"/>
    <w:rsid w:val="009D27AA"/>
    <w:rsid w:val="009D2AD9"/>
    <w:rsid w:val="009D514E"/>
    <w:rsid w:val="009D5A40"/>
    <w:rsid w:val="009D5C39"/>
    <w:rsid w:val="009D6FED"/>
    <w:rsid w:val="009E0A95"/>
    <w:rsid w:val="009E0D47"/>
    <w:rsid w:val="009E549D"/>
    <w:rsid w:val="009E54AF"/>
    <w:rsid w:val="009E5C59"/>
    <w:rsid w:val="009E6BB8"/>
    <w:rsid w:val="009F1CC3"/>
    <w:rsid w:val="009F26F2"/>
    <w:rsid w:val="009F3E1E"/>
    <w:rsid w:val="009F4CC5"/>
    <w:rsid w:val="009F6550"/>
    <w:rsid w:val="00A003BE"/>
    <w:rsid w:val="00A00870"/>
    <w:rsid w:val="00A02F51"/>
    <w:rsid w:val="00A0360B"/>
    <w:rsid w:val="00A03841"/>
    <w:rsid w:val="00A0520F"/>
    <w:rsid w:val="00A0533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68F"/>
    <w:rsid w:val="00A26437"/>
    <w:rsid w:val="00A30E4D"/>
    <w:rsid w:val="00A32410"/>
    <w:rsid w:val="00A32B48"/>
    <w:rsid w:val="00A36D00"/>
    <w:rsid w:val="00A43389"/>
    <w:rsid w:val="00A4642E"/>
    <w:rsid w:val="00A47AF8"/>
    <w:rsid w:val="00A52D75"/>
    <w:rsid w:val="00A53013"/>
    <w:rsid w:val="00A54BD6"/>
    <w:rsid w:val="00A5643A"/>
    <w:rsid w:val="00A57678"/>
    <w:rsid w:val="00A6090C"/>
    <w:rsid w:val="00A6200E"/>
    <w:rsid w:val="00A62D1E"/>
    <w:rsid w:val="00A65C6D"/>
    <w:rsid w:val="00A716B9"/>
    <w:rsid w:val="00A720D8"/>
    <w:rsid w:val="00A72216"/>
    <w:rsid w:val="00A733F2"/>
    <w:rsid w:val="00A75705"/>
    <w:rsid w:val="00A75BE1"/>
    <w:rsid w:val="00A8187C"/>
    <w:rsid w:val="00A82C9E"/>
    <w:rsid w:val="00A8324F"/>
    <w:rsid w:val="00A85142"/>
    <w:rsid w:val="00A91ECB"/>
    <w:rsid w:val="00A95B37"/>
    <w:rsid w:val="00A96B6F"/>
    <w:rsid w:val="00AA0CE8"/>
    <w:rsid w:val="00AA35FD"/>
    <w:rsid w:val="00AA3DB7"/>
    <w:rsid w:val="00AA58C5"/>
    <w:rsid w:val="00AA5EF2"/>
    <w:rsid w:val="00AA5F63"/>
    <w:rsid w:val="00AA7EBD"/>
    <w:rsid w:val="00AB69EF"/>
    <w:rsid w:val="00AC11DC"/>
    <w:rsid w:val="00AC3183"/>
    <w:rsid w:val="00AC3E87"/>
    <w:rsid w:val="00AC469F"/>
    <w:rsid w:val="00AD0611"/>
    <w:rsid w:val="00AD0E29"/>
    <w:rsid w:val="00AD0E4F"/>
    <w:rsid w:val="00AD26D7"/>
    <w:rsid w:val="00AD3905"/>
    <w:rsid w:val="00AD4555"/>
    <w:rsid w:val="00AD4A31"/>
    <w:rsid w:val="00AD5638"/>
    <w:rsid w:val="00AD7214"/>
    <w:rsid w:val="00AE1066"/>
    <w:rsid w:val="00AE12A4"/>
    <w:rsid w:val="00AE2E1B"/>
    <w:rsid w:val="00AE5129"/>
    <w:rsid w:val="00AE5645"/>
    <w:rsid w:val="00AF1D6B"/>
    <w:rsid w:val="00AF24AA"/>
    <w:rsid w:val="00AF3AF9"/>
    <w:rsid w:val="00AF3E5F"/>
    <w:rsid w:val="00AF3EFD"/>
    <w:rsid w:val="00AF44C1"/>
    <w:rsid w:val="00AF4F09"/>
    <w:rsid w:val="00AF643E"/>
    <w:rsid w:val="00AF73EB"/>
    <w:rsid w:val="00AF79C8"/>
    <w:rsid w:val="00B00FA8"/>
    <w:rsid w:val="00B011B0"/>
    <w:rsid w:val="00B0391C"/>
    <w:rsid w:val="00B047F6"/>
    <w:rsid w:val="00B06019"/>
    <w:rsid w:val="00B0700F"/>
    <w:rsid w:val="00B1493B"/>
    <w:rsid w:val="00B15119"/>
    <w:rsid w:val="00B17169"/>
    <w:rsid w:val="00B22511"/>
    <w:rsid w:val="00B23996"/>
    <w:rsid w:val="00B23CB2"/>
    <w:rsid w:val="00B24A18"/>
    <w:rsid w:val="00B255C5"/>
    <w:rsid w:val="00B25807"/>
    <w:rsid w:val="00B268DD"/>
    <w:rsid w:val="00B27A29"/>
    <w:rsid w:val="00B32AE1"/>
    <w:rsid w:val="00B35FEC"/>
    <w:rsid w:val="00B37780"/>
    <w:rsid w:val="00B37813"/>
    <w:rsid w:val="00B37EEF"/>
    <w:rsid w:val="00B41C1D"/>
    <w:rsid w:val="00B43917"/>
    <w:rsid w:val="00B4515C"/>
    <w:rsid w:val="00B459CD"/>
    <w:rsid w:val="00B46220"/>
    <w:rsid w:val="00B464EA"/>
    <w:rsid w:val="00B47574"/>
    <w:rsid w:val="00B5430C"/>
    <w:rsid w:val="00B54782"/>
    <w:rsid w:val="00B56A90"/>
    <w:rsid w:val="00B5711C"/>
    <w:rsid w:val="00B57BCF"/>
    <w:rsid w:val="00B57E36"/>
    <w:rsid w:val="00B60209"/>
    <w:rsid w:val="00B606A3"/>
    <w:rsid w:val="00B63B6A"/>
    <w:rsid w:val="00B65D6F"/>
    <w:rsid w:val="00B66C17"/>
    <w:rsid w:val="00B673F3"/>
    <w:rsid w:val="00B67A25"/>
    <w:rsid w:val="00B7354A"/>
    <w:rsid w:val="00B7435B"/>
    <w:rsid w:val="00B74446"/>
    <w:rsid w:val="00B74B59"/>
    <w:rsid w:val="00B77142"/>
    <w:rsid w:val="00B8024E"/>
    <w:rsid w:val="00B80C3A"/>
    <w:rsid w:val="00B84643"/>
    <w:rsid w:val="00B87130"/>
    <w:rsid w:val="00B90452"/>
    <w:rsid w:val="00B90780"/>
    <w:rsid w:val="00B916D6"/>
    <w:rsid w:val="00B91AD8"/>
    <w:rsid w:val="00B9209B"/>
    <w:rsid w:val="00B9240D"/>
    <w:rsid w:val="00B9328B"/>
    <w:rsid w:val="00B95753"/>
    <w:rsid w:val="00B97E42"/>
    <w:rsid w:val="00BA0425"/>
    <w:rsid w:val="00BA0C05"/>
    <w:rsid w:val="00BA54D0"/>
    <w:rsid w:val="00BA7E30"/>
    <w:rsid w:val="00BB1013"/>
    <w:rsid w:val="00BB4515"/>
    <w:rsid w:val="00BB7B89"/>
    <w:rsid w:val="00BC1A9B"/>
    <w:rsid w:val="00BC2A22"/>
    <w:rsid w:val="00BC4986"/>
    <w:rsid w:val="00BC5E2E"/>
    <w:rsid w:val="00BC6379"/>
    <w:rsid w:val="00BC7EEF"/>
    <w:rsid w:val="00BD43BB"/>
    <w:rsid w:val="00BD72C1"/>
    <w:rsid w:val="00BD7ADE"/>
    <w:rsid w:val="00BE1A85"/>
    <w:rsid w:val="00BE46ED"/>
    <w:rsid w:val="00BE4FD1"/>
    <w:rsid w:val="00BE642D"/>
    <w:rsid w:val="00BE6D7A"/>
    <w:rsid w:val="00BF2511"/>
    <w:rsid w:val="00BF377F"/>
    <w:rsid w:val="00BF3F88"/>
    <w:rsid w:val="00BF4BCD"/>
    <w:rsid w:val="00BF57BE"/>
    <w:rsid w:val="00C0042B"/>
    <w:rsid w:val="00C02E58"/>
    <w:rsid w:val="00C030B6"/>
    <w:rsid w:val="00C04B38"/>
    <w:rsid w:val="00C067B7"/>
    <w:rsid w:val="00C10A09"/>
    <w:rsid w:val="00C121BC"/>
    <w:rsid w:val="00C14D92"/>
    <w:rsid w:val="00C16739"/>
    <w:rsid w:val="00C17F3F"/>
    <w:rsid w:val="00C23BA2"/>
    <w:rsid w:val="00C260A2"/>
    <w:rsid w:val="00C30DEC"/>
    <w:rsid w:val="00C31142"/>
    <w:rsid w:val="00C31DEF"/>
    <w:rsid w:val="00C338EB"/>
    <w:rsid w:val="00C34ECB"/>
    <w:rsid w:val="00C35BB7"/>
    <w:rsid w:val="00C36B35"/>
    <w:rsid w:val="00C36E74"/>
    <w:rsid w:val="00C36FF2"/>
    <w:rsid w:val="00C400CD"/>
    <w:rsid w:val="00C41617"/>
    <w:rsid w:val="00C4309A"/>
    <w:rsid w:val="00C43F23"/>
    <w:rsid w:val="00C43FF1"/>
    <w:rsid w:val="00C45494"/>
    <w:rsid w:val="00C52D18"/>
    <w:rsid w:val="00C54DC1"/>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2451"/>
    <w:rsid w:val="00C9272C"/>
    <w:rsid w:val="00C97764"/>
    <w:rsid w:val="00C97C9B"/>
    <w:rsid w:val="00CA344C"/>
    <w:rsid w:val="00CA6B2A"/>
    <w:rsid w:val="00CA7CF8"/>
    <w:rsid w:val="00CA7F19"/>
    <w:rsid w:val="00CB142D"/>
    <w:rsid w:val="00CB29F6"/>
    <w:rsid w:val="00CB2BBF"/>
    <w:rsid w:val="00CB481C"/>
    <w:rsid w:val="00CB4C8C"/>
    <w:rsid w:val="00CB62E1"/>
    <w:rsid w:val="00CB6EFE"/>
    <w:rsid w:val="00CC16F9"/>
    <w:rsid w:val="00CC28A9"/>
    <w:rsid w:val="00CC4183"/>
    <w:rsid w:val="00CC70A4"/>
    <w:rsid w:val="00CD4A0C"/>
    <w:rsid w:val="00CD5CEF"/>
    <w:rsid w:val="00CE06EC"/>
    <w:rsid w:val="00CE592E"/>
    <w:rsid w:val="00CE5BC5"/>
    <w:rsid w:val="00CF16A4"/>
    <w:rsid w:val="00CF299F"/>
    <w:rsid w:val="00CF3357"/>
    <w:rsid w:val="00CF4F26"/>
    <w:rsid w:val="00CF58DF"/>
    <w:rsid w:val="00D00BC3"/>
    <w:rsid w:val="00D03538"/>
    <w:rsid w:val="00D04410"/>
    <w:rsid w:val="00D05EE7"/>
    <w:rsid w:val="00D06A9D"/>
    <w:rsid w:val="00D07C15"/>
    <w:rsid w:val="00D11D4F"/>
    <w:rsid w:val="00D13A01"/>
    <w:rsid w:val="00D15733"/>
    <w:rsid w:val="00D20364"/>
    <w:rsid w:val="00D2130C"/>
    <w:rsid w:val="00D26746"/>
    <w:rsid w:val="00D26DDD"/>
    <w:rsid w:val="00D27BDC"/>
    <w:rsid w:val="00D3194F"/>
    <w:rsid w:val="00D33751"/>
    <w:rsid w:val="00D37343"/>
    <w:rsid w:val="00D37495"/>
    <w:rsid w:val="00D41727"/>
    <w:rsid w:val="00D427E4"/>
    <w:rsid w:val="00D45058"/>
    <w:rsid w:val="00D45F1B"/>
    <w:rsid w:val="00D50E1A"/>
    <w:rsid w:val="00D52289"/>
    <w:rsid w:val="00D55A37"/>
    <w:rsid w:val="00D55B7E"/>
    <w:rsid w:val="00D64354"/>
    <w:rsid w:val="00D66685"/>
    <w:rsid w:val="00D70D35"/>
    <w:rsid w:val="00D71351"/>
    <w:rsid w:val="00D71997"/>
    <w:rsid w:val="00D72993"/>
    <w:rsid w:val="00D753E9"/>
    <w:rsid w:val="00D777B9"/>
    <w:rsid w:val="00D77E2E"/>
    <w:rsid w:val="00D81050"/>
    <w:rsid w:val="00D82273"/>
    <w:rsid w:val="00D82FA5"/>
    <w:rsid w:val="00D84A4B"/>
    <w:rsid w:val="00D84B45"/>
    <w:rsid w:val="00D857AE"/>
    <w:rsid w:val="00D8623D"/>
    <w:rsid w:val="00D867FB"/>
    <w:rsid w:val="00D870CF"/>
    <w:rsid w:val="00D873C4"/>
    <w:rsid w:val="00D90E11"/>
    <w:rsid w:val="00D9110D"/>
    <w:rsid w:val="00D91124"/>
    <w:rsid w:val="00D91987"/>
    <w:rsid w:val="00D92168"/>
    <w:rsid w:val="00D932DF"/>
    <w:rsid w:val="00D93426"/>
    <w:rsid w:val="00D94B22"/>
    <w:rsid w:val="00D958D3"/>
    <w:rsid w:val="00D9594F"/>
    <w:rsid w:val="00D95EEA"/>
    <w:rsid w:val="00D971CB"/>
    <w:rsid w:val="00D97213"/>
    <w:rsid w:val="00DA134E"/>
    <w:rsid w:val="00DA13F3"/>
    <w:rsid w:val="00DA2DE3"/>
    <w:rsid w:val="00DA64AF"/>
    <w:rsid w:val="00DB1F4F"/>
    <w:rsid w:val="00DB2AC7"/>
    <w:rsid w:val="00DB704C"/>
    <w:rsid w:val="00DC693B"/>
    <w:rsid w:val="00DC7C77"/>
    <w:rsid w:val="00DD0F5D"/>
    <w:rsid w:val="00DD426D"/>
    <w:rsid w:val="00DD74FC"/>
    <w:rsid w:val="00DE0DB6"/>
    <w:rsid w:val="00DE117F"/>
    <w:rsid w:val="00DE1769"/>
    <w:rsid w:val="00DE1A17"/>
    <w:rsid w:val="00DE44C8"/>
    <w:rsid w:val="00DE64CC"/>
    <w:rsid w:val="00DE6AA9"/>
    <w:rsid w:val="00DE7B30"/>
    <w:rsid w:val="00DF20C7"/>
    <w:rsid w:val="00DF4D0C"/>
    <w:rsid w:val="00DF5C20"/>
    <w:rsid w:val="00DF7D81"/>
    <w:rsid w:val="00E02DEB"/>
    <w:rsid w:val="00E042A1"/>
    <w:rsid w:val="00E0476C"/>
    <w:rsid w:val="00E0576B"/>
    <w:rsid w:val="00E067EA"/>
    <w:rsid w:val="00E06D18"/>
    <w:rsid w:val="00E104FA"/>
    <w:rsid w:val="00E1320D"/>
    <w:rsid w:val="00E16022"/>
    <w:rsid w:val="00E1694E"/>
    <w:rsid w:val="00E1738C"/>
    <w:rsid w:val="00E174FF"/>
    <w:rsid w:val="00E205AA"/>
    <w:rsid w:val="00E22296"/>
    <w:rsid w:val="00E27360"/>
    <w:rsid w:val="00E27C04"/>
    <w:rsid w:val="00E30713"/>
    <w:rsid w:val="00E30EDF"/>
    <w:rsid w:val="00E3153A"/>
    <w:rsid w:val="00E31FBA"/>
    <w:rsid w:val="00E328E2"/>
    <w:rsid w:val="00E336BB"/>
    <w:rsid w:val="00E3384E"/>
    <w:rsid w:val="00E374C8"/>
    <w:rsid w:val="00E4042D"/>
    <w:rsid w:val="00E4135D"/>
    <w:rsid w:val="00E43750"/>
    <w:rsid w:val="00E508EB"/>
    <w:rsid w:val="00E521E3"/>
    <w:rsid w:val="00E53B7A"/>
    <w:rsid w:val="00E54E0E"/>
    <w:rsid w:val="00E550C9"/>
    <w:rsid w:val="00E55405"/>
    <w:rsid w:val="00E5645D"/>
    <w:rsid w:val="00E627A4"/>
    <w:rsid w:val="00E6280E"/>
    <w:rsid w:val="00E62C9C"/>
    <w:rsid w:val="00E630EE"/>
    <w:rsid w:val="00E67A61"/>
    <w:rsid w:val="00E70455"/>
    <w:rsid w:val="00E73221"/>
    <w:rsid w:val="00E75116"/>
    <w:rsid w:val="00E763EB"/>
    <w:rsid w:val="00E80A5B"/>
    <w:rsid w:val="00E822EA"/>
    <w:rsid w:val="00E8342F"/>
    <w:rsid w:val="00E84632"/>
    <w:rsid w:val="00E847EE"/>
    <w:rsid w:val="00E876F9"/>
    <w:rsid w:val="00E96A72"/>
    <w:rsid w:val="00E96B52"/>
    <w:rsid w:val="00EA01F7"/>
    <w:rsid w:val="00EA1D33"/>
    <w:rsid w:val="00EA1F5A"/>
    <w:rsid w:val="00EA375F"/>
    <w:rsid w:val="00EA7104"/>
    <w:rsid w:val="00EA7533"/>
    <w:rsid w:val="00EB067F"/>
    <w:rsid w:val="00EB2419"/>
    <w:rsid w:val="00EB58F5"/>
    <w:rsid w:val="00EB6E6B"/>
    <w:rsid w:val="00EC010F"/>
    <w:rsid w:val="00EC0FC0"/>
    <w:rsid w:val="00EC2E3A"/>
    <w:rsid w:val="00EC3CCB"/>
    <w:rsid w:val="00EC5A74"/>
    <w:rsid w:val="00EC737D"/>
    <w:rsid w:val="00ED2154"/>
    <w:rsid w:val="00ED4277"/>
    <w:rsid w:val="00ED7C8C"/>
    <w:rsid w:val="00ED7DDB"/>
    <w:rsid w:val="00EE431B"/>
    <w:rsid w:val="00EE4874"/>
    <w:rsid w:val="00EE53E5"/>
    <w:rsid w:val="00EE6654"/>
    <w:rsid w:val="00EE73FB"/>
    <w:rsid w:val="00EE7BF0"/>
    <w:rsid w:val="00EF2674"/>
    <w:rsid w:val="00EF3163"/>
    <w:rsid w:val="00EF4D29"/>
    <w:rsid w:val="00EF556F"/>
    <w:rsid w:val="00EF7D07"/>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266E1"/>
    <w:rsid w:val="00F3477D"/>
    <w:rsid w:val="00F347FE"/>
    <w:rsid w:val="00F34859"/>
    <w:rsid w:val="00F3555F"/>
    <w:rsid w:val="00F356F7"/>
    <w:rsid w:val="00F37F36"/>
    <w:rsid w:val="00F40055"/>
    <w:rsid w:val="00F40868"/>
    <w:rsid w:val="00F44FDE"/>
    <w:rsid w:val="00F46467"/>
    <w:rsid w:val="00F4715C"/>
    <w:rsid w:val="00F47FF8"/>
    <w:rsid w:val="00F529B5"/>
    <w:rsid w:val="00F52AA4"/>
    <w:rsid w:val="00F56162"/>
    <w:rsid w:val="00F56B7E"/>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91B52"/>
    <w:rsid w:val="00F96087"/>
    <w:rsid w:val="00F97478"/>
    <w:rsid w:val="00F97B71"/>
    <w:rsid w:val="00F97B9E"/>
    <w:rsid w:val="00FA0527"/>
    <w:rsid w:val="00FA085E"/>
    <w:rsid w:val="00FA0947"/>
    <w:rsid w:val="00FA2D49"/>
    <w:rsid w:val="00FA4B52"/>
    <w:rsid w:val="00FA4D4F"/>
    <w:rsid w:val="00FA4D5B"/>
    <w:rsid w:val="00FA54E8"/>
    <w:rsid w:val="00FA6245"/>
    <w:rsid w:val="00FA786F"/>
    <w:rsid w:val="00FA7D19"/>
    <w:rsid w:val="00FA7EB3"/>
    <w:rsid w:val="00FB058F"/>
    <w:rsid w:val="00FB3750"/>
    <w:rsid w:val="00FB387C"/>
    <w:rsid w:val="00FB3C94"/>
    <w:rsid w:val="00FB48C1"/>
    <w:rsid w:val="00FB6808"/>
    <w:rsid w:val="00FB6CD0"/>
    <w:rsid w:val="00FB723C"/>
    <w:rsid w:val="00FB72B4"/>
    <w:rsid w:val="00FC0A2D"/>
    <w:rsid w:val="00FC13C8"/>
    <w:rsid w:val="00FC39F9"/>
    <w:rsid w:val="00FC59F8"/>
    <w:rsid w:val="00FC60F6"/>
    <w:rsid w:val="00FC7F43"/>
    <w:rsid w:val="00FD0DFA"/>
    <w:rsid w:val="00FD5E71"/>
    <w:rsid w:val="00FD7D41"/>
    <w:rsid w:val="00FE0072"/>
    <w:rsid w:val="00FE0C71"/>
    <w:rsid w:val="00FE1E47"/>
    <w:rsid w:val="00FE275D"/>
    <w:rsid w:val="00FE65AC"/>
    <w:rsid w:val="00FE7FBD"/>
    <w:rsid w:val="00FF10BC"/>
    <w:rsid w:val="00FF5DCF"/>
    <w:rsid w:val="00FF699B"/>
    <w:rsid w:val="00FF6ADB"/>
    <w:rsid w:val="3B5631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118E9033-CCD3-4D67-A782-7E62245B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Normal Indent" w:uiPriority="99" w:qFormat="1"/>
    <w:lsdException w:name="footnote text" w:qFormat="1"/>
    <w:lsdException w:name="annotation text" w:semiHidden="1" w:qFormat="1"/>
    <w:lsdException w:name="header" w:uiPriority="99" w:qFormat="1"/>
    <w:lsdException w:name="footer" w:qFormat="1"/>
    <w:lsdException w:name="caption" w:semiHidden="1" w:unhideWhenUsed="1" w:qFormat="1"/>
    <w:lsdException w:name="footnote reference" w:qFormat="1"/>
    <w:lsdException w:name="annotation reference" w:semiHidden="1" w:qFormat="1"/>
    <w:lsdException w:name="page number" w:qFormat="1"/>
    <w:lsdException w:name="List"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qFormat="1"/>
    <w:lsdException w:name="Strong" w:uiPriority="22"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360" w:lineRule="auto"/>
      <w:outlineLvl w:val="1"/>
    </w:pPr>
    <w:rPr>
      <w:rFonts w:ascii="Arial" w:hAnsi="Arial" w:cs="Arial"/>
      <w:b/>
      <w:bCs/>
      <w:sz w:val="24"/>
      <w:szCs w:val="28"/>
    </w:rPr>
  </w:style>
  <w:style w:type="paragraph" w:styleId="3">
    <w:name w:val="heading 3"/>
    <w:basedOn w:val="a"/>
    <w:next w:val="a"/>
    <w:link w:val="30"/>
    <w:uiPriority w:val="9"/>
    <w:unhideWhenUsed/>
    <w:qFormat/>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a4">
    <w:name w:val="annotation subject"/>
    <w:basedOn w:val="a5"/>
    <w:next w:val="a5"/>
    <w:semiHidden/>
    <w:qFormat/>
    <w:rPr>
      <w:b/>
      <w:bCs/>
    </w:rPr>
  </w:style>
  <w:style w:type="paragraph" w:styleId="a5">
    <w:name w:val="annotation text"/>
    <w:basedOn w:val="a"/>
    <w:semiHidden/>
    <w:qFormat/>
    <w:pPr>
      <w:jc w:val="left"/>
    </w:pPr>
  </w:style>
  <w:style w:type="paragraph" w:styleId="a6">
    <w:name w:val="Document Map"/>
    <w:basedOn w:val="a"/>
    <w:semiHidden/>
    <w:qFormat/>
    <w:pPr>
      <w:shd w:val="clear" w:color="auto" w:fill="000080"/>
    </w:pPr>
  </w:style>
  <w:style w:type="paragraph" w:styleId="a7">
    <w:name w:val="Body Text"/>
    <w:basedOn w:val="a"/>
    <w:qFormat/>
    <w:pPr>
      <w:spacing w:after="120"/>
    </w:pPr>
  </w:style>
  <w:style w:type="paragraph" w:styleId="a8">
    <w:name w:val="Body Text Indent"/>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9">
    <w:name w:val="Plain Text"/>
    <w:basedOn w:val="a"/>
    <w:link w:val="aa"/>
    <w:uiPriority w:val="99"/>
    <w:qFormat/>
    <w:rPr>
      <w:rFonts w:ascii="宋体" w:hAnsi="Courier New"/>
      <w:szCs w:val="21"/>
    </w:rPr>
  </w:style>
  <w:style w:type="paragraph" w:styleId="ab">
    <w:name w:val="Date"/>
    <w:basedOn w:val="a"/>
    <w:next w:val="a"/>
    <w:link w:val="ac"/>
    <w:qFormat/>
    <w:rPr>
      <w:sz w:val="24"/>
      <w:szCs w:val="20"/>
    </w:rPr>
  </w:style>
  <w:style w:type="paragraph" w:styleId="20">
    <w:name w:val="Body Text Indent 2"/>
    <w:basedOn w:val="a"/>
    <w:qFormat/>
    <w:pPr>
      <w:spacing w:line="560" w:lineRule="exact"/>
      <w:ind w:firstLineChars="200" w:firstLine="480"/>
    </w:pPr>
    <w:rPr>
      <w:rFonts w:ascii="宋体" w:hAnsi="宋体"/>
      <w:color w:val="FF0000"/>
      <w:sz w:val="24"/>
    </w:rPr>
  </w:style>
  <w:style w:type="paragraph" w:styleId="ad">
    <w:name w:val="Balloon Text"/>
    <w:basedOn w:val="a"/>
    <w:semiHidden/>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sz w:val="18"/>
      <w:szCs w:val="18"/>
    </w:rPr>
  </w:style>
  <w:style w:type="paragraph" w:styleId="af1">
    <w:name w:val="List"/>
    <w:basedOn w:val="a7"/>
    <w:qFormat/>
    <w:pPr>
      <w:spacing w:after="220" w:line="220" w:lineRule="atLeast"/>
      <w:ind w:left="1440" w:hanging="360"/>
    </w:pPr>
    <w:rPr>
      <w:szCs w:val="20"/>
    </w:rPr>
  </w:style>
  <w:style w:type="paragraph" w:styleId="af2">
    <w:name w:val="footnote text"/>
    <w:basedOn w:val="a"/>
    <w:link w:val="af3"/>
    <w:qFormat/>
    <w:pPr>
      <w:snapToGrid w:val="0"/>
      <w:jc w:val="left"/>
    </w:pPr>
    <w:rPr>
      <w:sz w:val="18"/>
      <w:szCs w:val="18"/>
    </w:rPr>
  </w:style>
  <w:style w:type="paragraph" w:styleId="31">
    <w:name w:val="Body Text Indent 3"/>
    <w:basedOn w:val="a"/>
    <w:qFormat/>
    <w:pPr>
      <w:spacing w:line="560" w:lineRule="exact"/>
      <w:ind w:firstLineChars="200" w:firstLine="420"/>
    </w:pPr>
    <w:rPr>
      <w:rFonts w:ascii="Arial" w:hAnsi="Arial" w:cs="Arial"/>
      <w:color w:val="FF0000"/>
    </w:rPr>
  </w:style>
  <w:style w:type="paragraph" w:styleId="af4">
    <w:name w:val="Normal (Web)"/>
    <w:basedOn w:val="a"/>
    <w:qFormat/>
    <w:pPr>
      <w:widowControl/>
      <w:spacing w:before="100" w:beforeAutospacing="1" w:after="100" w:afterAutospacing="1"/>
      <w:jc w:val="left"/>
    </w:pPr>
    <w:rPr>
      <w:rFonts w:ascii="宋体" w:hAnsi="宋体"/>
      <w:kern w:val="0"/>
      <w:sz w:val="24"/>
    </w:rPr>
  </w:style>
  <w:style w:type="paragraph" w:styleId="11">
    <w:name w:val="index 1"/>
    <w:basedOn w:val="a"/>
    <w:next w:val="a"/>
    <w:semiHidden/>
    <w:qFormat/>
    <w:pPr>
      <w:jc w:val="right"/>
    </w:pPr>
    <w:rPr>
      <w:color w:val="008000"/>
    </w:rPr>
  </w:style>
  <w:style w:type="character" w:styleId="af5">
    <w:name w:val="Strong"/>
    <w:basedOn w:val="a1"/>
    <w:uiPriority w:val="22"/>
    <w:qFormat/>
    <w:rPr>
      <w:b/>
      <w:bCs/>
    </w:rPr>
  </w:style>
  <w:style w:type="character" w:styleId="af6">
    <w:name w:val="page number"/>
    <w:basedOn w:val="a1"/>
    <w:qFormat/>
  </w:style>
  <w:style w:type="character" w:styleId="af7">
    <w:name w:val="Hyperlink"/>
    <w:basedOn w:val="a1"/>
    <w:qFormat/>
    <w:rPr>
      <w:color w:val="0000FF"/>
      <w:u w:val="single"/>
    </w:rPr>
  </w:style>
  <w:style w:type="character" w:styleId="af8">
    <w:name w:val="annotation reference"/>
    <w:basedOn w:val="a1"/>
    <w:semiHidden/>
    <w:qFormat/>
    <w:rPr>
      <w:sz w:val="21"/>
      <w:szCs w:val="21"/>
    </w:rPr>
  </w:style>
  <w:style w:type="character" w:styleId="af9">
    <w:name w:val="footnote reference"/>
    <w:basedOn w:val="a1"/>
    <w:qFormat/>
    <w:rPr>
      <w:vertAlign w:val="superscript"/>
    </w:rPr>
  </w:style>
  <w:style w:type="table" w:styleId="af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已访问的超链接1"/>
    <w:basedOn w:val="a1"/>
    <w:qFormat/>
    <w:rPr>
      <w:color w:val="800080"/>
      <w:u w:val="single"/>
    </w:rPr>
  </w:style>
  <w:style w:type="character" w:customStyle="1" w:styleId="c1">
    <w:name w:val="c1"/>
    <w:basedOn w:val="a1"/>
    <w:qFormat/>
    <w:rPr>
      <w:color w:val="000000"/>
      <w:sz w:val="18"/>
      <w:szCs w:val="18"/>
    </w:rPr>
  </w:style>
  <w:style w:type="paragraph" w:customStyle="1" w:styleId="font5">
    <w:name w:val="font5"/>
    <w:basedOn w:val="a"/>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qFormat/>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qFormat/>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qFormat/>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qFormat/>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qFormat/>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qFormat/>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qFormat/>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Char">
    <w:name w:val="Char"/>
    <w:basedOn w:val="a"/>
    <w:qFormat/>
  </w:style>
  <w:style w:type="paragraph" w:customStyle="1" w:styleId="Char1">
    <w:name w:val="Char1"/>
    <w:basedOn w:val="a"/>
    <w:qFormat/>
  </w:style>
  <w:style w:type="character" w:customStyle="1" w:styleId="t1">
    <w:name w:val="t1"/>
    <w:basedOn w:val="a1"/>
    <w:rPr>
      <w:color w:val="990000"/>
    </w:rPr>
  </w:style>
  <w:style w:type="character" w:customStyle="1" w:styleId="aa">
    <w:name w:val="纯文本 字符"/>
    <w:basedOn w:val="a1"/>
    <w:link w:val="a9"/>
    <w:uiPriority w:val="99"/>
    <w:rPr>
      <w:rFonts w:ascii="宋体" w:hAnsi="Courier New"/>
      <w:kern w:val="2"/>
      <w:sz w:val="21"/>
      <w:szCs w:val="21"/>
    </w:rPr>
  </w:style>
  <w:style w:type="character" w:customStyle="1" w:styleId="af3">
    <w:name w:val="脚注文本 字符"/>
    <w:basedOn w:val="a1"/>
    <w:link w:val="af2"/>
    <w:rPr>
      <w:kern w:val="2"/>
      <w:sz w:val="18"/>
      <w:szCs w:val="18"/>
    </w:rPr>
  </w:style>
  <w:style w:type="paragraph" w:customStyle="1" w:styleId="Default">
    <w:name w:val="Default"/>
    <w:pPr>
      <w:widowControl w:val="0"/>
      <w:autoSpaceDE w:val="0"/>
      <w:autoSpaceDN w:val="0"/>
      <w:adjustRightInd w:val="0"/>
    </w:pPr>
    <w:rPr>
      <w:rFonts w:ascii="仿宋" w:hAnsi="仿宋" w:cs="仿宋"/>
      <w:color w:val="000000"/>
      <w:sz w:val="24"/>
      <w:szCs w:val="24"/>
    </w:rPr>
  </w:style>
  <w:style w:type="character" w:customStyle="1" w:styleId="af0">
    <w:name w:val="页眉 字符"/>
    <w:basedOn w:val="a1"/>
    <w:link w:val="af"/>
    <w:uiPriority w:val="99"/>
    <w:rPr>
      <w:kern w:val="2"/>
      <w:sz w:val="18"/>
      <w:szCs w:val="18"/>
    </w:rPr>
  </w:style>
  <w:style w:type="character" w:customStyle="1" w:styleId="10">
    <w:name w:val="标题 1 字符"/>
    <w:basedOn w:val="a1"/>
    <w:link w:val="1"/>
    <w:rPr>
      <w:b/>
      <w:bCs/>
      <w:kern w:val="44"/>
      <w:sz w:val="44"/>
      <w:szCs w:val="44"/>
    </w:rPr>
  </w:style>
  <w:style w:type="character" w:customStyle="1" w:styleId="ac">
    <w:name w:val="日期 字符"/>
    <w:basedOn w:val="a1"/>
    <w:link w:val="ab"/>
    <w:rPr>
      <w:kern w:val="2"/>
      <w:sz w:val="24"/>
    </w:rPr>
  </w:style>
  <w:style w:type="character" w:customStyle="1" w:styleId="30">
    <w:name w:val="标题 3 字符"/>
    <w:basedOn w:val="a1"/>
    <w:link w:val="3"/>
    <w:uiPriority w:val="9"/>
    <w:qFormat/>
    <w:rPr>
      <w:rFonts w:asciiTheme="minorHAnsi" w:eastAsiaTheme="minorEastAsia" w:hAnsiTheme="minorHAnsi" w:cstheme="min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814176">
      <w:bodyDiv w:val="1"/>
      <w:marLeft w:val="0"/>
      <w:marRight w:val="0"/>
      <w:marTop w:val="0"/>
      <w:marBottom w:val="0"/>
      <w:divBdr>
        <w:top w:val="none" w:sz="0" w:space="0" w:color="auto"/>
        <w:left w:val="none" w:sz="0" w:space="0" w:color="auto"/>
        <w:bottom w:val="none" w:sz="0" w:space="0" w:color="auto"/>
        <w:right w:val="none" w:sz="0" w:space="0" w:color="auto"/>
      </w:divBdr>
    </w:div>
    <w:div w:id="1296174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5AA7B2-3068-42A3-B1F2-793E5BC0B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22</TotalTime>
  <Pages>16</Pages>
  <Words>1377</Words>
  <Characters>7853</Characters>
  <Application>Microsoft Office Word</Application>
  <DocSecurity>0</DocSecurity>
  <Lines>65</Lines>
  <Paragraphs>18</Paragraphs>
  <ScaleCrop>false</ScaleCrop>
  <Company>TRT. Ltd. Co.</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Yang.Wang@FA</cp:lastModifiedBy>
  <cp:revision>222</cp:revision>
  <cp:lastPrinted>2007-07-19T00:46:00Z</cp:lastPrinted>
  <dcterms:created xsi:type="dcterms:W3CDTF">2013-06-21T06:56:00Z</dcterms:created>
  <dcterms:modified xsi:type="dcterms:W3CDTF">2021-07-19T11:31:00Z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