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摩根强化回报债券型证券投资基金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摩根强化回报债券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372010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2011</w:t>
            </w:r>
            <w:r w:rsidRPr="00B27A29">
              <w:rPr>
                <w:rFonts w:eastAsiaTheme="minorEastAsia"/>
                <w:color w:val="000000" w:themeColor="text1"/>
                <w:kern w:val="0"/>
                <w:szCs w:val="21"/>
              </w:rPr>
              <w:t>年</w:t>
            </w:r>
            <w:r w:rsidRPr="00B27A29">
              <w:rPr>
                <w:rFonts w:eastAsiaTheme="minorEastAsia"/>
                <w:color w:val="000000" w:themeColor="text1"/>
                <w:kern w:val="0"/>
                <w:szCs w:val="21"/>
              </w:rPr>
              <w:t>8</w:t>
            </w:r>
            <w:r w:rsidRPr="00B27A29">
              <w:rPr>
                <w:rFonts w:eastAsiaTheme="minorEastAsia"/>
                <w:color w:val="000000" w:themeColor="text1"/>
                <w:kern w:val="0"/>
                <w:szCs w:val="21"/>
              </w:rPr>
              <w:t>月</w:t>
            </w:r>
            <w:r w:rsidRPr="00B27A29">
              <w:rPr>
                <w:rFonts w:eastAsiaTheme="minorEastAsia"/>
                <w:color w:val="000000" w:themeColor="text1"/>
                <w:kern w:val="0"/>
                <w:szCs w:val="21"/>
              </w:rPr>
              <w:t>10</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1,347,391,755.24</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本基金在严格控制风险和维持资产较高流动性的基础上，通过主动管理，力争获得超越业绩比较基准的投资收益率，实现基金资产的长期稳定增值。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3B4E78" w:rsidRDefault="00E71D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3B4E78" w:rsidRDefault="00E71D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本基金对固定收益类资产的投资比例不低于基金资产的</w:t>
            </w:r>
            <w:r>
              <w:rPr>
                <w:rFonts w:eastAsiaTheme="minorEastAsia"/>
                <w:color w:val="000000" w:themeColor="text1"/>
                <w:kern w:val="0"/>
                <w:szCs w:val="21"/>
              </w:rPr>
              <w:t>80</w:t>
            </w:r>
            <w:r>
              <w:rPr>
                <w:rFonts w:eastAsiaTheme="minorEastAsia"/>
                <w:color w:val="000000" w:themeColor="text1"/>
                <w:kern w:val="0"/>
                <w:szCs w:val="21"/>
              </w:rPr>
              <w:t>％，对股票、权证等权益类资产的投资比例不高于基金资产的</w:t>
            </w:r>
            <w:r>
              <w:rPr>
                <w:rFonts w:eastAsiaTheme="minorEastAsia"/>
                <w:color w:val="000000" w:themeColor="text1"/>
                <w:kern w:val="0"/>
                <w:szCs w:val="21"/>
              </w:rPr>
              <w:t>20</w:t>
            </w:r>
            <w:r>
              <w:rPr>
                <w:rFonts w:eastAsiaTheme="minorEastAsia"/>
                <w:color w:val="000000" w:themeColor="text1"/>
                <w:kern w:val="0"/>
                <w:szCs w:val="21"/>
              </w:rPr>
              <w:t>％。本基金将遵循自上而下的配置原则，以宏观经济分析和政策分析为基础，根据对宏观经济运行趋势、国家财政政策与货币政策、市场流动性水平、债券市场和</w:t>
            </w:r>
            <w:r>
              <w:rPr>
                <w:rFonts w:eastAsiaTheme="minorEastAsia"/>
                <w:color w:val="000000" w:themeColor="text1"/>
                <w:kern w:val="0"/>
                <w:szCs w:val="21"/>
              </w:rPr>
              <w:lastRenderedPageBreak/>
              <w:t>股票市场估值水平等因素的综合分析，对各大类资产的预期风险和收益进行动态评估，从而确定固定收益类资产和权益类资产的配置比例，并跟踪影响资产配置策略的各种因素的变化，对大类资产配置比例进行动态优化管理。</w:t>
            </w:r>
          </w:p>
          <w:p w:rsidR="003B4E78" w:rsidRDefault="00E71D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、债券投资策略</w:t>
            </w:r>
          </w:p>
          <w:p w:rsidR="003B4E78" w:rsidRDefault="00E71D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本基金将采用积极主动的债券投资策略，以中长</w:t>
            </w:r>
            <w:r>
              <w:rPr>
                <w:rFonts w:eastAsiaTheme="minorEastAsia"/>
                <w:color w:val="000000" w:themeColor="text1"/>
                <w:kern w:val="0"/>
                <w:szCs w:val="21"/>
              </w:rPr>
              <w:t>期利率分析为核心，结合宏观经济周期、宏观政策方向、收益率曲线形态、债券市场供求关系等分析，实施积极的债券投资组合管理。在严格控制风险的前提下，发掘和利用市场失衡提供的投资机会，实现组合增值。</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、其他投资策略：包括股票投资策略、权证投资策略、存托凭证投资策略。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中证综合债券指数</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3B4E78" w:rsidRDefault="00E71D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本基金为债券型基金，属于证券投资基金中的较低风险品种，预期风险和预期收益高于货币市场基金，低于混合型基金和股票型基金。</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摩根强化回报债券</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摩根强化回报债券</w:t>
            </w:r>
            <w:r w:rsidRPr="00B27A29">
              <w:rPr>
                <w:rFonts w:eastAsiaTheme="minorEastAsia"/>
                <w:color w:val="000000" w:themeColor="text1"/>
                <w:szCs w:val="21"/>
              </w:rPr>
              <w:t>B</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372010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372110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1,150,870,598.18</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196,521,157.06</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摩根强化回报债券</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摩根强化回报债券</w:t>
            </w:r>
            <w:r w:rsidRPr="00B27A29">
              <w:rPr>
                <w:rFonts w:eastAsiaTheme="minorEastAsia"/>
                <w:color w:val="000000" w:themeColor="text1"/>
                <w:szCs w:val="21"/>
              </w:rPr>
              <w:t>B</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7,914,181.95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871,238.29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13,921,498.23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1,509,671.40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0.0114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0.0089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1,805,450,710.95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295,074,435.93</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1.5688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1.5015</w:t>
            </w:r>
          </w:p>
        </w:tc>
      </w:tr>
    </w:tbl>
    <w:p w:rsidR="003B4E78" w:rsidRDefault="00E71D6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摩根强化回报债券</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B4E78">
        <w:tc>
          <w:tcPr>
            <w:tcW w:w="1290" w:type="dxa"/>
            <w:vAlign w:val="center"/>
          </w:tcPr>
          <w:p w:rsidR="003B4E78" w:rsidRDefault="00E71D6F">
            <w:pPr>
              <w:jc w:val="left"/>
            </w:pPr>
            <w:r>
              <w:rPr>
                <w:rFonts w:eastAsiaTheme="minorEastAsia"/>
                <w:color w:val="000000" w:themeColor="text1"/>
                <w:szCs w:val="21"/>
              </w:rPr>
              <w:t>过去三个月</w:t>
            </w:r>
          </w:p>
        </w:tc>
        <w:tc>
          <w:tcPr>
            <w:tcW w:w="1291" w:type="dxa"/>
            <w:vAlign w:val="center"/>
          </w:tcPr>
          <w:p w:rsidR="003B4E78" w:rsidRDefault="00E71D6F">
            <w:pPr>
              <w:jc w:val="right"/>
            </w:pPr>
            <w:r>
              <w:rPr>
                <w:rFonts w:eastAsiaTheme="minorEastAsia"/>
                <w:color w:val="000000" w:themeColor="text1"/>
                <w:szCs w:val="21"/>
              </w:rPr>
              <w:t>0.78%</w:t>
            </w:r>
          </w:p>
        </w:tc>
        <w:tc>
          <w:tcPr>
            <w:tcW w:w="1291" w:type="dxa"/>
            <w:vAlign w:val="center"/>
          </w:tcPr>
          <w:p w:rsidR="003B4E78" w:rsidRDefault="00E71D6F">
            <w:pPr>
              <w:jc w:val="right"/>
            </w:pPr>
            <w:r>
              <w:rPr>
                <w:rFonts w:eastAsiaTheme="minorEastAsia"/>
                <w:color w:val="000000" w:themeColor="text1"/>
                <w:szCs w:val="21"/>
              </w:rPr>
              <w:t>0.15%</w:t>
            </w:r>
          </w:p>
        </w:tc>
        <w:tc>
          <w:tcPr>
            <w:tcW w:w="1291" w:type="dxa"/>
            <w:vAlign w:val="center"/>
          </w:tcPr>
          <w:p w:rsidR="003B4E78" w:rsidRDefault="00E71D6F">
            <w:pPr>
              <w:jc w:val="right"/>
            </w:pPr>
            <w:r>
              <w:rPr>
                <w:rFonts w:eastAsiaTheme="minorEastAsia"/>
                <w:color w:val="000000" w:themeColor="text1"/>
                <w:szCs w:val="21"/>
              </w:rPr>
              <w:t>0.93%</w:t>
            </w:r>
          </w:p>
        </w:tc>
        <w:tc>
          <w:tcPr>
            <w:tcW w:w="1291" w:type="dxa"/>
            <w:vAlign w:val="center"/>
          </w:tcPr>
          <w:p w:rsidR="003B4E78" w:rsidRDefault="00E71D6F">
            <w:pPr>
              <w:jc w:val="right"/>
            </w:pPr>
            <w:r>
              <w:rPr>
                <w:rFonts w:eastAsiaTheme="minorEastAsia"/>
                <w:color w:val="000000" w:themeColor="text1"/>
                <w:szCs w:val="21"/>
              </w:rPr>
              <w:t>0.03%</w:t>
            </w:r>
          </w:p>
        </w:tc>
        <w:tc>
          <w:tcPr>
            <w:tcW w:w="1291" w:type="dxa"/>
            <w:vAlign w:val="center"/>
          </w:tcPr>
          <w:p w:rsidR="003B4E78" w:rsidRDefault="00E71D6F">
            <w:pPr>
              <w:jc w:val="right"/>
            </w:pPr>
            <w:r>
              <w:rPr>
                <w:rFonts w:eastAsiaTheme="minorEastAsia"/>
                <w:color w:val="000000" w:themeColor="text1"/>
                <w:szCs w:val="21"/>
              </w:rPr>
              <w:t>-0.15%</w:t>
            </w:r>
          </w:p>
        </w:tc>
        <w:tc>
          <w:tcPr>
            <w:tcW w:w="1291" w:type="dxa"/>
            <w:vAlign w:val="center"/>
          </w:tcPr>
          <w:p w:rsidR="003B4E78" w:rsidRDefault="00E71D6F">
            <w:pPr>
              <w:jc w:val="right"/>
            </w:pPr>
            <w:r>
              <w:rPr>
                <w:rFonts w:eastAsiaTheme="minorEastAsia"/>
                <w:color w:val="000000" w:themeColor="text1"/>
                <w:szCs w:val="21"/>
              </w:rPr>
              <w:t>0.12%</w:t>
            </w:r>
          </w:p>
        </w:tc>
      </w:tr>
      <w:tr w:rsidR="003B4E78">
        <w:tc>
          <w:tcPr>
            <w:tcW w:w="1290" w:type="dxa"/>
            <w:vAlign w:val="center"/>
          </w:tcPr>
          <w:p w:rsidR="003B4E78" w:rsidRDefault="00E71D6F">
            <w:pPr>
              <w:jc w:val="left"/>
            </w:pPr>
            <w:r>
              <w:rPr>
                <w:rFonts w:eastAsiaTheme="minorEastAsia"/>
                <w:color w:val="000000" w:themeColor="text1"/>
                <w:szCs w:val="21"/>
              </w:rPr>
              <w:t>过去六个月</w:t>
            </w:r>
          </w:p>
        </w:tc>
        <w:tc>
          <w:tcPr>
            <w:tcW w:w="1291" w:type="dxa"/>
            <w:vAlign w:val="center"/>
          </w:tcPr>
          <w:p w:rsidR="003B4E78" w:rsidRDefault="00E71D6F">
            <w:pPr>
              <w:jc w:val="right"/>
            </w:pPr>
            <w:r>
              <w:rPr>
                <w:rFonts w:eastAsiaTheme="minorEastAsia"/>
                <w:color w:val="000000" w:themeColor="text1"/>
                <w:szCs w:val="21"/>
              </w:rPr>
              <w:t>1.40%</w:t>
            </w:r>
          </w:p>
        </w:tc>
        <w:tc>
          <w:tcPr>
            <w:tcW w:w="1291" w:type="dxa"/>
            <w:vAlign w:val="center"/>
          </w:tcPr>
          <w:p w:rsidR="003B4E78" w:rsidRDefault="00E71D6F">
            <w:pPr>
              <w:jc w:val="right"/>
            </w:pPr>
            <w:r>
              <w:rPr>
                <w:rFonts w:eastAsiaTheme="minorEastAsia"/>
                <w:color w:val="000000" w:themeColor="text1"/>
                <w:szCs w:val="21"/>
              </w:rPr>
              <w:t>0.15%</w:t>
            </w:r>
          </w:p>
        </w:tc>
        <w:tc>
          <w:tcPr>
            <w:tcW w:w="1291" w:type="dxa"/>
            <w:vAlign w:val="center"/>
          </w:tcPr>
          <w:p w:rsidR="003B4E78" w:rsidRDefault="00E71D6F">
            <w:pPr>
              <w:jc w:val="right"/>
            </w:pPr>
            <w:r>
              <w:rPr>
                <w:rFonts w:eastAsiaTheme="minorEastAsia"/>
                <w:color w:val="000000" w:themeColor="text1"/>
                <w:szCs w:val="21"/>
              </w:rPr>
              <w:t>0.89%</w:t>
            </w:r>
          </w:p>
        </w:tc>
        <w:tc>
          <w:tcPr>
            <w:tcW w:w="1291" w:type="dxa"/>
            <w:vAlign w:val="center"/>
          </w:tcPr>
          <w:p w:rsidR="003B4E78" w:rsidRDefault="00E71D6F">
            <w:pPr>
              <w:jc w:val="right"/>
            </w:pPr>
            <w:r>
              <w:rPr>
                <w:rFonts w:eastAsiaTheme="minorEastAsia"/>
                <w:color w:val="000000" w:themeColor="text1"/>
                <w:szCs w:val="21"/>
              </w:rPr>
              <w:t>0.06%</w:t>
            </w:r>
          </w:p>
        </w:tc>
        <w:tc>
          <w:tcPr>
            <w:tcW w:w="1291" w:type="dxa"/>
            <w:vAlign w:val="center"/>
          </w:tcPr>
          <w:p w:rsidR="003B4E78" w:rsidRDefault="00E71D6F">
            <w:pPr>
              <w:jc w:val="right"/>
            </w:pPr>
            <w:r>
              <w:rPr>
                <w:rFonts w:eastAsiaTheme="minorEastAsia"/>
                <w:color w:val="000000" w:themeColor="text1"/>
                <w:szCs w:val="21"/>
              </w:rPr>
              <w:t>0.51%</w:t>
            </w:r>
          </w:p>
        </w:tc>
        <w:tc>
          <w:tcPr>
            <w:tcW w:w="1291" w:type="dxa"/>
            <w:vAlign w:val="center"/>
          </w:tcPr>
          <w:p w:rsidR="003B4E78" w:rsidRDefault="00E71D6F">
            <w:pPr>
              <w:jc w:val="right"/>
            </w:pPr>
            <w:r>
              <w:rPr>
                <w:rFonts w:eastAsiaTheme="minorEastAsia"/>
                <w:color w:val="000000" w:themeColor="text1"/>
                <w:szCs w:val="21"/>
              </w:rPr>
              <w:t>0.09%</w:t>
            </w:r>
          </w:p>
        </w:tc>
      </w:tr>
      <w:tr w:rsidR="003B4E78">
        <w:tc>
          <w:tcPr>
            <w:tcW w:w="1290" w:type="dxa"/>
            <w:vAlign w:val="center"/>
          </w:tcPr>
          <w:p w:rsidR="003B4E78" w:rsidRDefault="00E71D6F">
            <w:pPr>
              <w:jc w:val="left"/>
            </w:pPr>
            <w:r>
              <w:rPr>
                <w:rFonts w:eastAsiaTheme="minorEastAsia"/>
                <w:color w:val="000000" w:themeColor="text1"/>
                <w:szCs w:val="21"/>
              </w:rPr>
              <w:t>过去一年</w:t>
            </w:r>
          </w:p>
        </w:tc>
        <w:tc>
          <w:tcPr>
            <w:tcW w:w="1291" w:type="dxa"/>
            <w:vAlign w:val="center"/>
          </w:tcPr>
          <w:p w:rsidR="003B4E78" w:rsidRDefault="00E71D6F">
            <w:pPr>
              <w:jc w:val="right"/>
            </w:pPr>
            <w:r>
              <w:rPr>
                <w:rFonts w:eastAsiaTheme="minorEastAsia"/>
                <w:color w:val="000000" w:themeColor="text1"/>
                <w:szCs w:val="21"/>
              </w:rPr>
              <w:t>2.64%</w:t>
            </w:r>
          </w:p>
        </w:tc>
        <w:tc>
          <w:tcPr>
            <w:tcW w:w="1291" w:type="dxa"/>
            <w:vAlign w:val="center"/>
          </w:tcPr>
          <w:p w:rsidR="003B4E78" w:rsidRDefault="00E71D6F">
            <w:pPr>
              <w:jc w:val="right"/>
            </w:pPr>
            <w:r>
              <w:rPr>
                <w:rFonts w:eastAsiaTheme="minorEastAsia"/>
                <w:color w:val="000000" w:themeColor="text1"/>
                <w:szCs w:val="21"/>
              </w:rPr>
              <w:t>0.18%</w:t>
            </w:r>
          </w:p>
        </w:tc>
        <w:tc>
          <w:tcPr>
            <w:tcW w:w="1291" w:type="dxa"/>
            <w:vAlign w:val="center"/>
          </w:tcPr>
          <w:p w:rsidR="003B4E78" w:rsidRDefault="00E71D6F">
            <w:pPr>
              <w:jc w:val="right"/>
            </w:pPr>
            <w:r>
              <w:rPr>
                <w:rFonts w:eastAsiaTheme="minorEastAsia"/>
                <w:color w:val="000000" w:themeColor="text1"/>
                <w:szCs w:val="21"/>
              </w:rPr>
              <w:t>3.49%</w:t>
            </w:r>
          </w:p>
        </w:tc>
        <w:tc>
          <w:tcPr>
            <w:tcW w:w="1291" w:type="dxa"/>
            <w:vAlign w:val="center"/>
          </w:tcPr>
          <w:p w:rsidR="003B4E78" w:rsidRDefault="00E71D6F">
            <w:pPr>
              <w:jc w:val="right"/>
            </w:pPr>
            <w:r>
              <w:rPr>
                <w:rFonts w:eastAsiaTheme="minorEastAsia"/>
                <w:color w:val="000000" w:themeColor="text1"/>
                <w:szCs w:val="21"/>
              </w:rPr>
              <w:t>0.05%</w:t>
            </w:r>
          </w:p>
        </w:tc>
        <w:tc>
          <w:tcPr>
            <w:tcW w:w="1291" w:type="dxa"/>
            <w:vAlign w:val="center"/>
          </w:tcPr>
          <w:p w:rsidR="003B4E78" w:rsidRDefault="00E71D6F">
            <w:pPr>
              <w:jc w:val="right"/>
            </w:pPr>
            <w:r>
              <w:rPr>
                <w:rFonts w:eastAsiaTheme="minorEastAsia"/>
                <w:color w:val="000000" w:themeColor="text1"/>
                <w:szCs w:val="21"/>
              </w:rPr>
              <w:t>-0.85%</w:t>
            </w:r>
          </w:p>
        </w:tc>
        <w:tc>
          <w:tcPr>
            <w:tcW w:w="1291" w:type="dxa"/>
            <w:vAlign w:val="center"/>
          </w:tcPr>
          <w:p w:rsidR="003B4E78" w:rsidRDefault="00E71D6F">
            <w:pPr>
              <w:jc w:val="right"/>
            </w:pPr>
            <w:r>
              <w:rPr>
                <w:rFonts w:eastAsiaTheme="minorEastAsia"/>
                <w:color w:val="000000" w:themeColor="text1"/>
                <w:szCs w:val="21"/>
              </w:rPr>
              <w:t>0.13%</w:t>
            </w:r>
          </w:p>
        </w:tc>
      </w:tr>
      <w:tr w:rsidR="003B4E78">
        <w:tc>
          <w:tcPr>
            <w:tcW w:w="1290" w:type="dxa"/>
            <w:vAlign w:val="center"/>
          </w:tcPr>
          <w:p w:rsidR="003B4E78" w:rsidRDefault="00E71D6F">
            <w:pPr>
              <w:jc w:val="left"/>
            </w:pPr>
            <w:r>
              <w:rPr>
                <w:rFonts w:eastAsiaTheme="minorEastAsia"/>
                <w:color w:val="000000" w:themeColor="text1"/>
                <w:szCs w:val="21"/>
              </w:rPr>
              <w:t>过去三年</w:t>
            </w:r>
          </w:p>
        </w:tc>
        <w:tc>
          <w:tcPr>
            <w:tcW w:w="1291" w:type="dxa"/>
            <w:vAlign w:val="center"/>
          </w:tcPr>
          <w:p w:rsidR="003B4E78" w:rsidRDefault="00E71D6F">
            <w:pPr>
              <w:jc w:val="right"/>
            </w:pPr>
            <w:r>
              <w:rPr>
                <w:rFonts w:eastAsiaTheme="minorEastAsia"/>
                <w:color w:val="000000" w:themeColor="text1"/>
                <w:szCs w:val="21"/>
              </w:rPr>
              <w:t>10.40%</w:t>
            </w:r>
          </w:p>
        </w:tc>
        <w:tc>
          <w:tcPr>
            <w:tcW w:w="1291" w:type="dxa"/>
            <w:vAlign w:val="center"/>
          </w:tcPr>
          <w:p w:rsidR="003B4E78" w:rsidRDefault="00E71D6F">
            <w:pPr>
              <w:jc w:val="right"/>
            </w:pPr>
            <w:r>
              <w:rPr>
                <w:rFonts w:eastAsiaTheme="minorEastAsia"/>
                <w:color w:val="000000" w:themeColor="text1"/>
                <w:szCs w:val="21"/>
              </w:rPr>
              <w:t>0.15%</w:t>
            </w:r>
          </w:p>
        </w:tc>
        <w:tc>
          <w:tcPr>
            <w:tcW w:w="1291" w:type="dxa"/>
            <w:vAlign w:val="center"/>
          </w:tcPr>
          <w:p w:rsidR="003B4E78" w:rsidRDefault="00E71D6F">
            <w:pPr>
              <w:jc w:val="right"/>
            </w:pPr>
            <w:r>
              <w:rPr>
                <w:rFonts w:eastAsiaTheme="minorEastAsia"/>
                <w:color w:val="000000" w:themeColor="text1"/>
                <w:szCs w:val="21"/>
              </w:rPr>
              <w:t>10.14%</w:t>
            </w:r>
          </w:p>
        </w:tc>
        <w:tc>
          <w:tcPr>
            <w:tcW w:w="1291" w:type="dxa"/>
            <w:vAlign w:val="center"/>
          </w:tcPr>
          <w:p w:rsidR="003B4E78" w:rsidRDefault="00E71D6F">
            <w:pPr>
              <w:jc w:val="right"/>
            </w:pPr>
            <w:r>
              <w:rPr>
                <w:rFonts w:eastAsiaTheme="minorEastAsia"/>
                <w:color w:val="000000" w:themeColor="text1"/>
                <w:szCs w:val="21"/>
              </w:rPr>
              <w:t>0.06%</w:t>
            </w:r>
          </w:p>
        </w:tc>
        <w:tc>
          <w:tcPr>
            <w:tcW w:w="1291" w:type="dxa"/>
            <w:vAlign w:val="center"/>
          </w:tcPr>
          <w:p w:rsidR="003B4E78" w:rsidRDefault="00E71D6F">
            <w:pPr>
              <w:jc w:val="right"/>
            </w:pPr>
            <w:r>
              <w:rPr>
                <w:rFonts w:eastAsiaTheme="minorEastAsia"/>
                <w:color w:val="000000" w:themeColor="text1"/>
                <w:szCs w:val="21"/>
              </w:rPr>
              <w:t>0.26%</w:t>
            </w:r>
          </w:p>
        </w:tc>
        <w:tc>
          <w:tcPr>
            <w:tcW w:w="1291" w:type="dxa"/>
            <w:vAlign w:val="center"/>
          </w:tcPr>
          <w:p w:rsidR="003B4E78" w:rsidRDefault="00E71D6F">
            <w:pPr>
              <w:jc w:val="right"/>
            </w:pPr>
            <w:r>
              <w:rPr>
                <w:rFonts w:eastAsiaTheme="minorEastAsia"/>
                <w:color w:val="000000" w:themeColor="text1"/>
                <w:szCs w:val="21"/>
              </w:rPr>
              <w:t>0.09%</w:t>
            </w:r>
          </w:p>
        </w:tc>
      </w:tr>
      <w:tr w:rsidR="003B4E78">
        <w:tc>
          <w:tcPr>
            <w:tcW w:w="1290" w:type="dxa"/>
            <w:vAlign w:val="center"/>
          </w:tcPr>
          <w:p w:rsidR="003B4E78" w:rsidRDefault="00E71D6F">
            <w:pPr>
              <w:jc w:val="left"/>
            </w:pPr>
            <w:r>
              <w:rPr>
                <w:rFonts w:eastAsiaTheme="minorEastAsia"/>
                <w:color w:val="000000" w:themeColor="text1"/>
                <w:szCs w:val="21"/>
              </w:rPr>
              <w:t>过去五年</w:t>
            </w:r>
          </w:p>
        </w:tc>
        <w:tc>
          <w:tcPr>
            <w:tcW w:w="1291" w:type="dxa"/>
            <w:vAlign w:val="center"/>
          </w:tcPr>
          <w:p w:rsidR="003B4E78" w:rsidRDefault="00E71D6F">
            <w:pPr>
              <w:jc w:val="right"/>
            </w:pPr>
            <w:r>
              <w:rPr>
                <w:rFonts w:eastAsiaTheme="minorEastAsia"/>
                <w:color w:val="000000" w:themeColor="text1"/>
                <w:szCs w:val="21"/>
              </w:rPr>
              <w:t>22.09%</w:t>
            </w:r>
          </w:p>
        </w:tc>
        <w:tc>
          <w:tcPr>
            <w:tcW w:w="1291" w:type="dxa"/>
            <w:vAlign w:val="center"/>
          </w:tcPr>
          <w:p w:rsidR="003B4E78" w:rsidRDefault="00E71D6F">
            <w:pPr>
              <w:jc w:val="right"/>
            </w:pPr>
            <w:r>
              <w:rPr>
                <w:rFonts w:eastAsiaTheme="minorEastAsia"/>
                <w:color w:val="000000" w:themeColor="text1"/>
                <w:szCs w:val="21"/>
              </w:rPr>
              <w:t>0.18%</w:t>
            </w:r>
          </w:p>
        </w:tc>
        <w:tc>
          <w:tcPr>
            <w:tcW w:w="1291" w:type="dxa"/>
            <w:vAlign w:val="center"/>
          </w:tcPr>
          <w:p w:rsidR="003B4E78" w:rsidRDefault="00E71D6F">
            <w:pPr>
              <w:jc w:val="right"/>
            </w:pPr>
            <w:r>
              <w:rPr>
                <w:rFonts w:eastAsiaTheme="minorEastAsia"/>
                <w:color w:val="000000" w:themeColor="text1"/>
                <w:szCs w:val="21"/>
              </w:rPr>
              <w:t>25.32%</w:t>
            </w:r>
          </w:p>
        </w:tc>
        <w:tc>
          <w:tcPr>
            <w:tcW w:w="1291" w:type="dxa"/>
            <w:vAlign w:val="center"/>
          </w:tcPr>
          <w:p w:rsidR="003B4E78" w:rsidRDefault="00E71D6F">
            <w:pPr>
              <w:jc w:val="right"/>
            </w:pPr>
            <w:r>
              <w:rPr>
                <w:rFonts w:eastAsiaTheme="minorEastAsia"/>
                <w:color w:val="000000" w:themeColor="text1"/>
                <w:szCs w:val="21"/>
              </w:rPr>
              <w:t>0.06%</w:t>
            </w:r>
          </w:p>
        </w:tc>
        <w:tc>
          <w:tcPr>
            <w:tcW w:w="1291" w:type="dxa"/>
            <w:vAlign w:val="center"/>
          </w:tcPr>
          <w:p w:rsidR="003B4E78" w:rsidRDefault="00E71D6F">
            <w:pPr>
              <w:jc w:val="right"/>
            </w:pPr>
            <w:r>
              <w:rPr>
                <w:rFonts w:eastAsiaTheme="minorEastAsia"/>
                <w:color w:val="000000" w:themeColor="text1"/>
                <w:szCs w:val="21"/>
              </w:rPr>
              <w:t>-3.23%</w:t>
            </w:r>
          </w:p>
        </w:tc>
        <w:tc>
          <w:tcPr>
            <w:tcW w:w="1291" w:type="dxa"/>
            <w:vAlign w:val="center"/>
          </w:tcPr>
          <w:p w:rsidR="003B4E78" w:rsidRDefault="00E71D6F">
            <w:pPr>
              <w:jc w:val="right"/>
            </w:pPr>
            <w:r>
              <w:rPr>
                <w:rFonts w:eastAsiaTheme="minorEastAsia"/>
                <w:color w:val="000000" w:themeColor="text1"/>
                <w:szCs w:val="21"/>
              </w:rPr>
              <w:t>0.12%</w:t>
            </w:r>
          </w:p>
        </w:tc>
      </w:tr>
      <w:tr w:rsidR="003B4E78">
        <w:tc>
          <w:tcPr>
            <w:tcW w:w="1290" w:type="dxa"/>
            <w:vAlign w:val="center"/>
          </w:tcPr>
          <w:p w:rsidR="003B4E78" w:rsidRDefault="00E71D6F">
            <w:pPr>
              <w:jc w:val="left"/>
            </w:pPr>
            <w:r>
              <w:rPr>
                <w:rFonts w:eastAsiaTheme="minorEastAsia"/>
                <w:color w:val="000000" w:themeColor="text1"/>
                <w:szCs w:val="21"/>
              </w:rPr>
              <w:t>自基金合同生效起至今</w:t>
            </w:r>
          </w:p>
        </w:tc>
        <w:tc>
          <w:tcPr>
            <w:tcW w:w="1291" w:type="dxa"/>
            <w:vAlign w:val="center"/>
          </w:tcPr>
          <w:p w:rsidR="003B4E78" w:rsidRDefault="00E71D6F">
            <w:pPr>
              <w:jc w:val="right"/>
            </w:pPr>
            <w:r>
              <w:rPr>
                <w:rFonts w:eastAsiaTheme="minorEastAsia"/>
                <w:color w:val="000000" w:themeColor="text1"/>
                <w:szCs w:val="21"/>
              </w:rPr>
              <w:t>64.66%</w:t>
            </w:r>
          </w:p>
        </w:tc>
        <w:tc>
          <w:tcPr>
            <w:tcW w:w="1291" w:type="dxa"/>
            <w:vAlign w:val="center"/>
          </w:tcPr>
          <w:p w:rsidR="003B4E78" w:rsidRDefault="00E71D6F">
            <w:pPr>
              <w:jc w:val="right"/>
            </w:pPr>
            <w:r>
              <w:rPr>
                <w:rFonts w:eastAsiaTheme="minorEastAsia"/>
                <w:color w:val="000000" w:themeColor="text1"/>
                <w:szCs w:val="21"/>
              </w:rPr>
              <w:t>0.26%</w:t>
            </w:r>
          </w:p>
        </w:tc>
        <w:tc>
          <w:tcPr>
            <w:tcW w:w="1291" w:type="dxa"/>
            <w:vAlign w:val="center"/>
          </w:tcPr>
          <w:p w:rsidR="003B4E78" w:rsidRDefault="00E71D6F">
            <w:pPr>
              <w:jc w:val="right"/>
            </w:pPr>
            <w:r>
              <w:rPr>
                <w:rFonts w:eastAsiaTheme="minorEastAsia"/>
                <w:color w:val="000000" w:themeColor="text1"/>
                <w:szCs w:val="21"/>
              </w:rPr>
              <w:t>65.17%</w:t>
            </w:r>
          </w:p>
        </w:tc>
        <w:tc>
          <w:tcPr>
            <w:tcW w:w="1291" w:type="dxa"/>
            <w:vAlign w:val="center"/>
          </w:tcPr>
          <w:p w:rsidR="003B4E78" w:rsidRDefault="00E71D6F">
            <w:pPr>
              <w:jc w:val="right"/>
            </w:pPr>
            <w:r>
              <w:rPr>
                <w:rFonts w:eastAsiaTheme="minorEastAsia"/>
                <w:color w:val="000000" w:themeColor="text1"/>
                <w:szCs w:val="21"/>
              </w:rPr>
              <w:t>0.07%</w:t>
            </w:r>
          </w:p>
        </w:tc>
        <w:tc>
          <w:tcPr>
            <w:tcW w:w="1291" w:type="dxa"/>
            <w:vAlign w:val="center"/>
          </w:tcPr>
          <w:p w:rsidR="003B4E78" w:rsidRDefault="00E71D6F">
            <w:pPr>
              <w:jc w:val="right"/>
            </w:pPr>
            <w:r>
              <w:rPr>
                <w:rFonts w:eastAsiaTheme="minorEastAsia"/>
                <w:color w:val="000000" w:themeColor="text1"/>
                <w:szCs w:val="21"/>
              </w:rPr>
              <w:t>-0.51%</w:t>
            </w:r>
          </w:p>
        </w:tc>
        <w:tc>
          <w:tcPr>
            <w:tcW w:w="1291" w:type="dxa"/>
            <w:vAlign w:val="center"/>
          </w:tcPr>
          <w:p w:rsidR="003B4E78" w:rsidRDefault="00E71D6F">
            <w:pPr>
              <w:jc w:val="right"/>
            </w:pPr>
            <w:r>
              <w:rPr>
                <w:rFonts w:eastAsiaTheme="minorEastAsia"/>
                <w:color w:val="000000" w:themeColor="text1"/>
                <w:szCs w:val="21"/>
              </w:rPr>
              <w:t>0.19%</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摩根强化回报债券</w:t>
      </w:r>
      <w:r w:rsidRPr="00B27A29">
        <w:rPr>
          <w:rFonts w:eastAsiaTheme="minorEastAsia"/>
          <w:b/>
          <w:color w:val="000000" w:themeColor="text1"/>
          <w:kern w:val="0"/>
          <w:szCs w:val="21"/>
        </w:rPr>
        <w:t>B</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lastRenderedPageBreak/>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lastRenderedPageBreak/>
              <w:t>净值增长率</w:t>
            </w:r>
            <w:r w:rsidRPr="00B27A29">
              <w:rPr>
                <w:rFonts w:eastAsiaTheme="minorEastAsia"/>
                <w:color w:val="000000" w:themeColor="text1"/>
                <w:szCs w:val="21"/>
              </w:rPr>
              <w:lastRenderedPageBreak/>
              <w:t>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lastRenderedPageBreak/>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B4E78">
        <w:tc>
          <w:tcPr>
            <w:tcW w:w="1290" w:type="dxa"/>
            <w:vAlign w:val="center"/>
          </w:tcPr>
          <w:p w:rsidR="003B4E78" w:rsidRDefault="00E71D6F">
            <w:pPr>
              <w:jc w:val="left"/>
            </w:pPr>
            <w:r>
              <w:rPr>
                <w:rFonts w:eastAsiaTheme="minorEastAsia"/>
                <w:color w:val="000000" w:themeColor="text1"/>
                <w:szCs w:val="21"/>
              </w:rPr>
              <w:t>过去三个月</w:t>
            </w:r>
          </w:p>
        </w:tc>
        <w:tc>
          <w:tcPr>
            <w:tcW w:w="1291" w:type="dxa"/>
            <w:vAlign w:val="center"/>
          </w:tcPr>
          <w:p w:rsidR="003B4E78" w:rsidRDefault="00E71D6F">
            <w:pPr>
              <w:jc w:val="right"/>
            </w:pPr>
            <w:r>
              <w:rPr>
                <w:rFonts w:eastAsiaTheme="minorEastAsia"/>
                <w:color w:val="000000" w:themeColor="text1"/>
                <w:szCs w:val="21"/>
              </w:rPr>
              <w:t>0.68%</w:t>
            </w:r>
          </w:p>
        </w:tc>
        <w:tc>
          <w:tcPr>
            <w:tcW w:w="1291" w:type="dxa"/>
            <w:vAlign w:val="center"/>
          </w:tcPr>
          <w:p w:rsidR="003B4E78" w:rsidRDefault="00E71D6F">
            <w:pPr>
              <w:jc w:val="right"/>
            </w:pPr>
            <w:r>
              <w:rPr>
                <w:rFonts w:eastAsiaTheme="minorEastAsia"/>
                <w:color w:val="000000" w:themeColor="text1"/>
                <w:szCs w:val="21"/>
              </w:rPr>
              <w:t>0.15%</w:t>
            </w:r>
          </w:p>
        </w:tc>
        <w:tc>
          <w:tcPr>
            <w:tcW w:w="1291" w:type="dxa"/>
            <w:vAlign w:val="center"/>
          </w:tcPr>
          <w:p w:rsidR="003B4E78" w:rsidRDefault="00E71D6F">
            <w:pPr>
              <w:jc w:val="right"/>
            </w:pPr>
            <w:r>
              <w:rPr>
                <w:rFonts w:eastAsiaTheme="minorEastAsia"/>
                <w:color w:val="000000" w:themeColor="text1"/>
                <w:szCs w:val="21"/>
              </w:rPr>
              <w:t>0.93%</w:t>
            </w:r>
          </w:p>
        </w:tc>
        <w:tc>
          <w:tcPr>
            <w:tcW w:w="1291" w:type="dxa"/>
            <w:vAlign w:val="center"/>
          </w:tcPr>
          <w:p w:rsidR="003B4E78" w:rsidRDefault="00E71D6F">
            <w:pPr>
              <w:jc w:val="right"/>
            </w:pPr>
            <w:r>
              <w:rPr>
                <w:rFonts w:eastAsiaTheme="minorEastAsia"/>
                <w:color w:val="000000" w:themeColor="text1"/>
                <w:szCs w:val="21"/>
              </w:rPr>
              <w:t>0.03%</w:t>
            </w:r>
          </w:p>
        </w:tc>
        <w:tc>
          <w:tcPr>
            <w:tcW w:w="1291" w:type="dxa"/>
            <w:vAlign w:val="center"/>
          </w:tcPr>
          <w:p w:rsidR="003B4E78" w:rsidRDefault="00E71D6F">
            <w:pPr>
              <w:jc w:val="right"/>
            </w:pPr>
            <w:r>
              <w:rPr>
                <w:rFonts w:eastAsiaTheme="minorEastAsia"/>
                <w:color w:val="000000" w:themeColor="text1"/>
                <w:szCs w:val="21"/>
              </w:rPr>
              <w:t>-0.25%</w:t>
            </w:r>
          </w:p>
        </w:tc>
        <w:tc>
          <w:tcPr>
            <w:tcW w:w="1291" w:type="dxa"/>
            <w:vAlign w:val="center"/>
          </w:tcPr>
          <w:p w:rsidR="003B4E78" w:rsidRDefault="00E71D6F">
            <w:pPr>
              <w:jc w:val="right"/>
            </w:pPr>
            <w:r>
              <w:rPr>
                <w:rFonts w:eastAsiaTheme="minorEastAsia"/>
                <w:color w:val="000000" w:themeColor="text1"/>
                <w:szCs w:val="21"/>
              </w:rPr>
              <w:t>0.12%</w:t>
            </w:r>
          </w:p>
        </w:tc>
      </w:tr>
      <w:tr w:rsidR="003B4E78">
        <w:tc>
          <w:tcPr>
            <w:tcW w:w="1290" w:type="dxa"/>
            <w:vAlign w:val="center"/>
          </w:tcPr>
          <w:p w:rsidR="003B4E78" w:rsidRDefault="00E71D6F">
            <w:pPr>
              <w:jc w:val="left"/>
            </w:pPr>
            <w:r>
              <w:rPr>
                <w:rFonts w:eastAsiaTheme="minorEastAsia"/>
                <w:color w:val="000000" w:themeColor="text1"/>
                <w:szCs w:val="21"/>
              </w:rPr>
              <w:t>过去六个月</w:t>
            </w:r>
          </w:p>
        </w:tc>
        <w:tc>
          <w:tcPr>
            <w:tcW w:w="1291" w:type="dxa"/>
            <w:vAlign w:val="center"/>
          </w:tcPr>
          <w:p w:rsidR="003B4E78" w:rsidRDefault="00E71D6F">
            <w:pPr>
              <w:jc w:val="right"/>
            </w:pPr>
            <w:r>
              <w:rPr>
                <w:rFonts w:eastAsiaTheme="minorEastAsia"/>
                <w:color w:val="000000" w:themeColor="text1"/>
                <w:szCs w:val="21"/>
              </w:rPr>
              <w:t>1.20%</w:t>
            </w:r>
          </w:p>
        </w:tc>
        <w:tc>
          <w:tcPr>
            <w:tcW w:w="1291" w:type="dxa"/>
            <w:vAlign w:val="center"/>
          </w:tcPr>
          <w:p w:rsidR="003B4E78" w:rsidRDefault="00E71D6F">
            <w:pPr>
              <w:jc w:val="right"/>
            </w:pPr>
            <w:r>
              <w:rPr>
                <w:rFonts w:eastAsiaTheme="minorEastAsia"/>
                <w:color w:val="000000" w:themeColor="text1"/>
                <w:szCs w:val="21"/>
              </w:rPr>
              <w:t>0.15%</w:t>
            </w:r>
          </w:p>
        </w:tc>
        <w:tc>
          <w:tcPr>
            <w:tcW w:w="1291" w:type="dxa"/>
            <w:vAlign w:val="center"/>
          </w:tcPr>
          <w:p w:rsidR="003B4E78" w:rsidRDefault="00E71D6F">
            <w:pPr>
              <w:jc w:val="right"/>
            </w:pPr>
            <w:r>
              <w:rPr>
                <w:rFonts w:eastAsiaTheme="minorEastAsia"/>
                <w:color w:val="000000" w:themeColor="text1"/>
                <w:szCs w:val="21"/>
              </w:rPr>
              <w:t>0.89%</w:t>
            </w:r>
          </w:p>
        </w:tc>
        <w:tc>
          <w:tcPr>
            <w:tcW w:w="1291" w:type="dxa"/>
            <w:vAlign w:val="center"/>
          </w:tcPr>
          <w:p w:rsidR="003B4E78" w:rsidRDefault="00E71D6F">
            <w:pPr>
              <w:jc w:val="right"/>
            </w:pPr>
            <w:r>
              <w:rPr>
                <w:rFonts w:eastAsiaTheme="minorEastAsia"/>
                <w:color w:val="000000" w:themeColor="text1"/>
                <w:szCs w:val="21"/>
              </w:rPr>
              <w:t>0.06%</w:t>
            </w:r>
          </w:p>
        </w:tc>
        <w:tc>
          <w:tcPr>
            <w:tcW w:w="1291" w:type="dxa"/>
            <w:vAlign w:val="center"/>
          </w:tcPr>
          <w:p w:rsidR="003B4E78" w:rsidRDefault="00E71D6F">
            <w:pPr>
              <w:jc w:val="right"/>
            </w:pPr>
            <w:r>
              <w:rPr>
                <w:rFonts w:eastAsiaTheme="minorEastAsia"/>
                <w:color w:val="000000" w:themeColor="text1"/>
                <w:szCs w:val="21"/>
              </w:rPr>
              <w:t>0.31%</w:t>
            </w:r>
          </w:p>
        </w:tc>
        <w:tc>
          <w:tcPr>
            <w:tcW w:w="1291" w:type="dxa"/>
            <w:vAlign w:val="center"/>
          </w:tcPr>
          <w:p w:rsidR="003B4E78" w:rsidRDefault="00E71D6F">
            <w:pPr>
              <w:jc w:val="right"/>
            </w:pPr>
            <w:r>
              <w:rPr>
                <w:rFonts w:eastAsiaTheme="minorEastAsia"/>
                <w:color w:val="000000" w:themeColor="text1"/>
                <w:szCs w:val="21"/>
              </w:rPr>
              <w:t>0.09%</w:t>
            </w:r>
          </w:p>
        </w:tc>
      </w:tr>
      <w:tr w:rsidR="003B4E78">
        <w:tc>
          <w:tcPr>
            <w:tcW w:w="1290" w:type="dxa"/>
            <w:vAlign w:val="center"/>
          </w:tcPr>
          <w:p w:rsidR="003B4E78" w:rsidRDefault="00E71D6F">
            <w:pPr>
              <w:jc w:val="left"/>
            </w:pPr>
            <w:r>
              <w:rPr>
                <w:rFonts w:eastAsiaTheme="minorEastAsia"/>
                <w:color w:val="000000" w:themeColor="text1"/>
                <w:szCs w:val="21"/>
              </w:rPr>
              <w:t>过去一年</w:t>
            </w:r>
          </w:p>
        </w:tc>
        <w:tc>
          <w:tcPr>
            <w:tcW w:w="1291" w:type="dxa"/>
            <w:vAlign w:val="center"/>
          </w:tcPr>
          <w:p w:rsidR="003B4E78" w:rsidRDefault="00E71D6F">
            <w:pPr>
              <w:jc w:val="right"/>
            </w:pPr>
            <w:r>
              <w:rPr>
                <w:rFonts w:eastAsiaTheme="minorEastAsia"/>
                <w:color w:val="000000" w:themeColor="text1"/>
                <w:szCs w:val="21"/>
              </w:rPr>
              <w:t>2.23%</w:t>
            </w:r>
          </w:p>
        </w:tc>
        <w:tc>
          <w:tcPr>
            <w:tcW w:w="1291" w:type="dxa"/>
            <w:vAlign w:val="center"/>
          </w:tcPr>
          <w:p w:rsidR="003B4E78" w:rsidRDefault="00E71D6F">
            <w:pPr>
              <w:jc w:val="right"/>
            </w:pPr>
            <w:r>
              <w:rPr>
                <w:rFonts w:eastAsiaTheme="minorEastAsia"/>
                <w:color w:val="000000" w:themeColor="text1"/>
                <w:szCs w:val="21"/>
              </w:rPr>
              <w:t>0.18%</w:t>
            </w:r>
          </w:p>
        </w:tc>
        <w:tc>
          <w:tcPr>
            <w:tcW w:w="1291" w:type="dxa"/>
            <w:vAlign w:val="center"/>
          </w:tcPr>
          <w:p w:rsidR="003B4E78" w:rsidRDefault="00E71D6F">
            <w:pPr>
              <w:jc w:val="right"/>
            </w:pPr>
            <w:r>
              <w:rPr>
                <w:rFonts w:eastAsiaTheme="minorEastAsia"/>
                <w:color w:val="000000" w:themeColor="text1"/>
                <w:szCs w:val="21"/>
              </w:rPr>
              <w:t>3.49%</w:t>
            </w:r>
          </w:p>
        </w:tc>
        <w:tc>
          <w:tcPr>
            <w:tcW w:w="1291" w:type="dxa"/>
            <w:vAlign w:val="center"/>
          </w:tcPr>
          <w:p w:rsidR="003B4E78" w:rsidRDefault="00E71D6F">
            <w:pPr>
              <w:jc w:val="right"/>
            </w:pPr>
            <w:r>
              <w:rPr>
                <w:rFonts w:eastAsiaTheme="minorEastAsia"/>
                <w:color w:val="000000" w:themeColor="text1"/>
                <w:szCs w:val="21"/>
              </w:rPr>
              <w:t>0.05%</w:t>
            </w:r>
          </w:p>
        </w:tc>
        <w:tc>
          <w:tcPr>
            <w:tcW w:w="1291" w:type="dxa"/>
            <w:vAlign w:val="center"/>
          </w:tcPr>
          <w:p w:rsidR="003B4E78" w:rsidRDefault="00E71D6F">
            <w:pPr>
              <w:jc w:val="right"/>
            </w:pPr>
            <w:r>
              <w:rPr>
                <w:rFonts w:eastAsiaTheme="minorEastAsia"/>
                <w:color w:val="000000" w:themeColor="text1"/>
                <w:szCs w:val="21"/>
              </w:rPr>
              <w:t>-1.26%</w:t>
            </w:r>
          </w:p>
        </w:tc>
        <w:tc>
          <w:tcPr>
            <w:tcW w:w="1291" w:type="dxa"/>
            <w:vAlign w:val="center"/>
          </w:tcPr>
          <w:p w:rsidR="003B4E78" w:rsidRDefault="00E71D6F">
            <w:pPr>
              <w:jc w:val="right"/>
            </w:pPr>
            <w:r>
              <w:rPr>
                <w:rFonts w:eastAsiaTheme="minorEastAsia"/>
                <w:color w:val="000000" w:themeColor="text1"/>
                <w:szCs w:val="21"/>
              </w:rPr>
              <w:t>0.13%</w:t>
            </w:r>
          </w:p>
        </w:tc>
      </w:tr>
      <w:tr w:rsidR="003B4E78">
        <w:tc>
          <w:tcPr>
            <w:tcW w:w="1290" w:type="dxa"/>
            <w:vAlign w:val="center"/>
          </w:tcPr>
          <w:p w:rsidR="003B4E78" w:rsidRDefault="00E71D6F">
            <w:pPr>
              <w:jc w:val="left"/>
            </w:pPr>
            <w:r>
              <w:rPr>
                <w:rFonts w:eastAsiaTheme="minorEastAsia"/>
                <w:color w:val="000000" w:themeColor="text1"/>
                <w:szCs w:val="21"/>
              </w:rPr>
              <w:t>过去三年</w:t>
            </w:r>
          </w:p>
        </w:tc>
        <w:tc>
          <w:tcPr>
            <w:tcW w:w="1291" w:type="dxa"/>
            <w:vAlign w:val="center"/>
          </w:tcPr>
          <w:p w:rsidR="003B4E78" w:rsidRDefault="00E71D6F">
            <w:pPr>
              <w:jc w:val="right"/>
            </w:pPr>
            <w:r>
              <w:rPr>
                <w:rFonts w:eastAsiaTheme="minorEastAsia"/>
                <w:color w:val="000000" w:themeColor="text1"/>
                <w:szCs w:val="21"/>
              </w:rPr>
              <w:t>9.10%</w:t>
            </w:r>
          </w:p>
        </w:tc>
        <w:tc>
          <w:tcPr>
            <w:tcW w:w="1291" w:type="dxa"/>
            <w:vAlign w:val="center"/>
          </w:tcPr>
          <w:p w:rsidR="003B4E78" w:rsidRDefault="00E71D6F">
            <w:pPr>
              <w:jc w:val="right"/>
            </w:pPr>
            <w:r>
              <w:rPr>
                <w:rFonts w:eastAsiaTheme="minorEastAsia"/>
                <w:color w:val="000000" w:themeColor="text1"/>
                <w:szCs w:val="21"/>
              </w:rPr>
              <w:t>0.15%</w:t>
            </w:r>
          </w:p>
        </w:tc>
        <w:tc>
          <w:tcPr>
            <w:tcW w:w="1291" w:type="dxa"/>
            <w:vAlign w:val="center"/>
          </w:tcPr>
          <w:p w:rsidR="003B4E78" w:rsidRDefault="00E71D6F">
            <w:pPr>
              <w:jc w:val="right"/>
            </w:pPr>
            <w:r>
              <w:rPr>
                <w:rFonts w:eastAsiaTheme="minorEastAsia"/>
                <w:color w:val="000000" w:themeColor="text1"/>
                <w:szCs w:val="21"/>
              </w:rPr>
              <w:t>10.14%</w:t>
            </w:r>
          </w:p>
        </w:tc>
        <w:tc>
          <w:tcPr>
            <w:tcW w:w="1291" w:type="dxa"/>
            <w:vAlign w:val="center"/>
          </w:tcPr>
          <w:p w:rsidR="003B4E78" w:rsidRDefault="00E71D6F">
            <w:pPr>
              <w:jc w:val="right"/>
            </w:pPr>
            <w:r>
              <w:rPr>
                <w:rFonts w:eastAsiaTheme="minorEastAsia"/>
                <w:color w:val="000000" w:themeColor="text1"/>
                <w:szCs w:val="21"/>
              </w:rPr>
              <w:t>0.06%</w:t>
            </w:r>
          </w:p>
        </w:tc>
        <w:tc>
          <w:tcPr>
            <w:tcW w:w="1291" w:type="dxa"/>
            <w:vAlign w:val="center"/>
          </w:tcPr>
          <w:p w:rsidR="003B4E78" w:rsidRDefault="00E71D6F">
            <w:pPr>
              <w:jc w:val="right"/>
            </w:pPr>
            <w:r>
              <w:rPr>
                <w:rFonts w:eastAsiaTheme="minorEastAsia"/>
                <w:color w:val="000000" w:themeColor="text1"/>
                <w:szCs w:val="21"/>
              </w:rPr>
              <w:t>-1.04%</w:t>
            </w:r>
          </w:p>
        </w:tc>
        <w:tc>
          <w:tcPr>
            <w:tcW w:w="1291" w:type="dxa"/>
            <w:vAlign w:val="center"/>
          </w:tcPr>
          <w:p w:rsidR="003B4E78" w:rsidRDefault="00E71D6F">
            <w:pPr>
              <w:jc w:val="right"/>
            </w:pPr>
            <w:r>
              <w:rPr>
                <w:rFonts w:eastAsiaTheme="minorEastAsia"/>
                <w:color w:val="000000" w:themeColor="text1"/>
                <w:szCs w:val="21"/>
              </w:rPr>
              <w:t>0.09%</w:t>
            </w:r>
          </w:p>
        </w:tc>
      </w:tr>
      <w:tr w:rsidR="003B4E78">
        <w:tc>
          <w:tcPr>
            <w:tcW w:w="1290" w:type="dxa"/>
            <w:vAlign w:val="center"/>
          </w:tcPr>
          <w:p w:rsidR="003B4E78" w:rsidRDefault="00E71D6F">
            <w:pPr>
              <w:jc w:val="left"/>
            </w:pPr>
            <w:r>
              <w:rPr>
                <w:rFonts w:eastAsiaTheme="minorEastAsia"/>
                <w:color w:val="000000" w:themeColor="text1"/>
                <w:szCs w:val="21"/>
              </w:rPr>
              <w:t>过去五年</w:t>
            </w:r>
          </w:p>
        </w:tc>
        <w:tc>
          <w:tcPr>
            <w:tcW w:w="1291" w:type="dxa"/>
            <w:vAlign w:val="center"/>
          </w:tcPr>
          <w:p w:rsidR="003B4E78" w:rsidRDefault="00E71D6F">
            <w:pPr>
              <w:jc w:val="right"/>
            </w:pPr>
            <w:r>
              <w:rPr>
                <w:rFonts w:eastAsiaTheme="minorEastAsia"/>
                <w:color w:val="000000" w:themeColor="text1"/>
                <w:szCs w:val="21"/>
              </w:rPr>
              <w:t>19.74%</w:t>
            </w:r>
          </w:p>
        </w:tc>
        <w:tc>
          <w:tcPr>
            <w:tcW w:w="1291" w:type="dxa"/>
            <w:vAlign w:val="center"/>
          </w:tcPr>
          <w:p w:rsidR="003B4E78" w:rsidRDefault="00E71D6F">
            <w:pPr>
              <w:jc w:val="right"/>
            </w:pPr>
            <w:r>
              <w:rPr>
                <w:rFonts w:eastAsiaTheme="minorEastAsia"/>
                <w:color w:val="000000" w:themeColor="text1"/>
                <w:szCs w:val="21"/>
              </w:rPr>
              <w:t>0.18%</w:t>
            </w:r>
          </w:p>
        </w:tc>
        <w:tc>
          <w:tcPr>
            <w:tcW w:w="1291" w:type="dxa"/>
            <w:vAlign w:val="center"/>
          </w:tcPr>
          <w:p w:rsidR="003B4E78" w:rsidRDefault="00E71D6F">
            <w:pPr>
              <w:jc w:val="right"/>
            </w:pPr>
            <w:r>
              <w:rPr>
                <w:rFonts w:eastAsiaTheme="minorEastAsia"/>
                <w:color w:val="000000" w:themeColor="text1"/>
                <w:szCs w:val="21"/>
              </w:rPr>
              <w:t>25.32%</w:t>
            </w:r>
          </w:p>
        </w:tc>
        <w:tc>
          <w:tcPr>
            <w:tcW w:w="1291" w:type="dxa"/>
            <w:vAlign w:val="center"/>
          </w:tcPr>
          <w:p w:rsidR="003B4E78" w:rsidRDefault="00E71D6F">
            <w:pPr>
              <w:jc w:val="right"/>
            </w:pPr>
            <w:r>
              <w:rPr>
                <w:rFonts w:eastAsiaTheme="minorEastAsia"/>
                <w:color w:val="000000" w:themeColor="text1"/>
                <w:szCs w:val="21"/>
              </w:rPr>
              <w:t>0.06%</w:t>
            </w:r>
          </w:p>
        </w:tc>
        <w:tc>
          <w:tcPr>
            <w:tcW w:w="1291" w:type="dxa"/>
            <w:vAlign w:val="center"/>
          </w:tcPr>
          <w:p w:rsidR="003B4E78" w:rsidRDefault="00E71D6F">
            <w:pPr>
              <w:jc w:val="right"/>
            </w:pPr>
            <w:r>
              <w:rPr>
                <w:rFonts w:eastAsiaTheme="minorEastAsia"/>
                <w:color w:val="000000" w:themeColor="text1"/>
                <w:szCs w:val="21"/>
              </w:rPr>
              <w:t>-5.58%</w:t>
            </w:r>
          </w:p>
        </w:tc>
        <w:tc>
          <w:tcPr>
            <w:tcW w:w="1291" w:type="dxa"/>
            <w:vAlign w:val="center"/>
          </w:tcPr>
          <w:p w:rsidR="003B4E78" w:rsidRDefault="00E71D6F">
            <w:pPr>
              <w:jc w:val="right"/>
            </w:pPr>
            <w:r>
              <w:rPr>
                <w:rFonts w:eastAsiaTheme="minorEastAsia"/>
                <w:color w:val="000000" w:themeColor="text1"/>
                <w:szCs w:val="21"/>
              </w:rPr>
              <w:t>0.12%</w:t>
            </w:r>
          </w:p>
        </w:tc>
      </w:tr>
      <w:tr w:rsidR="003B4E78">
        <w:tc>
          <w:tcPr>
            <w:tcW w:w="1290" w:type="dxa"/>
            <w:vAlign w:val="center"/>
          </w:tcPr>
          <w:p w:rsidR="003B4E78" w:rsidRDefault="00E71D6F">
            <w:pPr>
              <w:jc w:val="left"/>
            </w:pPr>
            <w:r>
              <w:rPr>
                <w:rFonts w:eastAsiaTheme="minorEastAsia"/>
                <w:color w:val="000000" w:themeColor="text1"/>
                <w:szCs w:val="21"/>
              </w:rPr>
              <w:t>自基金合同生效起至今</w:t>
            </w:r>
          </w:p>
        </w:tc>
        <w:tc>
          <w:tcPr>
            <w:tcW w:w="1291" w:type="dxa"/>
            <w:vAlign w:val="center"/>
          </w:tcPr>
          <w:p w:rsidR="003B4E78" w:rsidRDefault="00E71D6F">
            <w:pPr>
              <w:jc w:val="right"/>
            </w:pPr>
            <w:r>
              <w:rPr>
                <w:rFonts w:eastAsiaTheme="minorEastAsia"/>
                <w:color w:val="000000" w:themeColor="text1"/>
                <w:szCs w:val="21"/>
              </w:rPr>
              <w:t>57.18%</w:t>
            </w:r>
          </w:p>
        </w:tc>
        <w:tc>
          <w:tcPr>
            <w:tcW w:w="1291" w:type="dxa"/>
            <w:vAlign w:val="center"/>
          </w:tcPr>
          <w:p w:rsidR="003B4E78" w:rsidRDefault="00E71D6F">
            <w:pPr>
              <w:jc w:val="right"/>
            </w:pPr>
            <w:r>
              <w:rPr>
                <w:rFonts w:eastAsiaTheme="minorEastAsia"/>
                <w:color w:val="000000" w:themeColor="text1"/>
                <w:szCs w:val="21"/>
              </w:rPr>
              <w:t>0.27%</w:t>
            </w:r>
          </w:p>
        </w:tc>
        <w:tc>
          <w:tcPr>
            <w:tcW w:w="1291" w:type="dxa"/>
            <w:vAlign w:val="center"/>
          </w:tcPr>
          <w:p w:rsidR="003B4E78" w:rsidRDefault="00E71D6F">
            <w:pPr>
              <w:jc w:val="right"/>
            </w:pPr>
            <w:r>
              <w:rPr>
                <w:rFonts w:eastAsiaTheme="minorEastAsia"/>
                <w:color w:val="000000" w:themeColor="text1"/>
                <w:szCs w:val="21"/>
              </w:rPr>
              <w:t>65.17%</w:t>
            </w:r>
          </w:p>
        </w:tc>
        <w:tc>
          <w:tcPr>
            <w:tcW w:w="1291" w:type="dxa"/>
            <w:vAlign w:val="center"/>
          </w:tcPr>
          <w:p w:rsidR="003B4E78" w:rsidRDefault="00E71D6F">
            <w:pPr>
              <w:jc w:val="right"/>
            </w:pPr>
            <w:r>
              <w:rPr>
                <w:rFonts w:eastAsiaTheme="minorEastAsia"/>
                <w:color w:val="000000" w:themeColor="text1"/>
                <w:szCs w:val="21"/>
              </w:rPr>
              <w:t>0.07%</w:t>
            </w:r>
          </w:p>
        </w:tc>
        <w:tc>
          <w:tcPr>
            <w:tcW w:w="1291" w:type="dxa"/>
            <w:vAlign w:val="center"/>
          </w:tcPr>
          <w:p w:rsidR="003B4E78" w:rsidRDefault="00E71D6F">
            <w:pPr>
              <w:jc w:val="right"/>
            </w:pPr>
            <w:r>
              <w:rPr>
                <w:rFonts w:eastAsiaTheme="minorEastAsia"/>
                <w:color w:val="000000" w:themeColor="text1"/>
                <w:szCs w:val="21"/>
              </w:rPr>
              <w:t>-7.99%</w:t>
            </w:r>
          </w:p>
        </w:tc>
        <w:tc>
          <w:tcPr>
            <w:tcW w:w="1291" w:type="dxa"/>
            <w:vAlign w:val="center"/>
          </w:tcPr>
          <w:p w:rsidR="003B4E78" w:rsidRDefault="00E71D6F">
            <w:pPr>
              <w:jc w:val="right"/>
            </w:pPr>
            <w:r>
              <w:rPr>
                <w:rFonts w:eastAsiaTheme="minorEastAsia"/>
                <w:color w:val="000000" w:themeColor="text1"/>
                <w:szCs w:val="21"/>
              </w:rPr>
              <w:t>0.20%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摩根强化回报债券型证券投资基金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10</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．摩根强化回报债券</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注：本基金本类份额生效日为</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日，图示的时间段为本类份额生效日至本报告期末。</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2015</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10</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中信标普全债指数</w:t>
      </w:r>
      <w:r w:rsidRPr="00B27A29">
        <w:rPr>
          <w:rFonts w:eastAsiaTheme="minorEastAsia"/>
          <w:color w:val="000000" w:themeColor="text1"/>
          <w:szCs w:val="21"/>
        </w:rPr>
        <w:t>”</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中证综合债券指数收益率</w:t>
      </w:r>
      <w:r w:rsidRPr="00B27A29">
        <w:rPr>
          <w:rFonts w:eastAsiaTheme="minorEastAsia"/>
          <w:color w:val="000000" w:themeColor="text1"/>
          <w:szCs w:val="21"/>
        </w:rPr>
        <w:t>”</w:t>
      </w:r>
      <w:r w:rsidRPr="00B27A29">
        <w:rPr>
          <w:rFonts w:eastAsiaTheme="minorEastAsia"/>
          <w:color w:val="000000" w:themeColor="text1"/>
          <w:szCs w:val="21"/>
        </w:rPr>
        <w:t>。</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lastRenderedPageBreak/>
        <w:t>2</w:t>
      </w:r>
      <w:r w:rsidRPr="00B27A29">
        <w:rPr>
          <w:rFonts w:eastAsiaTheme="minorEastAsia"/>
          <w:color w:val="000000" w:themeColor="text1"/>
          <w:szCs w:val="21"/>
        </w:rPr>
        <w:t>．摩根强化回报债券</w:t>
      </w:r>
      <w:r w:rsidRPr="00B27A29">
        <w:rPr>
          <w:rFonts w:eastAsiaTheme="minorEastAsia"/>
          <w:color w:val="000000" w:themeColor="text1"/>
          <w:szCs w:val="21"/>
        </w:rPr>
        <w:t>B</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注：本基金本类份额生效日为</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日，图示的时间段为本类份额生效日至本报告期末。</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w:t>
      </w:r>
      <w:r>
        <w:rPr>
          <w:rFonts w:eastAsiaTheme="minorEastAsia"/>
          <w:color w:val="000000" w:themeColor="text1"/>
          <w:szCs w:val="21"/>
        </w:rPr>
        <w:t>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2015</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10</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中信标普全债指数</w:t>
      </w:r>
      <w:r w:rsidRPr="00B27A29">
        <w:rPr>
          <w:rFonts w:eastAsiaTheme="minorEastAsia"/>
          <w:color w:val="000000" w:themeColor="text1"/>
          <w:szCs w:val="21"/>
        </w:rPr>
        <w:t>”</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中证综合债券指数收益率</w:t>
      </w:r>
      <w:r w:rsidRPr="00B27A29">
        <w:rPr>
          <w:rFonts w:eastAsiaTheme="minorEastAsia"/>
          <w:color w:val="000000" w:themeColor="text1"/>
          <w:szCs w:val="21"/>
        </w:rPr>
        <w:t>”</w:t>
      </w:r>
      <w:r w:rsidRPr="00B27A29">
        <w:rPr>
          <w:rFonts w:eastAsiaTheme="minorEastAsia"/>
          <w:color w:val="000000" w:themeColor="text1"/>
          <w:szCs w:val="21"/>
        </w:rPr>
        <w:t>。</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3B4E78">
        <w:tc>
          <w:tcPr>
            <w:tcW w:w="952" w:type="dxa"/>
            <w:vAlign w:val="center"/>
          </w:tcPr>
          <w:p w:rsidR="003B4E78" w:rsidRDefault="00E71D6F">
            <w:pPr>
              <w:jc w:val="center"/>
            </w:pPr>
            <w:r>
              <w:rPr>
                <w:rFonts w:eastAsiaTheme="minorEastAsia"/>
                <w:color w:val="000000" w:themeColor="text1"/>
                <w:szCs w:val="21"/>
              </w:rPr>
              <w:t>陈圆明</w:t>
            </w:r>
          </w:p>
        </w:tc>
        <w:tc>
          <w:tcPr>
            <w:tcW w:w="930" w:type="dxa"/>
            <w:vAlign w:val="center"/>
          </w:tcPr>
          <w:p w:rsidR="003B4E78" w:rsidRDefault="00E71D6F">
            <w:pPr>
              <w:jc w:val="center"/>
            </w:pPr>
            <w:r>
              <w:rPr>
                <w:rFonts w:eastAsiaTheme="minorEastAsia"/>
                <w:color w:val="000000" w:themeColor="text1"/>
                <w:szCs w:val="21"/>
              </w:rPr>
              <w:t>本基金基金经理、绝对收益投资部总监</w:t>
            </w:r>
          </w:p>
        </w:tc>
        <w:tc>
          <w:tcPr>
            <w:tcW w:w="1210" w:type="dxa"/>
            <w:vAlign w:val="center"/>
          </w:tcPr>
          <w:p w:rsidR="003B4E78" w:rsidRDefault="00E71D6F">
            <w:pPr>
              <w:jc w:val="center"/>
            </w:pPr>
            <w:r>
              <w:rPr>
                <w:rFonts w:eastAsiaTheme="minorEastAsia"/>
                <w:color w:val="000000" w:themeColor="text1"/>
                <w:szCs w:val="21"/>
              </w:rPr>
              <w:t>2019-11-15</w:t>
            </w:r>
          </w:p>
        </w:tc>
        <w:tc>
          <w:tcPr>
            <w:tcW w:w="1309" w:type="dxa"/>
            <w:vAlign w:val="center"/>
          </w:tcPr>
          <w:p w:rsidR="003B4E78" w:rsidRDefault="00E71D6F">
            <w:pPr>
              <w:jc w:val="center"/>
            </w:pPr>
            <w:r>
              <w:rPr>
                <w:rFonts w:eastAsiaTheme="minorEastAsia"/>
                <w:color w:val="000000" w:themeColor="text1"/>
                <w:szCs w:val="21"/>
              </w:rPr>
              <w:t>-</w:t>
            </w:r>
          </w:p>
        </w:tc>
        <w:tc>
          <w:tcPr>
            <w:tcW w:w="1254" w:type="dxa"/>
            <w:vAlign w:val="center"/>
          </w:tcPr>
          <w:p w:rsidR="003B4E78" w:rsidRDefault="00E71D6F">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3B4E78" w:rsidRDefault="00E71D6F">
            <w:r>
              <w:rPr>
                <w:rFonts w:eastAsiaTheme="minorEastAsia"/>
                <w:color w:val="000000" w:themeColor="text1"/>
                <w:szCs w:val="21"/>
              </w:rPr>
              <w:t>陈圆明先生曾任东海证券有限责任公司研究员，国联安基金管理有限公司研究员，国投瑞银基金管理有限公司研究员、投资经理，鹏华基金管理有限公司投资经理、绝对收益副总监。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月起加入摩根基金管理（中国）有限公司（原</w:t>
            </w:r>
            <w:r>
              <w:rPr>
                <w:rFonts w:eastAsiaTheme="minorEastAsia"/>
                <w:color w:val="000000" w:themeColor="text1"/>
                <w:szCs w:val="21"/>
              </w:rPr>
              <w:lastRenderedPageBreak/>
              <w:t>上投摩根基金管理有限公司），现担任绝对收益投资部总监兼资深基金经理。</w:t>
            </w:r>
          </w:p>
        </w:tc>
      </w:tr>
      <w:tr w:rsidR="003B4E78">
        <w:tc>
          <w:tcPr>
            <w:tcW w:w="952" w:type="dxa"/>
            <w:vAlign w:val="center"/>
          </w:tcPr>
          <w:p w:rsidR="003B4E78" w:rsidRDefault="00E71D6F">
            <w:pPr>
              <w:jc w:val="center"/>
            </w:pPr>
            <w:r>
              <w:rPr>
                <w:rFonts w:eastAsiaTheme="minorEastAsia"/>
                <w:color w:val="000000" w:themeColor="text1"/>
                <w:szCs w:val="21"/>
              </w:rPr>
              <w:lastRenderedPageBreak/>
              <w:t>王娟</w:t>
            </w:r>
          </w:p>
        </w:tc>
        <w:tc>
          <w:tcPr>
            <w:tcW w:w="930" w:type="dxa"/>
            <w:vAlign w:val="center"/>
          </w:tcPr>
          <w:p w:rsidR="003B4E78" w:rsidRDefault="00E71D6F">
            <w:pPr>
              <w:jc w:val="center"/>
            </w:pPr>
            <w:r>
              <w:rPr>
                <w:rFonts w:eastAsiaTheme="minorEastAsia"/>
                <w:color w:val="000000" w:themeColor="text1"/>
                <w:szCs w:val="21"/>
              </w:rPr>
              <w:t>本基金基金经理</w:t>
            </w:r>
          </w:p>
        </w:tc>
        <w:tc>
          <w:tcPr>
            <w:tcW w:w="1210" w:type="dxa"/>
            <w:vAlign w:val="center"/>
          </w:tcPr>
          <w:p w:rsidR="003B4E78" w:rsidRDefault="00E71D6F">
            <w:pPr>
              <w:jc w:val="center"/>
            </w:pPr>
            <w:r>
              <w:rPr>
                <w:rFonts w:eastAsiaTheme="minorEastAsia"/>
                <w:color w:val="000000" w:themeColor="text1"/>
                <w:szCs w:val="21"/>
              </w:rPr>
              <w:t>2022-11-25</w:t>
            </w:r>
          </w:p>
        </w:tc>
        <w:tc>
          <w:tcPr>
            <w:tcW w:w="1309" w:type="dxa"/>
            <w:vAlign w:val="center"/>
          </w:tcPr>
          <w:p w:rsidR="003B4E78" w:rsidRDefault="00E71D6F">
            <w:pPr>
              <w:jc w:val="center"/>
            </w:pPr>
            <w:r>
              <w:rPr>
                <w:rFonts w:eastAsiaTheme="minorEastAsia"/>
                <w:color w:val="000000" w:themeColor="text1"/>
                <w:szCs w:val="21"/>
              </w:rPr>
              <w:t>-</w:t>
            </w:r>
          </w:p>
        </w:tc>
        <w:tc>
          <w:tcPr>
            <w:tcW w:w="1254" w:type="dxa"/>
            <w:vAlign w:val="center"/>
          </w:tcPr>
          <w:p w:rsidR="003B4E78" w:rsidRDefault="00E71D6F">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3B4E78" w:rsidRDefault="00E71D6F">
            <w:r>
              <w:rPr>
                <w:rFonts w:eastAsiaTheme="minorEastAsia"/>
                <w:color w:val="000000" w:themeColor="text1"/>
                <w:szCs w:val="21"/>
              </w:rPr>
              <w:t>王娟女士曾任海通期货有限公司研究所金融期货部经理，中国农业银行金融市场部投资经理，尚腾资本管理有限公司投资经理；自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月加入摩根基金管理（中国）有限公司（原上投摩根基金管理有限公司），历任绝对收益投资部基金经理助理，现任基金经理。</w:t>
            </w:r>
          </w:p>
        </w:tc>
      </w:tr>
    </w:tbl>
    <w:p w:rsidR="003B4E78" w:rsidRDefault="00E71D6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szCs w:val="21"/>
        </w:rPr>
        <w:t>，本公司通过对手库控制和交易室询价机制，严格防范对手风险并检查价格公允性；对于申购投资行为，本公司遵循价格优先、比例分配的原则，根据事前独立申报的价格和数量对交易结果进行公平分配。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w:t>
      </w:r>
      <w:r w:rsidRPr="00B27A29">
        <w:rPr>
          <w:rFonts w:eastAsiaTheme="minorEastAsia"/>
          <w:color w:val="000000" w:themeColor="text1"/>
          <w:szCs w:val="21"/>
        </w:rPr>
        <w:lastRenderedPageBreak/>
        <w:t>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资金面，</w:t>
      </w:r>
      <w:r>
        <w:rPr>
          <w:rFonts w:eastAsiaTheme="minorEastAsia"/>
          <w:color w:val="000000" w:themeColor="text1"/>
          <w:szCs w:val="21"/>
        </w:rPr>
        <w:t xml:space="preserve"> 2021</w:t>
      </w:r>
      <w:r>
        <w:rPr>
          <w:rFonts w:eastAsiaTheme="minorEastAsia"/>
          <w:color w:val="000000" w:themeColor="text1"/>
          <w:szCs w:val="21"/>
        </w:rPr>
        <w:t>年和</w:t>
      </w:r>
      <w:r>
        <w:rPr>
          <w:rFonts w:eastAsiaTheme="minorEastAsia"/>
          <w:color w:val="000000" w:themeColor="text1"/>
          <w:szCs w:val="21"/>
        </w:rPr>
        <w:t>2022</w:t>
      </w:r>
      <w:r>
        <w:rPr>
          <w:rFonts w:eastAsiaTheme="minorEastAsia"/>
          <w:color w:val="000000" w:themeColor="text1"/>
          <w:szCs w:val="21"/>
        </w:rPr>
        <w:t>年部分中小微企业继续延缓缴纳部分税费，递延到今年的</w:t>
      </w:r>
      <w:r>
        <w:rPr>
          <w:rFonts w:eastAsiaTheme="minorEastAsia"/>
          <w:color w:val="000000" w:themeColor="text1"/>
          <w:szCs w:val="21"/>
        </w:rPr>
        <w:t>1-5</w:t>
      </w:r>
      <w:r>
        <w:rPr>
          <w:rFonts w:eastAsiaTheme="minorEastAsia"/>
          <w:color w:val="000000" w:themeColor="text1"/>
          <w:szCs w:val="21"/>
        </w:rPr>
        <w:t>月，补缴税对资金面的影响持续到</w:t>
      </w:r>
      <w:r>
        <w:rPr>
          <w:rFonts w:eastAsiaTheme="minorEastAsia"/>
          <w:color w:val="000000" w:themeColor="text1"/>
          <w:szCs w:val="21"/>
        </w:rPr>
        <w:t>5</w:t>
      </w:r>
      <w:r>
        <w:rPr>
          <w:rFonts w:eastAsiaTheme="minorEastAsia"/>
          <w:color w:val="000000" w:themeColor="text1"/>
          <w:szCs w:val="21"/>
        </w:rPr>
        <w:t>月份，压力最大的月份是</w:t>
      </w:r>
      <w:r>
        <w:rPr>
          <w:rFonts w:eastAsiaTheme="minorEastAsia"/>
          <w:color w:val="000000" w:themeColor="text1"/>
          <w:szCs w:val="21"/>
        </w:rPr>
        <w:t>2</w:t>
      </w:r>
      <w:r>
        <w:rPr>
          <w:rFonts w:eastAsiaTheme="minorEastAsia"/>
          <w:color w:val="000000" w:themeColor="text1"/>
          <w:szCs w:val="21"/>
        </w:rPr>
        <w:t>月份。理财产品</w:t>
      </w:r>
      <w:r>
        <w:rPr>
          <w:rFonts w:eastAsiaTheme="minorEastAsia"/>
          <w:color w:val="000000" w:themeColor="text1"/>
          <w:szCs w:val="21"/>
        </w:rPr>
        <w:t>3</w:t>
      </w:r>
      <w:r>
        <w:rPr>
          <w:rFonts w:eastAsiaTheme="minorEastAsia"/>
          <w:color w:val="000000" w:themeColor="text1"/>
          <w:szCs w:val="21"/>
        </w:rPr>
        <w:t>月以来在债券二级市场保持净买入债券资产。央行降准</w:t>
      </w:r>
      <w:r>
        <w:rPr>
          <w:rFonts w:eastAsiaTheme="minorEastAsia"/>
          <w:color w:val="000000" w:themeColor="text1"/>
          <w:szCs w:val="21"/>
        </w:rPr>
        <w:t>0.25</w:t>
      </w:r>
      <w:r>
        <w:rPr>
          <w:rFonts w:eastAsiaTheme="minorEastAsia"/>
          <w:color w:val="000000" w:themeColor="text1"/>
          <w:szCs w:val="21"/>
        </w:rPr>
        <w:t>个百分点，目的在于缓和银行间流动性压力，有助于对实体部门的信贷投放。</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基本面，今年以来，</w:t>
      </w:r>
      <w:r>
        <w:rPr>
          <w:rFonts w:eastAsiaTheme="minorEastAsia"/>
          <w:color w:val="000000" w:themeColor="text1"/>
          <w:szCs w:val="21"/>
        </w:rPr>
        <w:t>1</w:t>
      </w:r>
      <w:r>
        <w:rPr>
          <w:rFonts w:eastAsiaTheme="minorEastAsia"/>
          <w:color w:val="000000" w:themeColor="text1"/>
          <w:szCs w:val="21"/>
        </w:rPr>
        <w:t>个月国股票据利率走势强于去年同期，信贷靠前投放。前两个月人民币</w:t>
      </w:r>
      <w:r>
        <w:rPr>
          <w:rFonts w:eastAsiaTheme="minorEastAsia"/>
          <w:color w:val="000000" w:themeColor="text1"/>
          <w:szCs w:val="21"/>
        </w:rPr>
        <w:t>贷款同比多增</w:t>
      </w:r>
      <w:r>
        <w:rPr>
          <w:rFonts w:eastAsiaTheme="minorEastAsia"/>
          <w:color w:val="000000" w:themeColor="text1"/>
          <w:szCs w:val="21"/>
        </w:rPr>
        <w:t>1.5</w:t>
      </w:r>
      <w:r>
        <w:rPr>
          <w:rFonts w:eastAsiaTheme="minorEastAsia"/>
          <w:color w:val="000000" w:themeColor="text1"/>
          <w:szCs w:val="21"/>
        </w:rPr>
        <w:t>万亿，中长期贷款同比多增</w:t>
      </w:r>
      <w:r>
        <w:rPr>
          <w:rFonts w:eastAsiaTheme="minorEastAsia"/>
          <w:color w:val="000000" w:themeColor="text1"/>
          <w:szCs w:val="21"/>
        </w:rPr>
        <w:t>1.6</w:t>
      </w:r>
      <w:r>
        <w:rPr>
          <w:rFonts w:eastAsiaTheme="minorEastAsia"/>
          <w:color w:val="000000" w:themeColor="text1"/>
          <w:szCs w:val="21"/>
        </w:rPr>
        <w:t>万亿，企业中长期贷款同比多增</w:t>
      </w:r>
      <w:r>
        <w:rPr>
          <w:rFonts w:eastAsiaTheme="minorEastAsia"/>
          <w:color w:val="000000" w:themeColor="text1"/>
          <w:szCs w:val="21"/>
        </w:rPr>
        <w:t>2</w:t>
      </w:r>
      <w:r>
        <w:rPr>
          <w:rFonts w:eastAsiaTheme="minorEastAsia"/>
          <w:color w:val="000000" w:themeColor="text1"/>
          <w:szCs w:val="21"/>
        </w:rPr>
        <w:t>万亿。</w:t>
      </w:r>
      <w:r>
        <w:rPr>
          <w:rFonts w:eastAsiaTheme="minorEastAsia"/>
          <w:color w:val="000000" w:themeColor="text1"/>
          <w:szCs w:val="21"/>
        </w:rPr>
        <w:t>2</w:t>
      </w:r>
      <w:r>
        <w:rPr>
          <w:rFonts w:eastAsiaTheme="minorEastAsia"/>
          <w:color w:val="000000" w:themeColor="text1"/>
          <w:szCs w:val="21"/>
        </w:rPr>
        <w:t>月份，居民部门债务余额增速同比回升，企业部门自去年</w:t>
      </w:r>
      <w:r>
        <w:rPr>
          <w:rFonts w:eastAsiaTheme="minorEastAsia"/>
          <w:color w:val="000000" w:themeColor="text1"/>
          <w:szCs w:val="21"/>
        </w:rPr>
        <w:t>8</w:t>
      </w:r>
      <w:r>
        <w:rPr>
          <w:rFonts w:eastAsiaTheme="minorEastAsia"/>
          <w:color w:val="000000" w:themeColor="text1"/>
          <w:szCs w:val="21"/>
        </w:rPr>
        <w:t>月份以来持续加杠杆。</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季度，城镇居民可支配收入同比增速见底。后续重点关注居民部门是否重启加杠杆。信用债融资好转，信用债存量与城投债存量自今年</w:t>
      </w:r>
      <w:r>
        <w:rPr>
          <w:rFonts w:eastAsiaTheme="minorEastAsia"/>
          <w:color w:val="000000" w:themeColor="text1"/>
          <w:szCs w:val="21"/>
        </w:rPr>
        <w:t>1</w:t>
      </w:r>
      <w:r>
        <w:rPr>
          <w:rFonts w:eastAsiaTheme="minorEastAsia"/>
          <w:color w:val="000000" w:themeColor="text1"/>
          <w:szCs w:val="21"/>
        </w:rPr>
        <w:t>月见底回升。</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操作层面，债券方面，我们维持短久期策略，对</w:t>
      </w:r>
      <w:r>
        <w:rPr>
          <w:rFonts w:eastAsiaTheme="minorEastAsia"/>
          <w:color w:val="000000" w:themeColor="text1"/>
          <w:szCs w:val="21"/>
        </w:rPr>
        <w:t>1</w:t>
      </w:r>
      <w:r>
        <w:rPr>
          <w:rFonts w:eastAsiaTheme="minorEastAsia"/>
          <w:color w:val="000000" w:themeColor="text1"/>
          <w:szCs w:val="21"/>
        </w:rPr>
        <w:t>年以内券种按性价比进行了调整。权益方面，依然以政策发力方向主要配置方向，增持了</w:t>
      </w:r>
      <w:r>
        <w:rPr>
          <w:rFonts w:eastAsiaTheme="minorEastAsia"/>
          <w:color w:val="000000" w:themeColor="text1"/>
          <w:szCs w:val="21"/>
        </w:rPr>
        <w:t>TMT</w:t>
      </w:r>
      <w:r>
        <w:rPr>
          <w:rFonts w:eastAsiaTheme="minorEastAsia"/>
          <w:color w:val="000000" w:themeColor="text1"/>
          <w:szCs w:val="21"/>
        </w:rPr>
        <w:t>等相关的标的。</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经济修复的持续性可能是二季度股票和债市交易的关键因素。政策仍呈现前置发力的特征，在财政发力背景下，企业中长期贷款有望继续维持高增，并对信贷构成较强支撑。债券方面，保持短久期和适度的流动性，我们考虑继续维持短久期策略，对</w:t>
      </w:r>
      <w:r w:rsidRPr="00B27A29">
        <w:rPr>
          <w:rFonts w:eastAsiaTheme="minorEastAsia"/>
          <w:color w:val="000000" w:themeColor="text1"/>
          <w:szCs w:val="21"/>
        </w:rPr>
        <w:t>1</w:t>
      </w:r>
      <w:r w:rsidRPr="00B27A29">
        <w:rPr>
          <w:rFonts w:eastAsiaTheme="minorEastAsia"/>
          <w:color w:val="000000" w:themeColor="text1"/>
          <w:szCs w:val="21"/>
        </w:rPr>
        <w:t>年以内券种按性价比进行调整。股票方面，增加自下而上个股配置，寻找全年业绩增长确定估值便宜的公司。</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:0.78%</w:t>
      </w:r>
      <w:r>
        <w:rPr>
          <w:rFonts w:eastAsiaTheme="minorEastAsia"/>
          <w:color w:val="000000" w:themeColor="text1"/>
          <w:szCs w:val="21"/>
        </w:rPr>
        <w:t>，同期业绩比较基准收益率为</w:t>
      </w:r>
      <w:r>
        <w:rPr>
          <w:rFonts w:eastAsiaTheme="minorEastAsia"/>
          <w:color w:val="000000" w:themeColor="text1"/>
          <w:szCs w:val="21"/>
        </w:rPr>
        <w:t>:0.93%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B</w:t>
      </w:r>
      <w:r w:rsidRPr="00B27A29">
        <w:rPr>
          <w:rFonts w:eastAsiaTheme="minorEastAsia"/>
          <w:color w:val="000000" w:themeColor="text1"/>
          <w:szCs w:val="21"/>
        </w:rPr>
        <w:t>份额净值增长率为</w:t>
      </w:r>
      <w:r w:rsidRPr="00B27A29">
        <w:rPr>
          <w:rFonts w:eastAsiaTheme="minorEastAsia"/>
          <w:color w:val="000000" w:themeColor="text1"/>
          <w:szCs w:val="21"/>
        </w:rPr>
        <w:t>:0.68%</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:0.93%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340,901,866.68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15.96</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340,901,866.68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15.96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1,718,898,171.53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80.45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1,718,898,171.53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80.45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40,989,748.30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21,858,867.78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13,838,080.04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2,136,486,734.33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177,408,995.59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8.45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29,080,805.17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29,495,519.48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19,273,852.80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15,499,860.18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7,704,587.95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30,018,465.00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32,419,780.51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340,901,866.68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16.23</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3B4E78">
        <w:tc>
          <w:tcPr>
            <w:tcW w:w="817" w:type="dxa"/>
            <w:vAlign w:val="center"/>
          </w:tcPr>
          <w:p w:rsidR="003B4E78" w:rsidRDefault="00E71D6F">
            <w:pPr>
              <w:jc w:val="center"/>
            </w:pPr>
            <w:r>
              <w:rPr>
                <w:rFonts w:eastAsiaTheme="minorEastAsia"/>
                <w:kern w:val="0"/>
                <w:szCs w:val="21"/>
              </w:rPr>
              <w:t>1</w:t>
            </w:r>
          </w:p>
        </w:tc>
        <w:tc>
          <w:tcPr>
            <w:tcW w:w="1276" w:type="dxa"/>
            <w:vAlign w:val="center"/>
          </w:tcPr>
          <w:p w:rsidR="003B4E78" w:rsidRDefault="00E71D6F">
            <w:pPr>
              <w:jc w:val="center"/>
            </w:pPr>
            <w:r>
              <w:rPr>
                <w:rFonts w:eastAsiaTheme="minorEastAsia"/>
                <w:kern w:val="0"/>
                <w:szCs w:val="21"/>
              </w:rPr>
              <w:t>603588</w:t>
            </w:r>
          </w:p>
        </w:tc>
        <w:tc>
          <w:tcPr>
            <w:tcW w:w="1701" w:type="dxa"/>
            <w:vAlign w:val="center"/>
          </w:tcPr>
          <w:p w:rsidR="003B4E78" w:rsidRDefault="00E71D6F">
            <w:pPr>
              <w:jc w:val="center"/>
            </w:pPr>
            <w:r>
              <w:rPr>
                <w:rFonts w:eastAsiaTheme="minorEastAsia"/>
                <w:kern w:val="0"/>
                <w:szCs w:val="21"/>
              </w:rPr>
              <w:t>高能环境</w:t>
            </w:r>
          </w:p>
        </w:tc>
        <w:tc>
          <w:tcPr>
            <w:tcW w:w="1276" w:type="dxa"/>
            <w:vAlign w:val="center"/>
          </w:tcPr>
          <w:p w:rsidR="003B4E78" w:rsidRDefault="00E71D6F">
            <w:pPr>
              <w:jc w:val="right"/>
            </w:pPr>
            <w:r>
              <w:rPr>
                <w:rFonts w:eastAsiaTheme="minorEastAsia"/>
                <w:kern w:val="0"/>
                <w:szCs w:val="21"/>
              </w:rPr>
              <w:t>3,181,529</w:t>
            </w:r>
          </w:p>
        </w:tc>
        <w:tc>
          <w:tcPr>
            <w:tcW w:w="1842" w:type="dxa"/>
            <w:vAlign w:val="center"/>
          </w:tcPr>
          <w:p w:rsidR="003B4E78" w:rsidRDefault="00E71D6F">
            <w:pPr>
              <w:jc w:val="right"/>
            </w:pPr>
            <w:r>
              <w:rPr>
                <w:rFonts w:eastAsiaTheme="minorEastAsia"/>
                <w:kern w:val="0"/>
                <w:szCs w:val="21"/>
              </w:rPr>
              <w:t>32,419,780.51</w:t>
            </w:r>
          </w:p>
        </w:tc>
        <w:tc>
          <w:tcPr>
            <w:tcW w:w="1616" w:type="dxa"/>
            <w:vAlign w:val="center"/>
          </w:tcPr>
          <w:p w:rsidR="003B4E78" w:rsidRDefault="00E71D6F">
            <w:pPr>
              <w:jc w:val="right"/>
            </w:pPr>
            <w:r>
              <w:rPr>
                <w:rFonts w:eastAsiaTheme="minorEastAsia"/>
                <w:kern w:val="0"/>
                <w:szCs w:val="21"/>
              </w:rPr>
              <w:t>1.54</w:t>
            </w:r>
          </w:p>
        </w:tc>
      </w:tr>
      <w:tr w:rsidR="003B4E78">
        <w:tc>
          <w:tcPr>
            <w:tcW w:w="817" w:type="dxa"/>
            <w:vAlign w:val="center"/>
          </w:tcPr>
          <w:p w:rsidR="003B4E78" w:rsidRDefault="00E71D6F">
            <w:pPr>
              <w:jc w:val="center"/>
            </w:pPr>
            <w:r>
              <w:rPr>
                <w:rFonts w:eastAsiaTheme="minorEastAsia"/>
                <w:kern w:val="0"/>
                <w:szCs w:val="21"/>
              </w:rPr>
              <w:t>2</w:t>
            </w:r>
          </w:p>
        </w:tc>
        <w:tc>
          <w:tcPr>
            <w:tcW w:w="1276" w:type="dxa"/>
            <w:vAlign w:val="center"/>
          </w:tcPr>
          <w:p w:rsidR="003B4E78" w:rsidRDefault="00E71D6F">
            <w:pPr>
              <w:jc w:val="center"/>
            </w:pPr>
            <w:r>
              <w:rPr>
                <w:rFonts w:eastAsiaTheme="minorEastAsia"/>
                <w:kern w:val="0"/>
                <w:szCs w:val="21"/>
              </w:rPr>
              <w:t>002027</w:t>
            </w:r>
          </w:p>
        </w:tc>
        <w:tc>
          <w:tcPr>
            <w:tcW w:w="1701" w:type="dxa"/>
            <w:vAlign w:val="center"/>
          </w:tcPr>
          <w:p w:rsidR="003B4E78" w:rsidRDefault="00E71D6F">
            <w:pPr>
              <w:jc w:val="center"/>
            </w:pPr>
            <w:r>
              <w:rPr>
                <w:rFonts w:eastAsiaTheme="minorEastAsia"/>
                <w:kern w:val="0"/>
                <w:szCs w:val="21"/>
              </w:rPr>
              <w:t>分众传媒</w:t>
            </w:r>
          </w:p>
        </w:tc>
        <w:tc>
          <w:tcPr>
            <w:tcW w:w="1276" w:type="dxa"/>
            <w:vAlign w:val="center"/>
          </w:tcPr>
          <w:p w:rsidR="003B4E78" w:rsidRDefault="00E71D6F">
            <w:pPr>
              <w:jc w:val="right"/>
            </w:pPr>
            <w:r>
              <w:rPr>
                <w:rFonts w:eastAsiaTheme="minorEastAsia"/>
                <w:kern w:val="0"/>
                <w:szCs w:val="21"/>
              </w:rPr>
              <w:t>4,369,500</w:t>
            </w:r>
          </w:p>
        </w:tc>
        <w:tc>
          <w:tcPr>
            <w:tcW w:w="1842" w:type="dxa"/>
            <w:vAlign w:val="center"/>
          </w:tcPr>
          <w:p w:rsidR="003B4E78" w:rsidRDefault="00E71D6F">
            <w:pPr>
              <w:jc w:val="right"/>
            </w:pPr>
            <w:r>
              <w:rPr>
                <w:rFonts w:eastAsiaTheme="minorEastAsia"/>
                <w:kern w:val="0"/>
                <w:szCs w:val="21"/>
              </w:rPr>
              <w:t>30,018,465.00</w:t>
            </w:r>
          </w:p>
        </w:tc>
        <w:tc>
          <w:tcPr>
            <w:tcW w:w="1616" w:type="dxa"/>
            <w:vAlign w:val="center"/>
          </w:tcPr>
          <w:p w:rsidR="003B4E78" w:rsidRDefault="00E71D6F">
            <w:pPr>
              <w:jc w:val="right"/>
            </w:pPr>
            <w:r>
              <w:rPr>
                <w:rFonts w:eastAsiaTheme="minorEastAsia"/>
                <w:kern w:val="0"/>
                <w:szCs w:val="21"/>
              </w:rPr>
              <w:t>1.43</w:t>
            </w:r>
          </w:p>
        </w:tc>
      </w:tr>
      <w:tr w:rsidR="003B4E78">
        <w:tc>
          <w:tcPr>
            <w:tcW w:w="817" w:type="dxa"/>
            <w:vAlign w:val="center"/>
          </w:tcPr>
          <w:p w:rsidR="003B4E78" w:rsidRDefault="00E71D6F">
            <w:pPr>
              <w:jc w:val="center"/>
            </w:pPr>
            <w:r>
              <w:rPr>
                <w:rFonts w:eastAsiaTheme="minorEastAsia"/>
                <w:kern w:val="0"/>
                <w:szCs w:val="21"/>
              </w:rPr>
              <w:t>3</w:t>
            </w:r>
          </w:p>
        </w:tc>
        <w:tc>
          <w:tcPr>
            <w:tcW w:w="1276" w:type="dxa"/>
            <w:vAlign w:val="center"/>
          </w:tcPr>
          <w:p w:rsidR="003B4E78" w:rsidRDefault="00E71D6F">
            <w:pPr>
              <w:jc w:val="center"/>
            </w:pPr>
            <w:r>
              <w:rPr>
                <w:rFonts w:eastAsiaTheme="minorEastAsia"/>
                <w:kern w:val="0"/>
                <w:szCs w:val="21"/>
              </w:rPr>
              <w:t>300138</w:t>
            </w:r>
          </w:p>
        </w:tc>
        <w:tc>
          <w:tcPr>
            <w:tcW w:w="1701" w:type="dxa"/>
            <w:vAlign w:val="center"/>
          </w:tcPr>
          <w:p w:rsidR="003B4E78" w:rsidRDefault="00E71D6F">
            <w:pPr>
              <w:jc w:val="center"/>
            </w:pPr>
            <w:r>
              <w:rPr>
                <w:rFonts w:eastAsiaTheme="minorEastAsia"/>
                <w:kern w:val="0"/>
                <w:szCs w:val="21"/>
              </w:rPr>
              <w:t>晨光生物</w:t>
            </w:r>
          </w:p>
        </w:tc>
        <w:tc>
          <w:tcPr>
            <w:tcW w:w="1276" w:type="dxa"/>
            <w:vAlign w:val="center"/>
          </w:tcPr>
          <w:p w:rsidR="003B4E78" w:rsidRDefault="00E71D6F">
            <w:pPr>
              <w:jc w:val="right"/>
            </w:pPr>
            <w:r>
              <w:rPr>
                <w:rFonts w:eastAsiaTheme="minorEastAsia"/>
                <w:kern w:val="0"/>
                <w:szCs w:val="21"/>
              </w:rPr>
              <w:t>1,345,900</w:t>
            </w:r>
          </w:p>
        </w:tc>
        <w:tc>
          <w:tcPr>
            <w:tcW w:w="1842" w:type="dxa"/>
            <w:vAlign w:val="center"/>
          </w:tcPr>
          <w:p w:rsidR="003B4E78" w:rsidRDefault="00E71D6F">
            <w:pPr>
              <w:jc w:val="right"/>
            </w:pPr>
            <w:r>
              <w:rPr>
                <w:rFonts w:eastAsiaTheme="minorEastAsia"/>
                <w:kern w:val="0"/>
                <w:szCs w:val="21"/>
              </w:rPr>
              <w:t>24,831,855.00</w:t>
            </w:r>
          </w:p>
        </w:tc>
        <w:tc>
          <w:tcPr>
            <w:tcW w:w="1616" w:type="dxa"/>
            <w:vAlign w:val="center"/>
          </w:tcPr>
          <w:p w:rsidR="003B4E78" w:rsidRDefault="00E71D6F">
            <w:pPr>
              <w:jc w:val="right"/>
            </w:pPr>
            <w:r>
              <w:rPr>
                <w:rFonts w:eastAsiaTheme="minorEastAsia"/>
                <w:kern w:val="0"/>
                <w:szCs w:val="21"/>
              </w:rPr>
              <w:t>1.18</w:t>
            </w:r>
          </w:p>
        </w:tc>
      </w:tr>
      <w:tr w:rsidR="003B4E78">
        <w:tc>
          <w:tcPr>
            <w:tcW w:w="817" w:type="dxa"/>
            <w:vAlign w:val="center"/>
          </w:tcPr>
          <w:p w:rsidR="003B4E78" w:rsidRDefault="00E71D6F">
            <w:pPr>
              <w:jc w:val="center"/>
            </w:pPr>
            <w:r>
              <w:rPr>
                <w:rFonts w:eastAsiaTheme="minorEastAsia"/>
                <w:kern w:val="0"/>
                <w:szCs w:val="21"/>
              </w:rPr>
              <w:t>4</w:t>
            </w:r>
          </w:p>
        </w:tc>
        <w:tc>
          <w:tcPr>
            <w:tcW w:w="1276" w:type="dxa"/>
            <w:vAlign w:val="center"/>
          </w:tcPr>
          <w:p w:rsidR="003B4E78" w:rsidRDefault="00E71D6F">
            <w:pPr>
              <w:jc w:val="center"/>
            </w:pPr>
            <w:r>
              <w:rPr>
                <w:rFonts w:eastAsiaTheme="minorEastAsia"/>
                <w:kern w:val="0"/>
                <w:szCs w:val="21"/>
              </w:rPr>
              <w:t>600426</w:t>
            </w:r>
          </w:p>
        </w:tc>
        <w:tc>
          <w:tcPr>
            <w:tcW w:w="1701" w:type="dxa"/>
            <w:vAlign w:val="center"/>
          </w:tcPr>
          <w:p w:rsidR="003B4E78" w:rsidRDefault="00E71D6F">
            <w:pPr>
              <w:jc w:val="center"/>
            </w:pPr>
            <w:r>
              <w:rPr>
                <w:rFonts w:eastAsiaTheme="minorEastAsia"/>
                <w:kern w:val="0"/>
                <w:szCs w:val="21"/>
              </w:rPr>
              <w:t>华鲁恒升</w:t>
            </w:r>
          </w:p>
        </w:tc>
        <w:tc>
          <w:tcPr>
            <w:tcW w:w="1276" w:type="dxa"/>
            <w:vAlign w:val="center"/>
          </w:tcPr>
          <w:p w:rsidR="003B4E78" w:rsidRDefault="00E71D6F">
            <w:pPr>
              <w:jc w:val="right"/>
            </w:pPr>
            <w:r>
              <w:rPr>
                <w:rFonts w:eastAsiaTheme="minorEastAsia"/>
                <w:kern w:val="0"/>
                <w:szCs w:val="21"/>
              </w:rPr>
              <w:t>694,264</w:t>
            </w:r>
          </w:p>
        </w:tc>
        <w:tc>
          <w:tcPr>
            <w:tcW w:w="1842" w:type="dxa"/>
            <w:vAlign w:val="center"/>
          </w:tcPr>
          <w:p w:rsidR="003B4E78" w:rsidRDefault="00E71D6F">
            <w:pPr>
              <w:jc w:val="right"/>
            </w:pPr>
            <w:r>
              <w:rPr>
                <w:rFonts w:eastAsiaTheme="minorEastAsia"/>
                <w:kern w:val="0"/>
                <w:szCs w:val="21"/>
              </w:rPr>
              <w:t>24,472,806.00</w:t>
            </w:r>
          </w:p>
        </w:tc>
        <w:tc>
          <w:tcPr>
            <w:tcW w:w="1616" w:type="dxa"/>
            <w:vAlign w:val="center"/>
          </w:tcPr>
          <w:p w:rsidR="003B4E78" w:rsidRDefault="00E71D6F">
            <w:pPr>
              <w:jc w:val="right"/>
            </w:pPr>
            <w:r>
              <w:rPr>
                <w:rFonts w:eastAsiaTheme="minorEastAsia"/>
                <w:kern w:val="0"/>
                <w:szCs w:val="21"/>
              </w:rPr>
              <w:t>1.17</w:t>
            </w:r>
          </w:p>
        </w:tc>
      </w:tr>
      <w:tr w:rsidR="003B4E78">
        <w:tc>
          <w:tcPr>
            <w:tcW w:w="817" w:type="dxa"/>
            <w:vAlign w:val="center"/>
          </w:tcPr>
          <w:p w:rsidR="003B4E78" w:rsidRDefault="00E71D6F">
            <w:pPr>
              <w:jc w:val="center"/>
            </w:pPr>
            <w:r>
              <w:rPr>
                <w:rFonts w:eastAsiaTheme="minorEastAsia"/>
                <w:kern w:val="0"/>
                <w:szCs w:val="21"/>
              </w:rPr>
              <w:t>5</w:t>
            </w:r>
          </w:p>
        </w:tc>
        <w:tc>
          <w:tcPr>
            <w:tcW w:w="1276" w:type="dxa"/>
            <w:vAlign w:val="center"/>
          </w:tcPr>
          <w:p w:rsidR="003B4E78" w:rsidRDefault="00E71D6F">
            <w:pPr>
              <w:jc w:val="center"/>
            </w:pPr>
            <w:r>
              <w:rPr>
                <w:rFonts w:eastAsiaTheme="minorEastAsia"/>
                <w:kern w:val="0"/>
                <w:szCs w:val="21"/>
              </w:rPr>
              <w:t>601668</w:t>
            </w:r>
          </w:p>
        </w:tc>
        <w:tc>
          <w:tcPr>
            <w:tcW w:w="1701" w:type="dxa"/>
            <w:vAlign w:val="center"/>
          </w:tcPr>
          <w:p w:rsidR="003B4E78" w:rsidRDefault="00E71D6F">
            <w:pPr>
              <w:jc w:val="center"/>
            </w:pPr>
            <w:r>
              <w:rPr>
                <w:rFonts w:eastAsiaTheme="minorEastAsia"/>
                <w:kern w:val="0"/>
                <w:szCs w:val="21"/>
              </w:rPr>
              <w:t>中国建筑</w:t>
            </w:r>
          </w:p>
        </w:tc>
        <w:tc>
          <w:tcPr>
            <w:tcW w:w="1276" w:type="dxa"/>
            <w:vAlign w:val="center"/>
          </w:tcPr>
          <w:p w:rsidR="003B4E78" w:rsidRDefault="00E71D6F">
            <w:pPr>
              <w:jc w:val="right"/>
            </w:pPr>
            <w:r>
              <w:rPr>
                <w:rFonts w:eastAsiaTheme="minorEastAsia"/>
                <w:kern w:val="0"/>
                <w:szCs w:val="21"/>
              </w:rPr>
              <w:t>3,841,694</w:t>
            </w:r>
          </w:p>
        </w:tc>
        <w:tc>
          <w:tcPr>
            <w:tcW w:w="1842" w:type="dxa"/>
            <w:vAlign w:val="center"/>
          </w:tcPr>
          <w:p w:rsidR="003B4E78" w:rsidRDefault="00E71D6F">
            <w:pPr>
              <w:jc w:val="right"/>
            </w:pPr>
            <w:r>
              <w:rPr>
                <w:rFonts w:eastAsiaTheme="minorEastAsia"/>
                <w:kern w:val="0"/>
                <w:szCs w:val="21"/>
              </w:rPr>
              <w:t>22,281,825.20</w:t>
            </w:r>
          </w:p>
        </w:tc>
        <w:tc>
          <w:tcPr>
            <w:tcW w:w="1616" w:type="dxa"/>
            <w:vAlign w:val="center"/>
          </w:tcPr>
          <w:p w:rsidR="003B4E78" w:rsidRDefault="00E71D6F">
            <w:pPr>
              <w:jc w:val="right"/>
            </w:pPr>
            <w:r>
              <w:rPr>
                <w:rFonts w:eastAsiaTheme="minorEastAsia"/>
                <w:kern w:val="0"/>
                <w:szCs w:val="21"/>
              </w:rPr>
              <w:t>1.06</w:t>
            </w:r>
          </w:p>
        </w:tc>
      </w:tr>
      <w:tr w:rsidR="003B4E78">
        <w:tc>
          <w:tcPr>
            <w:tcW w:w="817" w:type="dxa"/>
            <w:vAlign w:val="center"/>
          </w:tcPr>
          <w:p w:rsidR="003B4E78" w:rsidRDefault="00E71D6F">
            <w:pPr>
              <w:jc w:val="center"/>
            </w:pPr>
            <w:r>
              <w:rPr>
                <w:rFonts w:eastAsiaTheme="minorEastAsia"/>
                <w:kern w:val="0"/>
                <w:szCs w:val="21"/>
              </w:rPr>
              <w:t>6</w:t>
            </w:r>
          </w:p>
        </w:tc>
        <w:tc>
          <w:tcPr>
            <w:tcW w:w="1276" w:type="dxa"/>
            <w:vAlign w:val="center"/>
          </w:tcPr>
          <w:p w:rsidR="003B4E78" w:rsidRDefault="00E71D6F">
            <w:pPr>
              <w:jc w:val="center"/>
            </w:pPr>
            <w:r>
              <w:rPr>
                <w:rFonts w:eastAsiaTheme="minorEastAsia"/>
                <w:kern w:val="0"/>
                <w:szCs w:val="21"/>
              </w:rPr>
              <w:t>603713</w:t>
            </w:r>
          </w:p>
        </w:tc>
        <w:tc>
          <w:tcPr>
            <w:tcW w:w="1701" w:type="dxa"/>
            <w:vAlign w:val="center"/>
          </w:tcPr>
          <w:p w:rsidR="003B4E78" w:rsidRDefault="00E71D6F">
            <w:pPr>
              <w:jc w:val="center"/>
            </w:pPr>
            <w:r>
              <w:rPr>
                <w:rFonts w:eastAsiaTheme="minorEastAsia"/>
                <w:kern w:val="0"/>
                <w:szCs w:val="21"/>
              </w:rPr>
              <w:t>密尔克卫</w:t>
            </w:r>
          </w:p>
        </w:tc>
        <w:tc>
          <w:tcPr>
            <w:tcW w:w="1276" w:type="dxa"/>
            <w:vAlign w:val="center"/>
          </w:tcPr>
          <w:p w:rsidR="003B4E78" w:rsidRDefault="00E71D6F">
            <w:pPr>
              <w:jc w:val="right"/>
            </w:pPr>
            <w:r>
              <w:rPr>
                <w:rFonts w:eastAsiaTheme="minorEastAsia"/>
                <w:kern w:val="0"/>
                <w:szCs w:val="21"/>
              </w:rPr>
              <w:t>175,680</w:t>
            </w:r>
          </w:p>
        </w:tc>
        <w:tc>
          <w:tcPr>
            <w:tcW w:w="1842" w:type="dxa"/>
            <w:vAlign w:val="center"/>
          </w:tcPr>
          <w:p w:rsidR="003B4E78" w:rsidRDefault="00E71D6F">
            <w:pPr>
              <w:jc w:val="right"/>
            </w:pPr>
            <w:r>
              <w:rPr>
                <w:rFonts w:eastAsiaTheme="minorEastAsia"/>
                <w:kern w:val="0"/>
                <w:szCs w:val="21"/>
              </w:rPr>
              <w:t>19,273,852.80</w:t>
            </w:r>
          </w:p>
        </w:tc>
        <w:tc>
          <w:tcPr>
            <w:tcW w:w="1616" w:type="dxa"/>
            <w:vAlign w:val="center"/>
          </w:tcPr>
          <w:p w:rsidR="003B4E78" w:rsidRDefault="00E71D6F">
            <w:pPr>
              <w:jc w:val="right"/>
            </w:pPr>
            <w:r>
              <w:rPr>
                <w:rFonts w:eastAsiaTheme="minorEastAsia"/>
                <w:kern w:val="0"/>
                <w:szCs w:val="21"/>
              </w:rPr>
              <w:t>0.92</w:t>
            </w:r>
          </w:p>
        </w:tc>
      </w:tr>
      <w:tr w:rsidR="003B4E78">
        <w:tc>
          <w:tcPr>
            <w:tcW w:w="817" w:type="dxa"/>
            <w:vAlign w:val="center"/>
          </w:tcPr>
          <w:p w:rsidR="003B4E78" w:rsidRDefault="00E71D6F">
            <w:pPr>
              <w:jc w:val="center"/>
            </w:pPr>
            <w:r>
              <w:rPr>
                <w:rFonts w:eastAsiaTheme="minorEastAsia"/>
                <w:kern w:val="0"/>
                <w:szCs w:val="21"/>
              </w:rPr>
              <w:t>7</w:t>
            </w:r>
          </w:p>
        </w:tc>
        <w:tc>
          <w:tcPr>
            <w:tcW w:w="1276" w:type="dxa"/>
            <w:vAlign w:val="center"/>
          </w:tcPr>
          <w:p w:rsidR="003B4E78" w:rsidRDefault="00E71D6F">
            <w:pPr>
              <w:jc w:val="center"/>
            </w:pPr>
            <w:r>
              <w:rPr>
                <w:rFonts w:eastAsiaTheme="minorEastAsia"/>
                <w:kern w:val="0"/>
                <w:szCs w:val="21"/>
              </w:rPr>
              <w:t>600483</w:t>
            </w:r>
          </w:p>
        </w:tc>
        <w:tc>
          <w:tcPr>
            <w:tcW w:w="1701" w:type="dxa"/>
            <w:vAlign w:val="center"/>
          </w:tcPr>
          <w:p w:rsidR="003B4E78" w:rsidRDefault="00E71D6F">
            <w:pPr>
              <w:jc w:val="center"/>
            </w:pPr>
            <w:r>
              <w:rPr>
                <w:rFonts w:eastAsiaTheme="minorEastAsia"/>
                <w:kern w:val="0"/>
                <w:szCs w:val="21"/>
              </w:rPr>
              <w:t>福能股份</w:t>
            </w:r>
          </w:p>
        </w:tc>
        <w:tc>
          <w:tcPr>
            <w:tcW w:w="1276" w:type="dxa"/>
            <w:vAlign w:val="center"/>
          </w:tcPr>
          <w:p w:rsidR="003B4E78" w:rsidRDefault="00E71D6F">
            <w:pPr>
              <w:jc w:val="right"/>
            </w:pPr>
            <w:r>
              <w:rPr>
                <w:rFonts w:eastAsiaTheme="minorEastAsia"/>
                <w:kern w:val="0"/>
                <w:szCs w:val="21"/>
              </w:rPr>
              <w:t>1,520,238</w:t>
            </w:r>
          </w:p>
        </w:tc>
        <w:tc>
          <w:tcPr>
            <w:tcW w:w="1842" w:type="dxa"/>
            <w:vAlign w:val="center"/>
          </w:tcPr>
          <w:p w:rsidR="003B4E78" w:rsidRDefault="00E71D6F">
            <w:pPr>
              <w:jc w:val="right"/>
            </w:pPr>
            <w:r>
              <w:rPr>
                <w:rFonts w:eastAsiaTheme="minorEastAsia"/>
                <w:kern w:val="0"/>
                <w:szCs w:val="21"/>
              </w:rPr>
              <w:t>18,638,117.88</w:t>
            </w:r>
          </w:p>
        </w:tc>
        <w:tc>
          <w:tcPr>
            <w:tcW w:w="1616" w:type="dxa"/>
            <w:vAlign w:val="center"/>
          </w:tcPr>
          <w:p w:rsidR="003B4E78" w:rsidRDefault="00E71D6F">
            <w:pPr>
              <w:jc w:val="right"/>
            </w:pPr>
            <w:r>
              <w:rPr>
                <w:rFonts w:eastAsiaTheme="minorEastAsia"/>
                <w:kern w:val="0"/>
                <w:szCs w:val="21"/>
              </w:rPr>
              <w:t>0.89</w:t>
            </w:r>
          </w:p>
        </w:tc>
      </w:tr>
      <w:tr w:rsidR="003B4E78">
        <w:tc>
          <w:tcPr>
            <w:tcW w:w="817" w:type="dxa"/>
            <w:vAlign w:val="center"/>
          </w:tcPr>
          <w:p w:rsidR="003B4E78" w:rsidRDefault="00E71D6F">
            <w:pPr>
              <w:jc w:val="center"/>
            </w:pPr>
            <w:r>
              <w:rPr>
                <w:rFonts w:eastAsiaTheme="minorEastAsia"/>
                <w:kern w:val="0"/>
                <w:szCs w:val="21"/>
              </w:rPr>
              <w:t>8</w:t>
            </w:r>
          </w:p>
        </w:tc>
        <w:tc>
          <w:tcPr>
            <w:tcW w:w="1276" w:type="dxa"/>
            <w:vAlign w:val="center"/>
          </w:tcPr>
          <w:p w:rsidR="003B4E78" w:rsidRDefault="00E71D6F">
            <w:pPr>
              <w:jc w:val="center"/>
            </w:pPr>
            <w:r>
              <w:rPr>
                <w:rFonts w:eastAsiaTheme="minorEastAsia"/>
                <w:kern w:val="0"/>
                <w:szCs w:val="21"/>
              </w:rPr>
              <w:t>002557</w:t>
            </w:r>
          </w:p>
        </w:tc>
        <w:tc>
          <w:tcPr>
            <w:tcW w:w="1701" w:type="dxa"/>
            <w:vAlign w:val="center"/>
          </w:tcPr>
          <w:p w:rsidR="003B4E78" w:rsidRDefault="00E71D6F">
            <w:pPr>
              <w:jc w:val="center"/>
            </w:pPr>
            <w:r>
              <w:rPr>
                <w:rFonts w:eastAsiaTheme="minorEastAsia"/>
                <w:kern w:val="0"/>
                <w:szCs w:val="21"/>
              </w:rPr>
              <w:t>洽洽食品</w:t>
            </w:r>
          </w:p>
        </w:tc>
        <w:tc>
          <w:tcPr>
            <w:tcW w:w="1276" w:type="dxa"/>
            <w:vAlign w:val="center"/>
          </w:tcPr>
          <w:p w:rsidR="003B4E78" w:rsidRDefault="00E71D6F">
            <w:pPr>
              <w:jc w:val="right"/>
            </w:pPr>
            <w:r>
              <w:rPr>
                <w:rFonts w:eastAsiaTheme="minorEastAsia"/>
                <w:kern w:val="0"/>
                <w:szCs w:val="21"/>
              </w:rPr>
              <w:t>410,649</w:t>
            </w:r>
          </w:p>
        </w:tc>
        <w:tc>
          <w:tcPr>
            <w:tcW w:w="1842" w:type="dxa"/>
            <w:vAlign w:val="center"/>
          </w:tcPr>
          <w:p w:rsidR="003B4E78" w:rsidRDefault="00E71D6F">
            <w:pPr>
              <w:jc w:val="right"/>
            </w:pPr>
            <w:r>
              <w:rPr>
                <w:rFonts w:eastAsiaTheme="minorEastAsia"/>
                <w:kern w:val="0"/>
                <w:szCs w:val="21"/>
              </w:rPr>
              <w:t>17,386,878.66</w:t>
            </w:r>
          </w:p>
        </w:tc>
        <w:tc>
          <w:tcPr>
            <w:tcW w:w="1616" w:type="dxa"/>
            <w:vAlign w:val="center"/>
          </w:tcPr>
          <w:p w:rsidR="003B4E78" w:rsidRDefault="00E71D6F">
            <w:pPr>
              <w:jc w:val="right"/>
            </w:pPr>
            <w:r>
              <w:rPr>
                <w:rFonts w:eastAsiaTheme="minorEastAsia"/>
                <w:kern w:val="0"/>
                <w:szCs w:val="21"/>
              </w:rPr>
              <w:t>0.83</w:t>
            </w:r>
          </w:p>
        </w:tc>
      </w:tr>
      <w:tr w:rsidR="003B4E78">
        <w:tc>
          <w:tcPr>
            <w:tcW w:w="817" w:type="dxa"/>
            <w:vAlign w:val="center"/>
          </w:tcPr>
          <w:p w:rsidR="003B4E78" w:rsidRDefault="00E71D6F">
            <w:pPr>
              <w:jc w:val="center"/>
            </w:pPr>
            <w:r>
              <w:rPr>
                <w:rFonts w:eastAsiaTheme="minorEastAsia"/>
                <w:kern w:val="0"/>
                <w:szCs w:val="21"/>
              </w:rPr>
              <w:t>9</w:t>
            </w:r>
          </w:p>
        </w:tc>
        <w:tc>
          <w:tcPr>
            <w:tcW w:w="1276" w:type="dxa"/>
            <w:vAlign w:val="center"/>
          </w:tcPr>
          <w:p w:rsidR="003B4E78" w:rsidRDefault="00E71D6F">
            <w:pPr>
              <w:jc w:val="center"/>
            </w:pPr>
            <w:r>
              <w:rPr>
                <w:rFonts w:eastAsiaTheme="minorEastAsia"/>
                <w:kern w:val="0"/>
                <w:szCs w:val="21"/>
              </w:rPr>
              <w:t>600496</w:t>
            </w:r>
          </w:p>
        </w:tc>
        <w:tc>
          <w:tcPr>
            <w:tcW w:w="1701" w:type="dxa"/>
            <w:vAlign w:val="center"/>
          </w:tcPr>
          <w:p w:rsidR="003B4E78" w:rsidRDefault="00E71D6F">
            <w:pPr>
              <w:jc w:val="center"/>
            </w:pPr>
            <w:r>
              <w:rPr>
                <w:rFonts w:eastAsiaTheme="minorEastAsia"/>
                <w:kern w:val="0"/>
                <w:szCs w:val="21"/>
              </w:rPr>
              <w:t>精工钢构</w:t>
            </w:r>
          </w:p>
        </w:tc>
        <w:tc>
          <w:tcPr>
            <w:tcW w:w="1276" w:type="dxa"/>
            <w:vAlign w:val="center"/>
          </w:tcPr>
          <w:p w:rsidR="003B4E78" w:rsidRDefault="00E71D6F">
            <w:pPr>
              <w:jc w:val="right"/>
            </w:pPr>
            <w:r>
              <w:rPr>
                <w:rFonts w:eastAsiaTheme="minorEastAsia"/>
                <w:kern w:val="0"/>
                <w:szCs w:val="21"/>
              </w:rPr>
              <w:t>4,136,825</w:t>
            </w:r>
          </w:p>
        </w:tc>
        <w:tc>
          <w:tcPr>
            <w:tcW w:w="1842" w:type="dxa"/>
            <w:vAlign w:val="center"/>
          </w:tcPr>
          <w:p w:rsidR="003B4E78" w:rsidRDefault="00E71D6F">
            <w:pPr>
              <w:jc w:val="right"/>
            </w:pPr>
            <w:r>
              <w:rPr>
                <w:rFonts w:eastAsiaTheme="minorEastAsia"/>
                <w:kern w:val="0"/>
                <w:szCs w:val="21"/>
              </w:rPr>
              <w:t>16,464,563.50</w:t>
            </w:r>
          </w:p>
        </w:tc>
        <w:tc>
          <w:tcPr>
            <w:tcW w:w="1616" w:type="dxa"/>
            <w:vAlign w:val="center"/>
          </w:tcPr>
          <w:p w:rsidR="003B4E78" w:rsidRDefault="00E71D6F">
            <w:pPr>
              <w:jc w:val="right"/>
            </w:pPr>
            <w:r>
              <w:rPr>
                <w:rFonts w:eastAsiaTheme="minorEastAsia"/>
                <w:kern w:val="0"/>
                <w:szCs w:val="21"/>
              </w:rPr>
              <w:t>0.78</w:t>
            </w:r>
          </w:p>
        </w:tc>
      </w:tr>
      <w:tr w:rsidR="003B4E78">
        <w:tc>
          <w:tcPr>
            <w:tcW w:w="817" w:type="dxa"/>
            <w:vAlign w:val="center"/>
          </w:tcPr>
          <w:p w:rsidR="003B4E78" w:rsidRDefault="00E71D6F">
            <w:pPr>
              <w:jc w:val="center"/>
            </w:pPr>
            <w:r>
              <w:rPr>
                <w:rFonts w:eastAsiaTheme="minorEastAsia"/>
                <w:kern w:val="0"/>
                <w:szCs w:val="21"/>
              </w:rPr>
              <w:t>10</w:t>
            </w:r>
          </w:p>
        </w:tc>
        <w:tc>
          <w:tcPr>
            <w:tcW w:w="1276" w:type="dxa"/>
            <w:vAlign w:val="center"/>
          </w:tcPr>
          <w:p w:rsidR="003B4E78" w:rsidRDefault="00E71D6F">
            <w:pPr>
              <w:jc w:val="center"/>
            </w:pPr>
            <w:r>
              <w:rPr>
                <w:rFonts w:eastAsiaTheme="minorEastAsia"/>
                <w:kern w:val="0"/>
                <w:szCs w:val="21"/>
              </w:rPr>
              <w:t>601677</w:t>
            </w:r>
          </w:p>
        </w:tc>
        <w:tc>
          <w:tcPr>
            <w:tcW w:w="1701" w:type="dxa"/>
            <w:vAlign w:val="center"/>
          </w:tcPr>
          <w:p w:rsidR="003B4E78" w:rsidRDefault="00E71D6F">
            <w:pPr>
              <w:jc w:val="center"/>
            </w:pPr>
            <w:r>
              <w:rPr>
                <w:rFonts w:eastAsiaTheme="minorEastAsia"/>
                <w:kern w:val="0"/>
                <w:szCs w:val="21"/>
              </w:rPr>
              <w:t>明泰铝业</w:t>
            </w:r>
          </w:p>
        </w:tc>
        <w:tc>
          <w:tcPr>
            <w:tcW w:w="1276" w:type="dxa"/>
            <w:vAlign w:val="center"/>
          </w:tcPr>
          <w:p w:rsidR="003B4E78" w:rsidRDefault="00E71D6F">
            <w:pPr>
              <w:jc w:val="right"/>
            </w:pPr>
            <w:r>
              <w:rPr>
                <w:rFonts w:eastAsiaTheme="minorEastAsia"/>
                <w:kern w:val="0"/>
                <w:szCs w:val="21"/>
              </w:rPr>
              <w:t>1,021,893</w:t>
            </w:r>
          </w:p>
        </w:tc>
        <w:tc>
          <w:tcPr>
            <w:tcW w:w="1842" w:type="dxa"/>
            <w:vAlign w:val="center"/>
          </w:tcPr>
          <w:p w:rsidR="003B4E78" w:rsidRDefault="00E71D6F">
            <w:pPr>
              <w:jc w:val="right"/>
            </w:pPr>
            <w:r>
              <w:rPr>
                <w:rFonts w:eastAsiaTheme="minorEastAsia"/>
                <w:kern w:val="0"/>
                <w:szCs w:val="21"/>
              </w:rPr>
              <w:t>16,227,660.84</w:t>
            </w:r>
          </w:p>
        </w:tc>
        <w:tc>
          <w:tcPr>
            <w:tcW w:w="1616" w:type="dxa"/>
            <w:vAlign w:val="center"/>
          </w:tcPr>
          <w:p w:rsidR="003B4E78" w:rsidRDefault="00E71D6F">
            <w:pPr>
              <w:jc w:val="right"/>
            </w:pPr>
            <w:r>
              <w:rPr>
                <w:rFonts w:eastAsiaTheme="minorEastAsia"/>
                <w:kern w:val="0"/>
                <w:szCs w:val="21"/>
              </w:rPr>
              <w:t>0.77</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63,695,660.55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3.03</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96,176,154.80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4.58</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96,176,154.80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4.58</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337,512,429.03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16.07</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800,368,209.34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38.10</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380,398,575.07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18.11</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30,882,720.82</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1.47</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9,864,421.92</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0.47</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1,718,898,171.53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81.83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3B4E78">
        <w:tc>
          <w:tcPr>
            <w:tcW w:w="1504" w:type="dxa"/>
            <w:vAlign w:val="center"/>
          </w:tcPr>
          <w:p w:rsidR="003B4E78" w:rsidRDefault="00E71D6F">
            <w:pPr>
              <w:jc w:val="center"/>
            </w:pPr>
            <w:r>
              <w:rPr>
                <w:rFonts w:eastAsiaTheme="minorEastAsia"/>
                <w:color w:val="000000" w:themeColor="text1"/>
                <w:szCs w:val="21"/>
              </w:rPr>
              <w:t>1</w:t>
            </w:r>
          </w:p>
        </w:tc>
        <w:tc>
          <w:tcPr>
            <w:tcW w:w="1504" w:type="dxa"/>
            <w:vAlign w:val="center"/>
          </w:tcPr>
          <w:p w:rsidR="003B4E78" w:rsidRDefault="00E71D6F">
            <w:pPr>
              <w:jc w:val="center"/>
            </w:pPr>
            <w:r>
              <w:rPr>
                <w:rFonts w:eastAsiaTheme="minorEastAsia"/>
                <w:color w:val="000000" w:themeColor="text1"/>
                <w:szCs w:val="21"/>
              </w:rPr>
              <w:t>042280209</w:t>
            </w:r>
          </w:p>
        </w:tc>
        <w:tc>
          <w:tcPr>
            <w:tcW w:w="1504" w:type="dxa"/>
            <w:vAlign w:val="center"/>
          </w:tcPr>
          <w:p w:rsidR="003B4E78" w:rsidRDefault="00E71D6F">
            <w:pPr>
              <w:jc w:val="center"/>
            </w:pPr>
            <w:r>
              <w:rPr>
                <w:rFonts w:eastAsiaTheme="minorEastAsia"/>
                <w:color w:val="000000" w:themeColor="text1"/>
                <w:szCs w:val="21"/>
              </w:rPr>
              <w:t>22</w:t>
            </w:r>
            <w:r>
              <w:rPr>
                <w:rFonts w:eastAsiaTheme="minorEastAsia"/>
                <w:color w:val="000000" w:themeColor="text1"/>
                <w:szCs w:val="21"/>
              </w:rPr>
              <w:t>电网</w:t>
            </w:r>
            <w:r>
              <w:rPr>
                <w:rFonts w:eastAsiaTheme="minorEastAsia"/>
                <w:color w:val="000000" w:themeColor="text1"/>
                <w:szCs w:val="21"/>
              </w:rPr>
              <w:t>CP003</w:t>
            </w:r>
          </w:p>
        </w:tc>
        <w:tc>
          <w:tcPr>
            <w:tcW w:w="1503" w:type="dxa"/>
            <w:vAlign w:val="center"/>
          </w:tcPr>
          <w:p w:rsidR="003B4E78" w:rsidRDefault="00E71D6F">
            <w:pPr>
              <w:jc w:val="right"/>
            </w:pPr>
            <w:r>
              <w:rPr>
                <w:rFonts w:eastAsiaTheme="minorEastAsia"/>
                <w:color w:val="000000" w:themeColor="text1"/>
                <w:szCs w:val="21"/>
              </w:rPr>
              <w:t>1,000,000</w:t>
            </w:r>
          </w:p>
        </w:tc>
        <w:tc>
          <w:tcPr>
            <w:tcW w:w="1503" w:type="dxa"/>
            <w:vAlign w:val="center"/>
          </w:tcPr>
          <w:p w:rsidR="003B4E78" w:rsidRDefault="00E71D6F">
            <w:pPr>
              <w:jc w:val="right"/>
            </w:pPr>
            <w:r>
              <w:rPr>
                <w:rFonts w:eastAsiaTheme="minorEastAsia"/>
                <w:color w:val="000000" w:themeColor="text1"/>
                <w:szCs w:val="21"/>
              </w:rPr>
              <w:t>101,885,747.95</w:t>
            </w:r>
          </w:p>
        </w:tc>
        <w:tc>
          <w:tcPr>
            <w:tcW w:w="1503" w:type="dxa"/>
            <w:vAlign w:val="center"/>
          </w:tcPr>
          <w:p w:rsidR="003B4E78" w:rsidRDefault="00E71D6F">
            <w:pPr>
              <w:jc w:val="right"/>
            </w:pPr>
            <w:r>
              <w:rPr>
                <w:rFonts w:eastAsiaTheme="minorEastAsia"/>
                <w:color w:val="000000" w:themeColor="text1"/>
                <w:szCs w:val="21"/>
              </w:rPr>
              <w:t>4.85</w:t>
            </w:r>
          </w:p>
        </w:tc>
      </w:tr>
      <w:tr w:rsidR="003B4E78">
        <w:tc>
          <w:tcPr>
            <w:tcW w:w="1504" w:type="dxa"/>
            <w:vAlign w:val="center"/>
          </w:tcPr>
          <w:p w:rsidR="003B4E78" w:rsidRDefault="00E71D6F">
            <w:pPr>
              <w:jc w:val="center"/>
            </w:pPr>
            <w:r>
              <w:rPr>
                <w:rFonts w:eastAsiaTheme="minorEastAsia"/>
                <w:color w:val="000000" w:themeColor="text1"/>
                <w:szCs w:val="21"/>
              </w:rPr>
              <w:t>2</w:t>
            </w:r>
          </w:p>
        </w:tc>
        <w:tc>
          <w:tcPr>
            <w:tcW w:w="1504" w:type="dxa"/>
            <w:vAlign w:val="center"/>
          </w:tcPr>
          <w:p w:rsidR="003B4E78" w:rsidRDefault="00E71D6F">
            <w:pPr>
              <w:jc w:val="center"/>
            </w:pPr>
            <w:r>
              <w:rPr>
                <w:rFonts w:eastAsiaTheme="minorEastAsia"/>
                <w:color w:val="000000" w:themeColor="text1"/>
                <w:szCs w:val="21"/>
              </w:rPr>
              <w:t>102101888</w:t>
            </w:r>
          </w:p>
        </w:tc>
        <w:tc>
          <w:tcPr>
            <w:tcW w:w="1504" w:type="dxa"/>
            <w:vAlign w:val="center"/>
          </w:tcPr>
          <w:p w:rsidR="003B4E78" w:rsidRDefault="00E71D6F">
            <w:pPr>
              <w:jc w:val="center"/>
            </w:pPr>
            <w:r>
              <w:rPr>
                <w:rFonts w:eastAsiaTheme="minorEastAsia"/>
                <w:color w:val="000000" w:themeColor="text1"/>
                <w:szCs w:val="21"/>
              </w:rPr>
              <w:t>21</w:t>
            </w:r>
            <w:r>
              <w:rPr>
                <w:rFonts w:eastAsiaTheme="minorEastAsia"/>
                <w:color w:val="000000" w:themeColor="text1"/>
                <w:szCs w:val="21"/>
              </w:rPr>
              <w:t>中电投</w:t>
            </w:r>
            <w:r>
              <w:rPr>
                <w:rFonts w:eastAsiaTheme="minorEastAsia"/>
                <w:color w:val="000000" w:themeColor="text1"/>
                <w:szCs w:val="21"/>
              </w:rPr>
              <w:t>MTN010</w:t>
            </w:r>
          </w:p>
        </w:tc>
        <w:tc>
          <w:tcPr>
            <w:tcW w:w="1503" w:type="dxa"/>
            <w:vAlign w:val="center"/>
          </w:tcPr>
          <w:p w:rsidR="003B4E78" w:rsidRDefault="00E71D6F">
            <w:pPr>
              <w:jc w:val="right"/>
            </w:pPr>
            <w:r>
              <w:rPr>
                <w:rFonts w:eastAsiaTheme="minorEastAsia"/>
                <w:color w:val="000000" w:themeColor="text1"/>
                <w:szCs w:val="21"/>
              </w:rPr>
              <w:t>970,000</w:t>
            </w:r>
          </w:p>
        </w:tc>
        <w:tc>
          <w:tcPr>
            <w:tcW w:w="1503" w:type="dxa"/>
            <w:vAlign w:val="center"/>
          </w:tcPr>
          <w:p w:rsidR="003B4E78" w:rsidRDefault="00E71D6F">
            <w:pPr>
              <w:jc w:val="right"/>
            </w:pPr>
            <w:r>
              <w:rPr>
                <w:rFonts w:eastAsiaTheme="minorEastAsia"/>
                <w:color w:val="000000" w:themeColor="text1"/>
                <w:szCs w:val="21"/>
              </w:rPr>
              <w:t>98,765,639.18</w:t>
            </w:r>
          </w:p>
        </w:tc>
        <w:tc>
          <w:tcPr>
            <w:tcW w:w="1503" w:type="dxa"/>
            <w:vAlign w:val="center"/>
          </w:tcPr>
          <w:p w:rsidR="003B4E78" w:rsidRDefault="00E71D6F">
            <w:pPr>
              <w:jc w:val="right"/>
            </w:pPr>
            <w:r>
              <w:rPr>
                <w:rFonts w:eastAsiaTheme="minorEastAsia"/>
                <w:color w:val="000000" w:themeColor="text1"/>
                <w:szCs w:val="21"/>
              </w:rPr>
              <w:t>4.70</w:t>
            </w:r>
          </w:p>
        </w:tc>
      </w:tr>
      <w:tr w:rsidR="003B4E78">
        <w:tc>
          <w:tcPr>
            <w:tcW w:w="1504" w:type="dxa"/>
            <w:vAlign w:val="center"/>
          </w:tcPr>
          <w:p w:rsidR="003B4E78" w:rsidRDefault="00E71D6F">
            <w:pPr>
              <w:jc w:val="center"/>
            </w:pPr>
            <w:r>
              <w:rPr>
                <w:rFonts w:eastAsiaTheme="minorEastAsia"/>
                <w:color w:val="000000" w:themeColor="text1"/>
                <w:szCs w:val="21"/>
              </w:rPr>
              <w:t>3</w:t>
            </w:r>
          </w:p>
        </w:tc>
        <w:tc>
          <w:tcPr>
            <w:tcW w:w="1504" w:type="dxa"/>
            <w:vAlign w:val="center"/>
          </w:tcPr>
          <w:p w:rsidR="003B4E78" w:rsidRDefault="00E71D6F">
            <w:pPr>
              <w:jc w:val="center"/>
            </w:pPr>
            <w:r>
              <w:rPr>
                <w:rFonts w:eastAsiaTheme="minorEastAsia"/>
                <w:color w:val="000000" w:themeColor="text1"/>
                <w:szCs w:val="21"/>
              </w:rPr>
              <w:t>188773</w:t>
            </w:r>
          </w:p>
        </w:tc>
        <w:tc>
          <w:tcPr>
            <w:tcW w:w="1504" w:type="dxa"/>
            <w:vAlign w:val="center"/>
          </w:tcPr>
          <w:p w:rsidR="003B4E78" w:rsidRDefault="00E71D6F">
            <w:pPr>
              <w:jc w:val="center"/>
            </w:pPr>
            <w:r>
              <w:rPr>
                <w:rFonts w:eastAsiaTheme="minorEastAsia"/>
                <w:color w:val="000000" w:themeColor="text1"/>
                <w:szCs w:val="21"/>
              </w:rPr>
              <w:t>21</w:t>
            </w:r>
            <w:r>
              <w:rPr>
                <w:rFonts w:eastAsiaTheme="minorEastAsia"/>
                <w:color w:val="000000" w:themeColor="text1"/>
                <w:szCs w:val="21"/>
              </w:rPr>
              <w:t>华电</w:t>
            </w:r>
            <w:r>
              <w:rPr>
                <w:rFonts w:eastAsiaTheme="minorEastAsia"/>
                <w:color w:val="000000" w:themeColor="text1"/>
                <w:szCs w:val="21"/>
              </w:rPr>
              <w:t>05</w:t>
            </w:r>
          </w:p>
        </w:tc>
        <w:tc>
          <w:tcPr>
            <w:tcW w:w="1503" w:type="dxa"/>
            <w:vAlign w:val="center"/>
          </w:tcPr>
          <w:p w:rsidR="003B4E78" w:rsidRDefault="00E71D6F">
            <w:pPr>
              <w:jc w:val="right"/>
            </w:pPr>
            <w:r>
              <w:rPr>
                <w:rFonts w:eastAsiaTheme="minorEastAsia"/>
                <w:color w:val="000000" w:themeColor="text1"/>
                <w:szCs w:val="21"/>
              </w:rPr>
              <w:t>970,000</w:t>
            </w:r>
          </w:p>
        </w:tc>
        <w:tc>
          <w:tcPr>
            <w:tcW w:w="1503" w:type="dxa"/>
            <w:vAlign w:val="center"/>
          </w:tcPr>
          <w:p w:rsidR="003B4E78" w:rsidRDefault="00E71D6F">
            <w:pPr>
              <w:jc w:val="right"/>
            </w:pPr>
            <w:r>
              <w:rPr>
                <w:rFonts w:eastAsiaTheme="minorEastAsia"/>
                <w:color w:val="000000" w:themeColor="text1"/>
                <w:szCs w:val="21"/>
              </w:rPr>
              <w:t>98,305,784.76</w:t>
            </w:r>
          </w:p>
        </w:tc>
        <w:tc>
          <w:tcPr>
            <w:tcW w:w="1503" w:type="dxa"/>
            <w:vAlign w:val="center"/>
          </w:tcPr>
          <w:p w:rsidR="003B4E78" w:rsidRDefault="00E71D6F">
            <w:pPr>
              <w:jc w:val="right"/>
            </w:pPr>
            <w:r>
              <w:rPr>
                <w:rFonts w:eastAsiaTheme="minorEastAsia"/>
                <w:color w:val="000000" w:themeColor="text1"/>
                <w:szCs w:val="21"/>
              </w:rPr>
              <w:t>4.68</w:t>
            </w:r>
          </w:p>
        </w:tc>
      </w:tr>
      <w:tr w:rsidR="003B4E78">
        <w:tc>
          <w:tcPr>
            <w:tcW w:w="1504" w:type="dxa"/>
            <w:vAlign w:val="center"/>
          </w:tcPr>
          <w:p w:rsidR="003B4E78" w:rsidRDefault="00E71D6F">
            <w:pPr>
              <w:jc w:val="center"/>
            </w:pPr>
            <w:r>
              <w:rPr>
                <w:rFonts w:eastAsiaTheme="minorEastAsia"/>
                <w:color w:val="000000" w:themeColor="text1"/>
                <w:szCs w:val="21"/>
              </w:rPr>
              <w:t>4</w:t>
            </w:r>
          </w:p>
        </w:tc>
        <w:tc>
          <w:tcPr>
            <w:tcW w:w="1504" w:type="dxa"/>
            <w:vAlign w:val="center"/>
          </w:tcPr>
          <w:p w:rsidR="003B4E78" w:rsidRDefault="00E71D6F">
            <w:pPr>
              <w:jc w:val="center"/>
            </w:pPr>
            <w:r>
              <w:rPr>
                <w:rFonts w:eastAsiaTheme="minorEastAsia"/>
                <w:color w:val="000000" w:themeColor="text1"/>
                <w:szCs w:val="21"/>
              </w:rPr>
              <w:t>042280496</w:t>
            </w:r>
          </w:p>
        </w:tc>
        <w:tc>
          <w:tcPr>
            <w:tcW w:w="1504" w:type="dxa"/>
            <w:vAlign w:val="center"/>
          </w:tcPr>
          <w:p w:rsidR="003B4E78" w:rsidRDefault="00E71D6F">
            <w:pPr>
              <w:jc w:val="center"/>
            </w:pPr>
            <w:r>
              <w:rPr>
                <w:rFonts w:eastAsiaTheme="minorEastAsia"/>
                <w:color w:val="000000" w:themeColor="text1"/>
                <w:szCs w:val="21"/>
              </w:rPr>
              <w:t>22</w:t>
            </w:r>
            <w:r>
              <w:rPr>
                <w:rFonts w:eastAsiaTheme="minorEastAsia"/>
                <w:color w:val="000000" w:themeColor="text1"/>
                <w:szCs w:val="21"/>
              </w:rPr>
              <w:t>长电</w:t>
            </w:r>
            <w:r>
              <w:rPr>
                <w:rFonts w:eastAsiaTheme="minorEastAsia"/>
                <w:color w:val="000000" w:themeColor="text1"/>
                <w:szCs w:val="21"/>
              </w:rPr>
              <w:t>CP001</w:t>
            </w:r>
          </w:p>
        </w:tc>
        <w:tc>
          <w:tcPr>
            <w:tcW w:w="1503" w:type="dxa"/>
            <w:vAlign w:val="center"/>
          </w:tcPr>
          <w:p w:rsidR="003B4E78" w:rsidRDefault="00E71D6F">
            <w:pPr>
              <w:jc w:val="right"/>
            </w:pPr>
            <w:r>
              <w:rPr>
                <w:rFonts w:eastAsiaTheme="minorEastAsia"/>
                <w:color w:val="000000" w:themeColor="text1"/>
                <w:szCs w:val="21"/>
              </w:rPr>
              <w:t>970,000</w:t>
            </w:r>
          </w:p>
        </w:tc>
        <w:tc>
          <w:tcPr>
            <w:tcW w:w="1503" w:type="dxa"/>
            <w:vAlign w:val="center"/>
          </w:tcPr>
          <w:p w:rsidR="003B4E78" w:rsidRDefault="00E71D6F">
            <w:pPr>
              <w:jc w:val="right"/>
            </w:pPr>
            <w:r>
              <w:rPr>
                <w:rFonts w:eastAsiaTheme="minorEastAsia"/>
                <w:color w:val="000000" w:themeColor="text1"/>
                <w:szCs w:val="21"/>
              </w:rPr>
              <w:t>97,800,449.32</w:t>
            </w:r>
          </w:p>
        </w:tc>
        <w:tc>
          <w:tcPr>
            <w:tcW w:w="1503" w:type="dxa"/>
            <w:vAlign w:val="center"/>
          </w:tcPr>
          <w:p w:rsidR="003B4E78" w:rsidRDefault="00E71D6F">
            <w:pPr>
              <w:jc w:val="right"/>
            </w:pPr>
            <w:r>
              <w:rPr>
                <w:rFonts w:eastAsiaTheme="minorEastAsia"/>
                <w:color w:val="000000" w:themeColor="text1"/>
                <w:szCs w:val="21"/>
              </w:rPr>
              <w:t>4.66</w:t>
            </w:r>
          </w:p>
        </w:tc>
      </w:tr>
      <w:tr w:rsidR="003B4E78">
        <w:tc>
          <w:tcPr>
            <w:tcW w:w="1504" w:type="dxa"/>
            <w:vAlign w:val="center"/>
          </w:tcPr>
          <w:p w:rsidR="003B4E78" w:rsidRDefault="00E71D6F">
            <w:pPr>
              <w:jc w:val="center"/>
            </w:pPr>
            <w:r>
              <w:rPr>
                <w:rFonts w:eastAsiaTheme="minorEastAsia"/>
                <w:color w:val="000000" w:themeColor="text1"/>
                <w:szCs w:val="21"/>
              </w:rPr>
              <w:t>5</w:t>
            </w:r>
          </w:p>
        </w:tc>
        <w:tc>
          <w:tcPr>
            <w:tcW w:w="1504" w:type="dxa"/>
            <w:vAlign w:val="center"/>
          </w:tcPr>
          <w:p w:rsidR="003B4E78" w:rsidRDefault="00E71D6F">
            <w:pPr>
              <w:jc w:val="center"/>
            </w:pPr>
            <w:r>
              <w:rPr>
                <w:rFonts w:eastAsiaTheme="minorEastAsia"/>
                <w:color w:val="000000" w:themeColor="text1"/>
                <w:szCs w:val="21"/>
              </w:rPr>
              <w:t>042280448</w:t>
            </w:r>
          </w:p>
        </w:tc>
        <w:tc>
          <w:tcPr>
            <w:tcW w:w="1504" w:type="dxa"/>
            <w:vAlign w:val="center"/>
          </w:tcPr>
          <w:p w:rsidR="003B4E78" w:rsidRDefault="00E71D6F">
            <w:pPr>
              <w:jc w:val="center"/>
            </w:pPr>
            <w:r>
              <w:rPr>
                <w:rFonts w:eastAsiaTheme="minorEastAsia"/>
                <w:color w:val="000000" w:themeColor="text1"/>
                <w:szCs w:val="21"/>
              </w:rPr>
              <w:t>22</w:t>
            </w:r>
            <w:r>
              <w:rPr>
                <w:rFonts w:eastAsiaTheme="minorEastAsia"/>
                <w:color w:val="000000" w:themeColor="text1"/>
                <w:szCs w:val="21"/>
              </w:rPr>
              <w:t>中石油</w:t>
            </w:r>
            <w:r>
              <w:rPr>
                <w:rFonts w:eastAsiaTheme="minorEastAsia"/>
                <w:color w:val="000000" w:themeColor="text1"/>
                <w:szCs w:val="21"/>
              </w:rPr>
              <w:t>CP003</w:t>
            </w:r>
          </w:p>
        </w:tc>
        <w:tc>
          <w:tcPr>
            <w:tcW w:w="1503" w:type="dxa"/>
            <w:vAlign w:val="center"/>
          </w:tcPr>
          <w:p w:rsidR="003B4E78" w:rsidRDefault="00E71D6F">
            <w:pPr>
              <w:jc w:val="right"/>
            </w:pPr>
            <w:r>
              <w:rPr>
                <w:rFonts w:eastAsiaTheme="minorEastAsia"/>
                <w:color w:val="000000" w:themeColor="text1"/>
                <w:szCs w:val="21"/>
              </w:rPr>
              <w:t>950,000</w:t>
            </w:r>
          </w:p>
        </w:tc>
        <w:tc>
          <w:tcPr>
            <w:tcW w:w="1503" w:type="dxa"/>
            <w:vAlign w:val="center"/>
          </w:tcPr>
          <w:p w:rsidR="003B4E78" w:rsidRDefault="00E71D6F">
            <w:pPr>
              <w:jc w:val="right"/>
            </w:pPr>
            <w:r>
              <w:rPr>
                <w:rFonts w:eastAsiaTheme="minorEastAsia"/>
                <w:color w:val="000000" w:themeColor="text1"/>
                <w:szCs w:val="21"/>
              </w:rPr>
              <w:t>95,367,610.96</w:t>
            </w:r>
          </w:p>
        </w:tc>
        <w:tc>
          <w:tcPr>
            <w:tcW w:w="1503" w:type="dxa"/>
            <w:vAlign w:val="center"/>
          </w:tcPr>
          <w:p w:rsidR="003B4E78" w:rsidRDefault="00E71D6F">
            <w:pPr>
              <w:jc w:val="right"/>
            </w:pPr>
            <w:r>
              <w:rPr>
                <w:rFonts w:eastAsiaTheme="minorEastAsia"/>
                <w:color w:val="000000" w:themeColor="text1"/>
                <w:szCs w:val="21"/>
              </w:rPr>
              <w:t>4.54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109,900.98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5,718,131.76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8,010,047.30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13,838,080.04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3B4E78">
        <w:tc>
          <w:tcPr>
            <w:tcW w:w="1181" w:type="dxa"/>
            <w:vAlign w:val="center"/>
          </w:tcPr>
          <w:p w:rsidR="003B4E78" w:rsidRDefault="00E71D6F">
            <w:pPr>
              <w:jc w:val="center"/>
            </w:pPr>
            <w:r>
              <w:rPr>
                <w:rFonts w:eastAsiaTheme="minorEastAsia"/>
                <w:color w:val="000000" w:themeColor="text1"/>
                <w:szCs w:val="21"/>
              </w:rPr>
              <w:t>1</w:t>
            </w:r>
          </w:p>
        </w:tc>
        <w:tc>
          <w:tcPr>
            <w:tcW w:w="2497" w:type="dxa"/>
            <w:vAlign w:val="center"/>
          </w:tcPr>
          <w:p w:rsidR="003B4E78" w:rsidRDefault="00E71D6F">
            <w:pPr>
              <w:jc w:val="center"/>
            </w:pPr>
            <w:r>
              <w:rPr>
                <w:rFonts w:eastAsiaTheme="minorEastAsia"/>
                <w:color w:val="000000" w:themeColor="text1"/>
                <w:szCs w:val="21"/>
              </w:rPr>
              <w:t>113044</w:t>
            </w:r>
          </w:p>
        </w:tc>
        <w:tc>
          <w:tcPr>
            <w:tcW w:w="1746" w:type="dxa"/>
            <w:vAlign w:val="center"/>
          </w:tcPr>
          <w:p w:rsidR="003B4E78" w:rsidRDefault="00E71D6F">
            <w:pPr>
              <w:jc w:val="center"/>
            </w:pPr>
            <w:r>
              <w:rPr>
                <w:rFonts w:eastAsiaTheme="minorEastAsia"/>
                <w:color w:val="000000" w:themeColor="text1"/>
                <w:szCs w:val="21"/>
              </w:rPr>
              <w:t>大秦转债</w:t>
            </w:r>
          </w:p>
        </w:tc>
        <w:tc>
          <w:tcPr>
            <w:tcW w:w="1825" w:type="dxa"/>
            <w:vAlign w:val="center"/>
          </w:tcPr>
          <w:p w:rsidR="003B4E78" w:rsidRDefault="00E71D6F">
            <w:pPr>
              <w:jc w:val="right"/>
            </w:pPr>
            <w:r>
              <w:rPr>
                <w:rFonts w:eastAsiaTheme="minorEastAsia"/>
                <w:color w:val="000000" w:themeColor="text1"/>
                <w:szCs w:val="21"/>
              </w:rPr>
              <w:t>30,882,720.82</w:t>
            </w:r>
          </w:p>
        </w:tc>
        <w:tc>
          <w:tcPr>
            <w:tcW w:w="1679" w:type="dxa"/>
            <w:vAlign w:val="center"/>
          </w:tcPr>
          <w:p w:rsidR="003B4E78" w:rsidRDefault="00E71D6F">
            <w:pPr>
              <w:jc w:val="right"/>
            </w:pPr>
            <w:r>
              <w:rPr>
                <w:rFonts w:eastAsiaTheme="minorEastAsia"/>
                <w:color w:val="000000" w:themeColor="text1"/>
                <w:szCs w:val="21"/>
              </w:rPr>
              <w:t>1.47</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摩根强化回报债券</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摩根强化回报债券</w:t>
            </w:r>
            <w:r w:rsidRPr="00B27A29">
              <w:rPr>
                <w:rFonts w:eastAsiaTheme="minorEastAsia"/>
                <w:color w:val="000000" w:themeColor="text1"/>
                <w:szCs w:val="21"/>
              </w:rPr>
              <w:t>B</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1,243,531,706.05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136,342,666.09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275,519,853.62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104,583,046.89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368,180,961.49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44,404,555.92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1,150,870,598.18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196,521,157.06</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、中国证监会批准本基金募集的文件</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、摩根强化回报债券型证券投资基金基金合同</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、摩根强化回报债券型证券投资基金托管协议</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3B4E78" w:rsidRDefault="00E71D6F">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71D6F">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71D6F">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71D6F">
      <w:rPr>
        <w:rStyle w:val="af6"/>
        <w:noProof/>
      </w:rPr>
      <w:t>5</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摩根强化回报债券型证券投资基金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B4E78"/>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1D6F"/>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F65008-F674-4483-89EA-0628DF48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23</TotalTime>
  <Pages>14</Pages>
  <Words>1244</Words>
  <Characters>7097</Characters>
  <Application>Microsoft Office Word</Application>
  <DocSecurity>0</DocSecurity>
  <Lines>59</Lines>
  <Paragraphs>16</Paragraphs>
  <ScaleCrop>false</ScaleCrop>
  <Company>TRT. Ltd. Co.</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219</cp:revision>
  <cp:lastPrinted>2007-07-19T00:46:00Z</cp:lastPrinted>
  <dcterms:created xsi:type="dcterms:W3CDTF">2013-06-21T06:56:00Z</dcterms:created>
  <dcterms:modified xsi:type="dcterms:W3CDTF">2023-04-20T05:29:00Z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