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217EE" w:rsidRDefault="003217E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3217EE" w:rsidRDefault="003217E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3217EE" w:rsidRDefault="003217EE">
      <w:pPr>
        <w:spacing w:line="360" w:lineRule="auto"/>
        <w:jc w:val="center"/>
        <w:rPr>
          <w:rFonts w:hint="eastAsia"/>
        </w:rPr>
      </w:pPr>
      <w:r>
        <w:rPr>
          <w:rFonts w:ascii="宋体" w:hAnsi="宋体" w:hint="eastAsia"/>
          <w:b/>
          <w:bCs/>
          <w:color w:val="000000" w:themeColor="text1"/>
          <w:sz w:val="48"/>
          <w:szCs w:val="30"/>
        </w:rPr>
        <w:t>摩根纯债债券型证券投资基金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3217EE" w:rsidRDefault="003217E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3217EE" w:rsidRDefault="003217E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17EE" w:rsidRDefault="003217E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3217EE" w:rsidRDefault="003217E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3217EE" w:rsidRDefault="003217E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3217EE" w:rsidRDefault="003217E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3217EE" w:rsidRDefault="003217E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3217EE" w:rsidRDefault="003217E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875"/>
        <w:gridCol w:w="1763"/>
        <w:gridCol w:w="1519"/>
      </w:tblGrid>
      <w:tr w:rsidR="00000000">
        <w:trPr>
          <w:divId w:val="56618336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3217EE" w:rsidRDefault="003217E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szCs w:val="24"/>
                <w:lang w:eastAsia="zh-Hans"/>
              </w:rPr>
              <w:t>摩根纯债债</w:t>
            </w:r>
            <w:r>
              <w:rPr>
                <w:rFonts w:ascii="宋体" w:hAnsi="宋体" w:hint="eastAsia"/>
                <w:szCs w:val="24"/>
                <w:lang w:eastAsia="zh-Hans"/>
              </w:rPr>
              <w:t>券</w:t>
            </w:r>
            <w:r>
              <w:rPr>
                <w:rFonts w:ascii="宋体" w:hAnsi="宋体" w:hint="eastAsia"/>
                <w:lang w:eastAsia="zh-Hans"/>
              </w:rPr>
              <w:t xml:space="preserve"> </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37102</w:t>
            </w:r>
            <w:r>
              <w:rPr>
                <w:rFonts w:ascii="宋体" w:hAnsi="宋体" w:hint="eastAsia"/>
                <w:lang w:eastAsia="zh-Hans"/>
              </w:rPr>
              <w:t>0</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契约型开放</w:t>
            </w:r>
            <w:r>
              <w:rPr>
                <w:rFonts w:ascii="宋体" w:hAnsi="宋体" w:hint="eastAsia"/>
                <w:lang w:eastAsia="zh-Hans"/>
              </w:rPr>
              <w:t>式</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2009</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634,270,500.9</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本基金将根据对利率趋势的预判，适时规划与调整组合目标久期，结合主动性资产配置，在严格控制组合投资风险的同时，提高基金资产流动性与收益性水平，以追求超过业绩比较基准的投资回报</w:t>
            </w:r>
            <w:r>
              <w:rPr>
                <w:rFonts w:ascii="宋体" w:hAnsi="宋体" w:hint="eastAsia"/>
                <w:lang w:eastAsia="zh-Hans"/>
              </w:rPr>
              <w:t>。</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1</w:t>
            </w:r>
            <w:r>
              <w:rPr>
                <w:rFonts w:ascii="宋体" w:hAnsi="宋体" w:hint="eastAsia"/>
                <w:lang w:eastAsia="zh-Hans"/>
              </w:rPr>
              <w:t>、目标久期管理策略</w:t>
            </w:r>
            <w:r>
              <w:rPr>
                <w:rFonts w:ascii="宋体" w:hAnsi="宋体" w:hint="eastAsia"/>
                <w:lang w:eastAsia="zh-Hans"/>
              </w:rPr>
              <w:br/>
            </w:r>
            <w:r>
              <w:rPr>
                <w:rFonts w:ascii="宋体" w:hAnsi="宋体" w:hint="eastAsia"/>
                <w:lang w:eastAsia="zh-Hans"/>
              </w:rPr>
              <w:t>目标久期管理将优化固定收益投资的安全性、收益性与流动性。本基金严格遵循投资流程，对宏观经济、财政货币政策、市场利率水平及债券发行主体的信用情况等因素进行深入研究，通过审慎把握利率期限结构的变动趋势，适时制定目标久期管理计划，通过合理的资产配置及组合目标久期管理，控制投资风险，追求可持续的、超出业绩比较基准的投资收益。</w:t>
            </w:r>
            <w:r>
              <w:rPr>
                <w:rFonts w:ascii="宋体" w:hAnsi="宋体" w:hint="eastAsia"/>
                <w:lang w:eastAsia="zh-Hans"/>
              </w:rPr>
              <w:br/>
              <w:t>2</w:t>
            </w:r>
            <w:r>
              <w:rPr>
                <w:rFonts w:ascii="宋体" w:hAnsi="宋体" w:hint="eastAsia"/>
                <w:lang w:eastAsia="zh-Hans"/>
              </w:rPr>
              <w:t>、可转换公司债券（包括分离交易可转债）的投资策略</w:t>
            </w:r>
            <w:r>
              <w:rPr>
                <w:rFonts w:ascii="宋体" w:hAnsi="宋体" w:hint="eastAsia"/>
                <w:lang w:eastAsia="zh-Hans"/>
              </w:rPr>
              <w:br/>
            </w:r>
            <w:r>
              <w:rPr>
                <w:rFonts w:ascii="宋体" w:hAnsi="宋体" w:hint="eastAsia"/>
                <w:lang w:eastAsia="zh-Hans"/>
              </w:rPr>
              <w:t>可转换债券兼具权益类证券与固定收益类证券的特性</w:t>
            </w:r>
            <w:r>
              <w:rPr>
                <w:rFonts w:ascii="宋体" w:hAnsi="宋体" w:hint="eastAsia"/>
                <w:lang w:eastAsia="zh-Hans"/>
              </w:rPr>
              <w:t>,</w:t>
            </w:r>
            <w:r>
              <w:rPr>
                <w:rFonts w:ascii="宋体" w:hAnsi="宋体" w:hint="eastAsia"/>
                <w:lang w:eastAsia="zh-Hans"/>
              </w:rPr>
              <w:t>具有抵御下行风险、分享股票价格上涨收益的特点。本基金在对发债券公司基本面和可转债条款进行深入研究的基础上，以其纯债价值作为评价的主要标准，利用可转换公司债券定价等数量化估值工具评定其投资价值，投资于公司基本素质优良、具有较高安全边际和良好流动性的可转换公司债券，获取稳健的投资回报。</w:t>
            </w:r>
            <w:r>
              <w:rPr>
                <w:rFonts w:ascii="宋体" w:hAnsi="宋体" w:hint="eastAsia"/>
                <w:lang w:eastAsia="zh-Hans"/>
              </w:rPr>
              <w:br/>
              <w:t>3</w:t>
            </w:r>
            <w:r>
              <w:rPr>
                <w:rFonts w:ascii="宋体" w:hAnsi="宋体" w:hint="eastAsia"/>
                <w:lang w:eastAsia="zh-Hans"/>
              </w:rPr>
              <w:t>、资产支持证券投资策略</w:t>
            </w:r>
            <w:r>
              <w:rPr>
                <w:rFonts w:ascii="宋体" w:hAnsi="宋体" w:hint="eastAsia"/>
                <w:lang w:eastAsia="zh-Hans"/>
              </w:rPr>
              <w:br/>
            </w:r>
            <w:r>
              <w:rPr>
                <w:rFonts w:ascii="宋体" w:hAnsi="宋体" w:hint="eastAsia"/>
                <w:lang w:eastAsia="zh-Hans"/>
              </w:rPr>
              <w:t>本基金将在严格控制组合投资风险的前提下投资于资产支持证券。本基金综合考虑市场利率、发行条款、支持资产的构成及质量等因素，主要从资产池信用状况、违约相关性、历史违约记录和损失比例、证券的信用增强方式、利差补偿程度等方面对资产支持证券各个分支的风险与收益状况进行评估，在严格控制</w:t>
            </w:r>
            <w:r>
              <w:rPr>
                <w:rFonts w:ascii="宋体" w:hAnsi="宋体" w:hint="eastAsia"/>
                <w:lang w:eastAsia="zh-Hans"/>
              </w:rPr>
              <w:t>风险的情况下，确定资产合理配置比例，在保证资产安全性的前提条件下，以期获得长期稳定收益</w:t>
            </w:r>
            <w:r>
              <w:rPr>
                <w:rFonts w:ascii="宋体" w:hAnsi="宋体" w:hint="eastAsia"/>
                <w:lang w:eastAsia="zh-Hans"/>
              </w:rPr>
              <w:t>。</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本基金的业绩比较基准为中国债券总指数</w:t>
            </w:r>
            <w:r>
              <w:rPr>
                <w:rFonts w:ascii="宋体" w:hAnsi="宋体" w:hint="eastAsia"/>
                <w:lang w:eastAsia="zh-Hans"/>
              </w:rPr>
              <w:t>。</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本基金是债券型基金，在证券投资基金中属于较低风险品种，其预期风险收益水平低于股票型基金，高于货币市场基金。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6618336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56618336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lang w:eastAsia="zh-Hans"/>
              </w:rPr>
              <w:t>摩根纯债债券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lang w:eastAsia="zh-Hans"/>
              </w:rPr>
              <w:t>摩根纯债债券</w:t>
            </w:r>
            <w:r>
              <w:rPr>
                <w:rFonts w:ascii="宋体" w:hAnsi="宋体" w:hint="eastAsia"/>
                <w:lang w:eastAsia="zh-Hans"/>
              </w:rPr>
              <w:t>B</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lang w:eastAsia="zh-Hans"/>
              </w:rPr>
              <w:t>摩根纯债债券</w:t>
            </w:r>
            <w:r>
              <w:rPr>
                <w:rFonts w:ascii="宋体" w:hAnsi="宋体" w:hint="eastAsia"/>
                <w:lang w:eastAsia="zh-Hans"/>
              </w:rPr>
              <w:t>D</w:t>
            </w:r>
            <w:r>
              <w:rPr>
                <w:rFonts w:ascii="宋体" w:hAnsi="宋体" w:hint="eastAsia"/>
                <w:kern w:val="0"/>
                <w:sz w:val="20"/>
                <w:lang w:eastAsia="zh-Hans"/>
              </w:rPr>
              <w:t xml:space="preserve"> </w:t>
            </w:r>
          </w:p>
        </w:tc>
      </w:tr>
      <w:tr w:rsidR="00000000">
        <w:trPr>
          <w:divId w:val="56618336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lang w:eastAsia="zh-Hans"/>
              </w:rPr>
              <w:t>37102</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lang w:eastAsia="zh-Hans"/>
              </w:rPr>
              <w:t>37112</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lang w:eastAsia="zh-Hans"/>
              </w:rPr>
              <w:t>02229</w:t>
            </w:r>
            <w:r>
              <w:rPr>
                <w:rFonts w:ascii="宋体" w:hAnsi="宋体" w:hint="eastAsia"/>
                <w:lang w:eastAsia="zh-Hans"/>
              </w:rPr>
              <w:t>4</w:t>
            </w:r>
            <w:r>
              <w:rPr>
                <w:rFonts w:ascii="宋体" w:hAnsi="宋体" w:hint="eastAsia"/>
                <w:kern w:val="0"/>
                <w:sz w:val="20"/>
                <w:lang w:eastAsia="zh-Hans"/>
              </w:rPr>
              <w:t xml:space="preserve"> </w:t>
            </w:r>
          </w:p>
        </w:tc>
      </w:tr>
      <w:bookmarkEnd w:id="32"/>
      <w:bookmarkEnd w:id="33"/>
      <w:tr w:rsidR="00000000">
        <w:trPr>
          <w:divId w:val="56618336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217EE" w:rsidRDefault="003217E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617,372,793.6</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16,590,873.6</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306,833.6</w:t>
            </w:r>
            <w:r>
              <w:rPr>
                <w:rFonts w:ascii="宋体" w:hAnsi="宋体" w:hint="eastAsia"/>
                <w:lang w:eastAsia="zh-Hans"/>
              </w:rPr>
              <w:t>9</w:t>
            </w:r>
            <w:r>
              <w:rPr>
                <w:rFonts w:hint="eastAsia"/>
              </w:rPr>
              <w:t>份</w:t>
            </w:r>
            <w:r>
              <w:rPr>
                <w:rFonts w:ascii="宋体" w:hAnsi="宋体" w:hint="eastAsia"/>
                <w:lang w:eastAsia="zh-Hans"/>
              </w:rPr>
              <w:t xml:space="preserve"> </w:t>
            </w:r>
          </w:p>
        </w:tc>
      </w:tr>
    </w:tbl>
    <w:p w:rsidR="003217EE" w:rsidRDefault="003217E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3217EE" w:rsidRDefault="003217E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3217EE" w:rsidRDefault="003217EE">
      <w:pPr>
        <w:jc w:val="right"/>
        <w:divId w:val="169083686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2"/>
        <w:gridCol w:w="1879"/>
        <w:gridCol w:w="1812"/>
        <w:gridCol w:w="1812"/>
      </w:tblGrid>
      <w:tr w:rsidR="00000000">
        <w:trPr>
          <w:divId w:val="169083686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217EE" w:rsidRDefault="003217E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217EE" w:rsidRDefault="003217E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9083686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217EE" w:rsidRDefault="003217EE">
            <w:pPr>
              <w:jc w:val="center"/>
              <w:rPr>
                <w:rFonts w:hint="eastAsia"/>
              </w:rPr>
            </w:pPr>
            <w:r>
              <w:rPr>
                <w:rFonts w:ascii="宋体" w:hAnsi="宋体" w:hint="eastAsia"/>
                <w:szCs w:val="24"/>
                <w:lang w:eastAsia="zh-Hans"/>
              </w:rPr>
              <w:t>摩根纯债债券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217EE" w:rsidRDefault="003217EE">
            <w:pPr>
              <w:jc w:val="center"/>
            </w:pPr>
            <w:r>
              <w:rPr>
                <w:rFonts w:ascii="宋体" w:hAnsi="宋体" w:hint="eastAsia"/>
                <w:szCs w:val="24"/>
                <w:lang w:eastAsia="zh-Hans"/>
              </w:rPr>
              <w:t>摩根纯债债券</w:t>
            </w:r>
            <w:r>
              <w:rPr>
                <w:rFonts w:ascii="宋体" w:hAnsi="宋体" w:hint="eastAsia"/>
                <w:szCs w:val="24"/>
                <w:lang w:eastAsia="zh-Hans"/>
              </w:rPr>
              <w:t>B</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217EE" w:rsidRDefault="003217EE">
            <w:pPr>
              <w:jc w:val="center"/>
            </w:pPr>
            <w:r>
              <w:rPr>
                <w:rFonts w:ascii="宋体" w:hAnsi="宋体" w:hint="eastAsia"/>
                <w:szCs w:val="24"/>
                <w:lang w:eastAsia="zh-Hans"/>
              </w:rPr>
              <w:t>摩根纯债债券</w:t>
            </w:r>
            <w:r>
              <w:rPr>
                <w:rFonts w:ascii="宋体" w:hAnsi="宋体" w:hint="eastAsia"/>
                <w:szCs w:val="24"/>
                <w:lang w:eastAsia="zh-Hans"/>
              </w:rPr>
              <w:t>D</w:t>
            </w:r>
          </w:p>
        </w:tc>
      </w:tr>
      <w:tr w:rsidR="00000000">
        <w:trPr>
          <w:divId w:val="16908368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rPr>
                <w:rFonts w:hint="eastAsia"/>
              </w:rPr>
            </w:pPr>
            <w:r>
              <w:rPr>
                <w:rFonts w:ascii="宋体" w:hAnsi="宋体" w:hint="eastAsia"/>
                <w:szCs w:val="24"/>
                <w:lang w:eastAsia="zh-Hans"/>
              </w:rPr>
              <w:t>5,303,431.1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133,012.7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2,260.7</w:t>
            </w:r>
            <w:r>
              <w:rPr>
                <w:rFonts w:ascii="宋体" w:hAnsi="宋体" w:hint="eastAsia"/>
                <w:szCs w:val="24"/>
                <w:lang w:eastAsia="zh-Hans"/>
              </w:rPr>
              <w:t>3</w:t>
            </w:r>
          </w:p>
        </w:tc>
      </w:tr>
      <w:tr w:rsidR="00000000">
        <w:trPr>
          <w:divId w:val="16908368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rPr>
                <w:rFonts w:hint="eastAsia"/>
              </w:rPr>
            </w:pPr>
            <w:r>
              <w:rPr>
                <w:rFonts w:ascii="宋体" w:hAnsi="宋体" w:hint="eastAsia"/>
                <w:szCs w:val="24"/>
                <w:lang w:eastAsia="zh-Hans"/>
              </w:rPr>
              <w:t>7,547,582.7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120,453.6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3,006.6</w:t>
            </w:r>
            <w:r>
              <w:rPr>
                <w:rFonts w:ascii="宋体" w:hAnsi="宋体" w:hint="eastAsia"/>
                <w:szCs w:val="24"/>
                <w:lang w:eastAsia="zh-Hans"/>
              </w:rPr>
              <w:t>4</w:t>
            </w:r>
          </w:p>
        </w:tc>
      </w:tr>
      <w:tr w:rsidR="00000000">
        <w:trPr>
          <w:divId w:val="16908368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rPr>
                <w:rFonts w:hint="eastAsia"/>
              </w:rPr>
            </w:pPr>
            <w:r>
              <w:rPr>
                <w:rFonts w:ascii="宋体" w:hAnsi="宋体" w:hint="eastAsia"/>
                <w:szCs w:val="24"/>
                <w:lang w:eastAsia="zh-Hans"/>
              </w:rPr>
              <w:t>0.007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0.004</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0.008</w:t>
            </w:r>
            <w:r>
              <w:rPr>
                <w:rFonts w:ascii="宋体" w:hAnsi="宋体" w:hint="eastAsia"/>
                <w:szCs w:val="24"/>
                <w:lang w:eastAsia="zh-Hans"/>
              </w:rPr>
              <w:t>6</w:t>
            </w:r>
          </w:p>
        </w:tc>
      </w:tr>
      <w:tr w:rsidR="00000000">
        <w:trPr>
          <w:divId w:val="16908368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rPr>
                <w:rFonts w:hint="eastAsia"/>
              </w:rPr>
            </w:pPr>
            <w:r>
              <w:rPr>
                <w:rFonts w:ascii="宋体" w:hAnsi="宋体" w:hint="eastAsia"/>
                <w:szCs w:val="24"/>
                <w:lang w:eastAsia="zh-Hans"/>
              </w:rPr>
              <w:t>770,769,838.3</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17,875,979.9</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398,789.2</w:t>
            </w:r>
            <w:r>
              <w:rPr>
                <w:rFonts w:ascii="宋体" w:hAnsi="宋体" w:hint="eastAsia"/>
                <w:szCs w:val="24"/>
                <w:lang w:eastAsia="zh-Hans"/>
              </w:rPr>
              <w:t>3</w:t>
            </w:r>
          </w:p>
        </w:tc>
      </w:tr>
      <w:tr w:rsidR="00000000">
        <w:trPr>
          <w:divId w:val="169083686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rPr>
                <w:rFonts w:hint="eastAsia"/>
              </w:rPr>
            </w:pPr>
            <w:r>
              <w:rPr>
                <w:rFonts w:ascii="宋体" w:hAnsi="宋体" w:hint="eastAsia"/>
                <w:szCs w:val="24"/>
                <w:lang w:eastAsia="zh-Hans"/>
              </w:rPr>
              <w:t>1.248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1.077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217EE" w:rsidRDefault="003217EE">
            <w:pPr>
              <w:jc w:val="right"/>
            </w:pPr>
            <w:r>
              <w:rPr>
                <w:rFonts w:ascii="宋体" w:hAnsi="宋体" w:hint="eastAsia"/>
                <w:szCs w:val="24"/>
                <w:lang w:eastAsia="zh-Hans"/>
              </w:rPr>
              <w:t>1.299</w:t>
            </w:r>
            <w:r>
              <w:rPr>
                <w:rFonts w:ascii="宋体" w:hAnsi="宋体" w:hint="eastAsia"/>
                <w:szCs w:val="24"/>
                <w:lang w:eastAsia="zh-Hans"/>
              </w:rPr>
              <w:t>7</w:t>
            </w:r>
          </w:p>
        </w:tc>
      </w:tr>
    </w:tbl>
    <w:p w:rsidR="003217EE" w:rsidRDefault="003217EE">
      <w:pPr>
        <w:wordWrap w:val="0"/>
        <w:spacing w:line="360" w:lineRule="auto"/>
        <w:jc w:val="left"/>
        <w:divId w:val="96331784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3217EE" w:rsidRDefault="003217E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3217EE" w:rsidRDefault="003217E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3217EE" w:rsidRDefault="003217EE">
      <w:pPr>
        <w:spacing w:line="360" w:lineRule="auto"/>
        <w:jc w:val="center"/>
        <w:divId w:val="1463889787"/>
        <w:rPr>
          <w:rFonts w:hint="eastAsia"/>
        </w:rPr>
      </w:pPr>
      <w:r>
        <w:rPr>
          <w:rFonts w:ascii="宋体" w:hAnsi="宋体" w:hint="eastAsia"/>
        </w:rPr>
        <w:t>摩根纯债债券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6388978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②－④</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0.1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0.6</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2.4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7.2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4.4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2.7</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16.2</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7.7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8.5</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21.1</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9.3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11.7</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1</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30.7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9.2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21.4</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1463889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81.2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14.9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66.2</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bl>
    <w:p w:rsidR="003217EE" w:rsidRDefault="003217EE">
      <w:pPr>
        <w:spacing w:line="360" w:lineRule="auto"/>
        <w:jc w:val="center"/>
        <w:divId w:val="1604846190"/>
      </w:pPr>
      <w:r>
        <w:rPr>
          <w:rFonts w:ascii="宋体" w:hAnsi="宋体" w:hint="eastAsia"/>
        </w:rPr>
        <w:t>摩根纯债债券</w:t>
      </w:r>
      <w:r>
        <w:rPr>
          <w:rFonts w:ascii="宋体" w:hAnsi="宋体" w:hint="eastAsia"/>
        </w:rPr>
        <w:t>B</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0484619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1.3</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0.6</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1.4</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2.4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6.8</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4.4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2.4</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15.1</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7.7</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7.4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18.9</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9.3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9.5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27.0</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9.2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17.7</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6048461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71.1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14.9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56.1</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r>
    </w:tbl>
    <w:p w:rsidR="003217EE" w:rsidRDefault="003217EE">
      <w:pPr>
        <w:spacing w:line="360" w:lineRule="auto"/>
        <w:jc w:val="center"/>
        <w:divId w:val="1417438050"/>
      </w:pPr>
      <w:r>
        <w:rPr>
          <w:rFonts w:ascii="宋体" w:hAnsi="宋体" w:hint="eastAsia"/>
        </w:rPr>
        <w:t>摩根纯债债券</w:t>
      </w:r>
      <w:r>
        <w:rPr>
          <w:rFonts w:ascii="宋体" w:hAnsi="宋体" w:hint="eastAsia"/>
        </w:rPr>
        <w:t>D</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1743805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417438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417438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1.1</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417438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1.8</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2.9</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4174380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3.8</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217EE" w:rsidRDefault="003217EE">
            <w:pPr>
              <w:spacing w:line="360" w:lineRule="auto"/>
              <w:jc w:val="right"/>
            </w:pPr>
            <w:r>
              <w:rPr>
                <w:rFonts w:ascii="宋体" w:hAnsi="宋体" w:hint="eastAsia"/>
              </w:rPr>
              <w:t>3.3</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bl>
    <w:p w:rsidR="003217EE" w:rsidRDefault="003217E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3217EE" w:rsidRDefault="003217EE">
      <w:pPr>
        <w:spacing w:line="360" w:lineRule="auto"/>
        <w:jc w:val="left"/>
        <w:divId w:val="20349238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217EE" w:rsidRDefault="003217EE">
      <w:pPr>
        <w:spacing w:line="360" w:lineRule="auto"/>
        <w:jc w:val="left"/>
        <w:divId w:val="77791827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217EE" w:rsidRDefault="003217EE">
      <w:pPr>
        <w:spacing w:line="360" w:lineRule="auto"/>
        <w:jc w:val="left"/>
        <w:divId w:val="857736053"/>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217EE" w:rsidRDefault="003217E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2009</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2024</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日起增加</w:t>
      </w:r>
      <w:r>
        <w:rPr>
          <w:rFonts w:ascii="宋体" w:hAnsi="宋体" w:hint="eastAsia"/>
          <w:lang w:eastAsia="zh-Hans"/>
        </w:rPr>
        <w:t>D</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3217EE" w:rsidRDefault="003217E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3217EE" w:rsidRDefault="003217E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476717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476717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pPr>
          </w:p>
        </w:tc>
      </w:tr>
      <w:tr w:rsidR="00000000">
        <w:trPr>
          <w:divId w:val="847671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26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r w:rsidR="00000000">
        <w:trPr>
          <w:divId w:val="847671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张一</w:t>
            </w:r>
            <w:r>
              <w:rPr>
                <w:rFonts w:ascii="宋体" w:hAnsi="宋体" w:hint="eastAsia"/>
                <w:szCs w:val="24"/>
                <w:lang w:eastAsia="zh-Hans"/>
              </w:rPr>
              <w:t>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szCs w:val="24"/>
                <w:lang w:eastAsia="zh-Hans"/>
              </w:rPr>
              <w:t>本基金基金经理、总经理助理兼债券投资总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31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szCs w:val="24"/>
                <w:lang w:eastAsia="zh-Hans"/>
              </w:rPr>
              <w:t>张一格先生曾任兴业银行资金营运中心投资经理</w:t>
            </w:r>
            <w:r>
              <w:rPr>
                <w:rFonts w:ascii="宋体" w:hAnsi="宋体" w:hint="eastAsia"/>
                <w:szCs w:val="24"/>
                <w:lang w:eastAsia="zh-Hans"/>
              </w:rPr>
              <w:t>,</w:t>
            </w:r>
            <w:r>
              <w:rPr>
                <w:rFonts w:ascii="宋体" w:hAnsi="宋体" w:hint="eastAsia"/>
                <w:szCs w:val="24"/>
                <w:lang w:eastAsia="zh-Hans"/>
              </w:rPr>
              <w:t>国泰基金管理有限公司基金经理，融通基金管理有限公司固收投资总监、基金经理；自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月加入摩根基金管理（中国）有限公司（原上投摩根基金管理有限公司），现任总经理助理兼债券投资总监</w:t>
            </w:r>
            <w:r>
              <w:rPr>
                <w:rFonts w:ascii="宋体" w:hAnsi="宋体" w:hint="eastAsia"/>
                <w:szCs w:val="24"/>
                <w:lang w:eastAsia="zh-Hans"/>
              </w:rPr>
              <w:t>。</w:t>
            </w:r>
          </w:p>
        </w:tc>
      </w:tr>
    </w:tbl>
    <w:p w:rsidR="003217EE" w:rsidRDefault="003217EE">
      <w:pPr>
        <w:wordWrap w:val="0"/>
        <w:spacing w:line="360" w:lineRule="auto"/>
        <w:jc w:val="left"/>
        <w:divId w:val="1840001730"/>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3217EE" w:rsidRDefault="003217E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3217EE" w:rsidRDefault="003217E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3217EE" w:rsidRDefault="003217E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3217EE" w:rsidRDefault="003217E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3217EE" w:rsidRDefault="003217E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3217EE" w:rsidRDefault="003217E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3217EE" w:rsidRDefault="003217E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3217EE" w:rsidRDefault="003217E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3217EE" w:rsidRDefault="003217EE">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年二季度，债券市场在经济弱修复与流动性合理充裕的支撑下震荡走强。</w:t>
      </w:r>
      <w:r>
        <w:rPr>
          <w:rFonts w:ascii="宋体" w:hAnsi="宋体" w:cs="宋体" w:hint="eastAsia"/>
          <w:color w:val="000000"/>
          <w:kern w:val="0"/>
        </w:rPr>
        <w:t>4-5</w:t>
      </w:r>
      <w:r>
        <w:rPr>
          <w:rFonts w:ascii="宋体" w:hAnsi="宋体" w:cs="宋体" w:hint="eastAsia"/>
          <w:color w:val="000000"/>
          <w:kern w:val="0"/>
        </w:rPr>
        <w:t>月，通胀预期降温与实体融资偏弱共振，大行资金融出充裕，流动性自发宽裕驱动收益率全面下行，期限利差深度压缩，券商、基金偏好长久期，中小行则持续止盈。</w:t>
      </w:r>
      <w:r>
        <w:rPr>
          <w:rFonts w:ascii="宋体" w:hAnsi="宋体" w:cs="宋体" w:hint="eastAsia"/>
          <w:color w:val="000000"/>
          <w:kern w:val="0"/>
        </w:rPr>
        <w:t>6</w:t>
      </w:r>
      <w:r>
        <w:rPr>
          <w:rFonts w:ascii="宋体" w:hAnsi="宋体" w:cs="宋体" w:hint="eastAsia"/>
          <w:color w:val="000000"/>
          <w:kern w:val="0"/>
        </w:rPr>
        <w:t>月以来，随着年中缴税及监管影响，资金面边际收敛，</w:t>
      </w:r>
      <w:r>
        <w:rPr>
          <w:rFonts w:ascii="宋体" w:hAnsi="宋体" w:cs="宋体" w:hint="eastAsia"/>
          <w:color w:val="000000"/>
          <w:kern w:val="0"/>
        </w:rPr>
        <w:t>DR001</w:t>
      </w:r>
      <w:r>
        <w:rPr>
          <w:rFonts w:ascii="宋体" w:hAnsi="宋体" w:cs="宋体" w:hint="eastAsia"/>
          <w:color w:val="000000"/>
          <w:kern w:val="0"/>
        </w:rPr>
        <w:t>及</w:t>
      </w:r>
      <w:r>
        <w:rPr>
          <w:rFonts w:ascii="宋体" w:hAnsi="宋体" w:cs="宋体" w:hint="eastAsia"/>
          <w:color w:val="000000"/>
          <w:kern w:val="0"/>
        </w:rPr>
        <w:t>DR007</w:t>
      </w:r>
      <w:r>
        <w:rPr>
          <w:rFonts w:ascii="宋体" w:hAnsi="宋体" w:cs="宋体" w:hint="eastAsia"/>
          <w:color w:val="000000"/>
          <w:kern w:val="0"/>
        </w:rPr>
        <w:t>向政策利率靠拢；但央行通过公开市场操作“削峰填谷”精准呵护跨季流动性，叠加海外主要央行利率决议落地、国内物价数据小幅波动，市场多空力量形成均衡，</w:t>
      </w:r>
      <w:r>
        <w:rPr>
          <w:rFonts w:ascii="宋体" w:hAnsi="宋体" w:cs="宋体" w:hint="eastAsia"/>
          <w:color w:val="000000"/>
          <w:kern w:val="0"/>
        </w:rPr>
        <w:t>10</w:t>
      </w:r>
      <w:r>
        <w:rPr>
          <w:rFonts w:ascii="宋体" w:hAnsi="宋体" w:cs="宋体" w:hint="eastAsia"/>
          <w:color w:val="000000"/>
          <w:kern w:val="0"/>
        </w:rPr>
        <w:t>年期国债利率最终维持在</w:t>
      </w:r>
      <w:r>
        <w:rPr>
          <w:rFonts w:ascii="宋体" w:hAnsi="宋体" w:cs="宋体" w:hint="eastAsia"/>
          <w:color w:val="000000"/>
          <w:kern w:val="0"/>
        </w:rPr>
        <w:t>1.70%-1.75%</w:t>
      </w:r>
      <w:r>
        <w:rPr>
          <w:rFonts w:ascii="宋体" w:hAnsi="宋体" w:cs="宋体" w:hint="eastAsia"/>
          <w:color w:val="000000"/>
          <w:kern w:val="0"/>
        </w:rPr>
        <w:t>的区间窄幅震荡。</w:t>
      </w:r>
      <w:r>
        <w:rPr>
          <w:rFonts w:ascii="宋体" w:hAnsi="宋体" w:cs="宋体" w:hint="eastAsia"/>
          <w:color w:val="000000"/>
          <w:kern w:val="0"/>
        </w:rPr>
        <w:br/>
      </w:r>
      <w:r>
        <w:rPr>
          <w:rFonts w:ascii="宋体" w:hAnsi="宋体" w:cs="宋体" w:hint="eastAsia"/>
          <w:color w:val="000000"/>
          <w:kern w:val="0"/>
        </w:rPr>
        <w:t xml:space="preserve">　　权益市场则深度映射了基本面的</w:t>
      </w:r>
      <w:r>
        <w:rPr>
          <w:rFonts w:ascii="宋体" w:hAnsi="宋体" w:cs="宋体" w:hint="eastAsia"/>
          <w:color w:val="000000"/>
          <w:kern w:val="0"/>
        </w:rPr>
        <w:t>K</w:t>
      </w:r>
      <w:r>
        <w:rPr>
          <w:rFonts w:ascii="宋体" w:hAnsi="宋体" w:cs="宋体" w:hint="eastAsia"/>
          <w:color w:val="000000"/>
          <w:kern w:val="0"/>
        </w:rPr>
        <w:t>型分化。增量资金向具备全球化壁垒与高景气的科技创新链条高度集聚，传统经济板块面临存量抽血，结构分化机制导致微观脆弱性有所累积。</w:t>
      </w:r>
      <w:r>
        <w:rPr>
          <w:rFonts w:ascii="宋体" w:hAnsi="宋体" w:cs="宋体" w:hint="eastAsia"/>
          <w:color w:val="000000"/>
          <w:kern w:val="0"/>
        </w:rPr>
        <w:br/>
      </w:r>
      <w:r>
        <w:rPr>
          <w:rFonts w:ascii="宋体" w:hAnsi="宋体" w:cs="宋体" w:hint="eastAsia"/>
          <w:color w:val="000000"/>
          <w:kern w:val="0"/>
        </w:rPr>
        <w:t xml:space="preserve">　　本基金在</w:t>
      </w:r>
      <w:r>
        <w:rPr>
          <w:rFonts w:ascii="宋体" w:hAnsi="宋体" w:cs="宋体" w:hint="eastAsia"/>
          <w:color w:val="000000"/>
          <w:kern w:val="0"/>
        </w:rPr>
        <w:t>2026</w:t>
      </w:r>
      <w:r>
        <w:rPr>
          <w:rFonts w:ascii="宋体" w:hAnsi="宋体" w:cs="宋体" w:hint="eastAsia"/>
          <w:color w:val="000000"/>
          <w:kern w:val="0"/>
        </w:rPr>
        <w:t>年二季度保持均衡配置，投资组合保持流动性充足。</w:t>
      </w:r>
      <w:r>
        <w:rPr>
          <w:rFonts w:ascii="宋体" w:hAnsi="宋体" w:cs="宋体" w:hint="eastAsia"/>
          <w:color w:val="000000"/>
          <w:kern w:val="0"/>
        </w:rPr>
        <w:br/>
      </w:r>
      <w:r>
        <w:rPr>
          <w:rFonts w:ascii="宋体" w:hAnsi="宋体" w:cs="宋体" w:hint="eastAsia"/>
          <w:color w:val="000000"/>
          <w:kern w:val="0"/>
        </w:rPr>
        <w:t xml:space="preserve">　　展望后市，经济增长韧性与传统部门筑底并存。实体债务融资需求难以趋势性扭转，决定了宽货币政策不具备大幅转向的基础；但受制于银行息差，利率下探亦有清晰的微观边界，低位区间拉锯将是常态。我们将结合市场情况进行动态调整，维持各类资产均衡配置，争取基金资产的稳健增值</w:t>
      </w:r>
      <w:r>
        <w:rPr>
          <w:rFonts w:ascii="宋体" w:hAnsi="宋体" w:cs="宋体" w:hint="eastAsia"/>
          <w:color w:val="000000"/>
          <w:kern w:val="0"/>
        </w:rPr>
        <w:t>。</w:t>
      </w:r>
    </w:p>
    <w:p w:rsidR="003217EE" w:rsidRDefault="003217E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3217EE" w:rsidRDefault="003217EE">
      <w:pPr>
        <w:spacing w:line="360" w:lineRule="auto"/>
        <w:ind w:firstLineChars="200" w:firstLine="420"/>
        <w:rPr>
          <w:rFonts w:hint="eastAsia"/>
        </w:rPr>
      </w:pPr>
      <w:r>
        <w:rPr>
          <w:rFonts w:ascii="宋体" w:hAnsi="宋体" w:hint="eastAsia"/>
        </w:rPr>
        <w:t>本报告期摩根纯债债券</w:t>
      </w:r>
      <w:r>
        <w:rPr>
          <w:rFonts w:ascii="宋体" w:hAnsi="宋体" w:hint="eastAsia"/>
        </w:rPr>
        <w:t>A</w:t>
      </w:r>
      <w:r>
        <w:rPr>
          <w:rFonts w:ascii="宋体" w:hAnsi="宋体" w:hint="eastAsia"/>
        </w:rPr>
        <w:t>份额净值增长率为：</w:t>
      </w:r>
      <w:r>
        <w:rPr>
          <w:rFonts w:ascii="宋体" w:hAnsi="宋体" w:hint="eastAsia"/>
        </w:rPr>
        <w:t>0.68%</w:t>
      </w:r>
      <w:r>
        <w:rPr>
          <w:rFonts w:ascii="宋体" w:hAnsi="宋体" w:hint="eastAsia"/>
        </w:rPr>
        <w:t>，同期业绩比较基准收益率为：</w:t>
      </w:r>
      <w:r>
        <w:rPr>
          <w:rFonts w:ascii="宋体" w:hAnsi="宋体" w:hint="eastAsia"/>
        </w:rPr>
        <w:t>0.49%</w:t>
      </w:r>
      <w:r>
        <w:rPr>
          <w:rFonts w:ascii="宋体" w:hAnsi="宋体" w:hint="eastAsia"/>
        </w:rPr>
        <w:t>；</w:t>
      </w:r>
      <w:r>
        <w:rPr>
          <w:rFonts w:ascii="宋体" w:hAnsi="宋体" w:hint="eastAsia"/>
        </w:rPr>
        <w:br/>
      </w:r>
      <w:r>
        <w:rPr>
          <w:rFonts w:ascii="宋体" w:hAnsi="宋体" w:hint="eastAsia"/>
        </w:rPr>
        <w:t xml:space="preserve">　　摩根纯债债券</w:t>
      </w:r>
      <w:r>
        <w:rPr>
          <w:rFonts w:ascii="宋体" w:hAnsi="宋体" w:hint="eastAsia"/>
        </w:rPr>
        <w:t>B</w:t>
      </w:r>
      <w:r>
        <w:rPr>
          <w:rFonts w:ascii="宋体" w:hAnsi="宋体" w:hint="eastAsia"/>
        </w:rPr>
        <w:t>份额净值增长率为：</w:t>
      </w:r>
      <w:r>
        <w:rPr>
          <w:rFonts w:ascii="宋体" w:hAnsi="宋体" w:hint="eastAsia"/>
        </w:rPr>
        <w:t>0.70%</w:t>
      </w:r>
      <w:r>
        <w:rPr>
          <w:rFonts w:ascii="宋体" w:hAnsi="宋体" w:hint="eastAsia"/>
        </w:rPr>
        <w:t>，同期业绩比较基准收益率为：</w:t>
      </w:r>
      <w:r>
        <w:rPr>
          <w:rFonts w:ascii="宋体" w:hAnsi="宋体" w:hint="eastAsia"/>
        </w:rPr>
        <w:t>0.49%</w:t>
      </w:r>
      <w:r>
        <w:rPr>
          <w:rFonts w:ascii="宋体" w:hAnsi="宋体" w:hint="eastAsia"/>
        </w:rPr>
        <w:t>；</w:t>
      </w:r>
      <w:r>
        <w:rPr>
          <w:rFonts w:ascii="宋体" w:hAnsi="宋体" w:hint="eastAsia"/>
        </w:rPr>
        <w:br/>
      </w:r>
      <w:r>
        <w:rPr>
          <w:rFonts w:ascii="宋体" w:hAnsi="宋体" w:hint="eastAsia"/>
        </w:rPr>
        <w:t xml:space="preserve">　　摩根纯债债券</w:t>
      </w:r>
      <w:r>
        <w:rPr>
          <w:rFonts w:ascii="宋体" w:hAnsi="宋体" w:hint="eastAsia"/>
        </w:rPr>
        <w:t>D</w:t>
      </w:r>
      <w:r>
        <w:rPr>
          <w:rFonts w:ascii="宋体" w:hAnsi="宋体" w:hint="eastAsia"/>
        </w:rPr>
        <w:t>份额净值增长率为：</w:t>
      </w:r>
      <w:r>
        <w:rPr>
          <w:rFonts w:ascii="宋体" w:hAnsi="宋体" w:hint="eastAsia"/>
        </w:rPr>
        <w:t>0.68%</w:t>
      </w:r>
      <w:r>
        <w:rPr>
          <w:rFonts w:ascii="宋体" w:hAnsi="宋体" w:hint="eastAsia"/>
        </w:rPr>
        <w:t>，同期业绩比较基准收益率为：</w:t>
      </w:r>
      <w:r>
        <w:rPr>
          <w:rFonts w:ascii="宋体" w:hAnsi="宋体" w:hint="eastAsia"/>
        </w:rPr>
        <w:t>0.49%</w:t>
      </w:r>
      <w:r>
        <w:rPr>
          <w:rFonts w:ascii="宋体" w:hAnsi="宋体" w:hint="eastAsia"/>
        </w:rPr>
        <w:t>。</w:t>
      </w:r>
    </w:p>
    <w:p w:rsidR="003217EE" w:rsidRDefault="003217E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3217EE" w:rsidRDefault="003217E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3217EE" w:rsidRDefault="003217E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3217EE" w:rsidRDefault="003217E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781,866,723.2</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98.8</w:t>
            </w:r>
            <w:r>
              <w:rPr>
                <w:rFonts w:ascii="宋体" w:hAnsi="宋体" w:hint="eastAsia"/>
                <w:szCs w:val="24"/>
                <w:lang w:eastAsia="zh-Hans"/>
              </w:rPr>
              <w:t>4</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781,866,723.2</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98.8</w:t>
            </w:r>
            <w:r>
              <w:rPr>
                <w:rFonts w:ascii="宋体" w:hAnsi="宋体" w:hint="eastAsia"/>
                <w:szCs w:val="24"/>
                <w:lang w:eastAsia="zh-Hans"/>
              </w:rPr>
              <w:t>4</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8,035,344.8</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1.0</w:t>
            </w:r>
            <w:r>
              <w:rPr>
                <w:rFonts w:ascii="宋体" w:hAnsi="宋体" w:hint="eastAsia"/>
                <w:szCs w:val="24"/>
                <w:lang w:eastAsia="zh-Hans"/>
              </w:rPr>
              <w:t>2</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1,126,181.3</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50371172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3217EE" w:rsidRDefault="003217E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791,028,249.4</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100.0</w:t>
            </w:r>
            <w:r>
              <w:rPr>
                <w:rFonts w:ascii="宋体" w:hAnsi="宋体" w:hint="eastAsia"/>
                <w:szCs w:val="24"/>
                <w:lang w:eastAsia="zh-Hans"/>
              </w:rPr>
              <w:t>0</w:t>
            </w:r>
          </w:p>
        </w:tc>
      </w:tr>
    </w:tbl>
    <w:p w:rsidR="003217EE" w:rsidRDefault="003217E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3217EE" w:rsidRDefault="003217E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3217EE" w:rsidRDefault="003217EE">
      <w:pPr>
        <w:spacing w:line="360" w:lineRule="auto"/>
        <w:ind w:firstLineChars="200" w:firstLine="420"/>
        <w:divId w:val="987589229"/>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3217EE" w:rsidRDefault="003217E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3217EE" w:rsidRDefault="003217EE">
      <w:pPr>
        <w:spacing w:line="360" w:lineRule="auto"/>
        <w:ind w:firstLineChars="200" w:firstLine="420"/>
        <w:divId w:val="1876964797"/>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3217EE" w:rsidRDefault="003217E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3217EE" w:rsidRDefault="003217E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3217EE" w:rsidRDefault="003217EE">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3217EE" w:rsidRDefault="003217E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781,866,723.2</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99.0</w:t>
            </w:r>
            <w:r>
              <w:rPr>
                <w:rFonts w:ascii="宋体" w:hAnsi="宋体" w:hint="eastAsia"/>
                <w:szCs w:val="24"/>
                <w:lang w:eastAsia="zh-Hans"/>
              </w:rPr>
              <w:t>9</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781,866,723.2</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99.0</w:t>
            </w:r>
            <w:r>
              <w:rPr>
                <w:rFonts w:ascii="宋体" w:hAnsi="宋体" w:hint="eastAsia"/>
                <w:szCs w:val="24"/>
                <w:lang w:eastAsia="zh-Hans"/>
              </w:rPr>
              <w:t>9</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w:t>
            </w:r>
          </w:p>
        </w:tc>
      </w:tr>
      <w:tr w:rsidR="00000000">
        <w:trPr>
          <w:divId w:val="143243315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3217EE" w:rsidRDefault="003217EE">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781,866,723.2</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3217EE" w:rsidRDefault="003217EE">
            <w:pPr>
              <w:jc w:val="right"/>
            </w:pPr>
            <w:r>
              <w:rPr>
                <w:rFonts w:ascii="宋体" w:hAnsi="宋体" w:hint="eastAsia"/>
                <w:szCs w:val="24"/>
                <w:lang w:eastAsia="zh-Hans"/>
              </w:rPr>
              <w:t>99.0</w:t>
            </w:r>
            <w:r>
              <w:rPr>
                <w:rFonts w:ascii="宋体" w:hAnsi="宋体" w:hint="eastAsia"/>
                <w:szCs w:val="24"/>
                <w:lang w:eastAsia="zh-Hans"/>
              </w:rPr>
              <w:t>9</w:t>
            </w:r>
          </w:p>
        </w:tc>
      </w:tr>
    </w:tbl>
    <w:p w:rsidR="003217EE" w:rsidRDefault="003217EE">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06911464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691146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26020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26</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2,500,00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253,071,438.3</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32.0</w:t>
            </w:r>
            <w:r>
              <w:rPr>
                <w:rFonts w:ascii="宋体" w:hAnsi="宋体" w:hint="eastAsia"/>
                <w:szCs w:val="24"/>
                <w:lang w:eastAsia="zh-Hans"/>
              </w:rPr>
              <w:t>7</w:t>
            </w:r>
          </w:p>
        </w:tc>
      </w:tr>
      <w:tr w:rsidR="00000000">
        <w:trPr>
          <w:divId w:val="10691146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25021</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1,400,00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143,298,169.8</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18.1</w:t>
            </w:r>
            <w:r>
              <w:rPr>
                <w:rFonts w:ascii="宋体" w:hAnsi="宋体" w:hint="eastAsia"/>
                <w:szCs w:val="24"/>
                <w:lang w:eastAsia="zh-Hans"/>
              </w:rPr>
              <w:t>6</w:t>
            </w:r>
          </w:p>
        </w:tc>
      </w:tr>
      <w:tr w:rsidR="00000000">
        <w:trPr>
          <w:divId w:val="10691146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24020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24</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1,000,00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103,102,876.7</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13.0</w:t>
            </w:r>
            <w:r>
              <w:rPr>
                <w:rFonts w:ascii="宋体" w:hAnsi="宋体" w:hint="eastAsia"/>
                <w:szCs w:val="24"/>
                <w:lang w:eastAsia="zh-Hans"/>
              </w:rPr>
              <w:t>7</w:t>
            </w:r>
          </w:p>
        </w:tc>
      </w:tr>
      <w:tr w:rsidR="00000000">
        <w:trPr>
          <w:divId w:val="10691146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25020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900,00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90,221,350.6</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11.4</w:t>
            </w:r>
            <w:r>
              <w:rPr>
                <w:rFonts w:ascii="宋体" w:hAnsi="宋体" w:hint="eastAsia"/>
                <w:szCs w:val="24"/>
                <w:lang w:eastAsia="zh-Hans"/>
              </w:rPr>
              <w:t>3</w:t>
            </w:r>
          </w:p>
        </w:tc>
      </w:tr>
      <w:tr w:rsidR="00000000">
        <w:trPr>
          <w:divId w:val="10691146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26020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szCs w:val="24"/>
                <w:lang w:eastAsia="zh-Hans"/>
              </w:rPr>
              <w:t>26</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70,441,402.7</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8.9</w:t>
            </w:r>
            <w:r>
              <w:rPr>
                <w:rFonts w:ascii="宋体" w:hAnsi="宋体" w:hint="eastAsia"/>
                <w:szCs w:val="24"/>
                <w:lang w:eastAsia="zh-Hans"/>
              </w:rPr>
              <w:t>3</w:t>
            </w:r>
          </w:p>
        </w:tc>
      </w:tr>
    </w:tbl>
    <w:p w:rsidR="003217EE" w:rsidRDefault="003217EE">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3217EE" w:rsidRDefault="003217E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3217EE" w:rsidRDefault="003217EE">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3217EE" w:rsidRDefault="003217EE">
      <w:pPr>
        <w:spacing w:line="360" w:lineRule="auto"/>
        <w:ind w:firstLineChars="200" w:firstLine="420"/>
        <w:divId w:val="136159161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3217EE" w:rsidRDefault="003217EE">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3217EE" w:rsidRDefault="003217EE">
      <w:pPr>
        <w:spacing w:line="360" w:lineRule="auto"/>
        <w:ind w:firstLineChars="200" w:firstLine="420"/>
        <w:divId w:val="51199371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3217EE" w:rsidRDefault="003217EE">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3217EE" w:rsidRDefault="003217EE">
      <w:pPr>
        <w:spacing w:line="360" w:lineRule="auto"/>
        <w:ind w:firstLineChars="200" w:firstLine="420"/>
        <w:divId w:val="207311745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3217EE" w:rsidRDefault="003217EE">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3217EE" w:rsidRDefault="003217EE">
      <w:pPr>
        <w:spacing w:line="360" w:lineRule="auto"/>
        <w:ind w:firstLineChars="200" w:firstLine="420"/>
        <w:divId w:val="50142905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3217EE" w:rsidRDefault="003217EE">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3217EE" w:rsidRDefault="003217EE">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3217EE" w:rsidRDefault="003217EE">
      <w:pPr>
        <w:spacing w:line="360" w:lineRule="auto"/>
        <w:ind w:firstLineChars="200" w:firstLine="420"/>
        <w:rPr>
          <w:rFonts w:hint="eastAsia"/>
        </w:rPr>
      </w:pPr>
      <w:r>
        <w:rPr>
          <w:rFonts w:ascii="宋体" w:hAnsi="宋体" w:hint="eastAsia"/>
        </w:rPr>
        <w:t>本基金投资的前十名证券的发行主体中，国家开发银行报告编制日前一年内曾受到央行、国家外汇管理局北京市分局的处罚。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3217EE" w:rsidRDefault="003217EE">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3217EE" w:rsidRDefault="003217E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3217EE" w:rsidRDefault="003217EE">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7951253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jc w:val="center"/>
            </w:pPr>
            <w:r>
              <w:rPr>
                <w:rFonts w:ascii="宋体" w:hAnsi="宋体" w:hint="eastAsia"/>
              </w:rPr>
              <w:t>金额（元</w:t>
            </w:r>
            <w:r>
              <w:rPr>
                <w:rFonts w:ascii="宋体" w:hAnsi="宋体" w:hint="eastAsia"/>
              </w:rPr>
              <w:t>）</w:t>
            </w:r>
            <w:r>
              <w:t xml:space="preserve"> </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1,126,181.3</w:t>
            </w:r>
            <w:r>
              <w:rPr>
                <w:rFonts w:ascii="宋体" w:hAnsi="宋体" w:hint="eastAsia"/>
              </w:rPr>
              <w:t>2</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p>
        </w:tc>
      </w:tr>
      <w:tr w:rsidR="00000000">
        <w:trPr>
          <w:divId w:val="17951253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1,126,181.3</w:t>
            </w:r>
            <w:r>
              <w:rPr>
                <w:rFonts w:ascii="宋体" w:hAnsi="宋体" w:hint="eastAsia"/>
              </w:rPr>
              <w:t>2</w:t>
            </w:r>
          </w:p>
        </w:tc>
      </w:tr>
    </w:tbl>
    <w:p w:rsidR="003217EE" w:rsidRDefault="003217EE">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3217EE" w:rsidRDefault="003217E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3217EE" w:rsidRDefault="003217EE">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3217EE" w:rsidRDefault="003217EE">
      <w:pPr>
        <w:spacing w:line="360" w:lineRule="auto"/>
        <w:ind w:firstLineChars="200" w:firstLine="420"/>
        <w:jc w:val="left"/>
        <w:divId w:val="153449258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3217EE" w:rsidRDefault="003217EE">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3217EE" w:rsidRDefault="003217E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3217EE" w:rsidRDefault="003217EE">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3217EE" w:rsidRDefault="003217EE">
      <w:pPr>
        <w:wordWrap w:val="0"/>
        <w:spacing w:line="360" w:lineRule="auto"/>
        <w:jc w:val="right"/>
        <w:divId w:val="764495849"/>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1999"/>
        <w:gridCol w:w="1805"/>
        <w:gridCol w:w="1416"/>
      </w:tblGrid>
      <w:tr w:rsidR="00000000">
        <w:trPr>
          <w:divId w:val="764495849"/>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217EE" w:rsidRDefault="003217EE">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3"/>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ind w:right="3"/>
              <w:jc w:val="center"/>
            </w:pPr>
            <w:r>
              <w:rPr>
                <w:rFonts w:ascii="宋体" w:hAnsi="宋体" w:hint="eastAsia"/>
                <w:lang w:eastAsia="zh-Hans"/>
              </w:rPr>
              <w:t>摩根纯债债券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ind w:right="3"/>
              <w:jc w:val="center"/>
            </w:pPr>
            <w:r>
              <w:rPr>
                <w:rFonts w:ascii="宋体" w:hAnsi="宋体" w:hint="eastAsia"/>
                <w:lang w:eastAsia="zh-Hans"/>
              </w:rPr>
              <w:t>摩根纯债债券</w:t>
            </w:r>
            <w:r>
              <w:rPr>
                <w:rFonts w:ascii="宋体" w:hAnsi="宋体" w:hint="eastAsia"/>
                <w:lang w:eastAsia="zh-Hans"/>
              </w:rPr>
              <w:t>B</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17EE" w:rsidRDefault="003217EE">
            <w:pPr>
              <w:ind w:right="3"/>
              <w:jc w:val="center"/>
            </w:pPr>
            <w:r>
              <w:rPr>
                <w:rFonts w:ascii="宋体" w:hAnsi="宋体" w:hint="eastAsia"/>
                <w:lang w:eastAsia="zh-Hans"/>
              </w:rPr>
              <w:t>摩根纯债债券</w:t>
            </w:r>
            <w:r>
              <w:rPr>
                <w:rFonts w:ascii="宋体" w:hAnsi="宋体" w:hint="eastAsia"/>
                <w:lang w:eastAsia="zh-Hans"/>
              </w:rPr>
              <w:t>D</w:t>
            </w:r>
            <w:r>
              <w:rPr>
                <w:rFonts w:ascii="宋体" w:hAnsi="宋体" w:hint="eastAsia"/>
                <w:kern w:val="0"/>
                <w:szCs w:val="24"/>
                <w:lang w:eastAsia="zh-Hans"/>
              </w:rPr>
              <w:t xml:space="preserve"> </w:t>
            </w:r>
          </w:p>
        </w:tc>
      </w:tr>
      <w:tr w:rsidR="00000000">
        <w:trPr>
          <w:divId w:val="76449584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1,041,889,350.9</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104,764,420.9</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254,685.8</w:t>
            </w:r>
            <w:r>
              <w:rPr>
                <w:rFonts w:ascii="宋体" w:hAnsi="宋体" w:hint="eastAsia"/>
              </w:rPr>
              <w:t>9</w:t>
            </w:r>
          </w:p>
        </w:tc>
      </w:tr>
      <w:tr w:rsidR="00000000">
        <w:trPr>
          <w:divId w:val="76449584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3,782,872.0</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1,167,859.4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282,178.4</w:t>
            </w:r>
            <w:r>
              <w:rPr>
                <w:rFonts w:ascii="宋体" w:hAnsi="宋体" w:hint="eastAsia"/>
              </w:rPr>
              <w:t>5</w:t>
            </w:r>
          </w:p>
        </w:tc>
      </w:tr>
      <w:tr w:rsidR="00000000">
        <w:trPr>
          <w:divId w:val="76449584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428,299,429.3</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89,341,406.6</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230,030.6</w:t>
            </w:r>
            <w:r>
              <w:rPr>
                <w:rFonts w:ascii="宋体" w:hAnsi="宋体" w:hint="eastAsia"/>
              </w:rPr>
              <w:t>5</w:t>
            </w:r>
          </w:p>
        </w:tc>
      </w:tr>
      <w:tr w:rsidR="00000000">
        <w:trPr>
          <w:divId w:val="76449584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w:t>
            </w:r>
          </w:p>
        </w:tc>
      </w:tr>
      <w:tr w:rsidR="00000000">
        <w:trPr>
          <w:divId w:val="76449584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617,372,793.6</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16,590,873.6</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17EE" w:rsidRDefault="003217EE">
            <w:pPr>
              <w:jc w:val="right"/>
            </w:pPr>
            <w:r>
              <w:rPr>
                <w:rFonts w:ascii="宋体" w:hAnsi="宋体" w:hint="eastAsia"/>
              </w:rPr>
              <w:t>306,833.6</w:t>
            </w:r>
            <w:r>
              <w:rPr>
                <w:rFonts w:ascii="宋体" w:hAnsi="宋体" w:hint="eastAsia"/>
              </w:rPr>
              <w:t>9</w:t>
            </w:r>
          </w:p>
        </w:tc>
      </w:tr>
    </w:tbl>
    <w:p w:rsidR="003217EE" w:rsidRDefault="003217EE">
      <w:pPr>
        <w:spacing w:line="360" w:lineRule="auto"/>
        <w:jc w:val="left"/>
        <w:divId w:val="764495849"/>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3217EE" w:rsidRDefault="003217EE">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3217EE" w:rsidRDefault="003217EE">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3217EE" w:rsidRDefault="003217EE">
      <w:pPr>
        <w:wordWrap w:val="0"/>
        <w:spacing w:line="360" w:lineRule="auto"/>
        <w:jc w:val="right"/>
        <w:divId w:val="198496181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198496181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摩根纯债债券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摩根纯债债券</w:t>
            </w:r>
            <w:r>
              <w:rPr>
                <w:rFonts w:ascii="宋体" w:hAnsi="宋体" w:hint="eastAsia"/>
                <w:lang w:eastAsia="zh-Hans"/>
              </w:rPr>
              <w:t>B</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lang w:eastAsia="zh-Hans"/>
              </w:rPr>
              <w:t>摩根纯债债券</w:t>
            </w:r>
            <w:r>
              <w:rPr>
                <w:rFonts w:ascii="宋体" w:hAnsi="宋体" w:hint="eastAsia"/>
                <w:lang w:eastAsia="zh-Hans"/>
              </w:rPr>
              <w:t>D</w:t>
            </w:r>
            <w:r>
              <w:rPr>
                <w:rFonts w:ascii="宋体" w:hAnsi="宋体" w:hint="eastAsia"/>
                <w:color w:val="000000"/>
              </w:rPr>
              <w:t xml:space="preserve"> </w:t>
            </w:r>
          </w:p>
        </w:tc>
      </w:tr>
      <w:tr w:rsidR="00000000">
        <w:trPr>
          <w:divId w:val="19849618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rPr>
                <w:rFonts w:hint="eastAsia"/>
              </w:rPr>
            </w:pPr>
            <w:r>
              <w:rPr>
                <w:rFonts w:ascii="宋体" w:hAnsi="宋体" w:hint="eastAsia"/>
                <w:kern w:val="0"/>
                <w:szCs w:val="24"/>
                <w:lang w:eastAsia="zh-Hans"/>
              </w:rPr>
              <w:t>77,938.0</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kern w:val="0"/>
                <w:szCs w:val="24"/>
                <w:lang w:eastAsia="zh-Hans"/>
              </w:rPr>
              <w:t>-</w:t>
            </w:r>
          </w:p>
        </w:tc>
      </w:tr>
      <w:tr w:rsidR="00000000">
        <w:trPr>
          <w:divId w:val="19849618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rPr>
                <w:rFonts w:hint="eastAsia"/>
              </w:rPr>
            </w:pPr>
            <w:r>
              <w:rPr>
                <w:rFonts w:ascii="宋体" w:hAnsi="宋体" w:hint="eastAsia"/>
                <w:szCs w:val="24"/>
                <w:lang w:eastAsia="zh-Hans"/>
              </w:rPr>
              <w:t>940.9</w:t>
            </w:r>
            <w:r>
              <w:rPr>
                <w:rFonts w:ascii="宋体" w:hAnsi="宋体" w:hint="eastAsia"/>
                <w:szCs w:val="24"/>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szCs w:val="24"/>
                <w:lang w:eastAsia="zh-Hans"/>
              </w:rPr>
              <w:t>-</w:t>
            </w:r>
          </w:p>
        </w:tc>
      </w:tr>
      <w:tr w:rsidR="00000000">
        <w:trPr>
          <w:divId w:val="19849618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lang w:eastAsia="zh-Hans"/>
              </w:rPr>
              <w:t>-</w:t>
            </w:r>
          </w:p>
        </w:tc>
      </w:tr>
      <w:tr w:rsidR="00000000">
        <w:trPr>
          <w:divId w:val="19849618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rPr>
                <w:rFonts w:hint="eastAsia"/>
              </w:rPr>
            </w:pPr>
            <w:r>
              <w:rPr>
                <w:rFonts w:ascii="宋体" w:hAnsi="宋体" w:hint="eastAsia"/>
                <w:lang w:eastAsia="zh-Hans"/>
              </w:rPr>
              <w:t>78,879.0</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lang w:eastAsia="zh-Hans"/>
              </w:rPr>
              <w:t>-</w:t>
            </w:r>
          </w:p>
        </w:tc>
      </w:tr>
      <w:tr w:rsidR="00000000">
        <w:trPr>
          <w:divId w:val="198496181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rPr>
                <w:rFonts w:hint="eastAsia"/>
              </w:rPr>
            </w:pPr>
            <w:r>
              <w:rPr>
                <w:rFonts w:ascii="宋体" w:hAnsi="宋体" w:hint="eastAsia"/>
                <w:lang w:eastAsia="zh-Hans"/>
              </w:rPr>
              <w:t>0.0</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lang w:eastAsia="zh-Hans"/>
              </w:rPr>
              <w:t>-</w:t>
            </w:r>
          </w:p>
        </w:tc>
      </w:tr>
    </w:tbl>
    <w:p w:rsidR="003217EE" w:rsidRDefault="003217EE">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035039377"/>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217EE" w:rsidRDefault="003217EE">
            <w:pPr>
              <w:jc w:val="center"/>
            </w:pPr>
            <w:r>
              <w:rPr>
                <w:rFonts w:ascii="宋体" w:hAnsi="宋体" w:hint="eastAsia"/>
              </w:rPr>
              <w:t>适用费率</w:t>
            </w:r>
            <w:r>
              <w:rPr>
                <w:rFonts w:ascii="宋体" w:hAnsi="宋体" w:hint="eastAsia"/>
              </w:rPr>
              <w:t xml:space="preserve"> </w:t>
            </w:r>
          </w:p>
        </w:tc>
      </w:tr>
      <w:tr w:rsidR="00000000">
        <w:trPr>
          <w:divId w:val="10350393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红利再</w:t>
            </w:r>
            <w:r>
              <w:rPr>
                <w:rFonts w:ascii="宋体" w:hAnsi="宋体" w:hint="eastAsia"/>
              </w:rPr>
              <w:t>投</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2026-04-2</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940.9</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r>
              <w:t xml:space="preserve"> </w:t>
            </w:r>
          </w:p>
        </w:tc>
      </w:tr>
      <w:tr w:rsidR="00000000">
        <w:trPr>
          <w:divId w:val="103503937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940.9</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jc w:val="right"/>
            </w:pPr>
            <w:r>
              <w:rPr>
                <w:rFonts w:ascii="宋体" w:hAnsi="宋体" w:hint="eastAsia"/>
              </w:rPr>
              <w:t>-</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tc>
      </w:tr>
    </w:tbl>
    <w:p w:rsidR="003217EE" w:rsidRDefault="003217EE">
      <w:pPr>
        <w:spacing w:line="360" w:lineRule="auto"/>
        <w:jc w:val="left"/>
        <w:divId w:val="1531411929"/>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3217EE" w:rsidRDefault="003217EE">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3217EE" w:rsidRDefault="003217EE">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873"/>
        <w:gridCol w:w="975"/>
        <w:gridCol w:w="1500"/>
        <w:gridCol w:w="1008"/>
        <w:gridCol w:w="1500"/>
        <w:gridCol w:w="1500"/>
        <w:gridCol w:w="1239"/>
      </w:tblGrid>
      <w:tr w:rsidR="00000000">
        <w:trPr>
          <w:divId w:val="1598714580"/>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59871458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期初</w:t>
            </w:r>
            <w:r>
              <w:rPr>
                <w:rFonts w:ascii="宋体" w:hAnsi="宋体" w:hint="eastAsia"/>
                <w:color w:val="000000"/>
                <w:kern w:val="0"/>
              </w:rPr>
              <w:t xml:space="preserve"> </w:t>
            </w:r>
          </w:p>
          <w:p w:rsidR="003217EE" w:rsidRDefault="003217E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申购</w:t>
            </w:r>
            <w:r>
              <w:rPr>
                <w:rFonts w:ascii="宋体" w:hAnsi="宋体" w:hint="eastAsia"/>
                <w:color w:val="000000"/>
                <w:kern w:val="0"/>
              </w:rPr>
              <w:t xml:space="preserve"> </w:t>
            </w:r>
          </w:p>
          <w:p w:rsidR="003217EE" w:rsidRDefault="003217E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赎回</w:t>
            </w:r>
            <w:r>
              <w:rPr>
                <w:rFonts w:ascii="宋体" w:hAnsi="宋体" w:hint="eastAsia"/>
                <w:color w:val="000000"/>
                <w:kern w:val="0"/>
              </w:rPr>
              <w:t xml:space="preserve"> </w:t>
            </w:r>
          </w:p>
          <w:p w:rsidR="003217EE" w:rsidRDefault="003217EE">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7EE" w:rsidRDefault="003217EE">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598714580"/>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772,796,754.2</w:t>
            </w:r>
            <w:r>
              <w:rPr>
                <w:rFonts w:ascii="宋体" w:hAnsi="宋体" w:hint="eastAsia"/>
                <w:color w:val="000000"/>
                <w:szCs w:val="21"/>
              </w:rPr>
              <w:t>5</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386,400,000.0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386,396,754.2</w:t>
            </w:r>
            <w:r>
              <w:rPr>
                <w:rFonts w:ascii="宋体" w:hAnsi="宋体" w:hint="eastAsia"/>
                <w:color w:val="000000"/>
                <w:szCs w:val="21"/>
              </w:rPr>
              <w:t>5</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60.9</w:t>
            </w:r>
            <w:r>
              <w:rPr>
                <w:rFonts w:ascii="宋体" w:hAnsi="宋体" w:hint="eastAsia"/>
                <w:color w:val="000000"/>
                <w:szCs w:val="21"/>
              </w:rPr>
              <w:t>2</w:t>
            </w:r>
            <w:r>
              <w:rPr>
                <w:szCs w:val="21"/>
              </w:rPr>
              <w:t>%</w:t>
            </w:r>
            <w:r>
              <w:t xml:space="preserve"> </w:t>
            </w:r>
          </w:p>
        </w:tc>
      </w:tr>
      <w:tr w:rsidR="00000000">
        <w:trPr>
          <w:divId w:val="159871458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7EE" w:rsidRDefault="003217EE">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center"/>
            </w:pPr>
            <w:r>
              <w:rPr>
                <w:rFonts w:ascii="宋体" w:hAnsi="宋体" w:hint="eastAsia"/>
                <w:color w:val="000000"/>
                <w:szCs w:val="21"/>
              </w:rPr>
              <w:t>20260612-2026063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131,598,995.1</w:t>
            </w:r>
            <w:r>
              <w:rPr>
                <w:rFonts w:ascii="宋体" w:hAnsi="宋体" w:hint="eastAsia"/>
                <w:color w:val="000000"/>
                <w:szCs w:val="21"/>
              </w:rPr>
              <w:t>4</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131,598,995.1</w:t>
            </w:r>
            <w:r>
              <w:rPr>
                <w:rFonts w:ascii="宋体" w:hAnsi="宋体" w:hint="eastAsia"/>
                <w:color w:val="000000"/>
                <w:szCs w:val="21"/>
              </w:rPr>
              <w:t>4</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right"/>
            </w:pPr>
            <w:r>
              <w:rPr>
                <w:rFonts w:ascii="宋体" w:hAnsi="宋体" w:hint="eastAsia"/>
                <w:color w:val="000000"/>
                <w:szCs w:val="21"/>
              </w:rPr>
              <w:t>20.7</w:t>
            </w:r>
            <w:r>
              <w:rPr>
                <w:rFonts w:ascii="宋体" w:hAnsi="宋体" w:hint="eastAsia"/>
                <w:color w:val="000000"/>
                <w:szCs w:val="21"/>
              </w:rPr>
              <w:t>5</w:t>
            </w:r>
            <w:r>
              <w:rPr>
                <w:szCs w:val="21"/>
              </w:rPr>
              <w:t>%</w:t>
            </w:r>
            <w:r>
              <w:t xml:space="preserve"> </w:t>
            </w:r>
          </w:p>
        </w:tc>
      </w:tr>
      <w:tr w:rsidR="00000000">
        <w:trPr>
          <w:divId w:val="159871458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59871458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17EE" w:rsidRDefault="003217EE">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3217EE" w:rsidRDefault="003217EE">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3217EE" w:rsidRDefault="003217EE">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3217EE" w:rsidRDefault="003217EE">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、中国证监会批准本基金设立的文件；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、《摩根纯债债券型证券投资基金基金合同》；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、《摩根纯债债券型证券投资基金托管协议》；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 xml:space="preserve">有限公司开放式基金业务规则》；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、基金管理人业务资格批件、营业执照；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3217EE" w:rsidRDefault="003217EE">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3217EE" w:rsidRDefault="003217E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3217EE" w:rsidRDefault="003217EE">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3217EE" w:rsidRDefault="003217E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3217EE" w:rsidRDefault="003217E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217EE" w:rsidRDefault="003217E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217EE" w:rsidRDefault="003217E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3217EE" w:rsidRDefault="003217E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3217EE">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7EE" w:rsidRDefault="003217EE">
      <w:pPr>
        <w:rPr>
          <w:szCs w:val="21"/>
        </w:rPr>
      </w:pPr>
      <w:r>
        <w:rPr>
          <w:szCs w:val="21"/>
        </w:rPr>
        <w:separator/>
      </w:r>
      <w:r>
        <w:rPr>
          <w:szCs w:val="21"/>
        </w:rPr>
        <w:t xml:space="preserve"> </w:t>
      </w:r>
    </w:p>
  </w:endnote>
  <w:endnote w:type="continuationSeparator" w:id="0">
    <w:p w:rsidR="003217EE" w:rsidRDefault="003217E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7EE" w:rsidRDefault="003217E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7EE" w:rsidRDefault="003217EE">
      <w:pPr>
        <w:rPr>
          <w:szCs w:val="21"/>
        </w:rPr>
      </w:pPr>
      <w:r>
        <w:rPr>
          <w:szCs w:val="21"/>
        </w:rPr>
        <w:separator/>
      </w:r>
      <w:r>
        <w:rPr>
          <w:szCs w:val="21"/>
        </w:rPr>
        <w:t xml:space="preserve"> </w:t>
      </w:r>
    </w:p>
  </w:footnote>
  <w:footnote w:type="continuationSeparator" w:id="0">
    <w:p w:rsidR="003217EE" w:rsidRDefault="003217E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7EE" w:rsidRDefault="003217EE">
    <w:pPr>
      <w:pStyle w:val="a8"/>
      <w:jc w:val="right"/>
    </w:pPr>
    <w:r>
      <w:rPr>
        <w:rFonts w:ascii="宋体" w:hAnsi="宋体" w:hint="eastAsia"/>
      </w:rPr>
      <w:t>摩根纯债债券型证券投资基金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00818100">
    <w:abstractNumId w:val="0"/>
  </w:num>
  <w:num w:numId="2" w16cid:durableId="1557666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27B16"/>
    <w:rsid w:val="00227B16"/>
    <w:rsid w:val="003217EE"/>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92387">
      <w:marLeft w:val="0"/>
      <w:marRight w:val="0"/>
      <w:marTop w:val="0"/>
      <w:marBottom w:val="0"/>
      <w:divBdr>
        <w:top w:val="none" w:sz="0" w:space="0" w:color="auto"/>
        <w:left w:val="none" w:sz="0" w:space="0" w:color="auto"/>
        <w:bottom w:val="none" w:sz="0" w:space="0" w:color="auto"/>
        <w:right w:val="none" w:sz="0" w:space="0" w:color="auto"/>
      </w:divBdr>
    </w:div>
    <w:div w:id="501429053">
      <w:marLeft w:val="0"/>
      <w:marRight w:val="0"/>
      <w:marTop w:val="0"/>
      <w:marBottom w:val="0"/>
      <w:divBdr>
        <w:top w:val="none" w:sz="0" w:space="0" w:color="auto"/>
        <w:left w:val="none" w:sz="0" w:space="0" w:color="auto"/>
        <w:bottom w:val="none" w:sz="0" w:space="0" w:color="auto"/>
        <w:right w:val="none" w:sz="0" w:space="0" w:color="auto"/>
      </w:divBdr>
    </w:div>
    <w:div w:id="511993710">
      <w:marLeft w:val="0"/>
      <w:marRight w:val="0"/>
      <w:marTop w:val="0"/>
      <w:marBottom w:val="0"/>
      <w:divBdr>
        <w:top w:val="none" w:sz="0" w:space="0" w:color="auto"/>
        <w:left w:val="none" w:sz="0" w:space="0" w:color="auto"/>
        <w:bottom w:val="none" w:sz="0" w:space="0" w:color="auto"/>
        <w:right w:val="none" w:sz="0" w:space="0" w:color="auto"/>
      </w:divBdr>
    </w:div>
    <w:div w:id="566183365">
      <w:marLeft w:val="0"/>
      <w:marRight w:val="0"/>
      <w:marTop w:val="0"/>
      <w:marBottom w:val="0"/>
      <w:divBdr>
        <w:top w:val="none" w:sz="0" w:space="0" w:color="auto"/>
        <w:left w:val="none" w:sz="0" w:space="0" w:color="auto"/>
        <w:bottom w:val="none" w:sz="0" w:space="0" w:color="auto"/>
        <w:right w:val="none" w:sz="0" w:space="0" w:color="auto"/>
      </w:divBdr>
    </w:div>
    <w:div w:id="764495849">
      <w:marLeft w:val="0"/>
      <w:marRight w:val="0"/>
      <w:marTop w:val="0"/>
      <w:marBottom w:val="0"/>
      <w:divBdr>
        <w:top w:val="none" w:sz="0" w:space="0" w:color="auto"/>
        <w:left w:val="none" w:sz="0" w:space="0" w:color="auto"/>
        <w:bottom w:val="none" w:sz="0" w:space="0" w:color="auto"/>
        <w:right w:val="none" w:sz="0" w:space="0" w:color="auto"/>
      </w:divBdr>
    </w:div>
    <w:div w:id="777918273">
      <w:marLeft w:val="0"/>
      <w:marRight w:val="0"/>
      <w:marTop w:val="0"/>
      <w:marBottom w:val="0"/>
      <w:divBdr>
        <w:top w:val="none" w:sz="0" w:space="0" w:color="auto"/>
        <w:left w:val="none" w:sz="0" w:space="0" w:color="auto"/>
        <w:bottom w:val="none" w:sz="0" w:space="0" w:color="auto"/>
        <w:right w:val="none" w:sz="0" w:space="0" w:color="auto"/>
      </w:divBdr>
    </w:div>
    <w:div w:id="857736053">
      <w:marLeft w:val="0"/>
      <w:marRight w:val="0"/>
      <w:marTop w:val="0"/>
      <w:marBottom w:val="0"/>
      <w:divBdr>
        <w:top w:val="none" w:sz="0" w:space="0" w:color="auto"/>
        <w:left w:val="none" w:sz="0" w:space="0" w:color="auto"/>
        <w:bottom w:val="none" w:sz="0" w:space="0" w:color="auto"/>
        <w:right w:val="none" w:sz="0" w:space="0" w:color="auto"/>
      </w:divBdr>
    </w:div>
    <w:div w:id="963317843">
      <w:marLeft w:val="0"/>
      <w:marRight w:val="0"/>
      <w:marTop w:val="0"/>
      <w:marBottom w:val="0"/>
      <w:divBdr>
        <w:top w:val="none" w:sz="0" w:space="0" w:color="auto"/>
        <w:left w:val="none" w:sz="0" w:space="0" w:color="auto"/>
        <w:bottom w:val="none" w:sz="0" w:space="0" w:color="auto"/>
        <w:right w:val="none" w:sz="0" w:space="0" w:color="auto"/>
      </w:divBdr>
      <w:divsChild>
        <w:div w:id="1690836869">
          <w:marLeft w:val="0"/>
          <w:marRight w:val="0"/>
          <w:marTop w:val="0"/>
          <w:marBottom w:val="0"/>
          <w:divBdr>
            <w:top w:val="none" w:sz="0" w:space="0" w:color="auto"/>
            <w:left w:val="none" w:sz="0" w:space="0" w:color="auto"/>
            <w:bottom w:val="none" w:sz="0" w:space="0" w:color="auto"/>
            <w:right w:val="none" w:sz="0" w:space="0" w:color="auto"/>
          </w:divBdr>
        </w:div>
      </w:divsChild>
    </w:div>
    <w:div w:id="987589229">
      <w:marLeft w:val="0"/>
      <w:marRight w:val="0"/>
      <w:marTop w:val="0"/>
      <w:marBottom w:val="0"/>
      <w:divBdr>
        <w:top w:val="none" w:sz="0" w:space="0" w:color="auto"/>
        <w:left w:val="none" w:sz="0" w:space="0" w:color="auto"/>
        <w:bottom w:val="none" w:sz="0" w:space="0" w:color="auto"/>
        <w:right w:val="none" w:sz="0" w:space="0" w:color="auto"/>
      </w:divBdr>
    </w:div>
    <w:div w:id="1069114644">
      <w:marLeft w:val="0"/>
      <w:marRight w:val="0"/>
      <w:marTop w:val="0"/>
      <w:marBottom w:val="0"/>
      <w:divBdr>
        <w:top w:val="none" w:sz="0" w:space="0" w:color="auto"/>
        <w:left w:val="none" w:sz="0" w:space="0" w:color="auto"/>
        <w:bottom w:val="none" w:sz="0" w:space="0" w:color="auto"/>
        <w:right w:val="none" w:sz="0" w:space="0" w:color="auto"/>
      </w:divBdr>
    </w:div>
    <w:div w:id="1162890751">
      <w:marLeft w:val="0"/>
      <w:marRight w:val="0"/>
      <w:marTop w:val="0"/>
      <w:marBottom w:val="0"/>
      <w:divBdr>
        <w:top w:val="none" w:sz="0" w:space="0" w:color="auto"/>
        <w:left w:val="none" w:sz="0" w:space="0" w:color="auto"/>
        <w:bottom w:val="none" w:sz="0" w:space="0" w:color="auto"/>
        <w:right w:val="none" w:sz="0" w:space="0" w:color="auto"/>
      </w:divBdr>
      <w:divsChild>
        <w:div w:id="179512538">
          <w:marLeft w:val="0"/>
          <w:marRight w:val="0"/>
          <w:marTop w:val="0"/>
          <w:marBottom w:val="0"/>
          <w:divBdr>
            <w:top w:val="none" w:sz="0" w:space="0" w:color="auto"/>
            <w:left w:val="none" w:sz="0" w:space="0" w:color="auto"/>
            <w:bottom w:val="none" w:sz="0" w:space="0" w:color="auto"/>
            <w:right w:val="none" w:sz="0" w:space="0" w:color="auto"/>
          </w:divBdr>
        </w:div>
      </w:divsChild>
    </w:div>
    <w:div w:id="1189025171">
      <w:marLeft w:val="0"/>
      <w:marRight w:val="0"/>
      <w:marTop w:val="0"/>
      <w:marBottom w:val="0"/>
      <w:divBdr>
        <w:top w:val="none" w:sz="0" w:space="0" w:color="auto"/>
        <w:left w:val="none" w:sz="0" w:space="0" w:color="auto"/>
        <w:bottom w:val="none" w:sz="0" w:space="0" w:color="auto"/>
        <w:right w:val="none" w:sz="0" w:space="0" w:color="auto"/>
      </w:divBdr>
      <w:divsChild>
        <w:div w:id="503711723">
          <w:marLeft w:val="0"/>
          <w:marRight w:val="0"/>
          <w:marTop w:val="0"/>
          <w:marBottom w:val="0"/>
          <w:divBdr>
            <w:top w:val="none" w:sz="0" w:space="0" w:color="auto"/>
            <w:left w:val="none" w:sz="0" w:space="0" w:color="auto"/>
            <w:bottom w:val="none" w:sz="0" w:space="0" w:color="auto"/>
            <w:right w:val="none" w:sz="0" w:space="0" w:color="auto"/>
          </w:divBdr>
        </w:div>
      </w:divsChild>
    </w:div>
    <w:div w:id="1320034356">
      <w:marLeft w:val="0"/>
      <w:marRight w:val="0"/>
      <w:marTop w:val="0"/>
      <w:marBottom w:val="0"/>
      <w:divBdr>
        <w:top w:val="none" w:sz="0" w:space="0" w:color="auto"/>
        <w:left w:val="none" w:sz="0" w:space="0" w:color="auto"/>
        <w:bottom w:val="none" w:sz="0" w:space="0" w:color="auto"/>
        <w:right w:val="none" w:sz="0" w:space="0" w:color="auto"/>
      </w:divBdr>
      <w:divsChild>
        <w:div w:id="1463889787">
          <w:marLeft w:val="0"/>
          <w:marRight w:val="0"/>
          <w:marTop w:val="0"/>
          <w:marBottom w:val="0"/>
          <w:divBdr>
            <w:top w:val="none" w:sz="0" w:space="0" w:color="auto"/>
            <w:left w:val="none" w:sz="0" w:space="0" w:color="auto"/>
            <w:bottom w:val="none" w:sz="0" w:space="0" w:color="auto"/>
            <w:right w:val="none" w:sz="0" w:space="0" w:color="auto"/>
          </w:divBdr>
        </w:div>
        <w:div w:id="1604846190">
          <w:marLeft w:val="0"/>
          <w:marRight w:val="0"/>
          <w:marTop w:val="0"/>
          <w:marBottom w:val="0"/>
          <w:divBdr>
            <w:top w:val="none" w:sz="0" w:space="0" w:color="auto"/>
            <w:left w:val="none" w:sz="0" w:space="0" w:color="auto"/>
            <w:bottom w:val="none" w:sz="0" w:space="0" w:color="auto"/>
            <w:right w:val="none" w:sz="0" w:space="0" w:color="auto"/>
          </w:divBdr>
        </w:div>
        <w:div w:id="1417438050">
          <w:marLeft w:val="0"/>
          <w:marRight w:val="0"/>
          <w:marTop w:val="0"/>
          <w:marBottom w:val="0"/>
          <w:divBdr>
            <w:top w:val="none" w:sz="0" w:space="0" w:color="auto"/>
            <w:left w:val="none" w:sz="0" w:space="0" w:color="auto"/>
            <w:bottom w:val="none" w:sz="0" w:space="0" w:color="auto"/>
            <w:right w:val="none" w:sz="0" w:space="0" w:color="auto"/>
          </w:divBdr>
        </w:div>
      </w:divsChild>
    </w:div>
    <w:div w:id="1361591614">
      <w:marLeft w:val="0"/>
      <w:marRight w:val="0"/>
      <w:marTop w:val="0"/>
      <w:marBottom w:val="0"/>
      <w:divBdr>
        <w:top w:val="none" w:sz="0" w:space="0" w:color="auto"/>
        <w:left w:val="none" w:sz="0" w:space="0" w:color="auto"/>
        <w:bottom w:val="none" w:sz="0" w:space="0" w:color="auto"/>
        <w:right w:val="none" w:sz="0" w:space="0" w:color="auto"/>
      </w:divBdr>
    </w:div>
    <w:div w:id="1432433156">
      <w:marLeft w:val="0"/>
      <w:marRight w:val="0"/>
      <w:marTop w:val="0"/>
      <w:marBottom w:val="0"/>
      <w:divBdr>
        <w:top w:val="none" w:sz="0" w:space="0" w:color="auto"/>
        <w:left w:val="none" w:sz="0" w:space="0" w:color="auto"/>
        <w:bottom w:val="none" w:sz="0" w:space="0" w:color="auto"/>
        <w:right w:val="none" w:sz="0" w:space="0" w:color="auto"/>
      </w:divBdr>
    </w:div>
    <w:div w:id="1524593893">
      <w:marLeft w:val="0"/>
      <w:marRight w:val="0"/>
      <w:marTop w:val="0"/>
      <w:marBottom w:val="0"/>
      <w:divBdr>
        <w:top w:val="none" w:sz="0" w:space="0" w:color="auto"/>
        <w:left w:val="none" w:sz="0" w:space="0" w:color="auto"/>
        <w:bottom w:val="none" w:sz="0" w:space="0" w:color="auto"/>
        <w:right w:val="none" w:sz="0" w:space="0" w:color="auto"/>
      </w:divBdr>
      <w:divsChild>
        <w:div w:id="1598714580">
          <w:marLeft w:val="0"/>
          <w:marRight w:val="0"/>
          <w:marTop w:val="0"/>
          <w:marBottom w:val="0"/>
          <w:divBdr>
            <w:top w:val="none" w:sz="0" w:space="0" w:color="auto"/>
            <w:left w:val="none" w:sz="0" w:space="0" w:color="auto"/>
            <w:bottom w:val="none" w:sz="0" w:space="0" w:color="auto"/>
            <w:right w:val="none" w:sz="0" w:space="0" w:color="auto"/>
          </w:divBdr>
        </w:div>
      </w:divsChild>
    </w:div>
    <w:div w:id="1531411929">
      <w:marLeft w:val="0"/>
      <w:marRight w:val="0"/>
      <w:marTop w:val="0"/>
      <w:marBottom w:val="0"/>
      <w:divBdr>
        <w:top w:val="none" w:sz="0" w:space="0" w:color="auto"/>
        <w:left w:val="none" w:sz="0" w:space="0" w:color="auto"/>
        <w:bottom w:val="none" w:sz="0" w:space="0" w:color="auto"/>
        <w:right w:val="none" w:sz="0" w:space="0" w:color="auto"/>
      </w:divBdr>
      <w:divsChild>
        <w:div w:id="1035039377">
          <w:marLeft w:val="0"/>
          <w:marRight w:val="0"/>
          <w:marTop w:val="0"/>
          <w:marBottom w:val="0"/>
          <w:divBdr>
            <w:top w:val="none" w:sz="0" w:space="0" w:color="auto"/>
            <w:left w:val="none" w:sz="0" w:space="0" w:color="auto"/>
            <w:bottom w:val="none" w:sz="0" w:space="0" w:color="auto"/>
            <w:right w:val="none" w:sz="0" w:space="0" w:color="auto"/>
          </w:divBdr>
        </w:div>
      </w:divsChild>
    </w:div>
    <w:div w:id="1534492589">
      <w:marLeft w:val="0"/>
      <w:marRight w:val="0"/>
      <w:marTop w:val="0"/>
      <w:marBottom w:val="0"/>
      <w:divBdr>
        <w:top w:val="none" w:sz="0" w:space="0" w:color="auto"/>
        <w:left w:val="none" w:sz="0" w:space="0" w:color="auto"/>
        <w:bottom w:val="none" w:sz="0" w:space="0" w:color="auto"/>
        <w:right w:val="none" w:sz="0" w:space="0" w:color="auto"/>
      </w:divBdr>
    </w:div>
    <w:div w:id="1840001730">
      <w:marLeft w:val="0"/>
      <w:marRight w:val="0"/>
      <w:marTop w:val="0"/>
      <w:marBottom w:val="0"/>
      <w:divBdr>
        <w:top w:val="none" w:sz="0" w:space="0" w:color="auto"/>
        <w:left w:val="none" w:sz="0" w:space="0" w:color="auto"/>
        <w:bottom w:val="none" w:sz="0" w:space="0" w:color="auto"/>
        <w:right w:val="none" w:sz="0" w:space="0" w:color="auto"/>
      </w:divBdr>
      <w:divsChild>
        <w:div w:id="84767174">
          <w:marLeft w:val="0"/>
          <w:marRight w:val="0"/>
          <w:marTop w:val="0"/>
          <w:marBottom w:val="0"/>
          <w:divBdr>
            <w:top w:val="none" w:sz="0" w:space="0" w:color="auto"/>
            <w:left w:val="none" w:sz="0" w:space="0" w:color="auto"/>
            <w:bottom w:val="none" w:sz="0" w:space="0" w:color="auto"/>
            <w:right w:val="none" w:sz="0" w:space="0" w:color="auto"/>
          </w:divBdr>
        </w:div>
      </w:divsChild>
    </w:div>
    <w:div w:id="1876964797">
      <w:marLeft w:val="0"/>
      <w:marRight w:val="0"/>
      <w:marTop w:val="0"/>
      <w:marBottom w:val="0"/>
      <w:divBdr>
        <w:top w:val="none" w:sz="0" w:space="0" w:color="auto"/>
        <w:left w:val="none" w:sz="0" w:space="0" w:color="auto"/>
        <w:bottom w:val="none" w:sz="0" w:space="0" w:color="auto"/>
        <w:right w:val="none" w:sz="0" w:space="0" w:color="auto"/>
      </w:divBdr>
    </w:div>
    <w:div w:id="1929537452">
      <w:marLeft w:val="0"/>
      <w:marRight w:val="0"/>
      <w:marTop w:val="0"/>
      <w:marBottom w:val="0"/>
      <w:divBdr>
        <w:top w:val="none" w:sz="0" w:space="0" w:color="auto"/>
        <w:left w:val="none" w:sz="0" w:space="0" w:color="auto"/>
        <w:bottom w:val="none" w:sz="0" w:space="0" w:color="auto"/>
        <w:right w:val="none" w:sz="0" w:space="0" w:color="auto"/>
      </w:divBdr>
      <w:divsChild>
        <w:div w:id="1984961811">
          <w:marLeft w:val="0"/>
          <w:marRight w:val="0"/>
          <w:marTop w:val="0"/>
          <w:marBottom w:val="0"/>
          <w:divBdr>
            <w:top w:val="none" w:sz="0" w:space="0" w:color="auto"/>
            <w:left w:val="none" w:sz="0" w:space="0" w:color="auto"/>
            <w:bottom w:val="none" w:sz="0" w:space="0" w:color="auto"/>
            <w:right w:val="none" w:sz="0" w:space="0" w:color="auto"/>
          </w:divBdr>
        </w:div>
      </w:divsChild>
    </w:div>
    <w:div w:id="20731174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1291</Words>
  <Characters>7364</Characters>
  <Application>Microsoft Office Word</Application>
  <DocSecurity>4</DocSecurity>
  <Lines>61</Lines>
  <Paragraphs>17</Paragraphs>
  <ScaleCrop>false</ScaleCrop>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