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33C4D" w:rsidRDefault="009865E7">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rsidR="00133C4D" w:rsidRDefault="009865E7">
      <w:pPr>
        <w:spacing w:line="360" w:lineRule="auto"/>
        <w:rPr>
          <w:rFonts w:ascii="宋体" w:hAnsi="宋体"/>
          <w:sz w:val="48"/>
        </w:rPr>
      </w:pPr>
      <w:r>
        <w:rPr>
          <w:rFonts w:ascii="宋体" w:hAnsi="宋体" w:hint="eastAsia"/>
          <w:sz w:val="48"/>
        </w:rPr>
        <w:t xml:space="preserve">　 </w:t>
      </w:r>
    </w:p>
    <w:p w:rsidR="00133C4D" w:rsidRDefault="009865E7">
      <w:pPr>
        <w:spacing w:line="360" w:lineRule="auto"/>
        <w:jc w:val="center"/>
      </w:pPr>
      <w:proofErr w:type="gramStart"/>
      <w:r>
        <w:rPr>
          <w:rFonts w:ascii="宋体" w:hAnsi="宋体" w:hint="eastAsia"/>
          <w:b/>
          <w:bCs/>
          <w:color w:val="000000" w:themeColor="text1"/>
          <w:sz w:val="48"/>
          <w:szCs w:val="30"/>
        </w:rPr>
        <w:t>摩根纯债债券</w:t>
      </w:r>
      <w:proofErr w:type="gramEnd"/>
      <w:r>
        <w:rPr>
          <w:rFonts w:ascii="宋体" w:hAnsi="宋体" w:hint="eastAsia"/>
          <w:b/>
          <w:bCs/>
          <w:color w:val="000000" w:themeColor="text1"/>
          <w:sz w:val="48"/>
          <w:szCs w:val="30"/>
        </w:rPr>
        <w:t>型证券投资基金</w:t>
      </w:r>
      <w:r>
        <w:rPr>
          <w:rFonts w:ascii="宋体" w:hAnsi="宋体" w:hint="eastAsia"/>
          <w:b/>
          <w:bCs/>
          <w:color w:val="000000" w:themeColor="text1"/>
          <w:sz w:val="48"/>
          <w:szCs w:val="30"/>
        </w:rPr>
        <w:br/>
        <w:t>2025年第1季度报告</w:t>
      </w:r>
    </w:p>
    <w:p w:rsidR="00133C4D" w:rsidRDefault="009865E7">
      <w:pPr>
        <w:spacing w:line="360" w:lineRule="auto"/>
        <w:jc w:val="center"/>
        <w:rPr>
          <w:rFonts w:ascii="宋体" w:hAnsi="宋体"/>
          <w:sz w:val="28"/>
          <w:szCs w:val="30"/>
        </w:rPr>
      </w:pPr>
      <w:r>
        <w:rPr>
          <w:rFonts w:ascii="宋体" w:hAnsi="宋体" w:hint="eastAsia"/>
          <w:sz w:val="28"/>
          <w:szCs w:val="30"/>
        </w:rPr>
        <w:t xml:space="preserve">　 </w:t>
      </w:r>
    </w:p>
    <w:p w:rsidR="00133C4D" w:rsidRDefault="009865E7">
      <w:pPr>
        <w:spacing w:line="360" w:lineRule="auto"/>
        <w:jc w:val="center"/>
      </w:pPr>
      <w:r>
        <w:rPr>
          <w:rFonts w:ascii="宋体" w:hAnsi="宋体" w:hint="eastAsia"/>
          <w:b/>
          <w:bCs/>
          <w:sz w:val="28"/>
          <w:szCs w:val="30"/>
        </w:rPr>
        <w:t>2025年3月31日</w:t>
      </w:r>
    </w:p>
    <w:p w:rsidR="00133C4D" w:rsidRDefault="009865E7">
      <w:pPr>
        <w:spacing w:line="360" w:lineRule="auto"/>
        <w:jc w:val="center"/>
        <w:rPr>
          <w:rFonts w:ascii="宋体" w:hAnsi="宋体"/>
          <w:sz w:val="28"/>
          <w:szCs w:val="30"/>
        </w:rPr>
      </w:pPr>
      <w:r>
        <w:rPr>
          <w:rFonts w:ascii="宋体" w:hAnsi="宋体" w:hint="eastAsia"/>
          <w:sz w:val="28"/>
          <w:szCs w:val="30"/>
        </w:rPr>
        <w:t xml:space="preserve">　 </w:t>
      </w:r>
    </w:p>
    <w:p w:rsidR="00133C4D" w:rsidRDefault="009865E7">
      <w:pPr>
        <w:spacing w:line="360" w:lineRule="auto"/>
        <w:jc w:val="center"/>
        <w:rPr>
          <w:rFonts w:ascii="宋体" w:hAnsi="宋体"/>
          <w:sz w:val="28"/>
          <w:szCs w:val="30"/>
        </w:rPr>
      </w:pPr>
      <w:r>
        <w:rPr>
          <w:rFonts w:ascii="宋体" w:hAnsi="宋体" w:hint="eastAsia"/>
          <w:sz w:val="28"/>
          <w:szCs w:val="30"/>
        </w:rPr>
        <w:t xml:space="preserve">　 </w:t>
      </w:r>
    </w:p>
    <w:p w:rsidR="00133C4D" w:rsidRDefault="009865E7">
      <w:pPr>
        <w:spacing w:line="360" w:lineRule="auto"/>
        <w:jc w:val="center"/>
        <w:rPr>
          <w:rFonts w:ascii="宋体" w:hAnsi="宋体"/>
          <w:sz w:val="28"/>
          <w:szCs w:val="30"/>
        </w:rPr>
      </w:pPr>
      <w:r>
        <w:rPr>
          <w:rFonts w:ascii="宋体" w:hAnsi="宋体" w:hint="eastAsia"/>
          <w:sz w:val="28"/>
          <w:szCs w:val="30"/>
        </w:rPr>
        <w:t xml:space="preserve">　 </w:t>
      </w:r>
    </w:p>
    <w:p w:rsidR="00133C4D" w:rsidRDefault="009865E7">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133C4D" w:rsidRDefault="009865E7">
      <w:pPr>
        <w:spacing w:line="360" w:lineRule="auto"/>
        <w:jc w:val="center"/>
        <w:rPr>
          <w:rFonts w:ascii="宋体" w:hAnsi="宋体"/>
          <w:sz w:val="28"/>
          <w:szCs w:val="30"/>
        </w:rPr>
      </w:pPr>
      <w:r>
        <w:rPr>
          <w:rFonts w:ascii="宋体" w:hAnsi="宋体" w:hint="eastAsia"/>
          <w:sz w:val="28"/>
          <w:szCs w:val="30"/>
        </w:rPr>
        <w:t xml:space="preserve">　 </w:t>
      </w:r>
    </w:p>
    <w:p w:rsidR="00133C4D" w:rsidRDefault="009865E7">
      <w:pPr>
        <w:spacing w:line="360" w:lineRule="auto"/>
        <w:jc w:val="center"/>
        <w:rPr>
          <w:rFonts w:ascii="宋体" w:hAnsi="宋体"/>
          <w:sz w:val="28"/>
          <w:szCs w:val="30"/>
        </w:rPr>
      </w:pPr>
      <w:r>
        <w:rPr>
          <w:rFonts w:ascii="宋体" w:hAnsi="宋体" w:hint="eastAsia"/>
          <w:sz w:val="28"/>
          <w:szCs w:val="30"/>
        </w:rPr>
        <w:t xml:space="preserve">　 </w:t>
      </w:r>
    </w:p>
    <w:p w:rsidR="00133C4D" w:rsidRDefault="009865E7">
      <w:pPr>
        <w:spacing w:line="360" w:lineRule="auto"/>
        <w:jc w:val="center"/>
        <w:rPr>
          <w:rFonts w:ascii="宋体" w:hAnsi="宋体"/>
          <w:sz w:val="28"/>
          <w:szCs w:val="30"/>
        </w:rPr>
      </w:pPr>
      <w:r>
        <w:rPr>
          <w:rFonts w:ascii="宋体" w:hAnsi="宋体" w:hint="eastAsia"/>
          <w:sz w:val="28"/>
          <w:szCs w:val="30"/>
        </w:rPr>
        <w:t xml:space="preserve">　 </w:t>
      </w:r>
    </w:p>
    <w:p w:rsidR="00133C4D" w:rsidRDefault="009865E7">
      <w:pPr>
        <w:spacing w:line="360" w:lineRule="auto"/>
        <w:jc w:val="center"/>
        <w:rPr>
          <w:rFonts w:ascii="宋体" w:hAnsi="宋体"/>
          <w:sz w:val="28"/>
          <w:szCs w:val="30"/>
        </w:rPr>
      </w:pPr>
      <w:r>
        <w:rPr>
          <w:rFonts w:ascii="宋体" w:hAnsi="宋体" w:hint="eastAsia"/>
          <w:sz w:val="28"/>
          <w:szCs w:val="30"/>
        </w:rPr>
        <w:t xml:space="preserve">　 </w:t>
      </w:r>
    </w:p>
    <w:p w:rsidR="00133C4D" w:rsidRDefault="009865E7">
      <w:pPr>
        <w:spacing w:line="360" w:lineRule="auto"/>
        <w:jc w:val="center"/>
        <w:rPr>
          <w:rFonts w:ascii="宋体" w:hAnsi="宋体"/>
          <w:sz w:val="28"/>
          <w:szCs w:val="30"/>
        </w:rPr>
      </w:pPr>
      <w:r>
        <w:rPr>
          <w:rFonts w:ascii="宋体" w:hAnsi="宋体" w:hint="eastAsia"/>
          <w:sz w:val="28"/>
          <w:szCs w:val="30"/>
        </w:rPr>
        <w:t xml:space="preserve">　 </w:t>
      </w:r>
    </w:p>
    <w:p w:rsidR="00133C4D" w:rsidRDefault="009865E7">
      <w:pPr>
        <w:spacing w:line="360" w:lineRule="auto"/>
        <w:jc w:val="center"/>
        <w:rPr>
          <w:rFonts w:ascii="宋体" w:hAnsi="宋体"/>
          <w:sz w:val="28"/>
          <w:szCs w:val="30"/>
        </w:rPr>
      </w:pPr>
      <w:r>
        <w:rPr>
          <w:rFonts w:ascii="宋体" w:hAnsi="宋体" w:hint="eastAsia"/>
          <w:sz w:val="28"/>
          <w:szCs w:val="30"/>
        </w:rPr>
        <w:t xml:space="preserve">　 </w:t>
      </w:r>
    </w:p>
    <w:p w:rsidR="00133C4D" w:rsidRDefault="009865E7">
      <w:pPr>
        <w:spacing w:line="360" w:lineRule="auto"/>
        <w:jc w:val="center"/>
        <w:rPr>
          <w:rFonts w:ascii="宋体" w:hAnsi="宋体"/>
          <w:sz w:val="28"/>
          <w:szCs w:val="30"/>
        </w:rPr>
      </w:pPr>
      <w:r>
        <w:rPr>
          <w:rFonts w:ascii="宋体" w:hAnsi="宋体" w:hint="eastAsia"/>
          <w:sz w:val="28"/>
          <w:szCs w:val="30"/>
        </w:rPr>
        <w:t xml:space="preserve">　 </w:t>
      </w:r>
    </w:p>
    <w:p w:rsidR="00133C4D" w:rsidRDefault="009865E7">
      <w:pPr>
        <w:spacing w:line="360" w:lineRule="auto"/>
        <w:ind w:firstLineChars="800" w:firstLine="2249"/>
        <w:jc w:val="left"/>
      </w:pPr>
      <w:r>
        <w:rPr>
          <w:rFonts w:ascii="宋体" w:hAnsi="宋体" w:hint="eastAsia"/>
          <w:b/>
          <w:bCs/>
          <w:sz w:val="28"/>
          <w:szCs w:val="30"/>
        </w:rPr>
        <w:t>基金管理人：摩根基金管理（中国）有限公司</w:t>
      </w:r>
    </w:p>
    <w:p w:rsidR="00133C4D" w:rsidRDefault="009865E7">
      <w:pPr>
        <w:spacing w:line="360" w:lineRule="auto"/>
        <w:ind w:firstLineChars="800" w:firstLine="2249"/>
        <w:jc w:val="left"/>
      </w:pPr>
      <w:r>
        <w:rPr>
          <w:rFonts w:ascii="宋体" w:hAnsi="宋体" w:hint="eastAsia"/>
          <w:b/>
          <w:bCs/>
          <w:sz w:val="28"/>
          <w:szCs w:val="30"/>
        </w:rPr>
        <w:t>基金托管人：中国工商银行股份有限公司</w:t>
      </w:r>
    </w:p>
    <w:p w:rsidR="00133C4D" w:rsidRDefault="009865E7">
      <w:pPr>
        <w:spacing w:line="360" w:lineRule="auto"/>
        <w:ind w:firstLineChars="800" w:firstLine="2249"/>
        <w:jc w:val="left"/>
      </w:pPr>
      <w:r>
        <w:rPr>
          <w:rFonts w:ascii="宋体" w:hAnsi="宋体" w:hint="eastAsia"/>
          <w:b/>
          <w:bCs/>
          <w:sz w:val="28"/>
          <w:szCs w:val="30"/>
        </w:rPr>
        <w:t>报告送出日期：2025年4月22日</w:t>
      </w:r>
    </w:p>
    <w:p w:rsidR="00133C4D" w:rsidRDefault="009865E7">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rsidR="00133C4D" w:rsidRDefault="009865E7">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基金托管人中国工商银行股份有限公司根据本基金合同规定，于2025年4月21日复核了本报告中的财务指标、净值表现和投资组合报告等内容，保证复核内容不存在虚假记载、误导性陈述或者重大遗漏。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133C4D" w:rsidRDefault="009865E7">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2"/>
        <w:gridCol w:w="1585"/>
        <w:gridCol w:w="1886"/>
        <w:gridCol w:w="1685"/>
      </w:tblGrid>
      <w:tr w:rsidR="00133C4D">
        <w:trPr>
          <w:divId w:val="499123684"/>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rsidR="00133C4D" w:rsidRDefault="009865E7">
            <w:pPr>
              <w:jc w:val="left"/>
            </w:pPr>
            <w:r>
              <w:rPr>
                <w:rFonts w:ascii="宋体" w:hAnsi="宋体" w:hint="eastAsia"/>
              </w:rPr>
              <w:t>基金简称</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33C4D" w:rsidRDefault="009865E7">
            <w:pPr>
              <w:jc w:val="left"/>
            </w:pPr>
            <w:r>
              <w:rPr>
                <w:rFonts w:ascii="宋体" w:hAnsi="宋体" w:hint="eastAsia"/>
                <w:szCs w:val="24"/>
                <w:lang w:eastAsia="zh-Hans"/>
              </w:rPr>
              <w:t>摩根纯债债券</w:t>
            </w:r>
            <w:r>
              <w:rPr>
                <w:rFonts w:ascii="宋体" w:hAnsi="宋体" w:hint="eastAsia"/>
                <w:lang w:eastAsia="zh-Hans"/>
              </w:rPr>
              <w:t xml:space="preserve"> </w:t>
            </w:r>
          </w:p>
        </w:tc>
      </w:tr>
      <w:tr w:rsidR="00133C4D">
        <w:trPr>
          <w:divId w:val="4991236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33C4D" w:rsidRDefault="009865E7">
            <w:pPr>
              <w:jc w:val="left"/>
            </w:pPr>
            <w:r>
              <w:rPr>
                <w:rFonts w:ascii="宋体" w:hAnsi="宋体" w:hint="eastAsia"/>
              </w:rPr>
              <w:t>基金主代码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33C4D" w:rsidRDefault="009865E7">
            <w:pPr>
              <w:jc w:val="left"/>
            </w:pPr>
            <w:r>
              <w:rPr>
                <w:rFonts w:ascii="宋体" w:hAnsi="宋体" w:hint="eastAsia"/>
                <w:lang w:eastAsia="zh-Hans"/>
              </w:rPr>
              <w:t>371020</w:t>
            </w:r>
          </w:p>
        </w:tc>
      </w:tr>
      <w:tr w:rsidR="00133C4D">
        <w:trPr>
          <w:divId w:val="4991236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33C4D" w:rsidRDefault="009865E7">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33C4D" w:rsidRDefault="009865E7">
            <w:pPr>
              <w:jc w:val="left"/>
            </w:pPr>
            <w:r>
              <w:rPr>
                <w:rFonts w:ascii="宋体" w:hAnsi="宋体" w:hint="eastAsia"/>
                <w:lang w:eastAsia="zh-Hans"/>
              </w:rPr>
              <w:t>契约型开放式</w:t>
            </w:r>
          </w:p>
        </w:tc>
      </w:tr>
      <w:tr w:rsidR="00133C4D">
        <w:trPr>
          <w:divId w:val="4991236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33C4D" w:rsidRDefault="009865E7">
            <w:pPr>
              <w:jc w:val="left"/>
            </w:pPr>
            <w:r>
              <w:rPr>
                <w:rFonts w:ascii="宋体" w:hAnsi="宋体" w:hint="eastAsia"/>
              </w:rPr>
              <w:t>基金合同生效日</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33C4D" w:rsidRDefault="009865E7">
            <w:pPr>
              <w:jc w:val="left"/>
            </w:pPr>
            <w:r>
              <w:rPr>
                <w:rFonts w:ascii="宋体" w:hAnsi="宋体" w:hint="eastAsia"/>
                <w:lang w:eastAsia="zh-Hans"/>
              </w:rPr>
              <w:t>2009年6月24日</w:t>
            </w:r>
          </w:p>
        </w:tc>
      </w:tr>
      <w:tr w:rsidR="00133C4D">
        <w:trPr>
          <w:divId w:val="4991236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33C4D" w:rsidRDefault="009865E7">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33C4D" w:rsidRDefault="009865E7">
            <w:pPr>
              <w:jc w:val="left"/>
            </w:pPr>
            <w:r>
              <w:rPr>
                <w:rFonts w:ascii="宋体" w:hAnsi="宋体" w:hint="eastAsia"/>
                <w:lang w:eastAsia="zh-Hans"/>
              </w:rPr>
              <w:t>2,181,468,514.71</w:t>
            </w:r>
            <w:r>
              <w:rPr>
                <w:rFonts w:hint="eastAsia"/>
              </w:rPr>
              <w:t>份</w:t>
            </w:r>
            <w:r>
              <w:rPr>
                <w:rFonts w:ascii="宋体" w:hAnsi="宋体" w:hint="eastAsia"/>
                <w:lang w:eastAsia="zh-Hans"/>
              </w:rPr>
              <w:t xml:space="preserve"> </w:t>
            </w:r>
          </w:p>
        </w:tc>
      </w:tr>
      <w:tr w:rsidR="00133C4D">
        <w:trPr>
          <w:divId w:val="4991236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33C4D" w:rsidRDefault="009865E7">
            <w:pPr>
              <w:jc w:val="left"/>
            </w:pPr>
            <w:r>
              <w:rPr>
                <w:rFonts w:ascii="宋体" w:hAnsi="宋体" w:hint="eastAsia"/>
              </w:rPr>
              <w:t>投资目标</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33C4D" w:rsidRDefault="009865E7">
            <w:pPr>
              <w:jc w:val="left"/>
            </w:pPr>
            <w:r>
              <w:rPr>
                <w:rFonts w:ascii="宋体" w:hAnsi="宋体" w:hint="eastAsia"/>
                <w:lang w:eastAsia="zh-Hans"/>
              </w:rPr>
              <w:t>本基金将根据对利率趋势的预判，适时规划与调整组合目标久期，结合主动性资产配置，在严格控制组合投资风险的同时，提高基金资产流动性与收益性水平，以追求超过业绩比较基准的投资回报。</w:t>
            </w:r>
          </w:p>
        </w:tc>
      </w:tr>
      <w:tr w:rsidR="00133C4D">
        <w:trPr>
          <w:divId w:val="4991236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33C4D" w:rsidRDefault="009865E7">
            <w:pPr>
              <w:jc w:val="left"/>
            </w:pPr>
            <w:r>
              <w:rPr>
                <w:rFonts w:ascii="宋体" w:hAnsi="宋体" w:hint="eastAsia"/>
              </w:rPr>
              <w:t>投资策略</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33C4D" w:rsidRDefault="009865E7">
            <w:pPr>
              <w:jc w:val="left"/>
            </w:pPr>
            <w:r>
              <w:rPr>
                <w:rFonts w:ascii="宋体" w:hAnsi="宋体" w:hint="eastAsia"/>
                <w:lang w:eastAsia="zh-Hans"/>
              </w:rPr>
              <w:t>1、目标久期管理策略</w:t>
            </w:r>
            <w:r>
              <w:rPr>
                <w:rFonts w:ascii="宋体" w:hAnsi="宋体" w:hint="eastAsia"/>
                <w:lang w:eastAsia="zh-Hans"/>
              </w:rPr>
              <w:br/>
              <w:t>目标久期管理将优化固定收益投资的安全性、收益性与流动性。本基金严格遵循投资流程，对宏观经济、财政货币政策、市场利率水平及债券发行主体的信用情况等因素进行深入研究，通过审慎把握利率期限结构的变动趋势，适时制定目标久期管理计划，通过合理的资产配置及组合目标久期管理，控制投资风险，追求可持续的、超出业绩比较基准的投资收益。</w:t>
            </w:r>
            <w:r>
              <w:rPr>
                <w:rFonts w:ascii="宋体" w:hAnsi="宋体" w:hint="eastAsia"/>
                <w:lang w:eastAsia="zh-Hans"/>
              </w:rPr>
              <w:br/>
              <w:t>2、可转换公司债券（包括分离交易可转债）的投资策略</w:t>
            </w:r>
            <w:r>
              <w:rPr>
                <w:rFonts w:ascii="宋体" w:hAnsi="宋体" w:hint="eastAsia"/>
                <w:lang w:eastAsia="zh-Hans"/>
              </w:rPr>
              <w:br/>
              <w:t>可转换债券兼具权益类证券与固定收益类证券的特性,具有抵御下行风险、分享股票价格上涨收益的特点。本基金在对发债券公司基本面和可转债条款进行深入研究的基础上，以其纯债价值作为评价的主要标准，利用可转换公司债券定价等数量化估值工具评定其投资价值，投资于公司基本素质优良、具有较高安全边</w:t>
            </w:r>
            <w:r>
              <w:rPr>
                <w:rFonts w:ascii="宋体" w:hAnsi="宋体" w:hint="eastAsia"/>
                <w:lang w:eastAsia="zh-Hans"/>
              </w:rPr>
              <w:lastRenderedPageBreak/>
              <w:t>际和良好流动性的可转换公司债券，获取稳健的投资回报。</w:t>
            </w:r>
            <w:r>
              <w:rPr>
                <w:rFonts w:ascii="宋体" w:hAnsi="宋体" w:hint="eastAsia"/>
                <w:lang w:eastAsia="zh-Hans"/>
              </w:rPr>
              <w:br/>
              <w:t>3、资产支持证券投资策略</w:t>
            </w:r>
            <w:r>
              <w:rPr>
                <w:rFonts w:ascii="宋体" w:hAnsi="宋体" w:hint="eastAsia"/>
                <w:lang w:eastAsia="zh-Hans"/>
              </w:rPr>
              <w:br/>
              <w:t>本基金将在严格控制组合投资风险的前提下投资于资产支持证券。本基金综合考虑市场利率、发行条款、支持资产的构成及质量等因素，主要从资产池信用状况、违约相关性、历史违约记录和损失比例、证券的信用增强方式、利差补偿程度等方面对资产支持证券各个分支的风险与收益状况进行评估，在严格控制风险的情况下，确定资产合理配置比例，在保证资产安全性的前提条件下，以期获得长期稳定收益。</w:t>
            </w:r>
          </w:p>
        </w:tc>
      </w:tr>
      <w:tr w:rsidR="00133C4D">
        <w:trPr>
          <w:divId w:val="4991236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33C4D" w:rsidRDefault="009865E7">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33C4D" w:rsidRDefault="009865E7">
            <w:pPr>
              <w:jc w:val="left"/>
            </w:pPr>
            <w:r>
              <w:rPr>
                <w:rFonts w:ascii="宋体" w:hAnsi="宋体" w:hint="eastAsia"/>
                <w:lang w:eastAsia="zh-Hans"/>
              </w:rPr>
              <w:t>本基金的业绩比较基准为中国债券总指数。</w:t>
            </w:r>
          </w:p>
        </w:tc>
      </w:tr>
      <w:tr w:rsidR="00133C4D">
        <w:trPr>
          <w:divId w:val="4991236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33C4D" w:rsidRDefault="009865E7">
            <w:pPr>
              <w:jc w:val="left"/>
            </w:pPr>
            <w:r>
              <w:rPr>
                <w:rFonts w:ascii="宋体" w:hAnsi="宋体" w:hint="eastAsia"/>
              </w:rPr>
              <w:t>风险收益特征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33C4D" w:rsidRDefault="009865E7">
            <w:pPr>
              <w:jc w:val="left"/>
            </w:pPr>
            <w:r>
              <w:rPr>
                <w:rFonts w:ascii="宋体" w:hAnsi="宋体" w:hint="eastAsia"/>
                <w:lang w:eastAsia="zh-Hans"/>
              </w:rPr>
              <w:t>本基金是债券型基金，在证券投资基金中属于较低风险品种，其预期风险收益水平低于股票型基金，高于货币市场基金。</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133C4D">
        <w:trPr>
          <w:divId w:val="4991236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33C4D" w:rsidRDefault="009865E7">
            <w:pPr>
              <w:jc w:val="left"/>
            </w:pPr>
            <w:r>
              <w:rPr>
                <w:rFonts w:ascii="宋体" w:hAnsi="宋体" w:hint="eastAsia"/>
              </w:rPr>
              <w:t>基金管理人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33C4D" w:rsidRDefault="009865E7">
            <w:pPr>
              <w:jc w:val="left"/>
            </w:pPr>
            <w:r>
              <w:rPr>
                <w:rFonts w:ascii="宋体" w:hAnsi="宋体" w:hint="eastAsia"/>
                <w:lang w:eastAsia="zh-Hans"/>
              </w:rPr>
              <w:t>摩根基金管理（中国）有限公司</w:t>
            </w:r>
          </w:p>
        </w:tc>
      </w:tr>
      <w:tr w:rsidR="00133C4D">
        <w:trPr>
          <w:divId w:val="4991236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33C4D" w:rsidRDefault="009865E7">
            <w:pPr>
              <w:jc w:val="left"/>
            </w:pPr>
            <w:r>
              <w:rPr>
                <w:rFonts w:ascii="宋体" w:hAnsi="宋体" w:hint="eastAsia"/>
              </w:rPr>
              <w:t>基金托管人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33C4D" w:rsidRDefault="009865E7">
            <w:pPr>
              <w:jc w:val="left"/>
            </w:pPr>
            <w:r>
              <w:rPr>
                <w:rFonts w:ascii="宋体" w:hAnsi="宋体" w:hint="eastAsia"/>
                <w:lang w:eastAsia="zh-Hans"/>
              </w:rPr>
              <w:t>中国工商银行股份有限公司</w:t>
            </w:r>
          </w:p>
        </w:tc>
      </w:tr>
      <w:tr w:rsidR="00133C4D">
        <w:trPr>
          <w:divId w:val="49912368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33C4D" w:rsidRDefault="009865E7">
            <w:pPr>
              <w:jc w:val="left"/>
            </w:pPr>
            <w:bookmarkStart w:id="33" w:name="m02_01" w:colFirst="1" w:colLast="3"/>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lang w:eastAsia="zh-Hans"/>
              </w:rPr>
              <w:t>摩根纯债债券A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lang w:eastAsia="zh-Hans"/>
              </w:rPr>
              <w:t>摩根纯债债券B</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lang w:eastAsia="zh-Hans"/>
              </w:rPr>
              <w:t>摩根纯债债券D</w:t>
            </w:r>
            <w:r>
              <w:rPr>
                <w:rFonts w:ascii="宋体" w:hAnsi="宋体" w:hint="eastAsia"/>
                <w:kern w:val="0"/>
                <w:sz w:val="20"/>
                <w:lang w:eastAsia="zh-Hans"/>
              </w:rPr>
              <w:t xml:space="preserve"> </w:t>
            </w:r>
          </w:p>
        </w:tc>
      </w:tr>
      <w:tr w:rsidR="00133C4D">
        <w:trPr>
          <w:divId w:val="49912368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33C4D" w:rsidRDefault="009865E7">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lang w:eastAsia="zh-Hans"/>
              </w:rPr>
              <w:t>371020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lang w:eastAsia="zh-Hans"/>
              </w:rPr>
              <w:t>371120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lang w:eastAsia="zh-Hans"/>
              </w:rPr>
              <w:t>022294</w:t>
            </w:r>
            <w:r>
              <w:rPr>
                <w:rFonts w:ascii="宋体" w:hAnsi="宋体" w:hint="eastAsia"/>
                <w:kern w:val="0"/>
                <w:sz w:val="20"/>
                <w:lang w:eastAsia="zh-Hans"/>
              </w:rPr>
              <w:t xml:space="preserve"> </w:t>
            </w:r>
          </w:p>
        </w:tc>
      </w:tr>
      <w:bookmarkEnd w:id="33"/>
      <w:bookmarkEnd w:id="32"/>
      <w:tr w:rsidR="00133C4D">
        <w:trPr>
          <w:divId w:val="49912368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133C4D" w:rsidRDefault="009865E7">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lang w:eastAsia="zh-Hans"/>
              </w:rPr>
              <w:t>23,131,925.92</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lang w:eastAsia="zh-Hans"/>
              </w:rPr>
              <w:t>2,027,045,852.91</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lang w:eastAsia="zh-Hans"/>
              </w:rPr>
              <w:t>131,290,735.88</w:t>
            </w:r>
            <w:r>
              <w:rPr>
                <w:rFonts w:hint="eastAsia"/>
              </w:rPr>
              <w:t>份</w:t>
            </w:r>
            <w:r>
              <w:rPr>
                <w:rFonts w:ascii="宋体" w:hAnsi="宋体" w:hint="eastAsia"/>
                <w:lang w:eastAsia="zh-Hans"/>
              </w:rPr>
              <w:t xml:space="preserve"> </w:t>
            </w:r>
          </w:p>
        </w:tc>
      </w:tr>
    </w:tbl>
    <w:p w:rsidR="00133C4D" w:rsidRDefault="009865E7">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rsidR="00133C4D" w:rsidRDefault="009865E7">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rsidR="00133C4D" w:rsidRDefault="009865E7">
      <w:pPr>
        <w:jc w:val="right"/>
        <w:divId w:val="725952147"/>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9"/>
        <w:gridCol w:w="1719"/>
        <w:gridCol w:w="2035"/>
        <w:gridCol w:w="1782"/>
      </w:tblGrid>
      <w:tr w:rsidR="00133C4D">
        <w:trPr>
          <w:divId w:val="725952147"/>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133C4D" w:rsidRDefault="009865E7">
            <w:pPr>
              <w:pStyle w:val="a5"/>
            </w:pPr>
            <w:r>
              <w:rPr>
                <w:rFonts w:hint="eastAsia"/>
                <w:kern w:val="2"/>
                <w:sz w:val="21"/>
                <w:lang w:eastAsia="zh-Hans"/>
              </w:rPr>
              <w:t xml:space="preserve">主要财务指标 </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133C4D" w:rsidRDefault="009865E7">
            <w:pPr>
              <w:pStyle w:val="a5"/>
              <w:jc w:val="center"/>
            </w:pPr>
            <w:r>
              <w:rPr>
                <w:rFonts w:hint="eastAsia"/>
                <w:kern w:val="2"/>
                <w:sz w:val="21"/>
                <w:szCs w:val="24"/>
                <w:lang w:eastAsia="zh-Hans"/>
              </w:rPr>
              <w:t xml:space="preserve">报告期（2025年1月1日-2025年3月31日） </w:t>
            </w:r>
          </w:p>
        </w:tc>
      </w:tr>
      <w:tr w:rsidR="00133C4D">
        <w:trPr>
          <w:divId w:val="725952147"/>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3C4D" w:rsidRDefault="00133C4D">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133C4D" w:rsidRDefault="009865E7">
            <w:pPr>
              <w:jc w:val="center"/>
            </w:pPr>
            <w:r>
              <w:rPr>
                <w:rFonts w:ascii="宋体" w:hAnsi="宋体" w:hint="eastAsia"/>
                <w:szCs w:val="24"/>
                <w:lang w:eastAsia="zh-Hans"/>
              </w:rPr>
              <w:t>摩根纯债债券A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133C4D" w:rsidRDefault="009865E7">
            <w:pPr>
              <w:jc w:val="center"/>
            </w:pPr>
            <w:r>
              <w:rPr>
                <w:rFonts w:ascii="宋体" w:hAnsi="宋体" w:hint="eastAsia"/>
                <w:szCs w:val="24"/>
                <w:lang w:eastAsia="zh-Hans"/>
              </w:rPr>
              <w:t>摩根纯债债券B</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133C4D" w:rsidRDefault="009865E7">
            <w:pPr>
              <w:jc w:val="center"/>
            </w:pPr>
            <w:r>
              <w:rPr>
                <w:rFonts w:ascii="宋体" w:hAnsi="宋体" w:hint="eastAsia"/>
                <w:szCs w:val="24"/>
                <w:lang w:eastAsia="zh-Hans"/>
              </w:rPr>
              <w:t>摩根纯债债券D</w:t>
            </w:r>
          </w:p>
        </w:tc>
      </w:tr>
      <w:tr w:rsidR="00133C4D">
        <w:trPr>
          <w:divId w:val="72595214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33C4D" w:rsidRDefault="009865E7">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33C4D" w:rsidRDefault="009865E7">
            <w:pPr>
              <w:jc w:val="right"/>
            </w:pPr>
            <w:r>
              <w:rPr>
                <w:rFonts w:ascii="宋体" w:hAnsi="宋体" w:hint="eastAsia"/>
                <w:szCs w:val="24"/>
                <w:lang w:eastAsia="zh-Hans"/>
              </w:rPr>
              <w:t>1,067,379.08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33C4D" w:rsidRDefault="009865E7">
            <w:pPr>
              <w:jc w:val="right"/>
            </w:pPr>
            <w:r>
              <w:rPr>
                <w:rFonts w:ascii="宋体" w:hAnsi="宋体" w:hint="eastAsia"/>
                <w:szCs w:val="24"/>
                <w:lang w:eastAsia="zh-Hans"/>
              </w:rPr>
              <w:t>17,805,371.40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33C4D" w:rsidRDefault="009865E7">
            <w:pPr>
              <w:jc w:val="right"/>
            </w:pPr>
            <w:r>
              <w:rPr>
                <w:rFonts w:ascii="宋体" w:hAnsi="宋体" w:hint="eastAsia"/>
                <w:szCs w:val="24"/>
                <w:lang w:eastAsia="zh-Hans"/>
              </w:rPr>
              <w:t>2,338,254.55</w:t>
            </w:r>
          </w:p>
        </w:tc>
      </w:tr>
      <w:tr w:rsidR="00133C4D">
        <w:trPr>
          <w:divId w:val="72595214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33C4D" w:rsidRDefault="009865E7">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33C4D" w:rsidRDefault="009865E7">
            <w:pPr>
              <w:jc w:val="right"/>
            </w:pPr>
            <w:r>
              <w:rPr>
                <w:rFonts w:ascii="宋体" w:hAnsi="宋体" w:hint="eastAsia"/>
                <w:szCs w:val="24"/>
                <w:lang w:eastAsia="zh-Hans"/>
              </w:rPr>
              <w:t>-208,133.30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33C4D" w:rsidRDefault="009865E7">
            <w:pPr>
              <w:jc w:val="right"/>
            </w:pPr>
            <w:r>
              <w:rPr>
                <w:rFonts w:ascii="宋体" w:hAnsi="宋体" w:hint="eastAsia"/>
                <w:szCs w:val="24"/>
                <w:lang w:eastAsia="zh-Hans"/>
              </w:rPr>
              <w:t>-7,777,373.21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33C4D" w:rsidRDefault="009865E7">
            <w:pPr>
              <w:jc w:val="right"/>
            </w:pPr>
            <w:r>
              <w:rPr>
                <w:rFonts w:ascii="宋体" w:hAnsi="宋体" w:hint="eastAsia"/>
                <w:szCs w:val="24"/>
                <w:lang w:eastAsia="zh-Hans"/>
              </w:rPr>
              <w:t>-269,865.53</w:t>
            </w:r>
          </w:p>
        </w:tc>
      </w:tr>
      <w:tr w:rsidR="00133C4D">
        <w:trPr>
          <w:divId w:val="72595214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33C4D" w:rsidRDefault="009865E7">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33C4D" w:rsidRDefault="009865E7">
            <w:pPr>
              <w:jc w:val="right"/>
            </w:pPr>
            <w:r>
              <w:rPr>
                <w:rFonts w:ascii="宋体" w:hAnsi="宋体" w:hint="eastAsia"/>
                <w:szCs w:val="24"/>
                <w:lang w:eastAsia="zh-Hans"/>
              </w:rPr>
              <w:t>-0.0035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33C4D" w:rsidRDefault="009865E7">
            <w:pPr>
              <w:jc w:val="right"/>
            </w:pPr>
            <w:r>
              <w:rPr>
                <w:rFonts w:ascii="宋体" w:hAnsi="宋体" w:hint="eastAsia"/>
                <w:szCs w:val="24"/>
                <w:lang w:eastAsia="zh-Hans"/>
              </w:rPr>
              <w:t>-0.0050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33C4D" w:rsidRDefault="009865E7">
            <w:pPr>
              <w:jc w:val="right"/>
            </w:pPr>
            <w:r>
              <w:rPr>
                <w:rFonts w:ascii="宋体" w:hAnsi="宋体" w:hint="eastAsia"/>
                <w:szCs w:val="24"/>
                <w:lang w:eastAsia="zh-Hans"/>
              </w:rPr>
              <w:t>-0.0014</w:t>
            </w:r>
          </w:p>
        </w:tc>
      </w:tr>
      <w:tr w:rsidR="00133C4D">
        <w:trPr>
          <w:divId w:val="72595214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33C4D" w:rsidRDefault="009865E7">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33C4D" w:rsidRDefault="009865E7">
            <w:pPr>
              <w:jc w:val="right"/>
            </w:pPr>
            <w:r>
              <w:rPr>
                <w:rFonts w:ascii="宋体" w:hAnsi="宋体" w:hint="eastAsia"/>
                <w:szCs w:val="24"/>
                <w:lang w:eastAsia="zh-Hans"/>
              </w:rPr>
              <w:t>29,936,933.50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33C4D" w:rsidRDefault="009865E7">
            <w:pPr>
              <w:jc w:val="right"/>
            </w:pPr>
            <w:r>
              <w:rPr>
                <w:rFonts w:ascii="宋体" w:hAnsi="宋体" w:hint="eastAsia"/>
                <w:szCs w:val="24"/>
                <w:lang w:eastAsia="zh-Hans"/>
              </w:rPr>
              <w:t>2,296,247,553.84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33C4D" w:rsidRDefault="009865E7">
            <w:pPr>
              <w:jc w:val="right"/>
            </w:pPr>
            <w:r>
              <w:rPr>
                <w:rFonts w:ascii="宋体" w:hAnsi="宋体" w:hint="eastAsia"/>
                <w:szCs w:val="24"/>
                <w:lang w:eastAsia="zh-Hans"/>
              </w:rPr>
              <w:t>169,880,095.41</w:t>
            </w:r>
          </w:p>
        </w:tc>
      </w:tr>
      <w:tr w:rsidR="00133C4D">
        <w:trPr>
          <w:divId w:val="72595214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33C4D" w:rsidRDefault="009865E7">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33C4D" w:rsidRDefault="009865E7">
            <w:pPr>
              <w:jc w:val="right"/>
            </w:pPr>
            <w:r>
              <w:rPr>
                <w:rFonts w:ascii="宋体" w:hAnsi="宋体" w:hint="eastAsia"/>
                <w:szCs w:val="24"/>
                <w:lang w:eastAsia="zh-Hans"/>
              </w:rPr>
              <w:t>1.2942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33C4D" w:rsidRDefault="009865E7">
            <w:pPr>
              <w:jc w:val="right"/>
            </w:pPr>
            <w:r>
              <w:rPr>
                <w:rFonts w:ascii="宋体" w:hAnsi="宋体" w:hint="eastAsia"/>
                <w:szCs w:val="24"/>
                <w:lang w:eastAsia="zh-Hans"/>
              </w:rPr>
              <w:t>1.1328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133C4D" w:rsidRDefault="009865E7">
            <w:pPr>
              <w:jc w:val="right"/>
            </w:pPr>
            <w:r>
              <w:rPr>
                <w:rFonts w:ascii="宋体" w:hAnsi="宋体" w:hint="eastAsia"/>
                <w:szCs w:val="24"/>
                <w:lang w:eastAsia="zh-Hans"/>
              </w:rPr>
              <w:t>1.2939</w:t>
            </w:r>
          </w:p>
        </w:tc>
      </w:tr>
    </w:tbl>
    <w:p w:rsidR="00133C4D" w:rsidRDefault="009865E7">
      <w:pPr>
        <w:wordWrap w:val="0"/>
        <w:spacing w:line="360" w:lineRule="auto"/>
        <w:jc w:val="left"/>
        <w:divId w:val="2028822767"/>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r>
      <w:r>
        <w:rPr>
          <w:rFonts w:ascii="宋体" w:hAnsi="宋体" w:hint="eastAsia"/>
          <w:szCs w:val="21"/>
        </w:rPr>
        <w:lastRenderedPageBreak/>
        <w:t xml:space="preserve">　　上述基金业绩指标不包括持有人认购或交易基金的各项费用（例如，开放式基金的申购赎回费、红利再投资费、基金转换费等），计入费用后实际收益水平要低于所列数字。</w:t>
      </w:r>
    </w:p>
    <w:p w:rsidR="00133C4D" w:rsidRDefault="009865E7">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rsidR="00133C4D" w:rsidRDefault="009865E7">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rsidR="00133C4D" w:rsidRDefault="009865E7">
      <w:pPr>
        <w:spacing w:line="360" w:lineRule="auto"/>
        <w:jc w:val="center"/>
        <w:divId w:val="1697611062"/>
      </w:pPr>
      <w:r>
        <w:rPr>
          <w:rFonts w:ascii="宋体" w:hAnsi="宋体" w:hint="eastAsia"/>
        </w:rPr>
        <w:t>摩根纯</w:t>
      </w:r>
      <w:proofErr w:type="gramStart"/>
      <w:r>
        <w:rPr>
          <w:rFonts w:ascii="宋体" w:hAnsi="宋体" w:hint="eastAsia"/>
        </w:rPr>
        <w:t>债</w:t>
      </w:r>
      <w:proofErr w:type="gramEnd"/>
      <w:r>
        <w:rPr>
          <w:rFonts w:ascii="宋体" w:hAnsi="宋体" w:hint="eastAsia"/>
        </w:rPr>
        <w:t>债券A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133C4D">
        <w:trPr>
          <w:divId w:val="169761106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C4D" w:rsidRDefault="009865E7">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 xml:space="preserve">②－④ </w:t>
            </w:r>
          </w:p>
        </w:tc>
      </w:tr>
      <w:tr w:rsidR="00133C4D">
        <w:trPr>
          <w:divId w:val="169761106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-0.44%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-1.48%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0.14% </w:t>
            </w:r>
          </w:p>
        </w:tc>
        <w:tc>
          <w:tcPr>
            <w:tcW w:w="728" w:type="pct"/>
            <w:tcBorders>
              <w:top w:val="single" w:sz="4" w:space="0" w:color="auto"/>
              <w:left w:val="single" w:sz="4" w:space="0" w:color="auto"/>
              <w:bottom w:val="single" w:sz="4" w:space="0" w:color="auto"/>
              <w:right w:val="single" w:sz="4" w:space="0" w:color="auto"/>
            </w:tcBorders>
            <w:vAlign w:val="center"/>
            <w:hideMark/>
          </w:tcPr>
          <w:p w:rsidR="00133C4D" w:rsidRDefault="009865E7">
            <w:pPr>
              <w:spacing w:line="360" w:lineRule="auto"/>
              <w:jc w:val="right"/>
            </w:pPr>
            <w:r>
              <w:rPr>
                <w:rFonts w:ascii="宋体" w:hAnsi="宋体" w:hint="eastAsia"/>
              </w:rPr>
              <w:t xml:space="preserve">1.04%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-0.06% </w:t>
            </w:r>
          </w:p>
        </w:tc>
      </w:tr>
      <w:tr w:rsidR="00133C4D">
        <w:trPr>
          <w:divId w:val="169761106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1.43%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1.15%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0.13% </w:t>
            </w:r>
          </w:p>
        </w:tc>
        <w:tc>
          <w:tcPr>
            <w:tcW w:w="728" w:type="pct"/>
            <w:tcBorders>
              <w:top w:val="single" w:sz="4" w:space="0" w:color="auto"/>
              <w:left w:val="single" w:sz="4" w:space="0" w:color="auto"/>
              <w:bottom w:val="single" w:sz="4" w:space="0" w:color="auto"/>
              <w:right w:val="single" w:sz="4" w:space="0" w:color="auto"/>
            </w:tcBorders>
            <w:vAlign w:val="center"/>
            <w:hideMark/>
          </w:tcPr>
          <w:p w:rsidR="00133C4D" w:rsidRDefault="009865E7">
            <w:pPr>
              <w:spacing w:line="360" w:lineRule="auto"/>
              <w:jc w:val="right"/>
            </w:pPr>
            <w:r>
              <w:rPr>
                <w:rFonts w:ascii="宋体" w:hAnsi="宋体" w:hint="eastAsia"/>
              </w:rPr>
              <w:t xml:space="preserve">0.28%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-0.05% </w:t>
            </w:r>
          </w:p>
        </w:tc>
      </w:tr>
      <w:tr w:rsidR="00133C4D">
        <w:trPr>
          <w:divId w:val="169761106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3.97%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2.60%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0.12% </w:t>
            </w:r>
          </w:p>
        </w:tc>
        <w:tc>
          <w:tcPr>
            <w:tcW w:w="728" w:type="pct"/>
            <w:tcBorders>
              <w:top w:val="single" w:sz="4" w:space="0" w:color="auto"/>
              <w:left w:val="single" w:sz="4" w:space="0" w:color="auto"/>
              <w:bottom w:val="single" w:sz="4" w:space="0" w:color="auto"/>
              <w:right w:val="single" w:sz="4" w:space="0" w:color="auto"/>
            </w:tcBorders>
            <w:vAlign w:val="center"/>
            <w:hideMark/>
          </w:tcPr>
          <w:p w:rsidR="00133C4D" w:rsidRDefault="009865E7">
            <w:pPr>
              <w:spacing w:line="360" w:lineRule="auto"/>
              <w:jc w:val="right"/>
            </w:pPr>
            <w:r>
              <w:rPr>
                <w:rFonts w:ascii="宋体" w:hAnsi="宋体" w:hint="eastAsia"/>
              </w:rPr>
              <w:t xml:space="preserve">1.37%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-0.05% </w:t>
            </w:r>
          </w:p>
        </w:tc>
      </w:tr>
      <w:tr w:rsidR="00133C4D">
        <w:trPr>
          <w:divId w:val="169761106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7.05%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6.11%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0.09% </w:t>
            </w:r>
          </w:p>
        </w:tc>
        <w:tc>
          <w:tcPr>
            <w:tcW w:w="728" w:type="pct"/>
            <w:tcBorders>
              <w:top w:val="single" w:sz="4" w:space="0" w:color="auto"/>
              <w:left w:val="single" w:sz="4" w:space="0" w:color="auto"/>
              <w:bottom w:val="single" w:sz="4" w:space="0" w:color="auto"/>
              <w:right w:val="single" w:sz="4" w:space="0" w:color="auto"/>
            </w:tcBorders>
            <w:vAlign w:val="center"/>
            <w:hideMark/>
          </w:tcPr>
          <w:p w:rsidR="00133C4D" w:rsidRDefault="009865E7">
            <w:pPr>
              <w:spacing w:line="360" w:lineRule="auto"/>
              <w:jc w:val="right"/>
            </w:pPr>
            <w:r>
              <w:rPr>
                <w:rFonts w:ascii="宋体" w:hAnsi="宋体" w:hint="eastAsia"/>
              </w:rPr>
              <w:t xml:space="preserve">0.94%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0.02% </w:t>
            </w:r>
          </w:p>
        </w:tc>
      </w:tr>
      <w:tr w:rsidR="00133C4D">
        <w:trPr>
          <w:divId w:val="169761106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15.35%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0.23%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5.32%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rsidR="00133C4D" w:rsidRDefault="009865E7">
            <w:pPr>
              <w:spacing w:line="360" w:lineRule="auto"/>
              <w:jc w:val="right"/>
            </w:pPr>
            <w:r>
              <w:rPr>
                <w:rFonts w:ascii="宋体" w:hAnsi="宋体" w:hint="eastAsia"/>
              </w:rPr>
              <w:t xml:space="preserve">10.03%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0.13% </w:t>
            </w:r>
          </w:p>
        </w:tc>
      </w:tr>
      <w:tr w:rsidR="00133C4D">
        <w:trPr>
          <w:divId w:val="169761106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77.36%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0.18%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15.24%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rsidR="00133C4D" w:rsidRDefault="009865E7">
            <w:pPr>
              <w:spacing w:line="360" w:lineRule="auto"/>
              <w:jc w:val="right"/>
            </w:pPr>
            <w:r>
              <w:rPr>
                <w:rFonts w:ascii="宋体" w:hAnsi="宋体" w:hint="eastAsia"/>
              </w:rPr>
              <w:t xml:space="preserve">62.12%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0.07% </w:t>
            </w:r>
          </w:p>
        </w:tc>
      </w:tr>
    </w:tbl>
    <w:p w:rsidR="00133C4D" w:rsidRDefault="009865E7">
      <w:pPr>
        <w:spacing w:line="360" w:lineRule="auto"/>
        <w:jc w:val="center"/>
        <w:divId w:val="226913893"/>
      </w:pPr>
      <w:r>
        <w:rPr>
          <w:rFonts w:ascii="宋体" w:hAnsi="宋体" w:hint="eastAsia"/>
        </w:rPr>
        <w:t>摩根纯</w:t>
      </w:r>
      <w:proofErr w:type="gramStart"/>
      <w:r>
        <w:rPr>
          <w:rFonts w:ascii="宋体" w:hAnsi="宋体" w:hint="eastAsia"/>
        </w:rPr>
        <w:t>债</w:t>
      </w:r>
      <w:proofErr w:type="gramEnd"/>
      <w:r>
        <w:rPr>
          <w:rFonts w:ascii="宋体" w:hAnsi="宋体" w:hint="eastAsia"/>
        </w:rPr>
        <w:t>债券B</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133C4D">
        <w:trPr>
          <w:divId w:val="22691389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C4D" w:rsidRDefault="009865E7">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 xml:space="preserve">②－④ </w:t>
            </w:r>
          </w:p>
        </w:tc>
      </w:tr>
      <w:tr w:rsidR="00133C4D">
        <w:trPr>
          <w:divId w:val="22691389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-0.45%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-1.48%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0.14% </w:t>
            </w:r>
          </w:p>
        </w:tc>
        <w:tc>
          <w:tcPr>
            <w:tcW w:w="728" w:type="pct"/>
            <w:tcBorders>
              <w:top w:val="single" w:sz="4" w:space="0" w:color="auto"/>
              <w:left w:val="single" w:sz="4" w:space="0" w:color="auto"/>
              <w:bottom w:val="single" w:sz="4" w:space="0" w:color="auto"/>
              <w:right w:val="single" w:sz="4" w:space="0" w:color="auto"/>
            </w:tcBorders>
            <w:vAlign w:val="center"/>
            <w:hideMark/>
          </w:tcPr>
          <w:p w:rsidR="00133C4D" w:rsidRDefault="009865E7">
            <w:pPr>
              <w:spacing w:line="360" w:lineRule="auto"/>
              <w:jc w:val="right"/>
            </w:pPr>
            <w:r>
              <w:rPr>
                <w:rFonts w:ascii="宋体" w:hAnsi="宋体" w:hint="eastAsia"/>
              </w:rPr>
              <w:t xml:space="preserve">1.03%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-0.06% </w:t>
            </w:r>
          </w:p>
        </w:tc>
      </w:tr>
      <w:tr w:rsidR="00133C4D">
        <w:trPr>
          <w:divId w:val="22691389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1.43%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1.15%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0.13% </w:t>
            </w:r>
          </w:p>
        </w:tc>
        <w:tc>
          <w:tcPr>
            <w:tcW w:w="728" w:type="pct"/>
            <w:tcBorders>
              <w:top w:val="single" w:sz="4" w:space="0" w:color="auto"/>
              <w:left w:val="single" w:sz="4" w:space="0" w:color="auto"/>
              <w:bottom w:val="single" w:sz="4" w:space="0" w:color="auto"/>
              <w:right w:val="single" w:sz="4" w:space="0" w:color="auto"/>
            </w:tcBorders>
            <w:vAlign w:val="center"/>
            <w:hideMark/>
          </w:tcPr>
          <w:p w:rsidR="00133C4D" w:rsidRDefault="009865E7">
            <w:pPr>
              <w:spacing w:line="360" w:lineRule="auto"/>
              <w:jc w:val="right"/>
            </w:pPr>
            <w:r>
              <w:rPr>
                <w:rFonts w:ascii="宋体" w:hAnsi="宋体" w:hint="eastAsia"/>
              </w:rPr>
              <w:t xml:space="preserve">0.28%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-0.05% </w:t>
            </w:r>
          </w:p>
        </w:tc>
      </w:tr>
      <w:tr w:rsidR="00133C4D">
        <w:trPr>
          <w:divId w:val="22691389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3.90%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2.60%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0.12% </w:t>
            </w:r>
          </w:p>
        </w:tc>
        <w:tc>
          <w:tcPr>
            <w:tcW w:w="728" w:type="pct"/>
            <w:tcBorders>
              <w:top w:val="single" w:sz="4" w:space="0" w:color="auto"/>
              <w:left w:val="single" w:sz="4" w:space="0" w:color="auto"/>
              <w:bottom w:val="single" w:sz="4" w:space="0" w:color="auto"/>
              <w:right w:val="single" w:sz="4" w:space="0" w:color="auto"/>
            </w:tcBorders>
            <w:vAlign w:val="center"/>
            <w:hideMark/>
          </w:tcPr>
          <w:p w:rsidR="00133C4D" w:rsidRDefault="009865E7">
            <w:pPr>
              <w:spacing w:line="360" w:lineRule="auto"/>
              <w:jc w:val="right"/>
            </w:pPr>
            <w:r>
              <w:rPr>
                <w:rFonts w:ascii="宋体" w:hAnsi="宋体" w:hint="eastAsia"/>
              </w:rPr>
              <w:t xml:space="preserve">1.30%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-0.05% </w:t>
            </w:r>
          </w:p>
        </w:tc>
      </w:tr>
      <w:tr w:rsidR="00133C4D">
        <w:trPr>
          <w:divId w:val="22691389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6.24%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6.11%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0.09% </w:t>
            </w:r>
          </w:p>
        </w:tc>
        <w:tc>
          <w:tcPr>
            <w:tcW w:w="728" w:type="pct"/>
            <w:tcBorders>
              <w:top w:val="single" w:sz="4" w:space="0" w:color="auto"/>
              <w:left w:val="single" w:sz="4" w:space="0" w:color="auto"/>
              <w:bottom w:val="single" w:sz="4" w:space="0" w:color="auto"/>
              <w:right w:val="single" w:sz="4" w:space="0" w:color="auto"/>
            </w:tcBorders>
            <w:vAlign w:val="center"/>
            <w:hideMark/>
          </w:tcPr>
          <w:p w:rsidR="00133C4D" w:rsidRDefault="009865E7">
            <w:pPr>
              <w:spacing w:line="360" w:lineRule="auto"/>
              <w:jc w:val="right"/>
            </w:pPr>
            <w:r>
              <w:rPr>
                <w:rFonts w:ascii="宋体" w:hAnsi="宋体" w:hint="eastAsia"/>
              </w:rPr>
              <w:t xml:space="preserve">0.13%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0.02% </w:t>
            </w:r>
          </w:p>
        </w:tc>
      </w:tr>
      <w:tr w:rsidR="00133C4D">
        <w:trPr>
          <w:divId w:val="22691389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13.64%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0.23%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5.32%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rsidR="00133C4D" w:rsidRDefault="009865E7">
            <w:pPr>
              <w:spacing w:line="360" w:lineRule="auto"/>
              <w:jc w:val="right"/>
            </w:pPr>
            <w:r>
              <w:rPr>
                <w:rFonts w:ascii="宋体" w:hAnsi="宋体" w:hint="eastAsia"/>
              </w:rPr>
              <w:t xml:space="preserve">8.32%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0.13% </w:t>
            </w:r>
          </w:p>
        </w:tc>
      </w:tr>
      <w:tr w:rsidR="00133C4D">
        <w:trPr>
          <w:divId w:val="22691389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67.45%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0.18%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15.24%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rsidR="00133C4D" w:rsidRDefault="009865E7">
            <w:pPr>
              <w:spacing w:line="360" w:lineRule="auto"/>
              <w:jc w:val="right"/>
            </w:pPr>
            <w:r>
              <w:rPr>
                <w:rFonts w:ascii="宋体" w:hAnsi="宋体" w:hint="eastAsia"/>
              </w:rPr>
              <w:t xml:space="preserve">52.21%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0.07% </w:t>
            </w:r>
          </w:p>
        </w:tc>
      </w:tr>
    </w:tbl>
    <w:p w:rsidR="00133C4D" w:rsidRDefault="009865E7">
      <w:pPr>
        <w:spacing w:line="360" w:lineRule="auto"/>
        <w:jc w:val="center"/>
        <w:divId w:val="838082990"/>
      </w:pPr>
      <w:r>
        <w:rPr>
          <w:rFonts w:ascii="宋体" w:hAnsi="宋体" w:hint="eastAsia"/>
        </w:rPr>
        <w:t>摩根纯</w:t>
      </w:r>
      <w:proofErr w:type="gramStart"/>
      <w:r>
        <w:rPr>
          <w:rFonts w:ascii="宋体" w:hAnsi="宋体" w:hint="eastAsia"/>
        </w:rPr>
        <w:t>债</w:t>
      </w:r>
      <w:proofErr w:type="gramEnd"/>
      <w:r>
        <w:rPr>
          <w:rFonts w:ascii="宋体" w:hAnsi="宋体" w:hint="eastAsia"/>
        </w:rPr>
        <w:t>债券D</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133C4D">
        <w:trPr>
          <w:divId w:val="83808299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净值增长率</w:t>
            </w:r>
            <w:r>
              <w:rPr>
                <w:rFonts w:ascii="宋体" w:hAnsi="宋体" w:hint="eastAsia"/>
              </w:rPr>
              <w:lastRenderedPageBreak/>
              <w:t xml:space="preserve">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lastRenderedPageBreak/>
              <w:t>业绩比较基</w:t>
            </w:r>
            <w:r>
              <w:rPr>
                <w:rFonts w:ascii="宋体" w:hAnsi="宋体" w:hint="eastAsia"/>
              </w:rPr>
              <w:lastRenderedPageBreak/>
              <w:t xml:space="preserve">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lastRenderedPageBreak/>
              <w:t>业绩比较基</w:t>
            </w:r>
            <w:r>
              <w:rPr>
                <w:rFonts w:ascii="宋体" w:hAnsi="宋体" w:hint="eastAsia"/>
              </w:rPr>
              <w:lastRenderedPageBreak/>
              <w:t xml:space="preserve">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C4D" w:rsidRDefault="009865E7">
            <w:pPr>
              <w:spacing w:line="360" w:lineRule="auto"/>
              <w:jc w:val="center"/>
            </w:pPr>
            <w:r>
              <w:rPr>
                <w:rFonts w:ascii="宋体" w:hAnsi="宋体" w:hint="eastAsia"/>
              </w:rPr>
              <w:lastRenderedPageBreak/>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 xml:space="preserve">②－④ </w:t>
            </w:r>
          </w:p>
        </w:tc>
      </w:tr>
      <w:tr w:rsidR="00133C4D">
        <w:trPr>
          <w:divId w:val="83808299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-0.46%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-1.48%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0.14% </w:t>
            </w:r>
          </w:p>
        </w:tc>
        <w:tc>
          <w:tcPr>
            <w:tcW w:w="728" w:type="pct"/>
            <w:tcBorders>
              <w:top w:val="single" w:sz="4" w:space="0" w:color="auto"/>
              <w:left w:val="single" w:sz="4" w:space="0" w:color="auto"/>
              <w:bottom w:val="single" w:sz="4" w:space="0" w:color="auto"/>
              <w:right w:val="single" w:sz="4" w:space="0" w:color="auto"/>
            </w:tcBorders>
            <w:vAlign w:val="center"/>
            <w:hideMark/>
          </w:tcPr>
          <w:p w:rsidR="00133C4D" w:rsidRDefault="009865E7">
            <w:pPr>
              <w:spacing w:line="360" w:lineRule="auto"/>
              <w:jc w:val="right"/>
            </w:pPr>
            <w:r>
              <w:rPr>
                <w:rFonts w:ascii="宋体" w:hAnsi="宋体" w:hint="eastAsia"/>
              </w:rPr>
              <w:t xml:space="preserve">1.02%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-0.06% </w:t>
            </w:r>
          </w:p>
        </w:tc>
      </w:tr>
      <w:tr w:rsidR="00133C4D">
        <w:trPr>
          <w:divId w:val="83808299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1.21%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0.13% </w:t>
            </w:r>
          </w:p>
        </w:tc>
        <w:tc>
          <w:tcPr>
            <w:tcW w:w="728" w:type="pct"/>
            <w:tcBorders>
              <w:top w:val="single" w:sz="4" w:space="0" w:color="auto"/>
              <w:left w:val="single" w:sz="4" w:space="0" w:color="auto"/>
              <w:bottom w:val="single" w:sz="4" w:space="0" w:color="auto"/>
              <w:right w:val="single" w:sz="4" w:space="0" w:color="auto"/>
            </w:tcBorders>
            <w:vAlign w:val="center"/>
            <w:hideMark/>
          </w:tcPr>
          <w:p w:rsidR="00133C4D" w:rsidRDefault="009865E7">
            <w:pPr>
              <w:spacing w:line="360" w:lineRule="auto"/>
              <w:jc w:val="right"/>
            </w:pPr>
            <w:r>
              <w:rPr>
                <w:rFonts w:ascii="宋体" w:hAnsi="宋体" w:hint="eastAsia"/>
              </w:rPr>
              <w:t xml:space="preserve">0.42%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 xml:space="preserve">-0.05% </w:t>
            </w:r>
          </w:p>
        </w:tc>
      </w:tr>
    </w:tbl>
    <w:p w:rsidR="00133C4D" w:rsidRDefault="009865E7">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rsidR="00133C4D" w:rsidRDefault="009865E7">
      <w:pPr>
        <w:spacing w:line="360" w:lineRule="auto"/>
        <w:jc w:val="left"/>
        <w:divId w:val="2086107794"/>
      </w:pPr>
      <w:bookmarkStart w:id="70" w:name="m07_04_07_09"/>
      <w:bookmarkStart w:id="71" w:name="m07_04_07_09_tab"/>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133C4D" w:rsidRDefault="009865E7">
      <w:pPr>
        <w:spacing w:line="360" w:lineRule="auto"/>
        <w:jc w:val="left"/>
        <w:divId w:val="1741825663"/>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133C4D" w:rsidRDefault="009865E7">
      <w:pPr>
        <w:spacing w:line="360" w:lineRule="auto"/>
        <w:jc w:val="left"/>
        <w:divId w:val="1689988167"/>
      </w:pPr>
      <w:r>
        <w:rPr>
          <w:rFonts w:ascii="宋体" w:hAnsi="宋体"/>
          <w:noProof/>
        </w:rPr>
        <w:lastRenderedPageBreak/>
        <w:drawing>
          <wp:inline distT="0" distB="0" distL="0" distR="0">
            <wp:extent cx="5229225" cy="30099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133C4D" w:rsidRDefault="009865E7">
      <w:pPr>
        <w:spacing w:line="360" w:lineRule="auto"/>
      </w:pPr>
      <w:r>
        <w:rPr>
          <w:rFonts w:ascii="宋体" w:hAnsi="宋体" w:hint="eastAsia"/>
        </w:rPr>
        <w:t>注：</w:t>
      </w:r>
      <w:r>
        <w:rPr>
          <w:rFonts w:ascii="宋体" w:hAnsi="宋体" w:hint="eastAsia"/>
          <w:lang w:eastAsia="zh-Hans"/>
        </w:rPr>
        <w:t>本基金合同生效日为2009年6月24日，图示的时间段为合同生效日至本报告期末。</w:t>
      </w:r>
      <w:r>
        <w:rPr>
          <w:rFonts w:ascii="宋体" w:hAnsi="宋体" w:hint="eastAsia"/>
          <w:lang w:eastAsia="zh-Hans"/>
        </w:rPr>
        <w:br/>
        <w:t xml:space="preserve">　　本基金自 2024年10月14日起增加D类份额，相关数据按实际存续期计算。</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rsidR="00133C4D" w:rsidRDefault="009865E7">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rsidR="00133C4D" w:rsidRDefault="009865E7">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133C4D">
        <w:trPr>
          <w:divId w:val="65347773"/>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C4D" w:rsidRDefault="009865E7">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C4D" w:rsidRDefault="009865E7">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C4D" w:rsidRDefault="009865E7">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C4D" w:rsidRDefault="009865E7">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C4D" w:rsidRDefault="009865E7">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133C4D">
        <w:trPr>
          <w:divId w:val="65347773"/>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3C4D" w:rsidRDefault="00133C4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3C4D" w:rsidRDefault="00133C4D">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C4D" w:rsidRDefault="009865E7">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C4D" w:rsidRDefault="009865E7">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3C4D" w:rsidRDefault="00133C4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3C4D" w:rsidRDefault="00133C4D">
            <w:pPr>
              <w:widowControl/>
              <w:jc w:val="left"/>
            </w:pPr>
          </w:p>
        </w:tc>
      </w:tr>
      <w:tr w:rsidR="00133C4D">
        <w:trPr>
          <w:divId w:val="65347773"/>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szCs w:val="24"/>
                <w:lang w:eastAsia="zh-Hans"/>
              </w:rPr>
              <w:t>周梦婕</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szCs w:val="24"/>
                <w:lang w:eastAsia="zh-Hans"/>
              </w:rPr>
              <w:t>2022年8月26日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szCs w:val="24"/>
                <w:lang w:eastAsia="zh-Hans"/>
              </w:rPr>
              <w:t>13年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left"/>
            </w:pPr>
            <w:r>
              <w:rPr>
                <w:rFonts w:ascii="宋体" w:hAnsi="宋体" w:hint="eastAsia"/>
                <w:szCs w:val="24"/>
                <w:lang w:eastAsia="zh-Hans"/>
              </w:rPr>
              <w:t>周梦婕女士曾任东方证券资产管理有限公司产品经理，长江证券股份有限公司投资经理助理，长江证券(上海)资产管理公司固定收益研究员、交易员，中海基金管理有限公司担任基金经理助理、基金经理。2021年10月加入摩根基金管理(中国)有限公司(原上投摩根基金管理有限公司)，现任基金经理。</w:t>
            </w:r>
          </w:p>
        </w:tc>
      </w:tr>
      <w:tr w:rsidR="00133C4D">
        <w:trPr>
          <w:divId w:val="65347773"/>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szCs w:val="24"/>
                <w:lang w:eastAsia="zh-Hans"/>
              </w:rPr>
              <w:t>张一格</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left"/>
            </w:pPr>
            <w:r>
              <w:rPr>
                <w:rFonts w:ascii="宋体" w:hAnsi="宋体" w:hint="eastAsia"/>
                <w:szCs w:val="24"/>
                <w:lang w:eastAsia="zh-Hans"/>
              </w:rPr>
              <w:t>本基金基金经理、总经理助理兼债券投资总监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szCs w:val="24"/>
                <w:lang w:eastAsia="zh-Hans"/>
              </w:rPr>
              <w:t>2024年5月31日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szCs w:val="24"/>
                <w:lang w:eastAsia="zh-Hans"/>
              </w:rPr>
              <w:t>19年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left"/>
            </w:pPr>
            <w:r>
              <w:rPr>
                <w:rFonts w:ascii="宋体" w:hAnsi="宋体" w:hint="eastAsia"/>
                <w:szCs w:val="24"/>
                <w:lang w:eastAsia="zh-Hans"/>
              </w:rPr>
              <w:t>张一格先生曾任兴业银行资金营运中心投资经理,国泰基金管理有限公司基金经理，融通基金管理有限公司固收投资总监、基金经理；自2023年9月加入摩根基金管理(中国)有限公司(原上投摩根基金管理有限公司)，现任总经理助理兼债券投资总监。</w:t>
            </w:r>
          </w:p>
        </w:tc>
      </w:tr>
    </w:tbl>
    <w:p w:rsidR="00133C4D" w:rsidRDefault="009865E7">
      <w:pPr>
        <w:wordWrap w:val="0"/>
        <w:spacing w:line="360" w:lineRule="auto"/>
        <w:jc w:val="left"/>
        <w:divId w:val="53043061"/>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w:t>
      </w:r>
      <w:r>
        <w:rPr>
          <w:rFonts w:ascii="宋体" w:hAnsi="宋体" w:hint="eastAsia"/>
          <w:szCs w:val="21"/>
        </w:rPr>
        <w:lastRenderedPageBreak/>
        <w:t>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133C4D" w:rsidRDefault="009865E7">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rsidR="00133C4D" w:rsidRDefault="009865E7">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rsidR="00133C4D" w:rsidRDefault="009865E7">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rsidR="00133C4D" w:rsidRDefault="009865E7">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rsidR="00133C4D" w:rsidRDefault="009865E7">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133C4D" w:rsidRDefault="009865E7">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rsidR="00133C4D" w:rsidRDefault="009865E7">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133C4D" w:rsidRDefault="009865E7">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rsidR="00133C4D" w:rsidRDefault="009865E7">
      <w:pPr>
        <w:spacing w:line="360" w:lineRule="auto"/>
        <w:ind w:firstLineChars="200" w:firstLine="420"/>
        <w:jc w:val="left"/>
      </w:pPr>
      <w:r>
        <w:rPr>
          <w:rFonts w:ascii="宋体" w:hAnsi="宋体" w:cs="宋体" w:hint="eastAsia"/>
          <w:color w:val="000000"/>
          <w:kern w:val="0"/>
        </w:rPr>
        <w:t>2025年一季度海外基本面方面，美国延续贸易保护政策，多次增加关税，海外市场指数多</w:t>
      </w:r>
      <w:r>
        <w:rPr>
          <w:rFonts w:ascii="宋体" w:hAnsi="宋体" w:cs="宋体" w:hint="eastAsia"/>
          <w:color w:val="000000"/>
          <w:kern w:val="0"/>
        </w:rPr>
        <w:lastRenderedPageBreak/>
        <w:t>数下跌。国内基本面方面，经济维持稳步修复的状态，地产成交数据表现良好，基建增速回升，</w:t>
      </w:r>
      <w:proofErr w:type="spellStart"/>
      <w:r>
        <w:rPr>
          <w:rFonts w:ascii="宋体" w:hAnsi="宋体" w:cs="宋体" w:hint="eastAsia"/>
          <w:color w:val="000000"/>
          <w:kern w:val="0"/>
        </w:rPr>
        <w:t>Deepseek</w:t>
      </w:r>
      <w:proofErr w:type="spellEnd"/>
      <w:r>
        <w:rPr>
          <w:rFonts w:ascii="宋体" w:hAnsi="宋体" w:cs="宋体" w:hint="eastAsia"/>
          <w:color w:val="000000"/>
          <w:kern w:val="0"/>
        </w:rPr>
        <w:t>的出圈带动互联网资产价值重估，新兴产业表现是春节以来的亮点。</w:t>
      </w:r>
      <w:r>
        <w:rPr>
          <w:rFonts w:ascii="宋体" w:hAnsi="宋体" w:cs="宋体" w:hint="eastAsia"/>
          <w:color w:val="000000"/>
          <w:kern w:val="0"/>
        </w:rPr>
        <w:br/>
        <w:t xml:space="preserve">　　2025年一季度货币政策方面，政策层面依旧维持适度宽松的表态，既要支持实体经济，也要注重防风险，资金维持紧平衡的局面。一季度债券市场处于震荡状态，消化2024年Q4较为一致的利率预期带来的利率下行走势，长债收益率适度回升，缓解因利率过低导致的银行倒挂压力较大的风险。</w:t>
      </w:r>
      <w:r>
        <w:rPr>
          <w:rFonts w:ascii="宋体" w:hAnsi="宋体" w:cs="宋体" w:hint="eastAsia"/>
          <w:color w:val="000000"/>
          <w:kern w:val="0"/>
        </w:rPr>
        <w:br/>
        <w:t xml:space="preserve">　　本基金在 2025年一季度保持均衡配置，投资组合保持流动性充足。</w:t>
      </w:r>
      <w:r>
        <w:rPr>
          <w:rFonts w:ascii="宋体" w:hAnsi="宋体" w:cs="宋体" w:hint="eastAsia"/>
          <w:color w:val="000000"/>
          <w:kern w:val="0"/>
        </w:rPr>
        <w:br/>
        <w:t xml:space="preserve">　　展望后市，若贸易摩擦升级，国内基本面环境的不确定性进一步增加，未来1-2个季度国内增量内需政策出台概率上升，未来一段时间货币宽松预期难以证伪，2025年第二季度境内利率或进一步下行。</w:t>
      </w:r>
    </w:p>
    <w:p w:rsidR="00133C4D" w:rsidRDefault="009865E7">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rsidR="00133C4D" w:rsidRDefault="009865E7">
      <w:pPr>
        <w:spacing w:line="360" w:lineRule="auto"/>
        <w:ind w:firstLineChars="200" w:firstLine="420"/>
      </w:pPr>
      <w:r>
        <w:rPr>
          <w:rFonts w:ascii="宋体" w:hAnsi="宋体" w:hint="eastAsia"/>
        </w:rPr>
        <w:t>本报告期摩根纯</w:t>
      </w:r>
      <w:proofErr w:type="gramStart"/>
      <w:r>
        <w:rPr>
          <w:rFonts w:ascii="宋体" w:hAnsi="宋体" w:hint="eastAsia"/>
        </w:rPr>
        <w:t>债</w:t>
      </w:r>
      <w:proofErr w:type="gramEnd"/>
      <w:r>
        <w:rPr>
          <w:rFonts w:ascii="宋体" w:hAnsi="宋体" w:hint="eastAsia"/>
        </w:rPr>
        <w:t>债券A份额净值增长率为：-0.44%，同期业绩比较基准收益率为：-1.48%；</w:t>
      </w:r>
      <w:r>
        <w:rPr>
          <w:rFonts w:ascii="宋体" w:hAnsi="宋体" w:hint="eastAsia"/>
        </w:rPr>
        <w:br/>
        <w:t xml:space="preserve">　　摩根纯</w:t>
      </w:r>
      <w:proofErr w:type="gramStart"/>
      <w:r>
        <w:rPr>
          <w:rFonts w:ascii="宋体" w:hAnsi="宋体" w:hint="eastAsia"/>
        </w:rPr>
        <w:t>债</w:t>
      </w:r>
      <w:proofErr w:type="gramEnd"/>
      <w:r>
        <w:rPr>
          <w:rFonts w:ascii="宋体" w:hAnsi="宋体" w:hint="eastAsia"/>
        </w:rPr>
        <w:t>债券B份额净值增长率为：-0.45%，同期业绩比较基准收益率为：-1.48%；</w:t>
      </w:r>
      <w:r>
        <w:rPr>
          <w:rFonts w:ascii="宋体" w:hAnsi="宋体" w:hint="eastAsia"/>
        </w:rPr>
        <w:br/>
        <w:t xml:space="preserve">　　摩根纯</w:t>
      </w:r>
      <w:proofErr w:type="gramStart"/>
      <w:r>
        <w:rPr>
          <w:rFonts w:ascii="宋体" w:hAnsi="宋体" w:hint="eastAsia"/>
        </w:rPr>
        <w:t>债</w:t>
      </w:r>
      <w:proofErr w:type="gramEnd"/>
      <w:r>
        <w:rPr>
          <w:rFonts w:ascii="宋体" w:hAnsi="宋体" w:hint="eastAsia"/>
        </w:rPr>
        <w:t>债券D份额净值增长率为：-0.46%，同期业绩比较基准收益率为：-1.48%。</w:t>
      </w:r>
    </w:p>
    <w:p w:rsidR="00133C4D" w:rsidRDefault="009865E7">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rsidR="00133C4D" w:rsidRDefault="009865E7">
      <w:pPr>
        <w:spacing w:line="360" w:lineRule="auto"/>
        <w:ind w:firstLineChars="200" w:firstLine="420"/>
        <w:jc w:val="left"/>
      </w:pPr>
      <w:r>
        <w:rPr>
          <w:rFonts w:ascii="宋体" w:hAnsi="宋体" w:hint="eastAsia"/>
        </w:rPr>
        <w:t>无。</w:t>
      </w:r>
    </w:p>
    <w:p w:rsidR="00133C4D" w:rsidRDefault="009865E7">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rsidR="00133C4D" w:rsidRDefault="009865E7">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133C4D">
        <w:trPr>
          <w:divId w:val="88934546"/>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3C4D" w:rsidRDefault="009865E7">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133C4D" w:rsidRDefault="009865E7">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133C4D" w:rsidRDefault="009865E7">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133C4D" w:rsidRDefault="009865E7">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133C4D">
        <w:trPr>
          <w:divId w:val="889345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133C4D" w:rsidRDefault="009865E7">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r>
      <w:tr w:rsidR="00133C4D">
        <w:trPr>
          <w:divId w:val="889345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133C4D" w:rsidRDefault="009865E7">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r>
      <w:tr w:rsidR="00133C4D">
        <w:trPr>
          <w:divId w:val="889345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133C4D" w:rsidRDefault="009865E7">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r>
      <w:tr w:rsidR="00133C4D">
        <w:trPr>
          <w:divId w:val="889345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133C4D" w:rsidRDefault="009865E7">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1,876,621,678.05</w:t>
            </w:r>
          </w:p>
        </w:tc>
        <w:tc>
          <w:tcPr>
            <w:tcW w:w="1333"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75.11</w:t>
            </w:r>
          </w:p>
        </w:tc>
      </w:tr>
      <w:tr w:rsidR="00133C4D">
        <w:trPr>
          <w:divId w:val="889345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133C4D" w:rsidRDefault="009865E7">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1,876,621,678.05</w:t>
            </w:r>
          </w:p>
        </w:tc>
        <w:tc>
          <w:tcPr>
            <w:tcW w:w="1333"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75.11</w:t>
            </w:r>
          </w:p>
        </w:tc>
      </w:tr>
      <w:tr w:rsidR="00133C4D">
        <w:trPr>
          <w:divId w:val="889345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133C4D" w:rsidRDefault="009865E7">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r>
      <w:tr w:rsidR="00133C4D">
        <w:trPr>
          <w:divId w:val="889345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133C4D" w:rsidRDefault="009865E7">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r>
      <w:tr w:rsidR="00133C4D">
        <w:trPr>
          <w:divId w:val="889345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133C4D" w:rsidRDefault="009865E7">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r>
      <w:tr w:rsidR="00133C4D">
        <w:trPr>
          <w:divId w:val="889345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133C4D" w:rsidRDefault="009865E7">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589,581,863.02</w:t>
            </w:r>
          </w:p>
        </w:tc>
        <w:tc>
          <w:tcPr>
            <w:tcW w:w="1333"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23.60</w:t>
            </w:r>
          </w:p>
        </w:tc>
      </w:tr>
      <w:tr w:rsidR="00133C4D">
        <w:trPr>
          <w:divId w:val="889345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133C4D" w:rsidRDefault="009865E7">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r>
      <w:tr w:rsidR="00133C4D">
        <w:trPr>
          <w:divId w:val="889345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133C4D" w:rsidRDefault="009865E7">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32,108,507.07</w:t>
            </w:r>
          </w:p>
        </w:tc>
        <w:tc>
          <w:tcPr>
            <w:tcW w:w="1333"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1.29</w:t>
            </w:r>
          </w:p>
        </w:tc>
      </w:tr>
      <w:tr w:rsidR="00133C4D">
        <w:trPr>
          <w:divId w:val="889345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133C4D" w:rsidRDefault="009865E7">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137,888.43</w:t>
            </w:r>
          </w:p>
        </w:tc>
        <w:tc>
          <w:tcPr>
            <w:tcW w:w="1333"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0.01</w:t>
            </w:r>
          </w:p>
        </w:tc>
      </w:tr>
      <w:tr w:rsidR="00133C4D">
        <w:trPr>
          <w:divId w:val="889345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color w:val="000000"/>
                <w:lang w:eastAsia="zh-Hans"/>
              </w:rPr>
              <w:lastRenderedPageBreak/>
              <w:t>9</w:t>
            </w:r>
          </w:p>
        </w:tc>
        <w:tc>
          <w:tcPr>
            <w:tcW w:w="1979" w:type="pct"/>
            <w:tcBorders>
              <w:top w:val="single" w:sz="4" w:space="0" w:color="auto"/>
              <w:left w:val="nil"/>
              <w:bottom w:val="single" w:sz="4" w:space="0" w:color="auto"/>
              <w:right w:val="single" w:sz="4" w:space="0" w:color="auto"/>
            </w:tcBorders>
            <w:vAlign w:val="center"/>
            <w:hideMark/>
          </w:tcPr>
          <w:p w:rsidR="00133C4D" w:rsidRDefault="009865E7">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2,498,449,936.57</w:t>
            </w:r>
          </w:p>
        </w:tc>
        <w:tc>
          <w:tcPr>
            <w:tcW w:w="1333" w:type="pct"/>
            <w:tcBorders>
              <w:top w:val="single" w:sz="4" w:space="0" w:color="auto"/>
              <w:left w:val="nil"/>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100.00</w:t>
            </w:r>
          </w:p>
        </w:tc>
      </w:tr>
    </w:tbl>
    <w:p w:rsidR="00133C4D" w:rsidRDefault="009865E7">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rsidR="00133C4D" w:rsidRDefault="009865E7">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p w:rsidR="00133C4D" w:rsidRDefault="009865E7">
      <w:pPr>
        <w:spacing w:line="360" w:lineRule="auto"/>
        <w:ind w:firstLineChars="200" w:firstLine="420"/>
        <w:divId w:val="39521427"/>
      </w:pPr>
      <w:r>
        <w:rPr>
          <w:rFonts w:ascii="宋体" w:hAnsi="宋体" w:hint="eastAsia"/>
          <w:szCs w:val="21"/>
          <w:lang w:eastAsia="zh-Hans"/>
        </w:rPr>
        <w:t>本基金本报告期末未持有境内股票。</w:t>
      </w:r>
    </w:p>
    <w:p w:rsidR="00133C4D" w:rsidRDefault="009865E7">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rsidR="00133C4D" w:rsidRDefault="009865E7">
      <w:pPr>
        <w:spacing w:line="360" w:lineRule="auto"/>
        <w:ind w:firstLineChars="200" w:firstLine="420"/>
        <w:divId w:val="2126264308"/>
      </w:pPr>
      <w:r>
        <w:rPr>
          <w:rFonts w:ascii="宋体" w:hAnsi="宋体" w:hint="eastAsia"/>
          <w:szCs w:val="21"/>
          <w:lang w:eastAsia="zh-Hans"/>
        </w:rPr>
        <w:t>本基金本报告期末未持有港股通股票 。</w:t>
      </w:r>
    </w:p>
    <w:p w:rsidR="00133C4D" w:rsidRDefault="009865E7">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rsidR="00133C4D" w:rsidRDefault="009865E7">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p w:rsidR="00133C4D" w:rsidRDefault="009865E7">
      <w:pPr>
        <w:spacing w:line="360" w:lineRule="auto"/>
        <w:ind w:firstLineChars="200" w:firstLine="420"/>
        <w:jc w:val="left"/>
      </w:pPr>
      <w:r>
        <w:rPr>
          <w:rFonts w:ascii="宋体" w:hAnsi="宋体" w:hint="eastAsia"/>
          <w:color w:val="000000"/>
          <w:szCs w:val="21"/>
          <w:lang w:eastAsia="zh-Hans"/>
        </w:rPr>
        <w:t>本基金本报告期末未持有股票。</w:t>
      </w:r>
    </w:p>
    <w:p w:rsidR="00133C4D" w:rsidRDefault="009865E7">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133C4D">
        <w:trPr>
          <w:divId w:val="536086518"/>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3C4D" w:rsidRDefault="009865E7">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3C4D" w:rsidRDefault="009865E7">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3C4D" w:rsidRDefault="009865E7">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3C4D" w:rsidRDefault="009865E7">
            <w:pPr>
              <w:jc w:val="center"/>
            </w:pPr>
            <w:r>
              <w:rPr>
                <w:rFonts w:ascii="宋体" w:hAnsi="宋体" w:hint="eastAsia"/>
                <w:color w:val="000000"/>
              </w:rPr>
              <w:t xml:space="preserve">占基金资产净值比例（%） </w:t>
            </w:r>
          </w:p>
        </w:tc>
      </w:tr>
      <w:tr w:rsidR="00133C4D">
        <w:trPr>
          <w:divId w:val="53608651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rsidR="00133C4D" w:rsidRDefault="009865E7">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511,084,732.84</w:t>
            </w:r>
          </w:p>
        </w:tc>
        <w:tc>
          <w:tcPr>
            <w:tcW w:w="1932"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20.48</w:t>
            </w:r>
          </w:p>
        </w:tc>
      </w:tr>
      <w:tr w:rsidR="00133C4D">
        <w:trPr>
          <w:divId w:val="53608651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rsidR="00133C4D" w:rsidRDefault="009865E7">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r>
      <w:tr w:rsidR="00133C4D">
        <w:trPr>
          <w:divId w:val="53608651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rsidR="00133C4D" w:rsidRDefault="009865E7">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1,365,536,945.21</w:t>
            </w:r>
          </w:p>
        </w:tc>
        <w:tc>
          <w:tcPr>
            <w:tcW w:w="1932"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54.71</w:t>
            </w:r>
          </w:p>
        </w:tc>
      </w:tr>
      <w:tr w:rsidR="00133C4D">
        <w:trPr>
          <w:divId w:val="53608651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rsidR="00133C4D" w:rsidRDefault="009865E7">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1,365,536,945.21</w:t>
            </w:r>
          </w:p>
        </w:tc>
        <w:tc>
          <w:tcPr>
            <w:tcW w:w="1932"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54.71</w:t>
            </w:r>
          </w:p>
        </w:tc>
      </w:tr>
      <w:tr w:rsidR="00133C4D">
        <w:trPr>
          <w:divId w:val="53608651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rsidR="00133C4D" w:rsidRDefault="009865E7">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r>
      <w:tr w:rsidR="00133C4D">
        <w:trPr>
          <w:divId w:val="53608651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rsidR="00133C4D" w:rsidRDefault="009865E7">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r>
      <w:tr w:rsidR="00133C4D">
        <w:trPr>
          <w:divId w:val="53608651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rsidR="00133C4D" w:rsidRDefault="009865E7">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r>
      <w:tr w:rsidR="00133C4D">
        <w:trPr>
          <w:divId w:val="53608651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rsidR="00133C4D" w:rsidRDefault="009865E7">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r>
      <w:tr w:rsidR="00133C4D">
        <w:trPr>
          <w:divId w:val="53608651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rsidR="00133C4D" w:rsidRDefault="009865E7">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r>
      <w:tr w:rsidR="00133C4D">
        <w:trPr>
          <w:divId w:val="53608651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rsidR="00133C4D" w:rsidRDefault="009865E7">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w:t>
            </w:r>
          </w:p>
        </w:tc>
      </w:tr>
      <w:tr w:rsidR="00133C4D">
        <w:trPr>
          <w:divId w:val="53608651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rsidR="00133C4D" w:rsidRDefault="009865E7">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1,876,621,678.05</w:t>
            </w:r>
          </w:p>
        </w:tc>
        <w:tc>
          <w:tcPr>
            <w:tcW w:w="1932" w:type="pct"/>
            <w:tcBorders>
              <w:top w:val="single" w:sz="4" w:space="0" w:color="auto"/>
              <w:left w:val="single" w:sz="4" w:space="0" w:color="auto"/>
              <w:bottom w:val="single" w:sz="4" w:space="0" w:color="auto"/>
              <w:right w:val="single" w:sz="4" w:space="0" w:color="auto"/>
            </w:tcBorders>
            <w:vAlign w:val="center"/>
            <w:hideMark/>
          </w:tcPr>
          <w:p w:rsidR="00133C4D" w:rsidRDefault="009865E7">
            <w:pPr>
              <w:jc w:val="right"/>
            </w:pPr>
            <w:r>
              <w:rPr>
                <w:rFonts w:ascii="宋体" w:hAnsi="宋体" w:hint="eastAsia"/>
                <w:szCs w:val="24"/>
                <w:lang w:eastAsia="zh-Hans"/>
              </w:rPr>
              <w:t>75.18</w:t>
            </w:r>
          </w:p>
        </w:tc>
      </w:tr>
    </w:tbl>
    <w:p w:rsidR="00133C4D" w:rsidRDefault="009865E7">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proofErr w:type="spellStart"/>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133C4D">
        <w:trPr>
          <w:divId w:val="875434620"/>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3C4D" w:rsidRDefault="009865E7">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3C4D" w:rsidRDefault="009865E7">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3C4D" w:rsidRDefault="009865E7">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3C4D" w:rsidRDefault="009865E7">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3C4D" w:rsidRDefault="009865E7">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3C4D" w:rsidRDefault="009865E7">
            <w:pPr>
              <w:jc w:val="center"/>
            </w:pPr>
            <w:r>
              <w:rPr>
                <w:rFonts w:ascii="宋体" w:hAnsi="宋体" w:hint="eastAsia"/>
                <w:color w:val="000000"/>
              </w:rPr>
              <w:t xml:space="preserve">占基金资产净值比例（%） </w:t>
            </w:r>
          </w:p>
        </w:tc>
      </w:tr>
      <w:tr w:rsidR="00133C4D">
        <w:trPr>
          <w:divId w:val="87543462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szCs w:val="24"/>
                <w:lang w:eastAsia="zh-Hans"/>
              </w:rPr>
              <w:t>240011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szCs w:val="24"/>
                <w:lang w:eastAsia="zh-Hans"/>
              </w:rPr>
              <w:t>24附息国债11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szCs w:val="24"/>
                <w:lang w:eastAsia="zh-Hans"/>
              </w:rPr>
              <w:t>2,600,000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szCs w:val="24"/>
                <w:lang w:eastAsia="zh-Hans"/>
              </w:rPr>
              <w:t>272,236,591.16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szCs w:val="24"/>
                <w:lang w:eastAsia="zh-Hans"/>
              </w:rPr>
              <w:t>10.91</w:t>
            </w:r>
          </w:p>
        </w:tc>
      </w:tr>
      <w:tr w:rsidR="00133C4D">
        <w:trPr>
          <w:divId w:val="87543462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szCs w:val="24"/>
                <w:lang w:eastAsia="zh-Hans"/>
              </w:rPr>
              <w:t>09240202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szCs w:val="24"/>
                <w:lang w:eastAsia="zh-Hans"/>
              </w:rPr>
              <w:t>24国开清发02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szCs w:val="24"/>
                <w:lang w:eastAsia="zh-Hans"/>
              </w:rPr>
              <w:t>2,500,000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szCs w:val="24"/>
                <w:lang w:eastAsia="zh-Hans"/>
              </w:rPr>
              <w:t>256,199,315.07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szCs w:val="24"/>
                <w:lang w:eastAsia="zh-Hans"/>
              </w:rPr>
              <w:t>10.26</w:t>
            </w:r>
          </w:p>
        </w:tc>
      </w:tr>
      <w:tr w:rsidR="00133C4D">
        <w:trPr>
          <w:divId w:val="87543462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szCs w:val="24"/>
                <w:lang w:eastAsia="zh-Hans"/>
              </w:rPr>
              <w:t>230208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szCs w:val="24"/>
                <w:lang w:eastAsia="zh-Hans"/>
              </w:rPr>
              <w:t>23国开08</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szCs w:val="24"/>
                <w:lang w:eastAsia="zh-Hans"/>
              </w:rPr>
              <w:t>2,000,000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szCs w:val="24"/>
                <w:lang w:eastAsia="zh-Hans"/>
              </w:rPr>
              <w:t>209,174,356.16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szCs w:val="24"/>
                <w:lang w:eastAsia="zh-Hans"/>
              </w:rPr>
              <w:t>8.38</w:t>
            </w:r>
          </w:p>
        </w:tc>
      </w:tr>
      <w:tr w:rsidR="00133C4D">
        <w:trPr>
          <w:divId w:val="87543462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szCs w:val="24"/>
                <w:lang w:eastAsia="zh-Hans"/>
              </w:rPr>
              <w:t>220203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szCs w:val="24"/>
                <w:lang w:eastAsia="zh-Hans"/>
              </w:rPr>
              <w:t>22国开03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szCs w:val="24"/>
                <w:lang w:eastAsia="zh-Hans"/>
              </w:rPr>
              <w:t>1,600,000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szCs w:val="24"/>
                <w:lang w:eastAsia="zh-Hans"/>
              </w:rPr>
              <w:t>163,250,191.78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szCs w:val="24"/>
                <w:lang w:eastAsia="zh-Hans"/>
              </w:rPr>
              <w:t>6.54</w:t>
            </w:r>
          </w:p>
        </w:tc>
      </w:tr>
      <w:tr w:rsidR="00133C4D">
        <w:trPr>
          <w:divId w:val="87543462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szCs w:val="24"/>
                <w:lang w:eastAsia="zh-Hans"/>
              </w:rPr>
              <w:t>230405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szCs w:val="24"/>
                <w:lang w:eastAsia="zh-Hans"/>
              </w:rPr>
              <w:t>23农发05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szCs w:val="24"/>
                <w:lang w:eastAsia="zh-Hans"/>
              </w:rPr>
              <w:t>1,500,000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szCs w:val="24"/>
                <w:lang w:eastAsia="zh-Hans"/>
              </w:rPr>
              <w:t>154,800,821.92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szCs w:val="24"/>
                <w:lang w:eastAsia="zh-Hans"/>
              </w:rPr>
              <w:t>6.20</w:t>
            </w:r>
          </w:p>
        </w:tc>
      </w:tr>
    </w:tbl>
    <w:p w:rsidR="00133C4D" w:rsidRDefault="009865E7">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proofErr w:type="spellStart"/>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proofErr w:type="spellEnd"/>
      <w:r>
        <w:rPr>
          <w:rFonts w:hAnsi="宋体" w:hint="eastAsia"/>
        </w:rPr>
        <w:t xml:space="preserve"> </w:t>
      </w:r>
    </w:p>
    <w:p w:rsidR="00133C4D" w:rsidRDefault="009865E7">
      <w:pPr>
        <w:spacing w:line="360" w:lineRule="auto"/>
        <w:ind w:firstLineChars="200" w:firstLine="420"/>
        <w:jc w:val="left"/>
      </w:pPr>
      <w:r>
        <w:rPr>
          <w:rFonts w:ascii="宋体" w:hAnsi="宋体" w:hint="eastAsia"/>
          <w:color w:val="000000"/>
          <w:szCs w:val="21"/>
          <w:lang w:eastAsia="zh-Hans"/>
        </w:rPr>
        <w:t>本基金本报告期末未持有资产支持证券。</w:t>
      </w:r>
    </w:p>
    <w:p w:rsidR="00133C4D" w:rsidRDefault="009865E7">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proofErr w:type="spellEnd"/>
      <w:r>
        <w:rPr>
          <w:rFonts w:hAnsi="宋体" w:hint="eastAsia"/>
        </w:rPr>
        <w:t xml:space="preserve"> </w:t>
      </w:r>
    </w:p>
    <w:p w:rsidR="00133C4D" w:rsidRDefault="009865E7">
      <w:pPr>
        <w:spacing w:line="360" w:lineRule="auto"/>
        <w:ind w:firstLineChars="200" w:firstLine="420"/>
        <w:divId w:val="515003074"/>
      </w:pPr>
      <w:r>
        <w:rPr>
          <w:rFonts w:ascii="宋体" w:hAnsi="宋体" w:hint="eastAsia"/>
          <w:szCs w:val="21"/>
          <w:lang w:eastAsia="zh-Hans"/>
        </w:rPr>
        <w:lastRenderedPageBreak/>
        <w:t>本基金本报告期末未持有贵金属。</w:t>
      </w:r>
    </w:p>
    <w:p w:rsidR="00133C4D" w:rsidRDefault="009865E7">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proofErr w:type="spellStart"/>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proofErr w:type="spellEnd"/>
      <w:r>
        <w:rPr>
          <w:rFonts w:hAnsi="宋体" w:hint="eastAsia"/>
        </w:rPr>
        <w:t xml:space="preserve"> </w:t>
      </w:r>
      <w:bookmarkEnd w:id="240"/>
    </w:p>
    <w:p w:rsidR="00133C4D" w:rsidRDefault="009865E7">
      <w:pPr>
        <w:spacing w:line="360" w:lineRule="auto"/>
        <w:ind w:firstLineChars="200" w:firstLine="420"/>
        <w:divId w:val="2120099048"/>
      </w:pPr>
      <w:r>
        <w:rPr>
          <w:rFonts w:ascii="宋体" w:hAnsi="宋体" w:hint="eastAsia"/>
          <w:szCs w:val="21"/>
          <w:lang w:eastAsia="zh-Hans"/>
        </w:rPr>
        <w:t>本基金本报告期末未持有权证。</w:t>
      </w:r>
    </w:p>
    <w:p w:rsidR="00133C4D" w:rsidRDefault="009865E7">
      <w:pPr>
        <w:pStyle w:val="XBRLTitle2"/>
        <w:spacing w:before="156"/>
        <w:ind w:left="454"/>
      </w:pPr>
      <w:bookmarkStart w:id="241" w:name="_Toc17898206"/>
      <w:proofErr w:type="spellStart"/>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roofErr w:type="spellEnd"/>
    </w:p>
    <w:p w:rsidR="00133C4D" w:rsidRDefault="009865E7">
      <w:pPr>
        <w:spacing w:line="360" w:lineRule="auto"/>
        <w:ind w:firstLineChars="200" w:firstLine="420"/>
        <w:divId w:val="1589802681"/>
      </w:pPr>
      <w:r>
        <w:rPr>
          <w:rFonts w:ascii="宋体" w:hAnsi="宋体" w:hint="eastAsia"/>
          <w:szCs w:val="21"/>
          <w:lang w:eastAsia="zh-Hans"/>
        </w:rPr>
        <w:t>本基金本报告期末未持有股指期货。</w:t>
      </w:r>
    </w:p>
    <w:p w:rsidR="00133C4D" w:rsidRDefault="009865E7">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proofErr w:type="spellStart"/>
      <w:r>
        <w:rPr>
          <w:rFonts w:hAnsi="宋体" w:hint="eastAsia"/>
        </w:rPr>
        <w:t>报告期末本基金投资的国债期货交易情况说明</w:t>
      </w:r>
      <w:bookmarkEnd w:id="242"/>
      <w:bookmarkEnd w:id="243"/>
      <w:bookmarkEnd w:id="244"/>
      <w:bookmarkEnd w:id="245"/>
      <w:bookmarkEnd w:id="246"/>
      <w:bookmarkEnd w:id="247"/>
      <w:bookmarkEnd w:id="248"/>
      <w:proofErr w:type="spellEnd"/>
      <w:r>
        <w:rPr>
          <w:rFonts w:hAnsi="宋体" w:hint="eastAsia"/>
        </w:rPr>
        <w:t xml:space="preserve"> </w:t>
      </w:r>
      <w:bookmarkEnd w:id="249"/>
    </w:p>
    <w:p w:rsidR="00133C4D" w:rsidRDefault="009865E7">
      <w:pPr>
        <w:spacing w:line="360" w:lineRule="auto"/>
        <w:ind w:firstLineChars="200" w:firstLine="420"/>
        <w:divId w:val="1227180004"/>
      </w:pPr>
      <w:bookmarkStart w:id="250" w:name="m510_01_1597"/>
      <w:bookmarkStart w:id="251" w:name="m510_01_1598"/>
      <w:bookmarkEnd w:id="250"/>
      <w:r>
        <w:rPr>
          <w:rFonts w:ascii="宋体" w:hAnsi="宋体" w:hint="eastAsia"/>
          <w:szCs w:val="21"/>
          <w:lang w:eastAsia="zh-Hans"/>
        </w:rPr>
        <w:t>本基金本报告期末未持有国债期货。</w:t>
      </w:r>
    </w:p>
    <w:p w:rsidR="00133C4D" w:rsidRDefault="009865E7">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proofErr w:type="spellStart"/>
      <w:r>
        <w:rPr>
          <w:rFonts w:hAnsi="宋体" w:hint="eastAsia"/>
        </w:rPr>
        <w:t>投资组合报告附注</w:t>
      </w:r>
      <w:bookmarkEnd w:id="252"/>
      <w:bookmarkEnd w:id="253"/>
      <w:bookmarkEnd w:id="254"/>
      <w:bookmarkEnd w:id="255"/>
      <w:bookmarkEnd w:id="256"/>
      <w:bookmarkEnd w:id="257"/>
      <w:bookmarkEnd w:id="258"/>
      <w:proofErr w:type="spellEnd"/>
      <w:r>
        <w:rPr>
          <w:rFonts w:hAnsi="宋体" w:hint="eastAsia"/>
        </w:rPr>
        <w:t xml:space="preserve"> </w:t>
      </w:r>
    </w:p>
    <w:p w:rsidR="00133C4D" w:rsidRDefault="009865E7">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rsidR="00133C4D" w:rsidRDefault="009865E7">
      <w:pPr>
        <w:spacing w:line="360" w:lineRule="auto"/>
        <w:ind w:firstLineChars="200" w:firstLine="420"/>
      </w:pPr>
      <w:r>
        <w:rPr>
          <w:rFonts w:ascii="宋体" w:hAnsi="宋体" w:hint="eastAsia"/>
        </w:rPr>
        <w:t>本基金投资的前十名证券的发行主体中，国家开发银行报告编制日前一年内曾受到国家金融监督管理总局北京监管局的处罚。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133C4D" w:rsidRDefault="009865E7">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rsidR="00133C4D" w:rsidRDefault="009865E7">
      <w:pPr>
        <w:spacing w:line="360" w:lineRule="auto"/>
        <w:ind w:firstLineChars="200" w:firstLine="420"/>
      </w:pPr>
      <w:r>
        <w:rPr>
          <w:rFonts w:ascii="宋体" w:hAnsi="宋体" w:hint="eastAsia"/>
        </w:rPr>
        <w:t>报告期内本基金投资的前十名股票中没有在基金合同规定备选股票库之外的股票。</w:t>
      </w:r>
    </w:p>
    <w:p w:rsidR="00133C4D" w:rsidRDefault="009865E7">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proofErr w:type="spellStart"/>
      <w:r>
        <w:rPr>
          <w:rFonts w:hint="eastAsia"/>
        </w:rPr>
        <w:t>其他资产构成</w:t>
      </w:r>
      <w:bookmarkEnd w:id="269"/>
      <w:bookmarkEnd w:id="270"/>
      <w:bookmarkEnd w:id="271"/>
      <w:bookmarkEnd w:id="272"/>
      <w:bookmarkEnd w:id="27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133C4D">
        <w:trPr>
          <w:divId w:val="891623151"/>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C4D" w:rsidRDefault="009865E7">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C4D" w:rsidRDefault="009865E7">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C4D" w:rsidRDefault="009865E7">
            <w:pPr>
              <w:jc w:val="center"/>
            </w:pPr>
            <w:r>
              <w:rPr>
                <w:rFonts w:ascii="宋体" w:hAnsi="宋体" w:hint="eastAsia"/>
              </w:rPr>
              <w:t>金额（元）</w:t>
            </w:r>
            <w:r>
              <w:t xml:space="preserve"> </w:t>
            </w:r>
          </w:p>
        </w:tc>
      </w:tr>
      <w:tr w:rsidR="00133C4D">
        <w:trPr>
          <w:divId w:val="89162315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rPr>
              <w:t>-</w:t>
            </w:r>
          </w:p>
        </w:tc>
      </w:tr>
      <w:tr w:rsidR="00133C4D">
        <w:trPr>
          <w:divId w:val="89162315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rPr>
              <w:t>-</w:t>
            </w:r>
          </w:p>
        </w:tc>
      </w:tr>
      <w:tr w:rsidR="00133C4D">
        <w:trPr>
          <w:divId w:val="89162315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rPr>
              <w:t>-</w:t>
            </w:r>
          </w:p>
        </w:tc>
      </w:tr>
      <w:tr w:rsidR="00133C4D">
        <w:trPr>
          <w:divId w:val="89162315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rPr>
              <w:t>-</w:t>
            </w:r>
          </w:p>
        </w:tc>
      </w:tr>
      <w:tr w:rsidR="00133C4D">
        <w:trPr>
          <w:divId w:val="89162315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rPr>
              <w:t>137,888.43</w:t>
            </w:r>
          </w:p>
        </w:tc>
      </w:tr>
      <w:tr w:rsidR="00133C4D">
        <w:trPr>
          <w:divId w:val="89162315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rPr>
              <w:t>-</w:t>
            </w:r>
          </w:p>
        </w:tc>
      </w:tr>
      <w:tr w:rsidR="00133C4D">
        <w:trPr>
          <w:divId w:val="89162315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rPr>
              <w:t>-</w:t>
            </w:r>
          </w:p>
        </w:tc>
      </w:tr>
      <w:tr w:rsidR="00133C4D">
        <w:trPr>
          <w:divId w:val="89162315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rPr>
              <w:t>137,888.43</w:t>
            </w:r>
          </w:p>
        </w:tc>
      </w:tr>
    </w:tbl>
    <w:p w:rsidR="00133C4D" w:rsidRDefault="009865E7">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proofErr w:type="spellStart"/>
      <w:r>
        <w:rPr>
          <w:rFonts w:hint="eastAsia"/>
        </w:rPr>
        <w:t>报告期末持有的处于转股期的可转换债券明细</w:t>
      </w:r>
      <w:bookmarkEnd w:id="275"/>
      <w:bookmarkEnd w:id="276"/>
      <w:bookmarkEnd w:id="277"/>
      <w:bookmarkEnd w:id="278"/>
      <w:bookmarkEnd w:id="279"/>
      <w:proofErr w:type="spellEnd"/>
    </w:p>
    <w:p w:rsidR="00133C4D" w:rsidRDefault="009865E7">
      <w:pPr>
        <w:spacing w:line="360" w:lineRule="auto"/>
        <w:ind w:firstLineChars="200" w:firstLine="420"/>
        <w:jc w:val="left"/>
      </w:pPr>
      <w:r>
        <w:rPr>
          <w:rFonts w:ascii="宋体" w:hAnsi="宋体" w:hint="eastAsia"/>
        </w:rPr>
        <w:t xml:space="preserve">本基金本报告期末未持有处于转股期的可转换债券。 </w:t>
      </w:r>
    </w:p>
    <w:p w:rsidR="00133C4D" w:rsidRDefault="009865E7">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proofErr w:type="spellStart"/>
      <w:r>
        <w:rPr>
          <w:rFonts w:hint="eastAsia"/>
        </w:rPr>
        <w:t>报告期末前十名股票中存在流通受限情况的说明</w:t>
      </w:r>
      <w:bookmarkEnd w:id="281"/>
      <w:bookmarkEnd w:id="282"/>
      <w:bookmarkEnd w:id="283"/>
      <w:bookmarkEnd w:id="284"/>
      <w:bookmarkEnd w:id="285"/>
      <w:proofErr w:type="spellEnd"/>
    </w:p>
    <w:p w:rsidR="00133C4D" w:rsidRDefault="009865E7">
      <w:pPr>
        <w:spacing w:line="360" w:lineRule="auto"/>
        <w:ind w:firstLineChars="200" w:firstLine="420"/>
        <w:jc w:val="left"/>
        <w:divId w:val="898393896"/>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rsidR="00133C4D" w:rsidRDefault="009865E7">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proofErr w:type="spellStart"/>
      <w:r>
        <w:rPr>
          <w:rFonts w:hint="eastAsia"/>
        </w:rPr>
        <w:lastRenderedPageBreak/>
        <w:t>投资组合报告附注的其他文字描述部分</w:t>
      </w:r>
      <w:bookmarkEnd w:id="287"/>
      <w:bookmarkEnd w:id="288"/>
      <w:bookmarkEnd w:id="289"/>
      <w:bookmarkEnd w:id="290"/>
      <w:bookmarkEnd w:id="291"/>
      <w:proofErr w:type="spellEnd"/>
      <w:r>
        <w:rPr>
          <w:rFonts w:hint="eastAsia"/>
          <w:sz w:val="21"/>
        </w:rPr>
        <w:t xml:space="preserve"> </w:t>
      </w:r>
    </w:p>
    <w:p w:rsidR="00133C4D" w:rsidRDefault="009865E7">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rsidR="00133C4D" w:rsidRDefault="009865E7">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proofErr w:type="spellStart"/>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proofErr w:type="spellEnd"/>
      <w:r>
        <w:rPr>
          <w:rFonts w:hAnsi="宋体" w:hint="eastAsia"/>
        </w:rPr>
        <w:t xml:space="preserve"> </w:t>
      </w:r>
    </w:p>
    <w:p w:rsidR="00133C4D" w:rsidRDefault="009865E7">
      <w:pPr>
        <w:wordWrap w:val="0"/>
        <w:spacing w:line="360" w:lineRule="auto"/>
        <w:jc w:val="right"/>
        <w:divId w:val="747458272"/>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1673"/>
        <w:gridCol w:w="1874"/>
        <w:gridCol w:w="1673"/>
      </w:tblGrid>
      <w:tr w:rsidR="00133C4D">
        <w:trPr>
          <w:divId w:val="747458272"/>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133C4D" w:rsidRDefault="009865E7">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3"/>
            <w:bookmarkEnd w:id="30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33C4D" w:rsidRDefault="009865E7">
            <w:pPr>
              <w:ind w:right="3"/>
              <w:jc w:val="center"/>
            </w:pPr>
            <w:r>
              <w:rPr>
                <w:rFonts w:ascii="宋体" w:hAnsi="宋体" w:hint="eastAsia"/>
                <w:lang w:eastAsia="zh-Hans"/>
              </w:rPr>
              <w:t>摩根纯债债券A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33C4D" w:rsidRDefault="009865E7">
            <w:pPr>
              <w:ind w:right="3"/>
              <w:jc w:val="center"/>
            </w:pPr>
            <w:r>
              <w:rPr>
                <w:rFonts w:ascii="宋体" w:hAnsi="宋体" w:hint="eastAsia"/>
                <w:lang w:eastAsia="zh-Hans"/>
              </w:rPr>
              <w:t>摩根纯债债券B</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33C4D" w:rsidRDefault="009865E7">
            <w:pPr>
              <w:ind w:right="3"/>
              <w:jc w:val="center"/>
            </w:pPr>
            <w:r>
              <w:rPr>
                <w:rFonts w:ascii="宋体" w:hAnsi="宋体" w:hint="eastAsia"/>
                <w:lang w:eastAsia="zh-Hans"/>
              </w:rPr>
              <w:t>摩根纯债债券D</w:t>
            </w:r>
            <w:r>
              <w:rPr>
                <w:rFonts w:ascii="宋体" w:hAnsi="宋体" w:hint="eastAsia"/>
                <w:kern w:val="0"/>
                <w:szCs w:val="24"/>
                <w:lang w:eastAsia="zh-Hans"/>
              </w:rPr>
              <w:t xml:space="preserve"> </w:t>
            </w:r>
          </w:p>
        </w:tc>
      </w:tr>
      <w:tr w:rsidR="00133C4D">
        <w:trPr>
          <w:divId w:val="74745827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C4D" w:rsidRDefault="009865E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C4D" w:rsidRDefault="009865E7">
            <w:pPr>
              <w:jc w:val="right"/>
            </w:pPr>
            <w:r>
              <w:rPr>
                <w:rFonts w:ascii="宋体" w:hAnsi="宋体" w:hint="eastAsia"/>
              </w:rPr>
              <w:t>237,525,178.24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C4D" w:rsidRDefault="009865E7">
            <w:pPr>
              <w:jc w:val="right"/>
            </w:pPr>
            <w:r>
              <w:rPr>
                <w:rFonts w:ascii="宋体" w:hAnsi="宋体" w:hint="eastAsia"/>
              </w:rPr>
              <w:t>1,662,445,096.46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C4D" w:rsidRDefault="009865E7">
            <w:pPr>
              <w:jc w:val="right"/>
            </w:pPr>
            <w:r>
              <w:rPr>
                <w:rFonts w:ascii="宋体" w:hAnsi="宋体" w:hint="eastAsia"/>
              </w:rPr>
              <w:t>740,965,379.02</w:t>
            </w:r>
          </w:p>
        </w:tc>
      </w:tr>
      <w:tr w:rsidR="00133C4D">
        <w:trPr>
          <w:divId w:val="74745827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C4D" w:rsidRDefault="009865E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C4D" w:rsidRDefault="009865E7">
            <w:pPr>
              <w:jc w:val="right"/>
            </w:pPr>
            <w:r>
              <w:rPr>
                <w:rFonts w:ascii="宋体" w:hAnsi="宋体" w:hint="eastAsia"/>
              </w:rPr>
              <w:t>2,098,581.12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C4D" w:rsidRDefault="009865E7">
            <w:pPr>
              <w:jc w:val="right"/>
            </w:pPr>
            <w:r>
              <w:rPr>
                <w:rFonts w:ascii="宋体" w:hAnsi="宋体" w:hint="eastAsia"/>
              </w:rPr>
              <w:t>1,078,047,944.18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C4D" w:rsidRDefault="009865E7">
            <w:pPr>
              <w:jc w:val="right"/>
            </w:pPr>
            <w:r>
              <w:rPr>
                <w:rFonts w:ascii="宋体" w:hAnsi="宋体" w:hint="eastAsia"/>
              </w:rPr>
              <w:t>76,944,873.04</w:t>
            </w:r>
          </w:p>
        </w:tc>
      </w:tr>
      <w:tr w:rsidR="00133C4D">
        <w:trPr>
          <w:divId w:val="74745827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C4D" w:rsidRDefault="009865E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C4D" w:rsidRDefault="009865E7">
            <w:pPr>
              <w:jc w:val="right"/>
            </w:pPr>
            <w:r>
              <w:rPr>
                <w:rFonts w:ascii="宋体" w:hAnsi="宋体" w:hint="eastAsia"/>
              </w:rPr>
              <w:t>216,491,833.44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C4D" w:rsidRDefault="009865E7">
            <w:pPr>
              <w:jc w:val="right"/>
            </w:pPr>
            <w:r>
              <w:rPr>
                <w:rFonts w:ascii="宋体" w:hAnsi="宋体" w:hint="eastAsia"/>
              </w:rPr>
              <w:t>713,447,187.73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C4D" w:rsidRDefault="009865E7">
            <w:pPr>
              <w:jc w:val="right"/>
            </w:pPr>
            <w:r>
              <w:rPr>
                <w:rFonts w:ascii="宋体" w:hAnsi="宋体" w:hint="eastAsia"/>
              </w:rPr>
              <w:t>686,619,516.18</w:t>
            </w:r>
          </w:p>
        </w:tc>
      </w:tr>
      <w:tr w:rsidR="00133C4D">
        <w:trPr>
          <w:divId w:val="74745827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C4D" w:rsidRDefault="009865E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C4D" w:rsidRDefault="009865E7">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C4D" w:rsidRDefault="009865E7">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C4D" w:rsidRDefault="009865E7">
            <w:pPr>
              <w:jc w:val="right"/>
            </w:pPr>
            <w:r>
              <w:rPr>
                <w:rFonts w:ascii="宋体" w:hAnsi="宋体" w:hint="eastAsia"/>
              </w:rPr>
              <w:t>-</w:t>
            </w:r>
          </w:p>
        </w:tc>
      </w:tr>
      <w:tr w:rsidR="00133C4D">
        <w:trPr>
          <w:divId w:val="74745827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C4D" w:rsidRDefault="009865E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C4D" w:rsidRDefault="009865E7">
            <w:pPr>
              <w:jc w:val="right"/>
            </w:pPr>
            <w:r>
              <w:rPr>
                <w:rFonts w:ascii="宋体" w:hAnsi="宋体" w:hint="eastAsia"/>
              </w:rPr>
              <w:t>23,131,925.92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C4D" w:rsidRDefault="009865E7">
            <w:pPr>
              <w:jc w:val="right"/>
            </w:pPr>
            <w:r>
              <w:rPr>
                <w:rFonts w:ascii="宋体" w:hAnsi="宋体" w:hint="eastAsia"/>
              </w:rPr>
              <w:t>2,027,045,852.91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33C4D" w:rsidRDefault="009865E7">
            <w:pPr>
              <w:jc w:val="right"/>
            </w:pPr>
            <w:r>
              <w:rPr>
                <w:rFonts w:ascii="宋体" w:hAnsi="宋体" w:hint="eastAsia"/>
              </w:rPr>
              <w:t>131,290,735.88</w:t>
            </w:r>
          </w:p>
        </w:tc>
      </w:tr>
    </w:tbl>
    <w:p w:rsidR="00133C4D" w:rsidRDefault="009865E7">
      <w:pPr>
        <w:spacing w:line="360" w:lineRule="auto"/>
        <w:jc w:val="left"/>
        <w:divId w:val="747458272"/>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4"/>
      <w:r>
        <w:rPr>
          <w:rFonts w:ascii="宋体" w:hAnsi="宋体" w:hint="eastAsia"/>
        </w:rPr>
        <w:t xml:space="preserve"> </w:t>
      </w:r>
    </w:p>
    <w:p w:rsidR="00133C4D" w:rsidRDefault="009865E7">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proofErr w:type="spellStart"/>
      <w:r>
        <w:rPr>
          <w:rFonts w:hAnsi="宋体" w:hint="eastAsia"/>
        </w:rPr>
        <w:t>基金管理人运用固有资金投资本基金情况</w:t>
      </w:r>
      <w:bookmarkEnd w:id="305"/>
      <w:bookmarkEnd w:id="306"/>
      <w:bookmarkEnd w:id="307"/>
      <w:bookmarkEnd w:id="308"/>
      <w:bookmarkEnd w:id="309"/>
      <w:bookmarkEnd w:id="310"/>
      <w:bookmarkEnd w:id="311"/>
      <w:bookmarkEnd w:id="312"/>
      <w:bookmarkEnd w:id="313"/>
      <w:proofErr w:type="spellEnd"/>
      <w:r>
        <w:rPr>
          <w:rFonts w:hAnsi="宋体" w:hint="eastAsia"/>
        </w:rPr>
        <w:t xml:space="preserve"> </w:t>
      </w:r>
    </w:p>
    <w:p w:rsidR="00133C4D" w:rsidRDefault="009865E7">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proofErr w:type="spellStart"/>
      <w:r>
        <w:rPr>
          <w:rFonts w:hAnsi="宋体" w:hint="eastAsia"/>
        </w:rPr>
        <w:t>基金管理人持有本基金份额变动情况</w:t>
      </w:r>
      <w:bookmarkEnd w:id="314"/>
      <w:bookmarkEnd w:id="315"/>
      <w:bookmarkEnd w:id="316"/>
      <w:bookmarkEnd w:id="317"/>
      <w:bookmarkEnd w:id="318"/>
      <w:bookmarkEnd w:id="319"/>
      <w:bookmarkEnd w:id="320"/>
      <w:bookmarkEnd w:id="321"/>
      <w:proofErr w:type="spellEnd"/>
      <w:r>
        <w:rPr>
          <w:rFonts w:hAnsi="宋体" w:hint="eastAsia"/>
          <w:lang w:eastAsia="zh-CN"/>
        </w:rPr>
        <w:t xml:space="preserve"> </w:t>
      </w:r>
    </w:p>
    <w:p w:rsidR="00133C4D" w:rsidRDefault="009865E7">
      <w:pPr>
        <w:wordWrap w:val="0"/>
        <w:spacing w:line="360" w:lineRule="auto"/>
        <w:jc w:val="right"/>
        <w:divId w:val="1929994469"/>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46"/>
        <w:gridCol w:w="1963"/>
        <w:gridCol w:w="1963"/>
        <w:gridCol w:w="1963"/>
      </w:tblGrid>
      <w:tr w:rsidR="00133C4D">
        <w:trPr>
          <w:divId w:val="1929994469"/>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jc w:val="center"/>
            </w:pPr>
            <w:r>
              <w:rPr>
                <w:rFonts w:ascii="宋体" w:hAnsi="宋体" w:hint="eastAsia"/>
                <w:lang w:eastAsia="zh-Hans"/>
              </w:rPr>
              <w:t>摩根纯债债券A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jc w:val="center"/>
            </w:pPr>
            <w:r>
              <w:rPr>
                <w:rFonts w:ascii="宋体" w:hAnsi="宋体" w:hint="eastAsia"/>
                <w:lang w:eastAsia="zh-Hans"/>
              </w:rPr>
              <w:t>摩根纯债债券B</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jc w:val="center"/>
            </w:pPr>
            <w:r>
              <w:rPr>
                <w:rFonts w:ascii="宋体" w:hAnsi="宋体" w:hint="eastAsia"/>
                <w:lang w:eastAsia="zh-Hans"/>
              </w:rPr>
              <w:t>摩根纯债债券D</w:t>
            </w:r>
            <w:r>
              <w:rPr>
                <w:rFonts w:ascii="宋体" w:hAnsi="宋体" w:hint="eastAsia"/>
                <w:color w:val="000000"/>
              </w:rPr>
              <w:t xml:space="preserve"> </w:t>
            </w:r>
          </w:p>
        </w:tc>
      </w:tr>
      <w:tr w:rsidR="00133C4D">
        <w:trPr>
          <w:divId w:val="192999446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kern w:val="0"/>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kern w:val="0"/>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kern w:val="0"/>
                <w:szCs w:val="24"/>
                <w:lang w:eastAsia="zh-Hans"/>
              </w:rPr>
              <w:t>-</w:t>
            </w:r>
          </w:p>
        </w:tc>
      </w:tr>
      <w:tr w:rsidR="00133C4D">
        <w:trPr>
          <w:divId w:val="192999446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szCs w:val="24"/>
                <w:lang w:eastAsia="zh-Hans"/>
              </w:rPr>
              <w:t>110,976.56</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szCs w:val="24"/>
                <w:lang w:eastAsia="zh-Hans"/>
              </w:rPr>
              <w:t>-</w:t>
            </w:r>
          </w:p>
        </w:tc>
      </w:tr>
      <w:tr w:rsidR="00133C4D">
        <w:trPr>
          <w:divId w:val="192999446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lang w:eastAsia="zh-Hans"/>
              </w:rPr>
              <w:t>-</w:t>
            </w:r>
          </w:p>
        </w:tc>
      </w:tr>
      <w:tr w:rsidR="00133C4D">
        <w:trPr>
          <w:divId w:val="192999446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lang w:eastAsia="zh-Hans"/>
              </w:rPr>
              <w:t>110,976.56</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lang w:eastAsia="zh-Hans"/>
              </w:rPr>
              <w:t>-</w:t>
            </w:r>
          </w:p>
        </w:tc>
      </w:tr>
      <w:tr w:rsidR="00133C4D">
        <w:trPr>
          <w:divId w:val="192999446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lang w:eastAsia="zh-Hans"/>
              </w:rPr>
              <w:t>0.01</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jc w:val="right"/>
            </w:pPr>
            <w:r>
              <w:rPr>
                <w:rFonts w:ascii="宋体" w:hAnsi="宋体" w:hint="eastAsia"/>
                <w:lang w:eastAsia="zh-Hans"/>
              </w:rPr>
              <w:t>-</w:t>
            </w:r>
          </w:p>
        </w:tc>
      </w:tr>
    </w:tbl>
    <w:p w:rsidR="00133C4D" w:rsidRDefault="009865E7">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proofErr w:type="spellStart"/>
      <w:r>
        <w:rPr>
          <w:rFonts w:hAnsi="宋体" w:hint="eastAsia"/>
        </w:rPr>
        <w:t>基金管理人运用固有资金投资本基金交易明细</w:t>
      </w:r>
      <w:bookmarkEnd w:id="322"/>
      <w:bookmarkEnd w:id="323"/>
      <w:bookmarkEnd w:id="324"/>
      <w:bookmarkEnd w:id="325"/>
      <w:bookmarkEnd w:id="326"/>
      <w:bookmarkEnd w:id="327"/>
      <w:bookmarkEnd w:id="328"/>
      <w:bookmarkEnd w:id="329"/>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133C4D">
        <w:trPr>
          <w:divId w:val="784421115"/>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 xml:space="preserve">适用费率(%) </w:t>
            </w:r>
          </w:p>
        </w:tc>
      </w:tr>
      <w:tr w:rsidR="00133C4D">
        <w:trPr>
          <w:divId w:val="784421115"/>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110,421.46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144,100.00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w:t>
            </w:r>
            <w:r>
              <w:t xml:space="preserve"> </w:t>
            </w:r>
          </w:p>
        </w:tc>
      </w:tr>
      <w:tr w:rsidR="00133C4D">
        <w:trPr>
          <w:divId w:val="784421115"/>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2</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红利再投</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2025-03-25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555.10</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717.74</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w:t>
            </w:r>
            <w:r>
              <w:t xml:space="preserve"> </w:t>
            </w:r>
          </w:p>
        </w:tc>
      </w:tr>
      <w:tr w:rsidR="00133C4D">
        <w:trPr>
          <w:divId w:val="784421115"/>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133C4D"/>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133C4D">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110,976.56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spacing w:line="360" w:lineRule="auto"/>
              <w:jc w:val="right"/>
            </w:pPr>
            <w:r>
              <w:rPr>
                <w:rFonts w:ascii="宋体" w:hAnsi="宋体" w:hint="eastAsia"/>
              </w:rPr>
              <w:t>144,817.74</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133C4D"/>
        </w:tc>
      </w:tr>
    </w:tbl>
    <w:p w:rsidR="00133C4D" w:rsidRDefault="009865E7">
      <w:pPr>
        <w:spacing w:line="360" w:lineRule="auto"/>
        <w:jc w:val="left"/>
        <w:divId w:val="1138379696"/>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rsidR="00133C4D" w:rsidRDefault="009865E7">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proofErr w:type="spellStart"/>
      <w:r>
        <w:rPr>
          <w:rFonts w:hAnsi="宋体" w:hint="eastAsia"/>
        </w:rPr>
        <w:t>影响投资者决策的其他重要信息</w:t>
      </w:r>
      <w:bookmarkEnd w:id="330"/>
      <w:bookmarkEnd w:id="331"/>
      <w:bookmarkEnd w:id="332"/>
      <w:bookmarkEnd w:id="333"/>
      <w:bookmarkEnd w:id="334"/>
      <w:bookmarkEnd w:id="335"/>
      <w:bookmarkEnd w:id="336"/>
      <w:bookmarkEnd w:id="337"/>
      <w:proofErr w:type="spellEnd"/>
      <w:r>
        <w:rPr>
          <w:rFonts w:hAnsi="宋体" w:hint="eastAsia"/>
          <w:lang w:eastAsia="zh-CN"/>
        </w:rPr>
        <w:t xml:space="preserve"> </w:t>
      </w:r>
    </w:p>
    <w:p w:rsidR="00133C4D" w:rsidRDefault="009865E7">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lastRenderedPageBreak/>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725"/>
        <w:gridCol w:w="975"/>
        <w:gridCol w:w="1500"/>
        <w:gridCol w:w="1500"/>
        <w:gridCol w:w="1500"/>
        <w:gridCol w:w="1500"/>
        <w:gridCol w:w="895"/>
      </w:tblGrid>
      <w:tr w:rsidR="00133C4D">
        <w:trPr>
          <w:divId w:val="186406595"/>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C4D" w:rsidRDefault="009865E7">
            <w:pPr>
              <w:jc w:val="center"/>
            </w:pPr>
            <w:bookmarkStart w:id="346" w:name="OLE_LINK42"/>
            <w:bookmarkStart w:id="347" w:name="OLE_LINK41"/>
            <w:bookmarkStart w:id="348" w:name="m13_01"/>
            <w:bookmarkStart w:id="349" w:name="m13_01_01"/>
            <w:bookmarkStart w:id="350" w:name="_Toc433036733"/>
            <w:bookmarkStart w:id="351" w:name="m12_01"/>
            <w:bookmarkEnd w:id="42"/>
            <w:bookmarkEnd w:id="43"/>
            <w:bookmarkEnd w:id="346"/>
            <w:bookmarkEnd w:id="347"/>
            <w:bookmarkEnd w:id="348"/>
            <w:bookmarkEnd w:id="349"/>
            <w:bookmarkEnd w:id="350"/>
            <w:bookmarkEnd w:id="351"/>
            <w:bookmarkEnd w:id="22"/>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C4D" w:rsidRDefault="009865E7">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C4D" w:rsidRDefault="009865E7">
            <w:pPr>
              <w:widowControl/>
              <w:jc w:val="center"/>
            </w:pPr>
            <w:r>
              <w:rPr>
                <w:rFonts w:ascii="宋体" w:hAnsi="宋体" w:hint="eastAsia"/>
                <w:color w:val="000000"/>
                <w:kern w:val="0"/>
              </w:rPr>
              <w:t xml:space="preserve">报告期末持有基金情况 </w:t>
            </w:r>
          </w:p>
        </w:tc>
      </w:tr>
      <w:tr w:rsidR="00133C4D">
        <w:trPr>
          <w:divId w:val="186406595"/>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3C4D" w:rsidRDefault="00133C4D">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C4D" w:rsidRDefault="009865E7">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C4D" w:rsidRDefault="009865E7">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C4D" w:rsidRDefault="009865E7">
            <w:pPr>
              <w:widowControl/>
              <w:jc w:val="center"/>
            </w:pPr>
            <w:r>
              <w:rPr>
                <w:rFonts w:ascii="宋体" w:hAnsi="宋体" w:hint="eastAsia"/>
                <w:color w:val="000000"/>
                <w:kern w:val="0"/>
              </w:rPr>
              <w:t xml:space="preserve">期初 </w:t>
            </w:r>
          </w:p>
          <w:p w:rsidR="00133C4D" w:rsidRDefault="009865E7">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C4D" w:rsidRDefault="009865E7">
            <w:pPr>
              <w:widowControl/>
              <w:jc w:val="center"/>
            </w:pPr>
            <w:r>
              <w:rPr>
                <w:rFonts w:ascii="宋体" w:hAnsi="宋体" w:hint="eastAsia"/>
                <w:color w:val="000000"/>
                <w:kern w:val="0"/>
              </w:rPr>
              <w:t xml:space="preserve">申购 </w:t>
            </w:r>
          </w:p>
          <w:p w:rsidR="00133C4D" w:rsidRDefault="009865E7">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C4D" w:rsidRDefault="009865E7">
            <w:pPr>
              <w:widowControl/>
              <w:jc w:val="center"/>
            </w:pPr>
            <w:r>
              <w:rPr>
                <w:rFonts w:ascii="宋体" w:hAnsi="宋体" w:hint="eastAsia"/>
                <w:color w:val="000000"/>
                <w:kern w:val="0"/>
              </w:rPr>
              <w:t xml:space="preserve">赎回 </w:t>
            </w:r>
          </w:p>
          <w:p w:rsidR="00133C4D" w:rsidRDefault="009865E7">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C4D" w:rsidRDefault="009865E7">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C4D" w:rsidRDefault="009865E7">
            <w:pPr>
              <w:widowControl/>
              <w:jc w:val="center"/>
            </w:pPr>
            <w:r>
              <w:rPr>
                <w:rFonts w:ascii="宋体" w:hAnsi="宋体" w:hint="eastAsia"/>
                <w:color w:val="000000"/>
                <w:kern w:val="0"/>
              </w:rPr>
              <w:t xml:space="preserve">份额占比 </w:t>
            </w:r>
          </w:p>
        </w:tc>
      </w:tr>
      <w:tr w:rsidR="00133C4D">
        <w:trPr>
          <w:divId w:val="186406595"/>
          <w:trHeight w:val="285"/>
        </w:trPr>
        <w:tc>
          <w:tcPr>
            <w:tcW w:w="12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center"/>
            </w:pPr>
            <w:r>
              <w:rPr>
                <w:rFonts w:ascii="宋体" w:hAnsi="宋体" w:hint="eastAsia"/>
                <w:color w:val="000000"/>
                <w:szCs w:val="21"/>
              </w:rPr>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center"/>
            </w:pPr>
            <w:r>
              <w:rPr>
                <w:rFonts w:ascii="宋体" w:hAnsi="宋体" w:hint="eastAsia"/>
                <w:color w:val="000000"/>
                <w:szCs w:val="21"/>
              </w:rPr>
              <w:t>20250328-20250331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383,200,490.50</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706,214,689.27</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383,200,490.50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706,214,689.27</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32.37</w:t>
            </w:r>
            <w:r>
              <w:rPr>
                <w:szCs w:val="21"/>
              </w:rPr>
              <w:t>%</w:t>
            </w:r>
            <w:r>
              <w:t xml:space="preserve"> </w:t>
            </w:r>
          </w:p>
        </w:tc>
      </w:tr>
      <w:tr w:rsidR="00133C4D">
        <w:trPr>
          <w:divId w:val="186406595"/>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3C4D" w:rsidRDefault="00133C4D">
            <w:pPr>
              <w:widowControl/>
              <w:jc w:val="left"/>
            </w:pP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center"/>
            </w:pPr>
            <w:r>
              <w:rPr>
                <w:rFonts w:ascii="宋体" w:hAnsi="宋体" w:hint="eastAsia"/>
                <w:color w:val="000000"/>
                <w:szCs w:val="21"/>
              </w:rPr>
              <w:t>2</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center"/>
            </w:pPr>
            <w:r>
              <w:rPr>
                <w:rFonts w:ascii="宋体" w:hAnsi="宋体" w:hint="eastAsia"/>
                <w:color w:val="000000"/>
                <w:szCs w:val="21"/>
              </w:rPr>
              <w:t>20250117-20250325</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383,200,490.50</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706,214,689.27</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383,200,490.50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706,214,689.27</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32.37</w:t>
            </w:r>
            <w:r>
              <w:rPr>
                <w:szCs w:val="21"/>
              </w:rPr>
              <w:t>%</w:t>
            </w:r>
            <w:r>
              <w:t xml:space="preserve"> </w:t>
            </w:r>
          </w:p>
        </w:tc>
      </w:tr>
      <w:tr w:rsidR="00133C4D">
        <w:trPr>
          <w:divId w:val="186406595"/>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3C4D" w:rsidRDefault="00133C4D">
            <w:pPr>
              <w:widowControl/>
              <w:jc w:val="left"/>
            </w:pP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center"/>
            </w:pPr>
            <w:r>
              <w:rPr>
                <w:rFonts w:ascii="宋体" w:hAnsi="宋体" w:hint="eastAsia"/>
                <w:color w:val="000000"/>
                <w:szCs w:val="21"/>
              </w:rPr>
              <w:t>3</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center"/>
            </w:pPr>
            <w:r>
              <w:rPr>
                <w:rFonts w:ascii="宋体" w:hAnsi="宋体" w:hint="eastAsia"/>
                <w:color w:val="000000"/>
                <w:szCs w:val="21"/>
              </w:rPr>
              <w:t>20250101-20250331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766,518,473.10</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200,000,000.00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566,518,473.10</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25.97</w:t>
            </w:r>
            <w:r>
              <w:rPr>
                <w:szCs w:val="21"/>
              </w:rPr>
              <w:t>%</w:t>
            </w:r>
            <w:r>
              <w:t xml:space="preserve"> </w:t>
            </w:r>
          </w:p>
        </w:tc>
      </w:tr>
      <w:tr w:rsidR="00133C4D">
        <w:trPr>
          <w:divId w:val="186406595"/>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3C4D" w:rsidRDefault="00133C4D">
            <w:pPr>
              <w:widowControl/>
              <w:jc w:val="left"/>
            </w:pP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center"/>
            </w:pPr>
            <w:r>
              <w:rPr>
                <w:rFonts w:ascii="宋体" w:hAnsi="宋体" w:hint="eastAsia"/>
                <w:color w:val="000000"/>
                <w:szCs w:val="21"/>
              </w:rPr>
              <w:t>4</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center"/>
            </w:pPr>
            <w:r>
              <w:rPr>
                <w:rFonts w:ascii="宋体" w:hAnsi="宋体" w:hint="eastAsia"/>
                <w:color w:val="000000"/>
                <w:szCs w:val="21"/>
              </w:rPr>
              <w:t>20250326-20250327</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318,648,946.74</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318,648,946.74</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14.61</w:t>
            </w:r>
            <w:r>
              <w:rPr>
                <w:szCs w:val="21"/>
              </w:rPr>
              <w:t>%</w:t>
            </w:r>
            <w:r>
              <w:t xml:space="preserve"> </w:t>
            </w:r>
          </w:p>
        </w:tc>
      </w:tr>
      <w:tr w:rsidR="00133C4D">
        <w:trPr>
          <w:divId w:val="186406595"/>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3C4D" w:rsidRDefault="00133C4D">
            <w:pPr>
              <w:widowControl/>
              <w:jc w:val="left"/>
            </w:pP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center"/>
            </w:pPr>
            <w:r>
              <w:rPr>
                <w:rFonts w:ascii="宋体" w:hAnsi="宋体" w:hint="eastAsia"/>
                <w:color w:val="000000"/>
                <w:szCs w:val="21"/>
              </w:rPr>
              <w:t>5</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center"/>
            </w:pPr>
            <w:r>
              <w:rPr>
                <w:rFonts w:ascii="宋体" w:hAnsi="宋体" w:hint="eastAsia"/>
                <w:color w:val="000000"/>
                <w:szCs w:val="21"/>
              </w:rPr>
              <w:t>20250217-20250304</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318,648,946.74</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318,648,946.74</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right"/>
            </w:pPr>
            <w:r>
              <w:rPr>
                <w:rFonts w:ascii="宋体" w:hAnsi="宋体" w:hint="eastAsia"/>
                <w:color w:val="000000"/>
                <w:szCs w:val="21"/>
              </w:rPr>
              <w:t>14.61</w:t>
            </w:r>
            <w:r>
              <w:rPr>
                <w:szCs w:val="21"/>
              </w:rPr>
              <w:t>%</w:t>
            </w:r>
            <w:r>
              <w:t xml:space="preserve"> </w:t>
            </w:r>
          </w:p>
        </w:tc>
      </w:tr>
      <w:tr w:rsidR="00133C4D">
        <w:trPr>
          <w:divId w:val="186406595"/>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center"/>
            </w:pPr>
            <w:r>
              <w:rPr>
                <w:rFonts w:ascii="宋体" w:hAnsi="宋体" w:hint="eastAsia"/>
                <w:color w:val="000000"/>
                <w:kern w:val="0"/>
              </w:rPr>
              <w:t xml:space="preserve">产品特有风险 </w:t>
            </w:r>
          </w:p>
        </w:tc>
      </w:tr>
      <w:tr w:rsidR="00133C4D">
        <w:trPr>
          <w:divId w:val="186406595"/>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33C4D" w:rsidRDefault="009865E7">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rsidR="00133C4D" w:rsidRDefault="009865E7">
      <w:pPr>
        <w:pStyle w:val="XBRLTitle1"/>
        <w:spacing w:before="156" w:line="360" w:lineRule="auto"/>
        <w:ind w:left="425"/>
      </w:pPr>
      <w:bookmarkStart w:id="352" w:name="_Toc17898228"/>
      <w:bookmarkStart w:id="353" w:name="_Toc17897969"/>
      <w:bookmarkStart w:id="354" w:name="_Toc512519529"/>
      <w:bookmarkStart w:id="355" w:name="_Toc490050049"/>
      <w:bookmarkStart w:id="356" w:name="_Toc481075097"/>
      <w:bookmarkStart w:id="357" w:name="_Toc438646481"/>
      <w:bookmarkStart w:id="358" w:name="_Toc513295878"/>
      <w:bookmarkStart w:id="359" w:name="_Toc513295941"/>
      <w:bookmarkEnd w:id="338"/>
      <w:proofErr w:type="spellStart"/>
      <w:r>
        <w:rPr>
          <w:rFonts w:hAnsi="宋体" w:hint="eastAsia"/>
        </w:rPr>
        <w:t>备查文件目录</w:t>
      </w:r>
      <w:bookmarkEnd w:id="352"/>
      <w:bookmarkEnd w:id="353"/>
      <w:bookmarkEnd w:id="354"/>
      <w:bookmarkEnd w:id="355"/>
      <w:bookmarkEnd w:id="356"/>
      <w:bookmarkEnd w:id="357"/>
      <w:bookmarkEnd w:id="358"/>
      <w:bookmarkEnd w:id="359"/>
      <w:proofErr w:type="spellEnd"/>
      <w:r>
        <w:rPr>
          <w:rFonts w:hAnsi="宋体" w:hint="eastAsia"/>
        </w:rPr>
        <w:t xml:space="preserve"> </w:t>
      </w:r>
    </w:p>
    <w:p w:rsidR="00133C4D" w:rsidRDefault="009865E7">
      <w:pPr>
        <w:pStyle w:val="XBRLTitle2"/>
        <w:spacing w:before="156" w:line="360" w:lineRule="auto"/>
        <w:ind w:left="454"/>
      </w:pPr>
      <w:bookmarkStart w:id="360" w:name="_Toc438646482"/>
      <w:bookmarkStart w:id="361" w:name="_Toc17898229"/>
      <w:bookmarkStart w:id="362" w:name="_Toc17897970"/>
      <w:bookmarkStart w:id="363" w:name="_Toc512519530"/>
      <w:bookmarkStart w:id="364" w:name="_Toc481075098"/>
      <w:bookmarkStart w:id="365" w:name="_Toc490050050"/>
      <w:bookmarkStart w:id="366" w:name="_Toc513295879"/>
      <w:bookmarkStart w:id="367" w:name="_Toc513295942"/>
      <w:bookmarkStart w:id="368" w:name="m801_01_1733"/>
      <w:proofErr w:type="spellStart"/>
      <w:r>
        <w:rPr>
          <w:rFonts w:hAnsi="宋体" w:hint="eastAsia"/>
        </w:rPr>
        <w:t>备查文件目录</w:t>
      </w:r>
      <w:bookmarkEnd w:id="360"/>
      <w:bookmarkEnd w:id="361"/>
      <w:bookmarkEnd w:id="362"/>
      <w:bookmarkEnd w:id="363"/>
      <w:bookmarkEnd w:id="364"/>
      <w:bookmarkEnd w:id="365"/>
      <w:bookmarkEnd w:id="366"/>
      <w:bookmarkEnd w:id="367"/>
      <w:proofErr w:type="spellEnd"/>
      <w:r>
        <w:rPr>
          <w:rFonts w:hAnsi="宋体" w:hint="eastAsia"/>
        </w:rPr>
        <w:t xml:space="preserve"> </w:t>
      </w:r>
    </w:p>
    <w:p w:rsidR="00133C4D" w:rsidRDefault="009865E7">
      <w:pPr>
        <w:spacing w:line="360" w:lineRule="auto"/>
        <w:ind w:firstLineChars="200" w:firstLine="420"/>
        <w:jc w:val="left"/>
      </w:pPr>
      <w:r>
        <w:rPr>
          <w:rFonts w:ascii="宋体" w:hAnsi="宋体" w:cs="宋体" w:hint="eastAsia"/>
          <w:color w:val="000000"/>
          <w:kern w:val="0"/>
        </w:rPr>
        <w:t xml:space="preserve">1、中国证监会批准本基金设立的文件； </w:t>
      </w:r>
      <w:r>
        <w:rPr>
          <w:rFonts w:ascii="宋体" w:hAnsi="宋体" w:cs="宋体" w:hint="eastAsia"/>
          <w:color w:val="000000"/>
          <w:kern w:val="0"/>
        </w:rPr>
        <w:br/>
        <w:t xml:space="preserve">　　2、《摩根纯债债券型证券投资基金基金合同》； </w:t>
      </w:r>
      <w:r>
        <w:rPr>
          <w:rFonts w:ascii="宋体" w:hAnsi="宋体" w:cs="宋体" w:hint="eastAsia"/>
          <w:color w:val="000000"/>
          <w:kern w:val="0"/>
        </w:rPr>
        <w:br/>
        <w:t xml:space="preserve">　　3、《摩根纯债债券型证券投资基金托管协议》； </w:t>
      </w:r>
      <w:r>
        <w:rPr>
          <w:rFonts w:ascii="宋体" w:hAnsi="宋体" w:cs="宋体" w:hint="eastAsia"/>
          <w:color w:val="000000"/>
          <w:kern w:val="0"/>
        </w:rPr>
        <w:br/>
        <w:t xml:space="preserve">　　4、《摩根基金管理(中国)有限公司开放式基金业务规则》； </w:t>
      </w:r>
      <w:r>
        <w:rPr>
          <w:rFonts w:ascii="宋体" w:hAnsi="宋体" w:cs="宋体" w:hint="eastAsia"/>
          <w:color w:val="000000"/>
          <w:kern w:val="0"/>
        </w:rPr>
        <w:br/>
        <w:t xml:space="preserve">　　5、基金管理人业务资格批件、营业执照； </w:t>
      </w:r>
      <w:r>
        <w:rPr>
          <w:rFonts w:ascii="宋体" w:hAnsi="宋体" w:cs="宋体" w:hint="eastAsia"/>
          <w:color w:val="000000"/>
          <w:kern w:val="0"/>
        </w:rPr>
        <w:br/>
        <w:t xml:space="preserve">　　6、基金托管人业务资格批件和营业执照。</w:t>
      </w:r>
    </w:p>
    <w:p w:rsidR="00133C4D" w:rsidRDefault="009865E7">
      <w:pPr>
        <w:pStyle w:val="XBRLTitle2"/>
        <w:spacing w:before="156" w:line="360" w:lineRule="auto"/>
        <w:ind w:left="454"/>
      </w:pPr>
      <w:bookmarkStart w:id="369" w:name="_Toc438646483"/>
      <w:bookmarkStart w:id="370" w:name="_Toc17898230"/>
      <w:bookmarkStart w:id="371" w:name="_Toc17897971"/>
      <w:bookmarkStart w:id="372" w:name="_Toc512519531"/>
      <w:bookmarkStart w:id="373" w:name="_Toc481075099"/>
      <w:bookmarkStart w:id="374" w:name="_Toc490050051"/>
      <w:bookmarkStart w:id="375" w:name="_Toc513295880"/>
      <w:bookmarkStart w:id="376" w:name="_Toc513295943"/>
      <w:bookmarkStart w:id="377" w:name="m801_01_1734"/>
      <w:bookmarkEnd w:id="368"/>
      <w:proofErr w:type="spellStart"/>
      <w:r>
        <w:rPr>
          <w:rFonts w:hAnsi="宋体" w:hint="eastAsia"/>
        </w:rPr>
        <w:t>存放地点</w:t>
      </w:r>
      <w:bookmarkEnd w:id="369"/>
      <w:bookmarkEnd w:id="370"/>
      <w:bookmarkEnd w:id="371"/>
      <w:bookmarkEnd w:id="372"/>
      <w:bookmarkEnd w:id="373"/>
      <w:bookmarkEnd w:id="374"/>
      <w:bookmarkEnd w:id="375"/>
      <w:bookmarkEnd w:id="376"/>
      <w:proofErr w:type="spellEnd"/>
      <w:r>
        <w:rPr>
          <w:rFonts w:hAnsi="宋体" w:hint="eastAsia"/>
        </w:rPr>
        <w:t xml:space="preserve"> </w:t>
      </w:r>
    </w:p>
    <w:p w:rsidR="00133C4D" w:rsidRDefault="009865E7">
      <w:pPr>
        <w:spacing w:line="360" w:lineRule="auto"/>
        <w:ind w:firstLineChars="200" w:firstLine="420"/>
        <w:jc w:val="left"/>
      </w:pPr>
      <w:r>
        <w:rPr>
          <w:rFonts w:ascii="宋体" w:hAnsi="宋体" w:cs="宋体" w:hint="eastAsia"/>
          <w:color w:val="000000"/>
          <w:kern w:val="0"/>
        </w:rPr>
        <w:t>基金管理人或基金托管人住所。</w:t>
      </w:r>
    </w:p>
    <w:p w:rsidR="00133C4D" w:rsidRDefault="009865E7">
      <w:pPr>
        <w:pStyle w:val="XBRLTitle2"/>
        <w:spacing w:before="156" w:line="360" w:lineRule="auto"/>
        <w:ind w:left="454"/>
      </w:pPr>
      <w:bookmarkStart w:id="378" w:name="_Toc438646484"/>
      <w:bookmarkStart w:id="379" w:name="_Toc17898231"/>
      <w:bookmarkStart w:id="380" w:name="_Toc17897972"/>
      <w:bookmarkStart w:id="381" w:name="_Toc512519532"/>
      <w:bookmarkStart w:id="382" w:name="_Toc481075100"/>
      <w:bookmarkStart w:id="383" w:name="_Toc490050052"/>
      <w:bookmarkStart w:id="384" w:name="_Toc513295881"/>
      <w:bookmarkStart w:id="385" w:name="_Toc513295944"/>
      <w:bookmarkStart w:id="386" w:name="m801_01_1735"/>
      <w:bookmarkEnd w:id="377"/>
      <w:proofErr w:type="spellStart"/>
      <w:r>
        <w:rPr>
          <w:rFonts w:hAnsi="宋体" w:hint="eastAsia"/>
        </w:rPr>
        <w:t>查阅方式</w:t>
      </w:r>
      <w:bookmarkEnd w:id="378"/>
      <w:bookmarkEnd w:id="379"/>
      <w:bookmarkEnd w:id="380"/>
      <w:bookmarkEnd w:id="381"/>
      <w:bookmarkEnd w:id="382"/>
      <w:bookmarkEnd w:id="383"/>
      <w:bookmarkEnd w:id="384"/>
      <w:bookmarkEnd w:id="385"/>
      <w:proofErr w:type="spellEnd"/>
      <w:r>
        <w:rPr>
          <w:rFonts w:hAnsi="宋体" w:hint="eastAsia"/>
        </w:rPr>
        <w:t xml:space="preserve"> </w:t>
      </w:r>
    </w:p>
    <w:p w:rsidR="00133C4D" w:rsidRDefault="009865E7">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6"/>
    <w:p w:rsidR="00133C4D" w:rsidRDefault="009865E7">
      <w:pPr>
        <w:spacing w:line="360" w:lineRule="auto"/>
        <w:ind w:firstLineChars="600" w:firstLine="1687"/>
        <w:jc w:val="left"/>
      </w:pPr>
      <w:r>
        <w:rPr>
          <w:rFonts w:ascii="宋体" w:hAnsi="宋体" w:hint="eastAsia"/>
          <w:b/>
          <w:bCs/>
          <w:sz w:val="28"/>
          <w:szCs w:val="30"/>
        </w:rPr>
        <w:t xml:space="preserve">　 </w:t>
      </w:r>
    </w:p>
    <w:p w:rsidR="00133C4D" w:rsidRDefault="009865E7">
      <w:pPr>
        <w:spacing w:line="360" w:lineRule="auto"/>
        <w:ind w:firstLineChars="600" w:firstLine="1687"/>
        <w:jc w:val="left"/>
      </w:pPr>
      <w:r>
        <w:rPr>
          <w:rFonts w:ascii="宋体" w:hAnsi="宋体" w:hint="eastAsia"/>
          <w:b/>
          <w:bCs/>
          <w:sz w:val="28"/>
          <w:szCs w:val="30"/>
        </w:rPr>
        <w:lastRenderedPageBreak/>
        <w:t xml:space="preserve">　 </w:t>
      </w:r>
    </w:p>
    <w:p w:rsidR="00133C4D" w:rsidRDefault="009865E7">
      <w:pPr>
        <w:spacing w:line="360" w:lineRule="auto"/>
        <w:ind w:firstLineChars="600" w:firstLine="1446"/>
        <w:jc w:val="right"/>
      </w:pPr>
      <w:r>
        <w:rPr>
          <w:rFonts w:ascii="宋体" w:hAnsi="宋体" w:hint="eastAsia"/>
          <w:b/>
          <w:bCs/>
          <w:sz w:val="24"/>
          <w:szCs w:val="24"/>
        </w:rPr>
        <w:t>摩根基金管理（中国）有限公司</w:t>
      </w:r>
    </w:p>
    <w:p w:rsidR="00133C4D" w:rsidRDefault="009865E7">
      <w:pPr>
        <w:spacing w:line="360" w:lineRule="auto"/>
        <w:ind w:firstLineChars="600" w:firstLine="1446"/>
        <w:jc w:val="right"/>
      </w:pPr>
      <w:bookmarkStart w:id="387" w:name="_GoBack"/>
      <w:bookmarkEnd w:id="387"/>
      <w:r>
        <w:rPr>
          <w:rFonts w:ascii="宋体" w:hAnsi="宋体" w:hint="eastAsia"/>
          <w:b/>
          <w:bCs/>
          <w:sz w:val="24"/>
          <w:szCs w:val="24"/>
        </w:rPr>
        <w:t>2025年4月22日</w:t>
      </w:r>
      <w:bookmarkEnd w:id="23"/>
    </w:p>
    <w:sectPr w:rsidR="00133C4D">
      <w:headerReference w:type="default" r:id="rId11"/>
      <w:footerReference w:type="default" r:id="rId12"/>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C4D" w:rsidRDefault="009865E7">
      <w:pPr>
        <w:rPr>
          <w:szCs w:val="21"/>
        </w:rPr>
      </w:pPr>
      <w:r>
        <w:rPr>
          <w:szCs w:val="21"/>
        </w:rPr>
        <w:separator/>
      </w:r>
      <w:r>
        <w:rPr>
          <w:szCs w:val="21"/>
        </w:rPr>
        <w:t xml:space="preserve"> </w:t>
      </w:r>
    </w:p>
  </w:endnote>
  <w:endnote w:type="continuationSeparator" w:id="0">
    <w:p w:rsidR="00133C4D" w:rsidRDefault="009865E7">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4D" w:rsidRDefault="009865E7">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6A5099">
      <w:rPr>
        <w:rFonts w:ascii="宋体" w:hAnsi="宋体"/>
        <w:noProof/>
        <w:sz w:val="18"/>
        <w:szCs w:val="18"/>
      </w:rPr>
      <w:t>13</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6A5099">
      <w:rPr>
        <w:rFonts w:ascii="宋体" w:hAnsi="宋体"/>
        <w:noProof/>
        <w:sz w:val="18"/>
        <w:szCs w:val="18"/>
      </w:rPr>
      <w:t>13</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C4D" w:rsidRDefault="009865E7">
      <w:pPr>
        <w:rPr>
          <w:szCs w:val="21"/>
        </w:rPr>
      </w:pPr>
      <w:r>
        <w:rPr>
          <w:szCs w:val="21"/>
        </w:rPr>
        <w:separator/>
      </w:r>
      <w:r>
        <w:rPr>
          <w:szCs w:val="21"/>
        </w:rPr>
        <w:t xml:space="preserve"> </w:t>
      </w:r>
    </w:p>
  </w:footnote>
  <w:footnote w:type="continuationSeparator" w:id="0">
    <w:p w:rsidR="00133C4D" w:rsidRDefault="009865E7">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4D" w:rsidRDefault="009865E7">
    <w:pPr>
      <w:pStyle w:val="a8"/>
      <w:jc w:val="right"/>
    </w:pPr>
    <w:proofErr w:type="gramStart"/>
    <w:r>
      <w:rPr>
        <w:rFonts w:ascii="宋体" w:hAnsi="宋体" w:hint="eastAsia"/>
      </w:rPr>
      <w:t>摩根纯债债券</w:t>
    </w:r>
    <w:proofErr w:type="gramEnd"/>
    <w:r>
      <w:rPr>
        <w:rFonts w:ascii="宋体" w:hAnsi="宋体" w:hint="eastAsia"/>
      </w:rPr>
      <w:t>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E7"/>
    <w:rsid w:val="00133C4D"/>
    <w:rsid w:val="006A5099"/>
    <w:rsid w:val="00986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AF5109D7-4EF0-4309-9B98-714978CC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1427">
      <w:marLeft w:val="0"/>
      <w:marRight w:val="0"/>
      <w:marTop w:val="0"/>
      <w:marBottom w:val="0"/>
      <w:divBdr>
        <w:top w:val="none" w:sz="0" w:space="0" w:color="auto"/>
        <w:left w:val="none" w:sz="0" w:space="0" w:color="auto"/>
        <w:bottom w:val="none" w:sz="0" w:space="0" w:color="auto"/>
        <w:right w:val="none" w:sz="0" w:space="0" w:color="auto"/>
      </w:divBdr>
    </w:div>
    <w:div w:id="53043061">
      <w:marLeft w:val="0"/>
      <w:marRight w:val="0"/>
      <w:marTop w:val="0"/>
      <w:marBottom w:val="0"/>
      <w:divBdr>
        <w:top w:val="none" w:sz="0" w:space="0" w:color="auto"/>
        <w:left w:val="none" w:sz="0" w:space="0" w:color="auto"/>
        <w:bottom w:val="none" w:sz="0" w:space="0" w:color="auto"/>
        <w:right w:val="none" w:sz="0" w:space="0" w:color="auto"/>
      </w:divBdr>
      <w:divsChild>
        <w:div w:id="65347773">
          <w:marLeft w:val="0"/>
          <w:marRight w:val="0"/>
          <w:marTop w:val="0"/>
          <w:marBottom w:val="0"/>
          <w:divBdr>
            <w:top w:val="none" w:sz="0" w:space="0" w:color="auto"/>
            <w:left w:val="none" w:sz="0" w:space="0" w:color="auto"/>
            <w:bottom w:val="none" w:sz="0" w:space="0" w:color="auto"/>
            <w:right w:val="none" w:sz="0" w:space="0" w:color="auto"/>
          </w:divBdr>
        </w:div>
      </w:divsChild>
    </w:div>
    <w:div w:id="216475460">
      <w:marLeft w:val="0"/>
      <w:marRight w:val="0"/>
      <w:marTop w:val="0"/>
      <w:marBottom w:val="0"/>
      <w:divBdr>
        <w:top w:val="none" w:sz="0" w:space="0" w:color="auto"/>
        <w:left w:val="none" w:sz="0" w:space="0" w:color="auto"/>
        <w:bottom w:val="none" w:sz="0" w:space="0" w:color="auto"/>
        <w:right w:val="none" w:sz="0" w:space="0" w:color="auto"/>
      </w:divBdr>
      <w:divsChild>
        <w:div w:id="186406595">
          <w:marLeft w:val="0"/>
          <w:marRight w:val="0"/>
          <w:marTop w:val="0"/>
          <w:marBottom w:val="0"/>
          <w:divBdr>
            <w:top w:val="none" w:sz="0" w:space="0" w:color="auto"/>
            <w:left w:val="none" w:sz="0" w:space="0" w:color="auto"/>
            <w:bottom w:val="none" w:sz="0" w:space="0" w:color="auto"/>
            <w:right w:val="none" w:sz="0" w:space="0" w:color="auto"/>
          </w:divBdr>
        </w:div>
      </w:divsChild>
    </w:div>
    <w:div w:id="499123684">
      <w:marLeft w:val="0"/>
      <w:marRight w:val="0"/>
      <w:marTop w:val="0"/>
      <w:marBottom w:val="0"/>
      <w:divBdr>
        <w:top w:val="none" w:sz="0" w:space="0" w:color="auto"/>
        <w:left w:val="none" w:sz="0" w:space="0" w:color="auto"/>
        <w:bottom w:val="none" w:sz="0" w:space="0" w:color="auto"/>
        <w:right w:val="none" w:sz="0" w:space="0" w:color="auto"/>
      </w:divBdr>
    </w:div>
    <w:div w:id="515003074">
      <w:marLeft w:val="0"/>
      <w:marRight w:val="0"/>
      <w:marTop w:val="0"/>
      <w:marBottom w:val="0"/>
      <w:divBdr>
        <w:top w:val="none" w:sz="0" w:space="0" w:color="auto"/>
        <w:left w:val="none" w:sz="0" w:space="0" w:color="auto"/>
        <w:bottom w:val="none" w:sz="0" w:space="0" w:color="auto"/>
        <w:right w:val="none" w:sz="0" w:space="0" w:color="auto"/>
      </w:divBdr>
    </w:div>
    <w:div w:id="536086518">
      <w:marLeft w:val="0"/>
      <w:marRight w:val="0"/>
      <w:marTop w:val="0"/>
      <w:marBottom w:val="0"/>
      <w:divBdr>
        <w:top w:val="none" w:sz="0" w:space="0" w:color="auto"/>
        <w:left w:val="none" w:sz="0" w:space="0" w:color="auto"/>
        <w:bottom w:val="none" w:sz="0" w:space="0" w:color="auto"/>
        <w:right w:val="none" w:sz="0" w:space="0" w:color="auto"/>
      </w:divBdr>
    </w:div>
    <w:div w:id="747458272">
      <w:marLeft w:val="0"/>
      <w:marRight w:val="0"/>
      <w:marTop w:val="0"/>
      <w:marBottom w:val="0"/>
      <w:divBdr>
        <w:top w:val="none" w:sz="0" w:space="0" w:color="auto"/>
        <w:left w:val="none" w:sz="0" w:space="0" w:color="auto"/>
        <w:bottom w:val="none" w:sz="0" w:space="0" w:color="auto"/>
        <w:right w:val="none" w:sz="0" w:space="0" w:color="auto"/>
      </w:divBdr>
    </w:div>
    <w:div w:id="839584325">
      <w:marLeft w:val="0"/>
      <w:marRight w:val="0"/>
      <w:marTop w:val="0"/>
      <w:marBottom w:val="0"/>
      <w:divBdr>
        <w:top w:val="none" w:sz="0" w:space="0" w:color="auto"/>
        <w:left w:val="none" w:sz="0" w:space="0" w:color="auto"/>
        <w:bottom w:val="none" w:sz="0" w:space="0" w:color="auto"/>
        <w:right w:val="none" w:sz="0" w:space="0" w:color="auto"/>
      </w:divBdr>
      <w:divsChild>
        <w:div w:id="1697611062">
          <w:marLeft w:val="0"/>
          <w:marRight w:val="0"/>
          <w:marTop w:val="0"/>
          <w:marBottom w:val="0"/>
          <w:divBdr>
            <w:top w:val="none" w:sz="0" w:space="0" w:color="auto"/>
            <w:left w:val="none" w:sz="0" w:space="0" w:color="auto"/>
            <w:bottom w:val="none" w:sz="0" w:space="0" w:color="auto"/>
            <w:right w:val="none" w:sz="0" w:space="0" w:color="auto"/>
          </w:divBdr>
        </w:div>
        <w:div w:id="226913893">
          <w:marLeft w:val="0"/>
          <w:marRight w:val="0"/>
          <w:marTop w:val="0"/>
          <w:marBottom w:val="0"/>
          <w:divBdr>
            <w:top w:val="none" w:sz="0" w:space="0" w:color="auto"/>
            <w:left w:val="none" w:sz="0" w:space="0" w:color="auto"/>
            <w:bottom w:val="none" w:sz="0" w:space="0" w:color="auto"/>
            <w:right w:val="none" w:sz="0" w:space="0" w:color="auto"/>
          </w:divBdr>
        </w:div>
        <w:div w:id="838082990">
          <w:marLeft w:val="0"/>
          <w:marRight w:val="0"/>
          <w:marTop w:val="0"/>
          <w:marBottom w:val="0"/>
          <w:divBdr>
            <w:top w:val="none" w:sz="0" w:space="0" w:color="auto"/>
            <w:left w:val="none" w:sz="0" w:space="0" w:color="auto"/>
            <w:bottom w:val="none" w:sz="0" w:space="0" w:color="auto"/>
            <w:right w:val="none" w:sz="0" w:space="0" w:color="auto"/>
          </w:divBdr>
        </w:div>
      </w:divsChild>
    </w:div>
    <w:div w:id="875434620">
      <w:marLeft w:val="0"/>
      <w:marRight w:val="0"/>
      <w:marTop w:val="0"/>
      <w:marBottom w:val="0"/>
      <w:divBdr>
        <w:top w:val="none" w:sz="0" w:space="0" w:color="auto"/>
        <w:left w:val="none" w:sz="0" w:space="0" w:color="auto"/>
        <w:bottom w:val="none" w:sz="0" w:space="0" w:color="auto"/>
        <w:right w:val="none" w:sz="0" w:space="0" w:color="auto"/>
      </w:divBdr>
    </w:div>
    <w:div w:id="898393896">
      <w:marLeft w:val="0"/>
      <w:marRight w:val="0"/>
      <w:marTop w:val="0"/>
      <w:marBottom w:val="0"/>
      <w:divBdr>
        <w:top w:val="none" w:sz="0" w:space="0" w:color="auto"/>
        <w:left w:val="none" w:sz="0" w:space="0" w:color="auto"/>
        <w:bottom w:val="none" w:sz="0" w:space="0" w:color="auto"/>
        <w:right w:val="none" w:sz="0" w:space="0" w:color="auto"/>
      </w:divBdr>
    </w:div>
    <w:div w:id="1125386054">
      <w:marLeft w:val="0"/>
      <w:marRight w:val="0"/>
      <w:marTop w:val="0"/>
      <w:marBottom w:val="0"/>
      <w:divBdr>
        <w:top w:val="none" w:sz="0" w:space="0" w:color="auto"/>
        <w:left w:val="none" w:sz="0" w:space="0" w:color="auto"/>
        <w:bottom w:val="none" w:sz="0" w:space="0" w:color="auto"/>
        <w:right w:val="none" w:sz="0" w:space="0" w:color="auto"/>
      </w:divBdr>
      <w:divsChild>
        <w:div w:id="88934546">
          <w:marLeft w:val="0"/>
          <w:marRight w:val="0"/>
          <w:marTop w:val="0"/>
          <w:marBottom w:val="0"/>
          <w:divBdr>
            <w:top w:val="none" w:sz="0" w:space="0" w:color="auto"/>
            <w:left w:val="none" w:sz="0" w:space="0" w:color="auto"/>
            <w:bottom w:val="none" w:sz="0" w:space="0" w:color="auto"/>
            <w:right w:val="none" w:sz="0" w:space="0" w:color="auto"/>
          </w:divBdr>
        </w:div>
      </w:divsChild>
    </w:div>
    <w:div w:id="1138379696">
      <w:marLeft w:val="0"/>
      <w:marRight w:val="0"/>
      <w:marTop w:val="0"/>
      <w:marBottom w:val="0"/>
      <w:divBdr>
        <w:top w:val="none" w:sz="0" w:space="0" w:color="auto"/>
        <w:left w:val="none" w:sz="0" w:space="0" w:color="auto"/>
        <w:bottom w:val="none" w:sz="0" w:space="0" w:color="auto"/>
        <w:right w:val="none" w:sz="0" w:space="0" w:color="auto"/>
      </w:divBdr>
      <w:divsChild>
        <w:div w:id="784421115">
          <w:marLeft w:val="0"/>
          <w:marRight w:val="0"/>
          <w:marTop w:val="0"/>
          <w:marBottom w:val="0"/>
          <w:divBdr>
            <w:top w:val="none" w:sz="0" w:space="0" w:color="auto"/>
            <w:left w:val="none" w:sz="0" w:space="0" w:color="auto"/>
            <w:bottom w:val="none" w:sz="0" w:space="0" w:color="auto"/>
            <w:right w:val="none" w:sz="0" w:space="0" w:color="auto"/>
          </w:divBdr>
        </w:div>
      </w:divsChild>
    </w:div>
    <w:div w:id="1227180004">
      <w:marLeft w:val="0"/>
      <w:marRight w:val="0"/>
      <w:marTop w:val="0"/>
      <w:marBottom w:val="0"/>
      <w:divBdr>
        <w:top w:val="none" w:sz="0" w:space="0" w:color="auto"/>
        <w:left w:val="none" w:sz="0" w:space="0" w:color="auto"/>
        <w:bottom w:val="none" w:sz="0" w:space="0" w:color="auto"/>
        <w:right w:val="none" w:sz="0" w:space="0" w:color="auto"/>
      </w:divBdr>
    </w:div>
    <w:div w:id="1433086253">
      <w:marLeft w:val="0"/>
      <w:marRight w:val="0"/>
      <w:marTop w:val="0"/>
      <w:marBottom w:val="0"/>
      <w:divBdr>
        <w:top w:val="none" w:sz="0" w:space="0" w:color="auto"/>
        <w:left w:val="none" w:sz="0" w:space="0" w:color="auto"/>
        <w:bottom w:val="none" w:sz="0" w:space="0" w:color="auto"/>
        <w:right w:val="none" w:sz="0" w:space="0" w:color="auto"/>
      </w:divBdr>
      <w:divsChild>
        <w:div w:id="891623151">
          <w:marLeft w:val="0"/>
          <w:marRight w:val="0"/>
          <w:marTop w:val="0"/>
          <w:marBottom w:val="0"/>
          <w:divBdr>
            <w:top w:val="none" w:sz="0" w:space="0" w:color="auto"/>
            <w:left w:val="none" w:sz="0" w:space="0" w:color="auto"/>
            <w:bottom w:val="none" w:sz="0" w:space="0" w:color="auto"/>
            <w:right w:val="none" w:sz="0" w:space="0" w:color="auto"/>
          </w:divBdr>
        </w:div>
      </w:divsChild>
    </w:div>
    <w:div w:id="1436554874">
      <w:marLeft w:val="0"/>
      <w:marRight w:val="0"/>
      <w:marTop w:val="0"/>
      <w:marBottom w:val="0"/>
      <w:divBdr>
        <w:top w:val="none" w:sz="0" w:space="0" w:color="auto"/>
        <w:left w:val="none" w:sz="0" w:space="0" w:color="auto"/>
        <w:bottom w:val="none" w:sz="0" w:space="0" w:color="auto"/>
        <w:right w:val="none" w:sz="0" w:space="0" w:color="auto"/>
      </w:divBdr>
      <w:divsChild>
        <w:div w:id="1929994469">
          <w:marLeft w:val="0"/>
          <w:marRight w:val="0"/>
          <w:marTop w:val="0"/>
          <w:marBottom w:val="0"/>
          <w:divBdr>
            <w:top w:val="none" w:sz="0" w:space="0" w:color="auto"/>
            <w:left w:val="none" w:sz="0" w:space="0" w:color="auto"/>
            <w:bottom w:val="none" w:sz="0" w:space="0" w:color="auto"/>
            <w:right w:val="none" w:sz="0" w:space="0" w:color="auto"/>
          </w:divBdr>
        </w:div>
      </w:divsChild>
    </w:div>
    <w:div w:id="1589802681">
      <w:marLeft w:val="0"/>
      <w:marRight w:val="0"/>
      <w:marTop w:val="0"/>
      <w:marBottom w:val="0"/>
      <w:divBdr>
        <w:top w:val="none" w:sz="0" w:space="0" w:color="auto"/>
        <w:left w:val="none" w:sz="0" w:space="0" w:color="auto"/>
        <w:bottom w:val="none" w:sz="0" w:space="0" w:color="auto"/>
        <w:right w:val="none" w:sz="0" w:space="0" w:color="auto"/>
      </w:divBdr>
    </w:div>
    <w:div w:id="1689988167">
      <w:marLeft w:val="0"/>
      <w:marRight w:val="0"/>
      <w:marTop w:val="0"/>
      <w:marBottom w:val="0"/>
      <w:divBdr>
        <w:top w:val="none" w:sz="0" w:space="0" w:color="auto"/>
        <w:left w:val="none" w:sz="0" w:space="0" w:color="auto"/>
        <w:bottom w:val="none" w:sz="0" w:space="0" w:color="auto"/>
        <w:right w:val="none" w:sz="0" w:space="0" w:color="auto"/>
      </w:divBdr>
    </w:div>
    <w:div w:id="1741825663">
      <w:marLeft w:val="0"/>
      <w:marRight w:val="0"/>
      <w:marTop w:val="0"/>
      <w:marBottom w:val="0"/>
      <w:divBdr>
        <w:top w:val="none" w:sz="0" w:space="0" w:color="auto"/>
        <w:left w:val="none" w:sz="0" w:space="0" w:color="auto"/>
        <w:bottom w:val="none" w:sz="0" w:space="0" w:color="auto"/>
        <w:right w:val="none" w:sz="0" w:space="0" w:color="auto"/>
      </w:divBdr>
    </w:div>
    <w:div w:id="2028822767">
      <w:marLeft w:val="0"/>
      <w:marRight w:val="0"/>
      <w:marTop w:val="0"/>
      <w:marBottom w:val="0"/>
      <w:divBdr>
        <w:top w:val="none" w:sz="0" w:space="0" w:color="auto"/>
        <w:left w:val="none" w:sz="0" w:space="0" w:color="auto"/>
        <w:bottom w:val="none" w:sz="0" w:space="0" w:color="auto"/>
        <w:right w:val="none" w:sz="0" w:space="0" w:color="auto"/>
      </w:divBdr>
      <w:divsChild>
        <w:div w:id="725952147">
          <w:marLeft w:val="0"/>
          <w:marRight w:val="0"/>
          <w:marTop w:val="0"/>
          <w:marBottom w:val="0"/>
          <w:divBdr>
            <w:top w:val="none" w:sz="0" w:space="0" w:color="auto"/>
            <w:left w:val="none" w:sz="0" w:space="0" w:color="auto"/>
            <w:bottom w:val="none" w:sz="0" w:space="0" w:color="auto"/>
            <w:right w:val="none" w:sz="0" w:space="0" w:color="auto"/>
          </w:divBdr>
        </w:div>
      </w:divsChild>
    </w:div>
    <w:div w:id="2086107794">
      <w:marLeft w:val="0"/>
      <w:marRight w:val="0"/>
      <w:marTop w:val="0"/>
      <w:marBottom w:val="0"/>
      <w:divBdr>
        <w:top w:val="none" w:sz="0" w:space="0" w:color="auto"/>
        <w:left w:val="none" w:sz="0" w:space="0" w:color="auto"/>
        <w:bottom w:val="none" w:sz="0" w:space="0" w:color="auto"/>
        <w:right w:val="none" w:sz="0" w:space="0" w:color="auto"/>
      </w:divBdr>
    </w:div>
    <w:div w:id="2120099048">
      <w:marLeft w:val="0"/>
      <w:marRight w:val="0"/>
      <w:marTop w:val="0"/>
      <w:marBottom w:val="0"/>
      <w:divBdr>
        <w:top w:val="none" w:sz="0" w:space="0" w:color="auto"/>
        <w:left w:val="none" w:sz="0" w:space="0" w:color="auto"/>
        <w:bottom w:val="none" w:sz="0" w:space="0" w:color="auto"/>
        <w:right w:val="none" w:sz="0" w:space="0" w:color="auto"/>
      </w:divBdr>
    </w:div>
    <w:div w:id="21262643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974C6-489E-44FE-9A75-F50FC53B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5932</Words>
  <Characters>2736</Characters>
  <Application>Microsoft Office Word</Application>
  <DocSecurity>0</DocSecurity>
  <Lines>22</Lines>
  <Paragraphs>17</Paragraphs>
  <ScaleCrop>false</ScaleCrop>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Heming.Huang@TA</cp:lastModifiedBy>
  <cp:revision>3</cp:revision>
  <dcterms:created xsi:type="dcterms:W3CDTF">2025-04-15T12:19:00Z</dcterms:created>
  <dcterms:modified xsi:type="dcterms:W3CDTF">2025-04-21T06:56:00Z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