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上投摩根纯债债券型证券投资基金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报告送出日期：二〇二三年一月二十日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上投摩根纯债债券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371020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2009</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24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108,669,320.36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本基金将根据对利率趋势的预判，适时规划与调整组合目标久期，结合主动性资产配置，在严格控制组合投资风险的同时，提高基金资产流动性与收益性水平，以追求超过业绩比较基准的投资回报。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C4F29" w:rsidRDefault="0035683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、目标久期管理策略</w:t>
            </w:r>
          </w:p>
          <w:p w:rsidR="007C4F29" w:rsidRDefault="0035683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标久期管理将优化固定收益投资的安全性、收益性与流动性。本基金严格遵循投资流程，对宏观经济、财政货币政策、市场利率水平及债券发行主体的信用情况等因素进行深入研究，通过审慎把握利率期限结构的变动趋势，适</w:t>
            </w:r>
            <w:r>
              <w:rPr>
                <w:rFonts w:eastAsiaTheme="minorEastAsia"/>
                <w:color w:val="000000" w:themeColor="text1"/>
                <w:kern w:val="0"/>
                <w:szCs w:val="21"/>
              </w:rPr>
              <w:lastRenderedPageBreak/>
              <w:t>时制定目标久期管理计划，通过合理的资产配置及组合目标久期管理，控制投资风险，追求可持续的、超出业绩比较基准的投资收益。</w:t>
            </w:r>
          </w:p>
          <w:p w:rsidR="007C4F29" w:rsidRDefault="0035683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、可转换公司债券（包括分离交易可转债）的投资策略</w:t>
            </w:r>
          </w:p>
          <w:p w:rsidR="007C4F29" w:rsidRDefault="0035683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可转换债券兼具权益类证券与固定收益类证券的特性</w:t>
            </w:r>
            <w:r>
              <w:rPr>
                <w:rFonts w:eastAsiaTheme="minorEastAsia"/>
                <w:color w:val="000000" w:themeColor="text1"/>
                <w:kern w:val="0"/>
                <w:szCs w:val="21"/>
              </w:rPr>
              <w:t>,</w:t>
            </w:r>
            <w:r>
              <w:rPr>
                <w:rFonts w:eastAsiaTheme="minorEastAsia"/>
                <w:color w:val="000000" w:themeColor="text1"/>
                <w:kern w:val="0"/>
                <w:szCs w:val="21"/>
              </w:rPr>
              <w:t>具有抵御下行风险、分享股票价格上涨收益的特点。本基金在对发债券公司基本面和可转债条款进行深入</w:t>
            </w:r>
            <w:r>
              <w:rPr>
                <w:rFonts w:eastAsiaTheme="minorEastAsia"/>
                <w:color w:val="000000" w:themeColor="text1"/>
                <w:kern w:val="0"/>
                <w:szCs w:val="21"/>
              </w:rPr>
              <w:t>研究的基础上，以其纯债价值作为评价的主要标准，利用可转换公司债券定价等数量化估值工具评定其投资价值，投资于公司基本素质优良、具有较高安全边际和良好流动性的可转换公司债券，获取稳健的投资回报。</w:t>
            </w:r>
          </w:p>
          <w:p w:rsidR="007C4F29" w:rsidRDefault="0035683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、资产支持证券投资策略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补偿程度等方面对资产支持证券各个分支的风险与收益状况进行评估，在严格控制风险的情况下，确定资产合理配置比例，在保证资产安全性的前提条件下，以期获得长期稳定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本基金的业绩比较基准为中国债券总指数。</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7C4F29" w:rsidRDefault="0035683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本基金是债券型基金，在证券投资基金中属于较低风险品种，其预期风险收益水平低于股票型基金，高于货币市场基金。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w:t>
            </w:r>
            <w:r w:rsidRPr="00B27A29">
              <w:rPr>
                <w:rFonts w:eastAsiaTheme="minorEastAsia"/>
                <w:color w:val="000000" w:themeColor="text1"/>
                <w:kern w:val="0"/>
                <w:szCs w:val="21"/>
              </w:rPr>
              <w:lastRenderedPageBreak/>
              <w:t>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上投摩根纯债债券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上投摩根纯债债券</w:t>
            </w:r>
            <w:r w:rsidRPr="00B27A29">
              <w:rPr>
                <w:rFonts w:eastAsiaTheme="minorEastAsia"/>
                <w:color w:val="000000" w:themeColor="text1"/>
                <w:szCs w:val="21"/>
              </w:rPr>
              <w:t>B</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371020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371120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69,074,626.46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39,594,693.90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上投摩根纯债债券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上投摩根纯债债券</w:t>
            </w:r>
            <w:r w:rsidRPr="00B27A29">
              <w:rPr>
                <w:rFonts w:eastAsiaTheme="minorEastAsia"/>
                <w:color w:val="000000" w:themeColor="text1"/>
                <w:szCs w:val="21"/>
              </w:rPr>
              <w:t>B</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-308,374.68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-217,081.06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-853,025.97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-515,688.04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-0.0127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88,456,147.64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49,576,881.68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1.2521</w:t>
            </w:r>
          </w:p>
        </w:tc>
      </w:tr>
    </w:tbl>
    <w:p w:rsidR="007C4F29" w:rsidRDefault="003568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上投摩根纯债债券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C4F29">
        <w:tc>
          <w:tcPr>
            <w:tcW w:w="1290" w:type="dxa"/>
            <w:vAlign w:val="center"/>
          </w:tcPr>
          <w:p w:rsidR="007C4F29" w:rsidRDefault="0035683B">
            <w:pPr>
              <w:jc w:val="left"/>
            </w:pPr>
            <w:r>
              <w:rPr>
                <w:rFonts w:eastAsiaTheme="minorEastAsia"/>
                <w:color w:val="000000" w:themeColor="text1"/>
                <w:szCs w:val="21"/>
              </w:rPr>
              <w:t>过去三个月</w:t>
            </w:r>
          </w:p>
        </w:tc>
        <w:tc>
          <w:tcPr>
            <w:tcW w:w="1291" w:type="dxa"/>
            <w:vAlign w:val="center"/>
          </w:tcPr>
          <w:p w:rsidR="007C4F29" w:rsidRDefault="0035683B">
            <w:pPr>
              <w:jc w:val="right"/>
            </w:pPr>
            <w:r>
              <w:rPr>
                <w:rFonts w:eastAsiaTheme="minorEastAsia"/>
                <w:color w:val="000000" w:themeColor="text1"/>
                <w:szCs w:val="21"/>
              </w:rPr>
              <w:t>-0.92%</w:t>
            </w:r>
          </w:p>
        </w:tc>
        <w:tc>
          <w:tcPr>
            <w:tcW w:w="1291" w:type="dxa"/>
            <w:vAlign w:val="center"/>
          </w:tcPr>
          <w:p w:rsidR="007C4F29" w:rsidRDefault="0035683B">
            <w:pPr>
              <w:jc w:val="right"/>
            </w:pPr>
            <w:r>
              <w:rPr>
                <w:rFonts w:eastAsiaTheme="minorEastAsia"/>
                <w:color w:val="000000" w:themeColor="text1"/>
                <w:szCs w:val="21"/>
              </w:rPr>
              <w:t>0.13%</w:t>
            </w:r>
          </w:p>
        </w:tc>
        <w:tc>
          <w:tcPr>
            <w:tcW w:w="1291" w:type="dxa"/>
            <w:vAlign w:val="center"/>
          </w:tcPr>
          <w:p w:rsidR="007C4F29" w:rsidRDefault="0035683B">
            <w:pPr>
              <w:jc w:val="right"/>
            </w:pPr>
            <w:r>
              <w:rPr>
                <w:rFonts w:eastAsiaTheme="minorEastAsia"/>
                <w:color w:val="000000" w:themeColor="text1"/>
                <w:szCs w:val="21"/>
              </w:rPr>
              <w:t>-0.38%</w:t>
            </w:r>
          </w:p>
        </w:tc>
        <w:tc>
          <w:tcPr>
            <w:tcW w:w="1291" w:type="dxa"/>
            <w:vAlign w:val="center"/>
          </w:tcPr>
          <w:p w:rsidR="007C4F29" w:rsidRDefault="0035683B">
            <w:pPr>
              <w:jc w:val="right"/>
            </w:pPr>
            <w:r>
              <w:rPr>
                <w:rFonts w:eastAsiaTheme="minorEastAsia"/>
                <w:color w:val="000000" w:themeColor="text1"/>
                <w:szCs w:val="21"/>
              </w:rPr>
              <w:t>0.11%</w:t>
            </w:r>
          </w:p>
        </w:tc>
        <w:tc>
          <w:tcPr>
            <w:tcW w:w="1291" w:type="dxa"/>
            <w:vAlign w:val="center"/>
          </w:tcPr>
          <w:p w:rsidR="007C4F29" w:rsidRDefault="0035683B">
            <w:pPr>
              <w:jc w:val="right"/>
            </w:pPr>
            <w:r>
              <w:rPr>
                <w:rFonts w:eastAsiaTheme="minorEastAsia"/>
                <w:color w:val="000000" w:themeColor="text1"/>
                <w:szCs w:val="21"/>
              </w:rPr>
              <w:t>-0.54%</w:t>
            </w:r>
          </w:p>
        </w:tc>
        <w:tc>
          <w:tcPr>
            <w:tcW w:w="1291" w:type="dxa"/>
            <w:vAlign w:val="center"/>
          </w:tcPr>
          <w:p w:rsidR="007C4F29" w:rsidRDefault="0035683B">
            <w:pPr>
              <w:jc w:val="right"/>
            </w:pPr>
            <w:r>
              <w:rPr>
                <w:rFonts w:eastAsiaTheme="minorEastAsia"/>
                <w:color w:val="000000" w:themeColor="text1"/>
                <w:szCs w:val="21"/>
              </w:rPr>
              <w:t>0.02%</w:t>
            </w:r>
          </w:p>
        </w:tc>
      </w:tr>
      <w:tr w:rsidR="007C4F29">
        <w:tc>
          <w:tcPr>
            <w:tcW w:w="1290" w:type="dxa"/>
            <w:vAlign w:val="center"/>
          </w:tcPr>
          <w:p w:rsidR="007C4F29" w:rsidRDefault="0035683B">
            <w:pPr>
              <w:jc w:val="left"/>
            </w:pPr>
            <w:r>
              <w:rPr>
                <w:rFonts w:eastAsiaTheme="minorEastAsia"/>
                <w:color w:val="000000" w:themeColor="text1"/>
                <w:szCs w:val="21"/>
              </w:rPr>
              <w:t>过去六个月</w:t>
            </w:r>
          </w:p>
        </w:tc>
        <w:tc>
          <w:tcPr>
            <w:tcW w:w="1291" w:type="dxa"/>
            <w:vAlign w:val="center"/>
          </w:tcPr>
          <w:p w:rsidR="007C4F29" w:rsidRDefault="0035683B">
            <w:pPr>
              <w:jc w:val="right"/>
            </w:pPr>
            <w:r>
              <w:rPr>
                <w:rFonts w:eastAsiaTheme="minorEastAsia"/>
                <w:color w:val="000000" w:themeColor="text1"/>
                <w:szCs w:val="21"/>
              </w:rPr>
              <w:t>-2.00%</w:t>
            </w:r>
          </w:p>
        </w:tc>
        <w:tc>
          <w:tcPr>
            <w:tcW w:w="1291" w:type="dxa"/>
            <w:vAlign w:val="center"/>
          </w:tcPr>
          <w:p w:rsidR="007C4F29" w:rsidRDefault="0035683B">
            <w:pPr>
              <w:jc w:val="right"/>
            </w:pPr>
            <w:r>
              <w:rPr>
                <w:rFonts w:eastAsiaTheme="minorEastAsia"/>
                <w:color w:val="000000" w:themeColor="text1"/>
                <w:szCs w:val="21"/>
              </w:rPr>
              <w:t>0.15%</w:t>
            </w:r>
          </w:p>
        </w:tc>
        <w:tc>
          <w:tcPr>
            <w:tcW w:w="1291" w:type="dxa"/>
            <w:vAlign w:val="center"/>
          </w:tcPr>
          <w:p w:rsidR="007C4F29" w:rsidRDefault="0035683B">
            <w:pPr>
              <w:jc w:val="right"/>
            </w:pPr>
            <w:r>
              <w:rPr>
                <w:rFonts w:eastAsiaTheme="minorEastAsia"/>
                <w:color w:val="000000" w:themeColor="text1"/>
                <w:szCs w:val="21"/>
              </w:rPr>
              <w:t>0.48%</w:t>
            </w:r>
          </w:p>
        </w:tc>
        <w:tc>
          <w:tcPr>
            <w:tcW w:w="1291" w:type="dxa"/>
            <w:vAlign w:val="center"/>
          </w:tcPr>
          <w:p w:rsidR="007C4F29" w:rsidRDefault="0035683B">
            <w:pPr>
              <w:jc w:val="right"/>
            </w:pPr>
            <w:r>
              <w:rPr>
                <w:rFonts w:eastAsiaTheme="minorEastAsia"/>
                <w:color w:val="000000" w:themeColor="text1"/>
                <w:szCs w:val="21"/>
              </w:rPr>
              <w:t>0.10%</w:t>
            </w:r>
          </w:p>
        </w:tc>
        <w:tc>
          <w:tcPr>
            <w:tcW w:w="1291" w:type="dxa"/>
            <w:vAlign w:val="center"/>
          </w:tcPr>
          <w:p w:rsidR="007C4F29" w:rsidRDefault="0035683B">
            <w:pPr>
              <w:jc w:val="right"/>
            </w:pPr>
            <w:r>
              <w:rPr>
                <w:rFonts w:eastAsiaTheme="minorEastAsia"/>
                <w:color w:val="000000" w:themeColor="text1"/>
                <w:szCs w:val="21"/>
              </w:rPr>
              <w:t>-2.48%</w:t>
            </w:r>
          </w:p>
        </w:tc>
        <w:tc>
          <w:tcPr>
            <w:tcW w:w="1291" w:type="dxa"/>
            <w:vAlign w:val="center"/>
          </w:tcPr>
          <w:p w:rsidR="007C4F29" w:rsidRDefault="0035683B">
            <w:pPr>
              <w:jc w:val="right"/>
            </w:pPr>
            <w:r>
              <w:rPr>
                <w:rFonts w:eastAsiaTheme="minorEastAsia"/>
                <w:color w:val="000000" w:themeColor="text1"/>
                <w:szCs w:val="21"/>
              </w:rPr>
              <w:t>0.05%</w:t>
            </w:r>
          </w:p>
        </w:tc>
      </w:tr>
      <w:tr w:rsidR="007C4F29">
        <w:tc>
          <w:tcPr>
            <w:tcW w:w="1290" w:type="dxa"/>
            <w:vAlign w:val="center"/>
          </w:tcPr>
          <w:p w:rsidR="007C4F29" w:rsidRDefault="0035683B">
            <w:pPr>
              <w:jc w:val="left"/>
            </w:pPr>
            <w:r>
              <w:rPr>
                <w:rFonts w:eastAsiaTheme="minorEastAsia"/>
                <w:color w:val="000000" w:themeColor="text1"/>
                <w:szCs w:val="21"/>
              </w:rPr>
              <w:t>过去一年</w:t>
            </w:r>
          </w:p>
        </w:tc>
        <w:tc>
          <w:tcPr>
            <w:tcW w:w="1291" w:type="dxa"/>
            <w:vAlign w:val="center"/>
          </w:tcPr>
          <w:p w:rsidR="007C4F29" w:rsidRDefault="0035683B">
            <w:pPr>
              <w:jc w:val="right"/>
            </w:pPr>
            <w:r>
              <w:rPr>
                <w:rFonts w:eastAsiaTheme="minorEastAsia"/>
                <w:color w:val="000000" w:themeColor="text1"/>
                <w:szCs w:val="21"/>
              </w:rPr>
              <w:t>-3.19%</w:t>
            </w:r>
          </w:p>
        </w:tc>
        <w:tc>
          <w:tcPr>
            <w:tcW w:w="1291" w:type="dxa"/>
            <w:vAlign w:val="center"/>
          </w:tcPr>
          <w:p w:rsidR="007C4F29" w:rsidRDefault="0035683B">
            <w:pPr>
              <w:jc w:val="right"/>
            </w:pPr>
            <w:r>
              <w:rPr>
                <w:rFonts w:eastAsiaTheme="minorEastAsia"/>
                <w:color w:val="000000" w:themeColor="text1"/>
                <w:szCs w:val="21"/>
              </w:rPr>
              <w:t>0.21%</w:t>
            </w:r>
          </w:p>
        </w:tc>
        <w:tc>
          <w:tcPr>
            <w:tcW w:w="1291" w:type="dxa"/>
            <w:vAlign w:val="center"/>
          </w:tcPr>
          <w:p w:rsidR="007C4F29" w:rsidRDefault="0035683B">
            <w:pPr>
              <w:jc w:val="right"/>
            </w:pPr>
            <w:r>
              <w:rPr>
                <w:rFonts w:eastAsiaTheme="minorEastAsia"/>
                <w:color w:val="000000" w:themeColor="text1"/>
                <w:szCs w:val="21"/>
              </w:rPr>
              <w:t>0.19%</w:t>
            </w:r>
          </w:p>
        </w:tc>
        <w:tc>
          <w:tcPr>
            <w:tcW w:w="1291" w:type="dxa"/>
            <w:vAlign w:val="center"/>
          </w:tcPr>
          <w:p w:rsidR="007C4F29" w:rsidRDefault="0035683B">
            <w:pPr>
              <w:jc w:val="right"/>
            </w:pPr>
            <w:r>
              <w:rPr>
                <w:rFonts w:eastAsiaTheme="minorEastAsia"/>
                <w:color w:val="000000" w:themeColor="text1"/>
                <w:szCs w:val="21"/>
              </w:rPr>
              <w:t>0.09%</w:t>
            </w:r>
          </w:p>
        </w:tc>
        <w:tc>
          <w:tcPr>
            <w:tcW w:w="1291" w:type="dxa"/>
            <w:vAlign w:val="center"/>
          </w:tcPr>
          <w:p w:rsidR="007C4F29" w:rsidRDefault="0035683B">
            <w:pPr>
              <w:jc w:val="right"/>
            </w:pPr>
            <w:r>
              <w:rPr>
                <w:rFonts w:eastAsiaTheme="minorEastAsia"/>
                <w:color w:val="000000" w:themeColor="text1"/>
                <w:szCs w:val="21"/>
              </w:rPr>
              <w:t>-3.38%</w:t>
            </w:r>
          </w:p>
        </w:tc>
        <w:tc>
          <w:tcPr>
            <w:tcW w:w="1291" w:type="dxa"/>
            <w:vAlign w:val="center"/>
          </w:tcPr>
          <w:p w:rsidR="007C4F29" w:rsidRDefault="0035683B">
            <w:pPr>
              <w:jc w:val="right"/>
            </w:pPr>
            <w:r>
              <w:rPr>
                <w:rFonts w:eastAsiaTheme="minorEastAsia"/>
                <w:color w:val="000000" w:themeColor="text1"/>
                <w:szCs w:val="21"/>
              </w:rPr>
              <w:t>0.12%</w:t>
            </w:r>
          </w:p>
        </w:tc>
      </w:tr>
      <w:tr w:rsidR="007C4F29">
        <w:tc>
          <w:tcPr>
            <w:tcW w:w="1290" w:type="dxa"/>
            <w:vAlign w:val="center"/>
          </w:tcPr>
          <w:p w:rsidR="007C4F29" w:rsidRDefault="0035683B">
            <w:pPr>
              <w:jc w:val="left"/>
            </w:pPr>
            <w:r>
              <w:rPr>
                <w:rFonts w:eastAsiaTheme="minorEastAsia"/>
                <w:color w:val="000000" w:themeColor="text1"/>
                <w:szCs w:val="21"/>
              </w:rPr>
              <w:t>过去三年</w:t>
            </w:r>
          </w:p>
        </w:tc>
        <w:tc>
          <w:tcPr>
            <w:tcW w:w="1291" w:type="dxa"/>
            <w:vAlign w:val="center"/>
          </w:tcPr>
          <w:p w:rsidR="007C4F29" w:rsidRDefault="0035683B">
            <w:pPr>
              <w:jc w:val="right"/>
            </w:pPr>
            <w:r>
              <w:rPr>
                <w:rFonts w:eastAsiaTheme="minorEastAsia"/>
                <w:color w:val="000000" w:themeColor="text1"/>
                <w:szCs w:val="21"/>
              </w:rPr>
              <w:t>7.34%</w:t>
            </w:r>
          </w:p>
        </w:tc>
        <w:tc>
          <w:tcPr>
            <w:tcW w:w="1291" w:type="dxa"/>
            <w:vAlign w:val="center"/>
          </w:tcPr>
          <w:p w:rsidR="007C4F29" w:rsidRDefault="0035683B">
            <w:pPr>
              <w:jc w:val="right"/>
            </w:pPr>
            <w:r>
              <w:rPr>
                <w:rFonts w:eastAsiaTheme="minorEastAsia"/>
                <w:color w:val="000000" w:themeColor="text1"/>
                <w:szCs w:val="21"/>
              </w:rPr>
              <w:t>0.31%</w:t>
            </w:r>
          </w:p>
        </w:tc>
        <w:tc>
          <w:tcPr>
            <w:tcW w:w="1291" w:type="dxa"/>
            <w:vAlign w:val="center"/>
          </w:tcPr>
          <w:p w:rsidR="007C4F29" w:rsidRDefault="0035683B">
            <w:pPr>
              <w:jc w:val="right"/>
            </w:pPr>
            <w:r>
              <w:rPr>
                <w:rFonts w:eastAsiaTheme="minorEastAsia"/>
                <w:color w:val="000000" w:themeColor="text1"/>
                <w:szCs w:val="21"/>
              </w:rPr>
              <w:t>2.31%</w:t>
            </w:r>
          </w:p>
        </w:tc>
        <w:tc>
          <w:tcPr>
            <w:tcW w:w="1291" w:type="dxa"/>
            <w:vAlign w:val="center"/>
          </w:tcPr>
          <w:p w:rsidR="007C4F29" w:rsidRDefault="0035683B">
            <w:pPr>
              <w:jc w:val="right"/>
            </w:pPr>
            <w:r>
              <w:rPr>
                <w:rFonts w:eastAsiaTheme="minorEastAsia"/>
                <w:color w:val="000000" w:themeColor="text1"/>
                <w:szCs w:val="21"/>
              </w:rPr>
              <w:t>0.11%</w:t>
            </w:r>
          </w:p>
        </w:tc>
        <w:tc>
          <w:tcPr>
            <w:tcW w:w="1291" w:type="dxa"/>
            <w:vAlign w:val="center"/>
          </w:tcPr>
          <w:p w:rsidR="007C4F29" w:rsidRDefault="0035683B">
            <w:pPr>
              <w:jc w:val="right"/>
            </w:pPr>
            <w:r>
              <w:rPr>
                <w:rFonts w:eastAsiaTheme="minorEastAsia"/>
                <w:color w:val="000000" w:themeColor="text1"/>
                <w:szCs w:val="21"/>
              </w:rPr>
              <w:t>5.03%</w:t>
            </w:r>
          </w:p>
        </w:tc>
        <w:tc>
          <w:tcPr>
            <w:tcW w:w="1291" w:type="dxa"/>
            <w:vAlign w:val="center"/>
          </w:tcPr>
          <w:p w:rsidR="007C4F29" w:rsidRDefault="0035683B">
            <w:pPr>
              <w:jc w:val="right"/>
            </w:pPr>
            <w:r>
              <w:rPr>
                <w:rFonts w:eastAsiaTheme="minorEastAsia"/>
                <w:color w:val="000000" w:themeColor="text1"/>
                <w:szCs w:val="21"/>
              </w:rPr>
              <w:t>0.20%</w:t>
            </w:r>
          </w:p>
        </w:tc>
      </w:tr>
      <w:tr w:rsidR="007C4F29">
        <w:tc>
          <w:tcPr>
            <w:tcW w:w="1290" w:type="dxa"/>
            <w:vAlign w:val="center"/>
          </w:tcPr>
          <w:p w:rsidR="007C4F29" w:rsidRDefault="0035683B">
            <w:pPr>
              <w:jc w:val="left"/>
            </w:pPr>
            <w:r>
              <w:rPr>
                <w:rFonts w:eastAsiaTheme="minorEastAsia"/>
                <w:color w:val="000000" w:themeColor="text1"/>
                <w:szCs w:val="21"/>
              </w:rPr>
              <w:t>过去五年</w:t>
            </w:r>
          </w:p>
        </w:tc>
        <w:tc>
          <w:tcPr>
            <w:tcW w:w="1291" w:type="dxa"/>
            <w:vAlign w:val="center"/>
          </w:tcPr>
          <w:p w:rsidR="007C4F29" w:rsidRDefault="0035683B">
            <w:pPr>
              <w:jc w:val="right"/>
            </w:pPr>
            <w:r>
              <w:rPr>
                <w:rFonts w:eastAsiaTheme="minorEastAsia"/>
                <w:color w:val="000000" w:themeColor="text1"/>
                <w:szCs w:val="21"/>
              </w:rPr>
              <w:t>16.67%</w:t>
            </w:r>
          </w:p>
        </w:tc>
        <w:tc>
          <w:tcPr>
            <w:tcW w:w="1291" w:type="dxa"/>
            <w:vAlign w:val="center"/>
          </w:tcPr>
          <w:p w:rsidR="007C4F29" w:rsidRDefault="0035683B">
            <w:pPr>
              <w:jc w:val="right"/>
            </w:pPr>
            <w:r>
              <w:rPr>
                <w:rFonts w:eastAsiaTheme="minorEastAsia"/>
                <w:color w:val="000000" w:themeColor="text1"/>
                <w:szCs w:val="21"/>
              </w:rPr>
              <w:t>0.25%</w:t>
            </w:r>
          </w:p>
        </w:tc>
        <w:tc>
          <w:tcPr>
            <w:tcW w:w="1291" w:type="dxa"/>
            <w:vAlign w:val="center"/>
          </w:tcPr>
          <w:p w:rsidR="007C4F29" w:rsidRDefault="0035683B">
            <w:pPr>
              <w:jc w:val="right"/>
            </w:pPr>
            <w:r>
              <w:rPr>
                <w:rFonts w:eastAsiaTheme="minorEastAsia"/>
                <w:color w:val="000000" w:themeColor="text1"/>
                <w:szCs w:val="21"/>
              </w:rPr>
              <w:t>9.82%</w:t>
            </w:r>
          </w:p>
        </w:tc>
        <w:tc>
          <w:tcPr>
            <w:tcW w:w="1291" w:type="dxa"/>
            <w:vAlign w:val="center"/>
          </w:tcPr>
          <w:p w:rsidR="007C4F29" w:rsidRDefault="0035683B">
            <w:pPr>
              <w:jc w:val="right"/>
            </w:pPr>
            <w:r>
              <w:rPr>
                <w:rFonts w:eastAsiaTheme="minorEastAsia"/>
                <w:color w:val="000000" w:themeColor="text1"/>
                <w:szCs w:val="21"/>
              </w:rPr>
              <w:t>0.11%</w:t>
            </w:r>
          </w:p>
        </w:tc>
        <w:tc>
          <w:tcPr>
            <w:tcW w:w="1291" w:type="dxa"/>
            <w:vAlign w:val="center"/>
          </w:tcPr>
          <w:p w:rsidR="007C4F29" w:rsidRDefault="0035683B">
            <w:pPr>
              <w:jc w:val="right"/>
            </w:pPr>
            <w:r>
              <w:rPr>
                <w:rFonts w:eastAsiaTheme="minorEastAsia"/>
                <w:color w:val="000000" w:themeColor="text1"/>
                <w:szCs w:val="21"/>
              </w:rPr>
              <w:t>6.85%</w:t>
            </w:r>
          </w:p>
        </w:tc>
        <w:tc>
          <w:tcPr>
            <w:tcW w:w="1291" w:type="dxa"/>
            <w:vAlign w:val="center"/>
          </w:tcPr>
          <w:p w:rsidR="007C4F29" w:rsidRDefault="0035683B">
            <w:pPr>
              <w:jc w:val="right"/>
            </w:pPr>
            <w:r>
              <w:rPr>
                <w:rFonts w:eastAsiaTheme="minorEastAsia"/>
                <w:color w:val="000000" w:themeColor="text1"/>
                <w:szCs w:val="21"/>
              </w:rPr>
              <w:t>0.14%</w:t>
            </w:r>
          </w:p>
        </w:tc>
      </w:tr>
      <w:tr w:rsidR="007C4F29">
        <w:tc>
          <w:tcPr>
            <w:tcW w:w="1290" w:type="dxa"/>
            <w:vAlign w:val="center"/>
          </w:tcPr>
          <w:p w:rsidR="007C4F29" w:rsidRDefault="0035683B">
            <w:pPr>
              <w:jc w:val="left"/>
            </w:pPr>
            <w:r>
              <w:rPr>
                <w:rFonts w:eastAsiaTheme="minorEastAsia"/>
                <w:color w:val="000000" w:themeColor="text1"/>
                <w:szCs w:val="21"/>
              </w:rPr>
              <w:t>自基金合同生效起至今</w:t>
            </w:r>
          </w:p>
        </w:tc>
        <w:tc>
          <w:tcPr>
            <w:tcW w:w="1291" w:type="dxa"/>
            <w:vAlign w:val="center"/>
          </w:tcPr>
          <w:p w:rsidR="007C4F29" w:rsidRDefault="0035683B">
            <w:pPr>
              <w:jc w:val="right"/>
            </w:pPr>
            <w:r>
              <w:rPr>
                <w:rFonts w:eastAsiaTheme="minorEastAsia"/>
                <w:color w:val="000000" w:themeColor="text1"/>
                <w:szCs w:val="21"/>
              </w:rPr>
              <w:t>65.33%</w:t>
            </w:r>
          </w:p>
        </w:tc>
        <w:tc>
          <w:tcPr>
            <w:tcW w:w="1291" w:type="dxa"/>
            <w:vAlign w:val="center"/>
          </w:tcPr>
          <w:p w:rsidR="007C4F29" w:rsidRDefault="0035683B">
            <w:pPr>
              <w:jc w:val="right"/>
            </w:pPr>
            <w:r>
              <w:rPr>
                <w:rFonts w:eastAsiaTheme="minorEastAsia"/>
                <w:color w:val="000000" w:themeColor="text1"/>
                <w:szCs w:val="21"/>
              </w:rPr>
              <w:t>0.19%</w:t>
            </w:r>
          </w:p>
        </w:tc>
        <w:tc>
          <w:tcPr>
            <w:tcW w:w="1291" w:type="dxa"/>
            <w:vAlign w:val="center"/>
          </w:tcPr>
          <w:p w:rsidR="007C4F29" w:rsidRDefault="0035683B">
            <w:pPr>
              <w:jc w:val="right"/>
            </w:pPr>
            <w:r>
              <w:rPr>
                <w:rFonts w:eastAsiaTheme="minorEastAsia"/>
                <w:color w:val="000000" w:themeColor="text1"/>
                <w:szCs w:val="21"/>
              </w:rPr>
              <w:t>9.13%</w:t>
            </w:r>
          </w:p>
        </w:tc>
        <w:tc>
          <w:tcPr>
            <w:tcW w:w="1291" w:type="dxa"/>
            <w:vAlign w:val="center"/>
          </w:tcPr>
          <w:p w:rsidR="007C4F29" w:rsidRDefault="0035683B">
            <w:pPr>
              <w:jc w:val="right"/>
            </w:pPr>
            <w:r>
              <w:rPr>
                <w:rFonts w:eastAsiaTheme="minorEastAsia"/>
                <w:color w:val="000000" w:themeColor="text1"/>
                <w:szCs w:val="21"/>
              </w:rPr>
              <w:t>0.11%</w:t>
            </w:r>
          </w:p>
        </w:tc>
        <w:tc>
          <w:tcPr>
            <w:tcW w:w="1291" w:type="dxa"/>
            <w:vAlign w:val="center"/>
          </w:tcPr>
          <w:p w:rsidR="007C4F29" w:rsidRDefault="0035683B">
            <w:pPr>
              <w:jc w:val="right"/>
            </w:pPr>
            <w:r>
              <w:rPr>
                <w:rFonts w:eastAsiaTheme="minorEastAsia"/>
                <w:color w:val="000000" w:themeColor="text1"/>
                <w:szCs w:val="21"/>
              </w:rPr>
              <w:t>56.20%</w:t>
            </w:r>
          </w:p>
        </w:tc>
        <w:tc>
          <w:tcPr>
            <w:tcW w:w="1291" w:type="dxa"/>
            <w:vAlign w:val="center"/>
          </w:tcPr>
          <w:p w:rsidR="007C4F29" w:rsidRDefault="0035683B">
            <w:pPr>
              <w:jc w:val="right"/>
            </w:pPr>
            <w:r>
              <w:rPr>
                <w:rFonts w:eastAsiaTheme="minorEastAsia"/>
                <w:color w:val="000000" w:themeColor="text1"/>
                <w:szCs w:val="21"/>
              </w:rPr>
              <w:t>0.08%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上投摩根纯债债券</w:t>
      </w:r>
      <w:r w:rsidRPr="00B27A29">
        <w:rPr>
          <w:rFonts w:eastAsiaTheme="minorEastAsia"/>
          <w:b/>
          <w:color w:val="000000" w:themeColor="text1"/>
          <w:kern w:val="0"/>
          <w:szCs w:val="21"/>
        </w:rPr>
        <w:t>B</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C4F29">
        <w:tc>
          <w:tcPr>
            <w:tcW w:w="1290" w:type="dxa"/>
            <w:vAlign w:val="center"/>
          </w:tcPr>
          <w:p w:rsidR="007C4F29" w:rsidRDefault="0035683B">
            <w:pPr>
              <w:jc w:val="left"/>
            </w:pPr>
            <w:r>
              <w:rPr>
                <w:rFonts w:eastAsiaTheme="minorEastAsia"/>
                <w:color w:val="000000" w:themeColor="text1"/>
                <w:szCs w:val="21"/>
              </w:rPr>
              <w:t>过去三个月</w:t>
            </w:r>
          </w:p>
        </w:tc>
        <w:tc>
          <w:tcPr>
            <w:tcW w:w="1291" w:type="dxa"/>
            <w:vAlign w:val="center"/>
          </w:tcPr>
          <w:p w:rsidR="007C4F29" w:rsidRDefault="0035683B">
            <w:pPr>
              <w:jc w:val="right"/>
            </w:pPr>
            <w:r>
              <w:rPr>
                <w:rFonts w:eastAsiaTheme="minorEastAsia"/>
                <w:color w:val="000000" w:themeColor="text1"/>
                <w:szCs w:val="21"/>
              </w:rPr>
              <w:t>-1.00%</w:t>
            </w:r>
          </w:p>
        </w:tc>
        <w:tc>
          <w:tcPr>
            <w:tcW w:w="1291" w:type="dxa"/>
            <w:vAlign w:val="center"/>
          </w:tcPr>
          <w:p w:rsidR="007C4F29" w:rsidRDefault="0035683B">
            <w:pPr>
              <w:jc w:val="right"/>
            </w:pPr>
            <w:r>
              <w:rPr>
                <w:rFonts w:eastAsiaTheme="minorEastAsia"/>
                <w:color w:val="000000" w:themeColor="text1"/>
                <w:szCs w:val="21"/>
              </w:rPr>
              <w:t>0.13%</w:t>
            </w:r>
          </w:p>
        </w:tc>
        <w:tc>
          <w:tcPr>
            <w:tcW w:w="1291" w:type="dxa"/>
            <w:vAlign w:val="center"/>
          </w:tcPr>
          <w:p w:rsidR="007C4F29" w:rsidRDefault="0035683B">
            <w:pPr>
              <w:jc w:val="right"/>
            </w:pPr>
            <w:r>
              <w:rPr>
                <w:rFonts w:eastAsiaTheme="minorEastAsia"/>
                <w:color w:val="000000" w:themeColor="text1"/>
                <w:szCs w:val="21"/>
              </w:rPr>
              <w:t>-0.38%</w:t>
            </w:r>
          </w:p>
        </w:tc>
        <w:tc>
          <w:tcPr>
            <w:tcW w:w="1291" w:type="dxa"/>
            <w:vAlign w:val="center"/>
          </w:tcPr>
          <w:p w:rsidR="007C4F29" w:rsidRDefault="0035683B">
            <w:pPr>
              <w:jc w:val="right"/>
            </w:pPr>
            <w:r>
              <w:rPr>
                <w:rFonts w:eastAsiaTheme="minorEastAsia"/>
                <w:color w:val="000000" w:themeColor="text1"/>
                <w:szCs w:val="21"/>
              </w:rPr>
              <w:t>0.11%</w:t>
            </w:r>
          </w:p>
        </w:tc>
        <w:tc>
          <w:tcPr>
            <w:tcW w:w="1291" w:type="dxa"/>
            <w:vAlign w:val="center"/>
          </w:tcPr>
          <w:p w:rsidR="007C4F29" w:rsidRDefault="0035683B">
            <w:pPr>
              <w:jc w:val="right"/>
            </w:pPr>
            <w:r>
              <w:rPr>
                <w:rFonts w:eastAsiaTheme="minorEastAsia"/>
                <w:color w:val="000000" w:themeColor="text1"/>
                <w:szCs w:val="21"/>
              </w:rPr>
              <w:t>-0.62%</w:t>
            </w:r>
          </w:p>
        </w:tc>
        <w:tc>
          <w:tcPr>
            <w:tcW w:w="1291" w:type="dxa"/>
            <w:vAlign w:val="center"/>
          </w:tcPr>
          <w:p w:rsidR="007C4F29" w:rsidRDefault="0035683B">
            <w:pPr>
              <w:jc w:val="right"/>
            </w:pPr>
            <w:r>
              <w:rPr>
                <w:rFonts w:eastAsiaTheme="minorEastAsia"/>
                <w:color w:val="000000" w:themeColor="text1"/>
                <w:szCs w:val="21"/>
              </w:rPr>
              <w:t>0.02%</w:t>
            </w:r>
          </w:p>
        </w:tc>
      </w:tr>
      <w:tr w:rsidR="007C4F29">
        <w:tc>
          <w:tcPr>
            <w:tcW w:w="1290" w:type="dxa"/>
            <w:vAlign w:val="center"/>
          </w:tcPr>
          <w:p w:rsidR="007C4F29" w:rsidRDefault="0035683B">
            <w:pPr>
              <w:jc w:val="left"/>
            </w:pPr>
            <w:r>
              <w:rPr>
                <w:rFonts w:eastAsiaTheme="minorEastAsia"/>
                <w:color w:val="000000" w:themeColor="text1"/>
                <w:szCs w:val="21"/>
              </w:rPr>
              <w:t>过去六个月</w:t>
            </w:r>
          </w:p>
        </w:tc>
        <w:tc>
          <w:tcPr>
            <w:tcW w:w="1291" w:type="dxa"/>
            <w:vAlign w:val="center"/>
          </w:tcPr>
          <w:p w:rsidR="007C4F29" w:rsidRDefault="0035683B">
            <w:pPr>
              <w:jc w:val="right"/>
            </w:pPr>
            <w:r>
              <w:rPr>
                <w:rFonts w:eastAsiaTheme="minorEastAsia"/>
                <w:color w:val="000000" w:themeColor="text1"/>
                <w:szCs w:val="21"/>
              </w:rPr>
              <w:t>-2.17%</w:t>
            </w:r>
          </w:p>
        </w:tc>
        <w:tc>
          <w:tcPr>
            <w:tcW w:w="1291" w:type="dxa"/>
            <w:vAlign w:val="center"/>
          </w:tcPr>
          <w:p w:rsidR="007C4F29" w:rsidRDefault="0035683B">
            <w:pPr>
              <w:jc w:val="right"/>
            </w:pPr>
            <w:r>
              <w:rPr>
                <w:rFonts w:eastAsiaTheme="minorEastAsia"/>
                <w:color w:val="000000" w:themeColor="text1"/>
                <w:szCs w:val="21"/>
              </w:rPr>
              <w:t>0.15%</w:t>
            </w:r>
          </w:p>
        </w:tc>
        <w:tc>
          <w:tcPr>
            <w:tcW w:w="1291" w:type="dxa"/>
            <w:vAlign w:val="center"/>
          </w:tcPr>
          <w:p w:rsidR="007C4F29" w:rsidRDefault="0035683B">
            <w:pPr>
              <w:jc w:val="right"/>
            </w:pPr>
            <w:r>
              <w:rPr>
                <w:rFonts w:eastAsiaTheme="minorEastAsia"/>
                <w:color w:val="000000" w:themeColor="text1"/>
                <w:szCs w:val="21"/>
              </w:rPr>
              <w:t>0.48%</w:t>
            </w:r>
          </w:p>
        </w:tc>
        <w:tc>
          <w:tcPr>
            <w:tcW w:w="1291" w:type="dxa"/>
            <w:vAlign w:val="center"/>
          </w:tcPr>
          <w:p w:rsidR="007C4F29" w:rsidRDefault="0035683B">
            <w:pPr>
              <w:jc w:val="right"/>
            </w:pPr>
            <w:r>
              <w:rPr>
                <w:rFonts w:eastAsiaTheme="minorEastAsia"/>
                <w:color w:val="000000" w:themeColor="text1"/>
                <w:szCs w:val="21"/>
              </w:rPr>
              <w:t>0.10%</w:t>
            </w:r>
          </w:p>
        </w:tc>
        <w:tc>
          <w:tcPr>
            <w:tcW w:w="1291" w:type="dxa"/>
            <w:vAlign w:val="center"/>
          </w:tcPr>
          <w:p w:rsidR="007C4F29" w:rsidRDefault="0035683B">
            <w:pPr>
              <w:jc w:val="right"/>
            </w:pPr>
            <w:r>
              <w:rPr>
                <w:rFonts w:eastAsiaTheme="minorEastAsia"/>
                <w:color w:val="000000" w:themeColor="text1"/>
                <w:szCs w:val="21"/>
              </w:rPr>
              <w:t>-2.65%</w:t>
            </w:r>
          </w:p>
        </w:tc>
        <w:tc>
          <w:tcPr>
            <w:tcW w:w="1291" w:type="dxa"/>
            <w:vAlign w:val="center"/>
          </w:tcPr>
          <w:p w:rsidR="007C4F29" w:rsidRDefault="0035683B">
            <w:pPr>
              <w:jc w:val="right"/>
            </w:pPr>
            <w:r>
              <w:rPr>
                <w:rFonts w:eastAsiaTheme="minorEastAsia"/>
                <w:color w:val="000000" w:themeColor="text1"/>
                <w:szCs w:val="21"/>
              </w:rPr>
              <w:t>0.05%</w:t>
            </w:r>
          </w:p>
        </w:tc>
      </w:tr>
      <w:tr w:rsidR="007C4F29">
        <w:tc>
          <w:tcPr>
            <w:tcW w:w="1290" w:type="dxa"/>
            <w:vAlign w:val="center"/>
          </w:tcPr>
          <w:p w:rsidR="007C4F29" w:rsidRDefault="0035683B">
            <w:pPr>
              <w:jc w:val="left"/>
            </w:pPr>
            <w:r>
              <w:rPr>
                <w:rFonts w:eastAsiaTheme="minorEastAsia"/>
                <w:color w:val="000000" w:themeColor="text1"/>
                <w:szCs w:val="21"/>
              </w:rPr>
              <w:t>过去一年</w:t>
            </w:r>
          </w:p>
        </w:tc>
        <w:tc>
          <w:tcPr>
            <w:tcW w:w="1291" w:type="dxa"/>
            <w:vAlign w:val="center"/>
          </w:tcPr>
          <w:p w:rsidR="007C4F29" w:rsidRDefault="0035683B">
            <w:pPr>
              <w:jc w:val="right"/>
            </w:pPr>
            <w:r>
              <w:rPr>
                <w:rFonts w:eastAsiaTheme="minorEastAsia"/>
                <w:color w:val="000000" w:themeColor="text1"/>
                <w:szCs w:val="21"/>
              </w:rPr>
              <w:t>-3.53%</w:t>
            </w:r>
          </w:p>
        </w:tc>
        <w:tc>
          <w:tcPr>
            <w:tcW w:w="1291" w:type="dxa"/>
            <w:vAlign w:val="center"/>
          </w:tcPr>
          <w:p w:rsidR="007C4F29" w:rsidRDefault="0035683B">
            <w:pPr>
              <w:jc w:val="right"/>
            </w:pPr>
            <w:r>
              <w:rPr>
                <w:rFonts w:eastAsiaTheme="minorEastAsia"/>
                <w:color w:val="000000" w:themeColor="text1"/>
                <w:szCs w:val="21"/>
              </w:rPr>
              <w:t>0.21%</w:t>
            </w:r>
          </w:p>
        </w:tc>
        <w:tc>
          <w:tcPr>
            <w:tcW w:w="1291" w:type="dxa"/>
            <w:vAlign w:val="center"/>
          </w:tcPr>
          <w:p w:rsidR="007C4F29" w:rsidRDefault="0035683B">
            <w:pPr>
              <w:jc w:val="right"/>
            </w:pPr>
            <w:r>
              <w:rPr>
                <w:rFonts w:eastAsiaTheme="minorEastAsia"/>
                <w:color w:val="000000" w:themeColor="text1"/>
                <w:szCs w:val="21"/>
              </w:rPr>
              <w:t>0.19%</w:t>
            </w:r>
          </w:p>
        </w:tc>
        <w:tc>
          <w:tcPr>
            <w:tcW w:w="1291" w:type="dxa"/>
            <w:vAlign w:val="center"/>
          </w:tcPr>
          <w:p w:rsidR="007C4F29" w:rsidRDefault="0035683B">
            <w:pPr>
              <w:jc w:val="right"/>
            </w:pPr>
            <w:r>
              <w:rPr>
                <w:rFonts w:eastAsiaTheme="minorEastAsia"/>
                <w:color w:val="000000" w:themeColor="text1"/>
                <w:szCs w:val="21"/>
              </w:rPr>
              <w:t>0.09%</w:t>
            </w:r>
          </w:p>
        </w:tc>
        <w:tc>
          <w:tcPr>
            <w:tcW w:w="1291" w:type="dxa"/>
            <w:vAlign w:val="center"/>
          </w:tcPr>
          <w:p w:rsidR="007C4F29" w:rsidRDefault="0035683B">
            <w:pPr>
              <w:jc w:val="right"/>
            </w:pPr>
            <w:r>
              <w:rPr>
                <w:rFonts w:eastAsiaTheme="minorEastAsia"/>
                <w:color w:val="000000" w:themeColor="text1"/>
                <w:szCs w:val="21"/>
              </w:rPr>
              <w:t>-3.72%</w:t>
            </w:r>
          </w:p>
        </w:tc>
        <w:tc>
          <w:tcPr>
            <w:tcW w:w="1291" w:type="dxa"/>
            <w:vAlign w:val="center"/>
          </w:tcPr>
          <w:p w:rsidR="007C4F29" w:rsidRDefault="0035683B">
            <w:pPr>
              <w:jc w:val="right"/>
            </w:pPr>
            <w:r>
              <w:rPr>
                <w:rFonts w:eastAsiaTheme="minorEastAsia"/>
                <w:color w:val="000000" w:themeColor="text1"/>
                <w:szCs w:val="21"/>
              </w:rPr>
              <w:t>0.12%</w:t>
            </w:r>
          </w:p>
        </w:tc>
      </w:tr>
      <w:tr w:rsidR="007C4F29">
        <w:tc>
          <w:tcPr>
            <w:tcW w:w="1290" w:type="dxa"/>
            <w:vAlign w:val="center"/>
          </w:tcPr>
          <w:p w:rsidR="007C4F29" w:rsidRDefault="0035683B">
            <w:pPr>
              <w:jc w:val="left"/>
            </w:pPr>
            <w:r>
              <w:rPr>
                <w:rFonts w:eastAsiaTheme="minorEastAsia"/>
                <w:color w:val="000000" w:themeColor="text1"/>
                <w:szCs w:val="21"/>
              </w:rPr>
              <w:t>过去三年</w:t>
            </w:r>
          </w:p>
        </w:tc>
        <w:tc>
          <w:tcPr>
            <w:tcW w:w="1291" w:type="dxa"/>
            <w:vAlign w:val="center"/>
          </w:tcPr>
          <w:p w:rsidR="007C4F29" w:rsidRDefault="0035683B">
            <w:pPr>
              <w:jc w:val="right"/>
            </w:pPr>
            <w:r>
              <w:rPr>
                <w:rFonts w:eastAsiaTheme="minorEastAsia"/>
                <w:color w:val="000000" w:themeColor="text1"/>
                <w:szCs w:val="21"/>
              </w:rPr>
              <w:t>6.20%</w:t>
            </w:r>
          </w:p>
        </w:tc>
        <w:tc>
          <w:tcPr>
            <w:tcW w:w="1291" w:type="dxa"/>
            <w:vAlign w:val="center"/>
          </w:tcPr>
          <w:p w:rsidR="007C4F29" w:rsidRDefault="0035683B">
            <w:pPr>
              <w:jc w:val="right"/>
            </w:pPr>
            <w:r>
              <w:rPr>
                <w:rFonts w:eastAsiaTheme="minorEastAsia"/>
                <w:color w:val="000000" w:themeColor="text1"/>
                <w:szCs w:val="21"/>
              </w:rPr>
              <w:t>0.31%</w:t>
            </w:r>
          </w:p>
        </w:tc>
        <w:tc>
          <w:tcPr>
            <w:tcW w:w="1291" w:type="dxa"/>
            <w:vAlign w:val="center"/>
          </w:tcPr>
          <w:p w:rsidR="007C4F29" w:rsidRDefault="0035683B">
            <w:pPr>
              <w:jc w:val="right"/>
            </w:pPr>
            <w:r>
              <w:rPr>
                <w:rFonts w:eastAsiaTheme="minorEastAsia"/>
                <w:color w:val="000000" w:themeColor="text1"/>
                <w:szCs w:val="21"/>
              </w:rPr>
              <w:t>2.31%</w:t>
            </w:r>
          </w:p>
        </w:tc>
        <w:tc>
          <w:tcPr>
            <w:tcW w:w="1291" w:type="dxa"/>
            <w:vAlign w:val="center"/>
          </w:tcPr>
          <w:p w:rsidR="007C4F29" w:rsidRDefault="0035683B">
            <w:pPr>
              <w:jc w:val="right"/>
            </w:pPr>
            <w:r>
              <w:rPr>
                <w:rFonts w:eastAsiaTheme="minorEastAsia"/>
                <w:color w:val="000000" w:themeColor="text1"/>
                <w:szCs w:val="21"/>
              </w:rPr>
              <w:t>0.11%</w:t>
            </w:r>
          </w:p>
        </w:tc>
        <w:tc>
          <w:tcPr>
            <w:tcW w:w="1291" w:type="dxa"/>
            <w:vAlign w:val="center"/>
          </w:tcPr>
          <w:p w:rsidR="007C4F29" w:rsidRDefault="0035683B">
            <w:pPr>
              <w:jc w:val="right"/>
            </w:pPr>
            <w:r>
              <w:rPr>
                <w:rFonts w:eastAsiaTheme="minorEastAsia"/>
                <w:color w:val="000000" w:themeColor="text1"/>
                <w:szCs w:val="21"/>
              </w:rPr>
              <w:t>3.89%</w:t>
            </w:r>
          </w:p>
        </w:tc>
        <w:tc>
          <w:tcPr>
            <w:tcW w:w="1291" w:type="dxa"/>
            <w:vAlign w:val="center"/>
          </w:tcPr>
          <w:p w:rsidR="007C4F29" w:rsidRDefault="0035683B">
            <w:pPr>
              <w:jc w:val="right"/>
            </w:pPr>
            <w:r>
              <w:rPr>
                <w:rFonts w:eastAsiaTheme="minorEastAsia"/>
                <w:color w:val="000000" w:themeColor="text1"/>
                <w:szCs w:val="21"/>
              </w:rPr>
              <w:t>0.20%</w:t>
            </w:r>
          </w:p>
        </w:tc>
      </w:tr>
      <w:tr w:rsidR="007C4F29">
        <w:tc>
          <w:tcPr>
            <w:tcW w:w="1290" w:type="dxa"/>
            <w:vAlign w:val="center"/>
          </w:tcPr>
          <w:p w:rsidR="007C4F29" w:rsidRDefault="0035683B">
            <w:pPr>
              <w:jc w:val="left"/>
            </w:pPr>
            <w:r>
              <w:rPr>
                <w:rFonts w:eastAsiaTheme="minorEastAsia"/>
                <w:color w:val="000000" w:themeColor="text1"/>
                <w:szCs w:val="21"/>
              </w:rPr>
              <w:t>过去五年</w:t>
            </w:r>
          </w:p>
        </w:tc>
        <w:tc>
          <w:tcPr>
            <w:tcW w:w="1291" w:type="dxa"/>
            <w:vAlign w:val="center"/>
          </w:tcPr>
          <w:p w:rsidR="007C4F29" w:rsidRDefault="0035683B">
            <w:pPr>
              <w:jc w:val="right"/>
            </w:pPr>
            <w:r>
              <w:rPr>
                <w:rFonts w:eastAsiaTheme="minorEastAsia"/>
                <w:color w:val="000000" w:themeColor="text1"/>
                <w:szCs w:val="21"/>
              </w:rPr>
              <w:t>14.60%</w:t>
            </w:r>
          </w:p>
        </w:tc>
        <w:tc>
          <w:tcPr>
            <w:tcW w:w="1291" w:type="dxa"/>
            <w:vAlign w:val="center"/>
          </w:tcPr>
          <w:p w:rsidR="007C4F29" w:rsidRDefault="0035683B">
            <w:pPr>
              <w:jc w:val="right"/>
            </w:pPr>
            <w:r>
              <w:rPr>
                <w:rFonts w:eastAsiaTheme="minorEastAsia"/>
                <w:color w:val="000000" w:themeColor="text1"/>
                <w:szCs w:val="21"/>
              </w:rPr>
              <w:t>0.25%</w:t>
            </w:r>
          </w:p>
        </w:tc>
        <w:tc>
          <w:tcPr>
            <w:tcW w:w="1291" w:type="dxa"/>
            <w:vAlign w:val="center"/>
          </w:tcPr>
          <w:p w:rsidR="007C4F29" w:rsidRDefault="0035683B">
            <w:pPr>
              <w:jc w:val="right"/>
            </w:pPr>
            <w:r>
              <w:rPr>
                <w:rFonts w:eastAsiaTheme="minorEastAsia"/>
                <w:color w:val="000000" w:themeColor="text1"/>
                <w:szCs w:val="21"/>
              </w:rPr>
              <w:t>9.82%</w:t>
            </w:r>
          </w:p>
        </w:tc>
        <w:tc>
          <w:tcPr>
            <w:tcW w:w="1291" w:type="dxa"/>
            <w:vAlign w:val="center"/>
          </w:tcPr>
          <w:p w:rsidR="007C4F29" w:rsidRDefault="0035683B">
            <w:pPr>
              <w:jc w:val="right"/>
            </w:pPr>
            <w:r>
              <w:rPr>
                <w:rFonts w:eastAsiaTheme="minorEastAsia"/>
                <w:color w:val="000000" w:themeColor="text1"/>
                <w:szCs w:val="21"/>
              </w:rPr>
              <w:t>0.11%</w:t>
            </w:r>
          </w:p>
        </w:tc>
        <w:tc>
          <w:tcPr>
            <w:tcW w:w="1291" w:type="dxa"/>
            <w:vAlign w:val="center"/>
          </w:tcPr>
          <w:p w:rsidR="007C4F29" w:rsidRDefault="0035683B">
            <w:pPr>
              <w:jc w:val="right"/>
            </w:pPr>
            <w:r>
              <w:rPr>
                <w:rFonts w:eastAsiaTheme="minorEastAsia"/>
                <w:color w:val="000000" w:themeColor="text1"/>
                <w:szCs w:val="21"/>
              </w:rPr>
              <w:t>4.78%</w:t>
            </w:r>
          </w:p>
        </w:tc>
        <w:tc>
          <w:tcPr>
            <w:tcW w:w="1291" w:type="dxa"/>
            <w:vAlign w:val="center"/>
          </w:tcPr>
          <w:p w:rsidR="007C4F29" w:rsidRDefault="0035683B">
            <w:pPr>
              <w:jc w:val="right"/>
            </w:pPr>
            <w:r>
              <w:rPr>
                <w:rFonts w:eastAsiaTheme="minorEastAsia"/>
                <w:color w:val="000000" w:themeColor="text1"/>
                <w:szCs w:val="21"/>
              </w:rPr>
              <w:t>0.14%</w:t>
            </w:r>
          </w:p>
        </w:tc>
      </w:tr>
      <w:tr w:rsidR="007C4F29">
        <w:tc>
          <w:tcPr>
            <w:tcW w:w="1290" w:type="dxa"/>
            <w:vAlign w:val="center"/>
          </w:tcPr>
          <w:p w:rsidR="007C4F29" w:rsidRDefault="0035683B">
            <w:pPr>
              <w:jc w:val="left"/>
            </w:pPr>
            <w:r>
              <w:rPr>
                <w:rFonts w:eastAsiaTheme="minorEastAsia"/>
                <w:color w:val="000000" w:themeColor="text1"/>
                <w:szCs w:val="21"/>
              </w:rPr>
              <w:t>自基金合同生效起至今</w:t>
            </w:r>
          </w:p>
        </w:tc>
        <w:tc>
          <w:tcPr>
            <w:tcW w:w="1291" w:type="dxa"/>
            <w:vAlign w:val="center"/>
          </w:tcPr>
          <w:p w:rsidR="007C4F29" w:rsidRDefault="0035683B">
            <w:pPr>
              <w:jc w:val="right"/>
            </w:pPr>
            <w:r>
              <w:rPr>
                <w:rFonts w:eastAsiaTheme="minorEastAsia"/>
                <w:color w:val="000000" w:themeColor="text1"/>
                <w:szCs w:val="21"/>
              </w:rPr>
              <w:t>56.89%</w:t>
            </w:r>
          </w:p>
        </w:tc>
        <w:tc>
          <w:tcPr>
            <w:tcW w:w="1291" w:type="dxa"/>
            <w:vAlign w:val="center"/>
          </w:tcPr>
          <w:p w:rsidR="007C4F29" w:rsidRDefault="0035683B">
            <w:pPr>
              <w:jc w:val="right"/>
            </w:pPr>
            <w:r>
              <w:rPr>
                <w:rFonts w:eastAsiaTheme="minorEastAsia"/>
                <w:color w:val="000000" w:themeColor="text1"/>
                <w:szCs w:val="21"/>
              </w:rPr>
              <w:t>0.19%</w:t>
            </w:r>
          </w:p>
        </w:tc>
        <w:tc>
          <w:tcPr>
            <w:tcW w:w="1291" w:type="dxa"/>
            <w:vAlign w:val="center"/>
          </w:tcPr>
          <w:p w:rsidR="007C4F29" w:rsidRDefault="0035683B">
            <w:pPr>
              <w:jc w:val="right"/>
            </w:pPr>
            <w:r>
              <w:rPr>
                <w:rFonts w:eastAsiaTheme="minorEastAsia"/>
                <w:color w:val="000000" w:themeColor="text1"/>
                <w:szCs w:val="21"/>
              </w:rPr>
              <w:t>9.13%</w:t>
            </w:r>
          </w:p>
        </w:tc>
        <w:tc>
          <w:tcPr>
            <w:tcW w:w="1291" w:type="dxa"/>
            <w:vAlign w:val="center"/>
          </w:tcPr>
          <w:p w:rsidR="007C4F29" w:rsidRDefault="0035683B">
            <w:pPr>
              <w:jc w:val="right"/>
            </w:pPr>
            <w:r>
              <w:rPr>
                <w:rFonts w:eastAsiaTheme="minorEastAsia"/>
                <w:color w:val="000000" w:themeColor="text1"/>
                <w:szCs w:val="21"/>
              </w:rPr>
              <w:t>0.11%</w:t>
            </w:r>
          </w:p>
        </w:tc>
        <w:tc>
          <w:tcPr>
            <w:tcW w:w="1291" w:type="dxa"/>
            <w:vAlign w:val="center"/>
          </w:tcPr>
          <w:p w:rsidR="007C4F29" w:rsidRDefault="0035683B">
            <w:pPr>
              <w:jc w:val="right"/>
            </w:pPr>
            <w:r>
              <w:rPr>
                <w:rFonts w:eastAsiaTheme="minorEastAsia"/>
                <w:color w:val="000000" w:themeColor="text1"/>
                <w:szCs w:val="21"/>
              </w:rPr>
              <w:t>47.76%</w:t>
            </w:r>
          </w:p>
        </w:tc>
        <w:tc>
          <w:tcPr>
            <w:tcW w:w="1291" w:type="dxa"/>
            <w:vAlign w:val="center"/>
          </w:tcPr>
          <w:p w:rsidR="007C4F29" w:rsidRDefault="0035683B">
            <w:pPr>
              <w:jc w:val="right"/>
            </w:pPr>
            <w:r>
              <w:rPr>
                <w:rFonts w:eastAsiaTheme="minorEastAsia"/>
                <w:color w:val="000000" w:themeColor="text1"/>
                <w:szCs w:val="21"/>
              </w:rPr>
              <w:t>0.08%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上投摩根纯债债券型证券投资基金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．上投摩根纯债债券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．上投摩根纯债债券</w:t>
      </w:r>
      <w:r w:rsidRPr="00B27A29">
        <w:rPr>
          <w:rFonts w:eastAsiaTheme="minorEastAsia"/>
          <w:color w:val="000000" w:themeColor="text1"/>
          <w:szCs w:val="21"/>
        </w:rPr>
        <w:t>B</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C4F29">
        <w:tc>
          <w:tcPr>
            <w:tcW w:w="952" w:type="dxa"/>
            <w:vAlign w:val="center"/>
          </w:tcPr>
          <w:p w:rsidR="007C4F29" w:rsidRDefault="0035683B">
            <w:pPr>
              <w:jc w:val="center"/>
            </w:pPr>
            <w:r>
              <w:rPr>
                <w:rFonts w:eastAsiaTheme="minorEastAsia"/>
                <w:color w:val="000000" w:themeColor="text1"/>
                <w:szCs w:val="21"/>
              </w:rPr>
              <w:t>刘鲁旦</w:t>
            </w:r>
          </w:p>
        </w:tc>
        <w:tc>
          <w:tcPr>
            <w:tcW w:w="930" w:type="dxa"/>
            <w:vAlign w:val="center"/>
          </w:tcPr>
          <w:p w:rsidR="007C4F29" w:rsidRDefault="0035683B">
            <w:pPr>
              <w:jc w:val="center"/>
            </w:pPr>
            <w:r>
              <w:rPr>
                <w:rFonts w:eastAsiaTheme="minorEastAsia"/>
                <w:color w:val="000000" w:themeColor="text1"/>
                <w:szCs w:val="21"/>
              </w:rPr>
              <w:t>本基金基金经理、副总经理兼债券投资总监</w:t>
            </w:r>
          </w:p>
        </w:tc>
        <w:tc>
          <w:tcPr>
            <w:tcW w:w="1210" w:type="dxa"/>
            <w:vAlign w:val="center"/>
          </w:tcPr>
          <w:p w:rsidR="007C4F29" w:rsidRDefault="0035683B">
            <w:pPr>
              <w:jc w:val="center"/>
            </w:pPr>
            <w:r>
              <w:rPr>
                <w:rFonts w:eastAsiaTheme="minorEastAsia"/>
                <w:color w:val="000000" w:themeColor="text1"/>
                <w:szCs w:val="21"/>
              </w:rPr>
              <w:t>2022-08-26</w:t>
            </w:r>
          </w:p>
        </w:tc>
        <w:tc>
          <w:tcPr>
            <w:tcW w:w="1309" w:type="dxa"/>
            <w:vAlign w:val="center"/>
          </w:tcPr>
          <w:p w:rsidR="007C4F29" w:rsidRDefault="0035683B">
            <w:pPr>
              <w:jc w:val="center"/>
            </w:pPr>
            <w:r>
              <w:rPr>
                <w:rFonts w:eastAsiaTheme="minorEastAsia"/>
                <w:color w:val="000000" w:themeColor="text1"/>
                <w:szCs w:val="21"/>
              </w:rPr>
              <w:t>-</w:t>
            </w:r>
          </w:p>
        </w:tc>
        <w:tc>
          <w:tcPr>
            <w:tcW w:w="1254" w:type="dxa"/>
            <w:vAlign w:val="center"/>
          </w:tcPr>
          <w:p w:rsidR="007C4F29" w:rsidRDefault="0035683B">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7C4F29" w:rsidRDefault="0035683B">
            <w:r>
              <w:rPr>
                <w:rFonts w:eastAsiaTheme="minorEastAsia"/>
                <w:color w:val="000000" w:themeColor="text1"/>
                <w:szCs w:val="21"/>
              </w:rPr>
              <w:t>刘鲁旦先生，美国波士顿学院金融学博士。刘鲁旦先生自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月在德意志银行担任全球市场研究部分析师；自</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w:t>
            </w:r>
            <w:r>
              <w:rPr>
                <w:rFonts w:eastAsiaTheme="minorEastAsia"/>
                <w:color w:val="000000" w:themeColor="text1"/>
                <w:szCs w:val="21"/>
              </w:rPr>
              <w:t>SAC</w:t>
            </w:r>
            <w:r>
              <w:rPr>
                <w:rFonts w:eastAsiaTheme="minorEastAsia"/>
                <w:color w:val="000000" w:themeColor="text1"/>
                <w:szCs w:val="21"/>
              </w:rPr>
              <w:t>资产管理担任全球宏观交易组高级研究员</w:t>
            </w:r>
            <w:r>
              <w:rPr>
                <w:rFonts w:eastAsiaTheme="minorEastAsia"/>
                <w:color w:val="000000" w:themeColor="text1"/>
                <w:szCs w:val="21"/>
              </w:rPr>
              <w:t>/</w:t>
            </w:r>
            <w:r>
              <w:rPr>
                <w:rFonts w:eastAsiaTheme="minorEastAsia"/>
                <w:color w:val="000000" w:themeColor="text1"/>
                <w:szCs w:val="21"/>
              </w:rPr>
              <w:t>交易员；自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月在摩根士丹利资产投资管理公司担任新兴市场债券组投资经理；自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月在华夏基金管理有限公司先后担任投资经理</w:t>
            </w:r>
            <w:r>
              <w:rPr>
                <w:rFonts w:eastAsiaTheme="minorEastAsia"/>
                <w:color w:val="000000" w:themeColor="text1"/>
                <w:szCs w:val="21"/>
              </w:rPr>
              <w:t>/</w:t>
            </w:r>
            <w:r>
              <w:rPr>
                <w:rFonts w:eastAsiaTheme="minorEastAsia"/>
                <w:color w:val="000000" w:themeColor="text1"/>
                <w:szCs w:val="21"/>
              </w:rPr>
              <w:t>固定收益部副总经理</w:t>
            </w:r>
            <w:r>
              <w:rPr>
                <w:rFonts w:eastAsiaTheme="minorEastAsia"/>
                <w:color w:val="000000" w:themeColor="text1"/>
                <w:szCs w:val="21"/>
              </w:rPr>
              <w:t>/</w:t>
            </w:r>
            <w:r>
              <w:rPr>
                <w:rFonts w:eastAsiaTheme="minorEastAsia"/>
                <w:color w:val="000000" w:themeColor="text1"/>
                <w:szCs w:val="21"/>
              </w:rPr>
              <w:t>机构债券部总经理</w:t>
            </w:r>
            <w:r>
              <w:rPr>
                <w:rFonts w:eastAsiaTheme="minorEastAsia"/>
                <w:color w:val="000000" w:themeColor="text1"/>
                <w:szCs w:val="21"/>
              </w:rPr>
              <w:t>/</w:t>
            </w:r>
            <w:r>
              <w:rPr>
                <w:rFonts w:eastAsiaTheme="minorEastAsia"/>
                <w:color w:val="000000" w:themeColor="text1"/>
                <w:szCs w:val="21"/>
              </w:rPr>
              <w:t>固定收益总监；自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月在中国国际金融股份有限公司担任董事总经理，负责资产管理部固定</w:t>
            </w:r>
            <w:r>
              <w:rPr>
                <w:rFonts w:eastAsiaTheme="minorEastAsia"/>
                <w:color w:val="000000" w:themeColor="text1"/>
                <w:szCs w:val="21"/>
              </w:rPr>
              <w:t>收益工作；</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月加入上投摩根基金管理有限公司，现任副总经理兼债券投资总监。自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月起担任上投摩根中债</w:t>
            </w:r>
            <w:r>
              <w:rPr>
                <w:rFonts w:eastAsiaTheme="minorEastAsia"/>
                <w:color w:val="000000" w:themeColor="text1"/>
                <w:szCs w:val="21"/>
              </w:rPr>
              <w:t>1-3</w:t>
            </w:r>
            <w:r>
              <w:rPr>
                <w:rFonts w:eastAsiaTheme="minorEastAsia"/>
                <w:color w:val="000000" w:themeColor="text1"/>
                <w:szCs w:val="21"/>
              </w:rPr>
              <w:t>年国开行债券指数证券投资基金基金经理，自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月起同时担任上投摩根纯债丰利债券型证券投资基金基金经理，自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月起同时担任上投摩根纯债债券型证券投资基金、上投摩根丰瑞债券型证券投资基金基金经理，自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月起同时担任上投摩根瑞享纯债债券型证券投资基金基金经理。</w:t>
            </w:r>
          </w:p>
        </w:tc>
      </w:tr>
      <w:tr w:rsidR="007C4F29">
        <w:tc>
          <w:tcPr>
            <w:tcW w:w="952" w:type="dxa"/>
            <w:vAlign w:val="center"/>
          </w:tcPr>
          <w:p w:rsidR="007C4F29" w:rsidRDefault="0035683B">
            <w:pPr>
              <w:jc w:val="center"/>
            </w:pPr>
            <w:r>
              <w:rPr>
                <w:rFonts w:eastAsiaTheme="minorEastAsia"/>
                <w:color w:val="000000" w:themeColor="text1"/>
                <w:szCs w:val="21"/>
              </w:rPr>
              <w:t>周梦婕</w:t>
            </w:r>
          </w:p>
        </w:tc>
        <w:tc>
          <w:tcPr>
            <w:tcW w:w="930" w:type="dxa"/>
            <w:vAlign w:val="center"/>
          </w:tcPr>
          <w:p w:rsidR="007C4F29" w:rsidRDefault="0035683B">
            <w:pPr>
              <w:jc w:val="center"/>
            </w:pPr>
            <w:r>
              <w:rPr>
                <w:rFonts w:eastAsiaTheme="minorEastAsia"/>
                <w:color w:val="000000" w:themeColor="text1"/>
                <w:szCs w:val="21"/>
              </w:rPr>
              <w:t>本基金基金经理</w:t>
            </w:r>
          </w:p>
        </w:tc>
        <w:tc>
          <w:tcPr>
            <w:tcW w:w="1210" w:type="dxa"/>
            <w:vAlign w:val="center"/>
          </w:tcPr>
          <w:p w:rsidR="007C4F29" w:rsidRDefault="0035683B">
            <w:pPr>
              <w:jc w:val="center"/>
            </w:pPr>
            <w:r>
              <w:rPr>
                <w:rFonts w:eastAsiaTheme="minorEastAsia"/>
                <w:color w:val="000000" w:themeColor="text1"/>
                <w:szCs w:val="21"/>
              </w:rPr>
              <w:t>2022-08-26</w:t>
            </w:r>
          </w:p>
        </w:tc>
        <w:tc>
          <w:tcPr>
            <w:tcW w:w="1309" w:type="dxa"/>
            <w:vAlign w:val="center"/>
          </w:tcPr>
          <w:p w:rsidR="007C4F29" w:rsidRDefault="0035683B">
            <w:pPr>
              <w:jc w:val="center"/>
            </w:pPr>
            <w:r>
              <w:rPr>
                <w:rFonts w:eastAsiaTheme="minorEastAsia"/>
                <w:color w:val="000000" w:themeColor="text1"/>
                <w:szCs w:val="21"/>
              </w:rPr>
              <w:t>-</w:t>
            </w:r>
          </w:p>
        </w:tc>
        <w:tc>
          <w:tcPr>
            <w:tcW w:w="1254" w:type="dxa"/>
            <w:vAlign w:val="center"/>
          </w:tcPr>
          <w:p w:rsidR="007C4F29" w:rsidRDefault="0035683B">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7C4F29" w:rsidRDefault="0035683B">
            <w:r>
              <w:rPr>
                <w:rFonts w:eastAsiaTheme="minorEastAsia"/>
                <w:color w:val="000000" w:themeColor="text1"/>
                <w:szCs w:val="21"/>
              </w:rPr>
              <w:t>周梦婕女士，华东师范大学计算机软件与理论硕士，现任债券投资部基金经理。周梦婕女士自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月在东方证券资产管理有限公司担任产品经理；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月在长江证券股份有限公司担任投资经理助理；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月在长江证券（上海）资产管理公司担任固定收益研究员、交易员；</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月在中海基金管理有限公司担任基金经理助理、基金经理；自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月加入上投摩根基金管理有限公司，现任债券投资部基金经理。自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月起担任上投摩根安通回报混合型</w:t>
            </w:r>
            <w:r>
              <w:rPr>
                <w:rFonts w:eastAsiaTheme="minorEastAsia"/>
                <w:color w:val="000000" w:themeColor="text1"/>
                <w:szCs w:val="21"/>
              </w:rPr>
              <w:t>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月起同时担任上投摩根纯债债券型证券投资基金基金经理。</w:t>
            </w:r>
          </w:p>
        </w:tc>
      </w:tr>
    </w:tbl>
    <w:p w:rsidR="007C4F29" w:rsidRDefault="003568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纯债债券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四季度，内需和外需呈现同步走弱态势，疫情对国内宏观经济的扰动加剧，国内经济复苏进程明显放缓。</w:t>
      </w:r>
      <w:r>
        <w:rPr>
          <w:rFonts w:eastAsiaTheme="minorEastAsia"/>
          <w:color w:val="000000" w:themeColor="text1"/>
          <w:szCs w:val="21"/>
        </w:rPr>
        <w:t>11</w:t>
      </w:r>
      <w:r>
        <w:rPr>
          <w:rFonts w:eastAsiaTheme="minorEastAsia"/>
          <w:color w:val="000000" w:themeColor="text1"/>
          <w:szCs w:val="21"/>
        </w:rPr>
        <w:t>月经济数据低于预期，实际工增同比增长</w:t>
      </w:r>
      <w:r>
        <w:rPr>
          <w:rFonts w:eastAsiaTheme="minorEastAsia"/>
          <w:color w:val="000000" w:themeColor="text1"/>
          <w:szCs w:val="21"/>
        </w:rPr>
        <w:t>2.2%</w:t>
      </w:r>
      <w:r>
        <w:rPr>
          <w:rFonts w:eastAsiaTheme="minorEastAsia"/>
          <w:color w:val="000000" w:themeColor="text1"/>
          <w:szCs w:val="21"/>
        </w:rPr>
        <w:t>，年内仅高于</w:t>
      </w:r>
      <w:r>
        <w:rPr>
          <w:rFonts w:eastAsiaTheme="minorEastAsia"/>
          <w:color w:val="000000" w:themeColor="text1"/>
          <w:szCs w:val="21"/>
        </w:rPr>
        <w:t>4-5</w:t>
      </w:r>
      <w:r>
        <w:rPr>
          <w:rFonts w:eastAsiaTheme="minorEastAsia"/>
          <w:color w:val="000000" w:themeColor="text1"/>
          <w:szCs w:val="21"/>
        </w:rPr>
        <w:t>月份；固定资产投资累计同比增长</w:t>
      </w:r>
      <w:r>
        <w:rPr>
          <w:rFonts w:eastAsiaTheme="minorEastAsia"/>
          <w:color w:val="000000" w:themeColor="text1"/>
          <w:szCs w:val="21"/>
        </w:rPr>
        <w:t>5.3%</w:t>
      </w:r>
      <w:r>
        <w:rPr>
          <w:rFonts w:eastAsiaTheme="minorEastAsia"/>
          <w:color w:val="000000" w:themeColor="text1"/>
          <w:szCs w:val="21"/>
        </w:rPr>
        <w:t>，其中基建投资增速高位仍升，制造业投资增速略有放缓，地产投资增速降幅走扩。受疫情散发冲击，</w:t>
      </w:r>
      <w:r>
        <w:rPr>
          <w:rFonts w:eastAsiaTheme="minorEastAsia"/>
          <w:color w:val="000000" w:themeColor="text1"/>
          <w:szCs w:val="21"/>
        </w:rPr>
        <w:t>11</w:t>
      </w:r>
      <w:r>
        <w:rPr>
          <w:rFonts w:eastAsiaTheme="minorEastAsia"/>
          <w:color w:val="000000" w:themeColor="text1"/>
          <w:szCs w:val="21"/>
        </w:rPr>
        <w:t>月社零增速大幅回落</w:t>
      </w:r>
      <w:r>
        <w:rPr>
          <w:rFonts w:eastAsiaTheme="minorEastAsia"/>
          <w:color w:val="000000" w:themeColor="text1"/>
          <w:szCs w:val="21"/>
        </w:rPr>
        <w:t>5.4</w:t>
      </w:r>
      <w:r>
        <w:rPr>
          <w:rFonts w:eastAsiaTheme="minorEastAsia"/>
          <w:color w:val="000000" w:themeColor="text1"/>
          <w:szCs w:val="21"/>
        </w:rPr>
        <w:t>个点至</w:t>
      </w:r>
      <w:r>
        <w:rPr>
          <w:rFonts w:eastAsiaTheme="minorEastAsia"/>
          <w:color w:val="000000" w:themeColor="text1"/>
          <w:szCs w:val="21"/>
        </w:rPr>
        <w:t>-5.9%</w:t>
      </w:r>
      <w:r>
        <w:rPr>
          <w:rFonts w:eastAsiaTheme="minorEastAsia"/>
          <w:color w:val="000000" w:themeColor="text1"/>
          <w:szCs w:val="21"/>
        </w:rPr>
        <w:t>。货币政策方面，</w:t>
      </w:r>
      <w:r>
        <w:rPr>
          <w:rFonts w:eastAsiaTheme="minorEastAsia"/>
          <w:color w:val="000000" w:themeColor="text1"/>
          <w:szCs w:val="21"/>
        </w:rPr>
        <w:t>11</w:t>
      </w:r>
      <w:r>
        <w:rPr>
          <w:rFonts w:eastAsiaTheme="minorEastAsia"/>
          <w:color w:val="000000" w:themeColor="text1"/>
          <w:szCs w:val="21"/>
        </w:rPr>
        <w:t>月下旬央行宣布全</w:t>
      </w:r>
      <w:r>
        <w:rPr>
          <w:rFonts w:eastAsiaTheme="minorEastAsia"/>
          <w:color w:val="000000" w:themeColor="text1"/>
          <w:szCs w:val="21"/>
        </w:rPr>
        <w:t>面降准</w:t>
      </w:r>
      <w:r>
        <w:rPr>
          <w:rFonts w:eastAsiaTheme="minorEastAsia"/>
          <w:color w:val="000000" w:themeColor="text1"/>
          <w:szCs w:val="21"/>
        </w:rPr>
        <w:t>0.25</w:t>
      </w:r>
      <w:r>
        <w:rPr>
          <w:rFonts w:eastAsiaTheme="minorEastAsia"/>
          <w:color w:val="000000" w:themeColor="text1"/>
          <w:szCs w:val="21"/>
        </w:rPr>
        <w:t>个百分点，释放长期资金</w:t>
      </w:r>
      <w:r>
        <w:rPr>
          <w:rFonts w:eastAsiaTheme="minorEastAsia"/>
          <w:color w:val="000000" w:themeColor="text1"/>
          <w:szCs w:val="21"/>
        </w:rPr>
        <w:t>5000</w:t>
      </w:r>
      <w:r>
        <w:rPr>
          <w:rFonts w:eastAsiaTheme="minorEastAsia"/>
          <w:color w:val="000000" w:themeColor="text1"/>
          <w:szCs w:val="21"/>
        </w:rPr>
        <w:t>亿元，此举保持流动性合理充裕，巩固经济回稳向上基础。房地产市场在四季度获得多重利好政策支持，从金融支持房地产</w:t>
      </w:r>
      <w:r>
        <w:rPr>
          <w:rFonts w:eastAsiaTheme="minorEastAsia"/>
          <w:color w:val="000000" w:themeColor="text1"/>
          <w:szCs w:val="21"/>
        </w:rPr>
        <w:t>16</w:t>
      </w:r>
      <w:r>
        <w:rPr>
          <w:rFonts w:eastAsiaTheme="minorEastAsia"/>
          <w:color w:val="000000" w:themeColor="text1"/>
          <w:szCs w:val="21"/>
        </w:rPr>
        <w:t>条政策到支持房企融资</w:t>
      </w:r>
      <w:r>
        <w:rPr>
          <w:rFonts w:eastAsiaTheme="minorEastAsia"/>
          <w:color w:val="000000" w:themeColor="text1"/>
          <w:szCs w:val="21"/>
        </w:rPr>
        <w:t>“</w:t>
      </w:r>
      <w:r>
        <w:rPr>
          <w:rFonts w:eastAsiaTheme="minorEastAsia"/>
          <w:color w:val="000000" w:themeColor="text1"/>
          <w:szCs w:val="21"/>
        </w:rPr>
        <w:t>三支箭</w:t>
      </w:r>
      <w:r>
        <w:rPr>
          <w:rFonts w:eastAsiaTheme="minorEastAsia"/>
          <w:color w:val="000000" w:themeColor="text1"/>
          <w:szCs w:val="21"/>
        </w:rPr>
        <w:t>”</w:t>
      </w:r>
      <w:r>
        <w:rPr>
          <w:rFonts w:eastAsiaTheme="minorEastAsia"/>
          <w:color w:val="000000" w:themeColor="text1"/>
          <w:szCs w:val="21"/>
        </w:rPr>
        <w:t>政策，以及四大行提供离岸贷款支持等政策陆续出台，地产销售有望在明年有所修复。</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四季度以来，债券市场持续震荡调整，其根本原因在于疫情防控措施优化以及支持地产市场平稳发展的政策使得市场预期发生扭转，</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日单日</w:t>
      </w:r>
      <w:r>
        <w:rPr>
          <w:rFonts w:eastAsiaTheme="minorEastAsia"/>
          <w:color w:val="000000" w:themeColor="text1"/>
          <w:szCs w:val="21"/>
        </w:rPr>
        <w:t>10</w:t>
      </w:r>
      <w:r>
        <w:rPr>
          <w:rFonts w:eastAsiaTheme="minorEastAsia"/>
          <w:color w:val="000000" w:themeColor="text1"/>
          <w:szCs w:val="21"/>
        </w:rPr>
        <w:t>年期国债收益率上行</w:t>
      </w:r>
      <w:r>
        <w:rPr>
          <w:rFonts w:eastAsiaTheme="minorEastAsia"/>
          <w:color w:val="000000" w:themeColor="text1"/>
          <w:szCs w:val="21"/>
        </w:rPr>
        <w:t>10bps</w:t>
      </w:r>
      <w:r>
        <w:rPr>
          <w:rFonts w:eastAsiaTheme="minorEastAsia"/>
          <w:color w:val="000000" w:themeColor="text1"/>
          <w:szCs w:val="21"/>
        </w:rPr>
        <w:t>至</w:t>
      </w:r>
      <w:r>
        <w:rPr>
          <w:rFonts w:eastAsiaTheme="minorEastAsia"/>
          <w:color w:val="000000" w:themeColor="text1"/>
          <w:szCs w:val="21"/>
        </w:rPr>
        <w:t>2.84%</w:t>
      </w:r>
      <w:r>
        <w:rPr>
          <w:rFonts w:eastAsiaTheme="minorEastAsia"/>
          <w:color w:val="000000" w:themeColor="text1"/>
          <w:szCs w:val="21"/>
        </w:rPr>
        <w:t>。随后调整在央行增加公开市场净投放后趋于稳定，债市负反馈压力缓解。</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下旬国常会释放降准信号更是进一步带动利率出现迅速下行。而降准落地后，</w:t>
      </w:r>
      <w:r>
        <w:rPr>
          <w:rFonts w:eastAsiaTheme="minorEastAsia"/>
          <w:color w:val="000000" w:themeColor="text1"/>
          <w:szCs w:val="21"/>
        </w:rPr>
        <w:t>25bps</w:t>
      </w:r>
      <w:r>
        <w:rPr>
          <w:rFonts w:eastAsiaTheme="minorEastAsia"/>
          <w:color w:val="000000" w:themeColor="text1"/>
          <w:szCs w:val="21"/>
        </w:rPr>
        <w:t>的幅度并未超出预期，债券收益率再度向上。</w:t>
      </w:r>
      <w:r>
        <w:rPr>
          <w:rFonts w:eastAsiaTheme="minorEastAsia"/>
          <w:color w:val="000000" w:themeColor="text1"/>
          <w:szCs w:val="21"/>
        </w:rPr>
        <w:t>12</w:t>
      </w:r>
      <w:r>
        <w:rPr>
          <w:rFonts w:eastAsiaTheme="minorEastAsia"/>
          <w:color w:val="000000" w:themeColor="text1"/>
          <w:szCs w:val="21"/>
        </w:rPr>
        <w:t>月以来理财赎回带来的负反馈再度加剧债市下跌，信用债尤甚。本轮下跌在经过几个交易日的情绪释放后，趋于平缓。中债</w:t>
      </w:r>
      <w:r>
        <w:rPr>
          <w:rFonts w:eastAsiaTheme="minorEastAsia"/>
          <w:color w:val="000000" w:themeColor="text1"/>
          <w:szCs w:val="21"/>
        </w:rPr>
        <w:t>-</w:t>
      </w:r>
      <w:r>
        <w:rPr>
          <w:rFonts w:eastAsiaTheme="minorEastAsia"/>
          <w:color w:val="000000" w:themeColor="text1"/>
          <w:szCs w:val="21"/>
        </w:rPr>
        <w:t>总财富指数四季度以来上涨</w:t>
      </w:r>
      <w:r>
        <w:rPr>
          <w:rFonts w:eastAsiaTheme="minorEastAsia"/>
          <w:color w:val="000000" w:themeColor="text1"/>
          <w:szCs w:val="21"/>
        </w:rPr>
        <w:t>0.25%</w:t>
      </w:r>
      <w:r>
        <w:rPr>
          <w:rFonts w:eastAsiaTheme="minorEastAsia"/>
          <w:color w:val="000000" w:themeColor="text1"/>
          <w:szCs w:val="21"/>
        </w:rPr>
        <w:t>，中债</w:t>
      </w:r>
      <w:r>
        <w:rPr>
          <w:rFonts w:eastAsiaTheme="minorEastAsia"/>
          <w:color w:val="000000" w:themeColor="text1"/>
          <w:szCs w:val="21"/>
        </w:rPr>
        <w:t>-</w:t>
      </w:r>
      <w:r>
        <w:rPr>
          <w:rFonts w:eastAsiaTheme="minorEastAsia"/>
          <w:color w:val="000000" w:themeColor="text1"/>
          <w:szCs w:val="21"/>
        </w:rPr>
        <w:t>信用债总财富指数下跌</w:t>
      </w:r>
      <w:r>
        <w:rPr>
          <w:rFonts w:eastAsiaTheme="minorEastAsia"/>
          <w:color w:val="000000" w:themeColor="text1"/>
          <w:szCs w:val="21"/>
        </w:rPr>
        <w:t>0.39%</w:t>
      </w:r>
      <w:r>
        <w:rPr>
          <w:rFonts w:eastAsiaTheme="minorEastAsia"/>
          <w:color w:val="000000" w:themeColor="text1"/>
          <w:szCs w:val="21"/>
        </w:rPr>
        <w:t>。</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w:t>
      </w:r>
      <w:r>
        <w:rPr>
          <w:rFonts w:eastAsiaTheme="minorEastAsia"/>
          <w:color w:val="000000" w:themeColor="text1"/>
          <w:szCs w:val="21"/>
        </w:rPr>
        <w:t xml:space="preserve"> 2022 </w:t>
      </w:r>
      <w:r>
        <w:rPr>
          <w:rFonts w:eastAsiaTheme="minorEastAsia"/>
          <w:color w:val="000000" w:themeColor="text1"/>
          <w:szCs w:val="21"/>
        </w:rPr>
        <w:t>年第四季度保持均衡配置，投资组合保持流动性充足。</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国际方面，美联储预计放缓加息的步伐，对人民币汇率的压力有望边际下降。国内方面，预计经济将维持复苏的态势，货币政策有望保持稳健中性。我们将结合市场情况进行动态调整，维持各类资产均衡配置，争取基金资产的稳健增值。</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本报告期上投摩根纯债债券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:-0.92%</w:t>
      </w:r>
      <w:r>
        <w:rPr>
          <w:rFonts w:eastAsiaTheme="minorEastAsia"/>
          <w:color w:val="000000" w:themeColor="text1"/>
          <w:szCs w:val="21"/>
        </w:rPr>
        <w:t>，同期业绩比较基准收益率为</w:t>
      </w:r>
      <w:r>
        <w:rPr>
          <w:rFonts w:eastAsiaTheme="minorEastAsia"/>
          <w:color w:val="000000" w:themeColor="text1"/>
          <w:szCs w:val="21"/>
        </w:rPr>
        <w:t>:-0.38%,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上投摩根纯债债券</w:t>
      </w:r>
      <w:r w:rsidRPr="00B27A29">
        <w:rPr>
          <w:rFonts w:eastAsiaTheme="minorEastAsia"/>
          <w:color w:val="000000" w:themeColor="text1"/>
          <w:szCs w:val="21"/>
        </w:rPr>
        <w:t>B</w:t>
      </w:r>
      <w:r w:rsidRPr="00B27A29">
        <w:rPr>
          <w:rFonts w:eastAsiaTheme="minorEastAsia"/>
          <w:color w:val="000000" w:themeColor="text1"/>
          <w:szCs w:val="21"/>
        </w:rPr>
        <w:t>份额净值增长率为</w:t>
      </w:r>
      <w:r w:rsidRPr="00B27A29">
        <w:rPr>
          <w:rFonts w:eastAsiaTheme="minorEastAsia"/>
          <w:color w:val="000000" w:themeColor="text1"/>
          <w:szCs w:val="21"/>
        </w:rPr>
        <w:t>:-1.00%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:-0.38%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126,539,538.03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90.54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126,539,538.03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90.54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10,011,835.60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3,202,315.67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4,949.19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139,758,638.49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12,130,553.43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38,508,081.09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27.90</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12,239,638.90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17,878,225.49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36,568,614.68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26.49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21,454,063.34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126,539,538.03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91.67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7C4F29">
        <w:tc>
          <w:tcPr>
            <w:tcW w:w="1504" w:type="dxa"/>
            <w:vAlign w:val="center"/>
          </w:tcPr>
          <w:p w:rsidR="007C4F29" w:rsidRDefault="0035683B">
            <w:pPr>
              <w:jc w:val="center"/>
            </w:pPr>
            <w:r>
              <w:rPr>
                <w:rFonts w:eastAsiaTheme="minorEastAsia"/>
                <w:color w:val="000000" w:themeColor="text1"/>
                <w:szCs w:val="21"/>
              </w:rPr>
              <w:t>1</w:t>
            </w:r>
          </w:p>
        </w:tc>
        <w:tc>
          <w:tcPr>
            <w:tcW w:w="1504" w:type="dxa"/>
            <w:vAlign w:val="center"/>
          </w:tcPr>
          <w:p w:rsidR="007C4F29" w:rsidRDefault="0035683B">
            <w:pPr>
              <w:jc w:val="center"/>
            </w:pPr>
            <w:r>
              <w:rPr>
                <w:rFonts w:eastAsiaTheme="minorEastAsia"/>
                <w:color w:val="000000" w:themeColor="text1"/>
                <w:szCs w:val="21"/>
              </w:rPr>
              <w:t>010303</w:t>
            </w:r>
          </w:p>
        </w:tc>
        <w:tc>
          <w:tcPr>
            <w:tcW w:w="1504" w:type="dxa"/>
            <w:vAlign w:val="center"/>
          </w:tcPr>
          <w:p w:rsidR="007C4F29" w:rsidRDefault="0035683B">
            <w:pPr>
              <w:jc w:val="center"/>
            </w:pPr>
            <w:r>
              <w:rPr>
                <w:rFonts w:eastAsiaTheme="minorEastAsia"/>
                <w:color w:val="000000" w:themeColor="text1"/>
                <w:szCs w:val="21"/>
              </w:rPr>
              <w:t>03</w:t>
            </w:r>
            <w:r>
              <w:rPr>
                <w:rFonts w:eastAsiaTheme="minorEastAsia"/>
                <w:color w:val="000000" w:themeColor="text1"/>
                <w:szCs w:val="21"/>
              </w:rPr>
              <w:t>国债</w:t>
            </w:r>
            <w:r>
              <w:rPr>
                <w:rFonts w:eastAsiaTheme="minorEastAsia"/>
                <w:color w:val="000000" w:themeColor="text1"/>
                <w:szCs w:val="21"/>
              </w:rPr>
              <w:t>⑶</w:t>
            </w:r>
          </w:p>
        </w:tc>
        <w:tc>
          <w:tcPr>
            <w:tcW w:w="1503" w:type="dxa"/>
            <w:vAlign w:val="center"/>
          </w:tcPr>
          <w:p w:rsidR="007C4F29" w:rsidRDefault="0035683B">
            <w:pPr>
              <w:jc w:val="right"/>
            </w:pPr>
            <w:r>
              <w:rPr>
                <w:rFonts w:eastAsiaTheme="minorEastAsia"/>
                <w:color w:val="000000" w:themeColor="text1"/>
                <w:szCs w:val="21"/>
              </w:rPr>
              <w:t>120,000</w:t>
            </w:r>
          </w:p>
        </w:tc>
        <w:tc>
          <w:tcPr>
            <w:tcW w:w="1503" w:type="dxa"/>
            <w:vAlign w:val="center"/>
          </w:tcPr>
          <w:p w:rsidR="007C4F29" w:rsidRDefault="0035683B">
            <w:pPr>
              <w:jc w:val="right"/>
            </w:pPr>
            <w:r>
              <w:rPr>
                <w:rFonts w:eastAsiaTheme="minorEastAsia"/>
                <w:color w:val="000000" w:themeColor="text1"/>
                <w:szCs w:val="21"/>
              </w:rPr>
              <w:t>12,130,553.43</w:t>
            </w:r>
          </w:p>
        </w:tc>
        <w:tc>
          <w:tcPr>
            <w:tcW w:w="1503" w:type="dxa"/>
            <w:vAlign w:val="center"/>
          </w:tcPr>
          <w:p w:rsidR="007C4F29" w:rsidRDefault="0035683B">
            <w:pPr>
              <w:jc w:val="right"/>
            </w:pPr>
            <w:r>
              <w:rPr>
                <w:rFonts w:eastAsiaTheme="minorEastAsia"/>
                <w:color w:val="000000" w:themeColor="text1"/>
                <w:szCs w:val="21"/>
              </w:rPr>
              <w:t>8.79</w:t>
            </w:r>
          </w:p>
        </w:tc>
      </w:tr>
      <w:tr w:rsidR="007C4F29">
        <w:tc>
          <w:tcPr>
            <w:tcW w:w="1504" w:type="dxa"/>
            <w:vAlign w:val="center"/>
          </w:tcPr>
          <w:p w:rsidR="007C4F29" w:rsidRDefault="0035683B">
            <w:pPr>
              <w:jc w:val="center"/>
            </w:pPr>
            <w:r>
              <w:rPr>
                <w:rFonts w:eastAsiaTheme="minorEastAsia"/>
                <w:color w:val="000000" w:themeColor="text1"/>
                <w:szCs w:val="21"/>
              </w:rPr>
              <w:t>2</w:t>
            </w:r>
          </w:p>
        </w:tc>
        <w:tc>
          <w:tcPr>
            <w:tcW w:w="1504" w:type="dxa"/>
            <w:vAlign w:val="center"/>
          </w:tcPr>
          <w:p w:rsidR="007C4F29" w:rsidRDefault="0035683B">
            <w:pPr>
              <w:jc w:val="center"/>
            </w:pPr>
            <w:r>
              <w:rPr>
                <w:rFonts w:eastAsiaTheme="minorEastAsia"/>
                <w:color w:val="000000" w:themeColor="text1"/>
                <w:szCs w:val="21"/>
              </w:rPr>
              <w:t>220203</w:t>
            </w:r>
          </w:p>
        </w:tc>
        <w:tc>
          <w:tcPr>
            <w:tcW w:w="1504" w:type="dxa"/>
            <w:vAlign w:val="center"/>
          </w:tcPr>
          <w:p w:rsidR="007C4F29" w:rsidRDefault="0035683B">
            <w:pPr>
              <w:jc w:val="center"/>
            </w:pPr>
            <w:r>
              <w:rPr>
                <w:rFonts w:eastAsiaTheme="minorEastAsia"/>
                <w:color w:val="000000" w:themeColor="text1"/>
                <w:szCs w:val="21"/>
              </w:rPr>
              <w:t>22</w:t>
            </w:r>
            <w:r>
              <w:rPr>
                <w:rFonts w:eastAsiaTheme="minorEastAsia"/>
                <w:color w:val="000000" w:themeColor="text1"/>
                <w:szCs w:val="21"/>
              </w:rPr>
              <w:t>国开</w:t>
            </w:r>
            <w:r>
              <w:rPr>
                <w:rFonts w:eastAsiaTheme="minorEastAsia"/>
                <w:color w:val="000000" w:themeColor="text1"/>
                <w:szCs w:val="21"/>
              </w:rPr>
              <w:t>03</w:t>
            </w:r>
          </w:p>
        </w:tc>
        <w:tc>
          <w:tcPr>
            <w:tcW w:w="1503" w:type="dxa"/>
            <w:vAlign w:val="center"/>
          </w:tcPr>
          <w:p w:rsidR="007C4F29" w:rsidRDefault="0035683B">
            <w:pPr>
              <w:jc w:val="right"/>
            </w:pPr>
            <w:r>
              <w:rPr>
                <w:rFonts w:eastAsiaTheme="minorEastAsia"/>
                <w:color w:val="000000" w:themeColor="text1"/>
                <w:szCs w:val="21"/>
              </w:rPr>
              <w:t>100,000</w:t>
            </w:r>
          </w:p>
        </w:tc>
        <w:tc>
          <w:tcPr>
            <w:tcW w:w="1503" w:type="dxa"/>
            <w:vAlign w:val="center"/>
          </w:tcPr>
          <w:p w:rsidR="007C4F29" w:rsidRDefault="0035683B">
            <w:pPr>
              <w:jc w:val="right"/>
            </w:pPr>
            <w:r>
              <w:rPr>
                <w:rFonts w:eastAsiaTheme="minorEastAsia"/>
                <w:color w:val="000000" w:themeColor="text1"/>
                <w:szCs w:val="21"/>
              </w:rPr>
              <w:t>10,186,794.52</w:t>
            </w:r>
          </w:p>
        </w:tc>
        <w:tc>
          <w:tcPr>
            <w:tcW w:w="1503" w:type="dxa"/>
            <w:vAlign w:val="center"/>
          </w:tcPr>
          <w:p w:rsidR="007C4F29" w:rsidRDefault="0035683B">
            <w:pPr>
              <w:jc w:val="right"/>
            </w:pPr>
            <w:r>
              <w:rPr>
                <w:rFonts w:eastAsiaTheme="minorEastAsia"/>
                <w:color w:val="000000" w:themeColor="text1"/>
                <w:szCs w:val="21"/>
              </w:rPr>
              <w:t>7.38</w:t>
            </w:r>
          </w:p>
        </w:tc>
      </w:tr>
      <w:tr w:rsidR="007C4F29">
        <w:tc>
          <w:tcPr>
            <w:tcW w:w="1504" w:type="dxa"/>
            <w:vAlign w:val="center"/>
          </w:tcPr>
          <w:p w:rsidR="007C4F29" w:rsidRDefault="0035683B">
            <w:pPr>
              <w:jc w:val="center"/>
            </w:pPr>
            <w:r>
              <w:rPr>
                <w:rFonts w:eastAsiaTheme="minorEastAsia"/>
                <w:color w:val="000000" w:themeColor="text1"/>
                <w:szCs w:val="21"/>
              </w:rPr>
              <w:t>3</w:t>
            </w:r>
          </w:p>
        </w:tc>
        <w:tc>
          <w:tcPr>
            <w:tcW w:w="1504" w:type="dxa"/>
            <w:vAlign w:val="center"/>
          </w:tcPr>
          <w:p w:rsidR="007C4F29" w:rsidRDefault="0035683B">
            <w:pPr>
              <w:jc w:val="center"/>
            </w:pPr>
            <w:r>
              <w:rPr>
                <w:rFonts w:eastAsiaTheme="minorEastAsia"/>
                <w:color w:val="000000" w:themeColor="text1"/>
                <w:szCs w:val="21"/>
              </w:rPr>
              <w:t>102280252</w:t>
            </w:r>
          </w:p>
        </w:tc>
        <w:tc>
          <w:tcPr>
            <w:tcW w:w="1504" w:type="dxa"/>
            <w:vAlign w:val="center"/>
          </w:tcPr>
          <w:p w:rsidR="007C4F29" w:rsidRDefault="0035683B">
            <w:pPr>
              <w:jc w:val="center"/>
            </w:pPr>
            <w:r>
              <w:rPr>
                <w:rFonts w:eastAsiaTheme="minorEastAsia"/>
                <w:color w:val="000000" w:themeColor="text1"/>
                <w:szCs w:val="21"/>
              </w:rPr>
              <w:t>22</w:t>
            </w:r>
            <w:r>
              <w:rPr>
                <w:rFonts w:eastAsiaTheme="minorEastAsia"/>
                <w:color w:val="000000" w:themeColor="text1"/>
                <w:szCs w:val="21"/>
              </w:rPr>
              <w:t>中节能</w:t>
            </w:r>
            <w:r>
              <w:rPr>
                <w:rFonts w:eastAsiaTheme="minorEastAsia"/>
                <w:color w:val="000000" w:themeColor="text1"/>
                <w:szCs w:val="21"/>
              </w:rPr>
              <w:t>MTN001</w:t>
            </w:r>
          </w:p>
        </w:tc>
        <w:tc>
          <w:tcPr>
            <w:tcW w:w="1503" w:type="dxa"/>
            <w:vAlign w:val="center"/>
          </w:tcPr>
          <w:p w:rsidR="007C4F29" w:rsidRDefault="0035683B">
            <w:pPr>
              <w:jc w:val="right"/>
            </w:pPr>
            <w:r>
              <w:rPr>
                <w:rFonts w:eastAsiaTheme="minorEastAsia"/>
                <w:color w:val="000000" w:themeColor="text1"/>
                <w:szCs w:val="21"/>
              </w:rPr>
              <w:t>100,000</w:t>
            </w:r>
          </w:p>
        </w:tc>
        <w:tc>
          <w:tcPr>
            <w:tcW w:w="1503" w:type="dxa"/>
            <w:vAlign w:val="center"/>
          </w:tcPr>
          <w:p w:rsidR="007C4F29" w:rsidRDefault="0035683B">
            <w:pPr>
              <w:jc w:val="right"/>
            </w:pPr>
            <w:r>
              <w:rPr>
                <w:rFonts w:eastAsiaTheme="minorEastAsia"/>
                <w:color w:val="000000" w:themeColor="text1"/>
                <w:szCs w:val="21"/>
              </w:rPr>
              <w:t>10,186,200.55</w:t>
            </w:r>
          </w:p>
        </w:tc>
        <w:tc>
          <w:tcPr>
            <w:tcW w:w="1503" w:type="dxa"/>
            <w:vAlign w:val="center"/>
          </w:tcPr>
          <w:p w:rsidR="007C4F29" w:rsidRDefault="0035683B">
            <w:pPr>
              <w:jc w:val="right"/>
            </w:pPr>
            <w:r>
              <w:rPr>
                <w:rFonts w:eastAsiaTheme="minorEastAsia"/>
                <w:color w:val="000000" w:themeColor="text1"/>
                <w:szCs w:val="21"/>
              </w:rPr>
              <w:t>7.38</w:t>
            </w:r>
          </w:p>
        </w:tc>
      </w:tr>
      <w:tr w:rsidR="007C4F29">
        <w:tc>
          <w:tcPr>
            <w:tcW w:w="1504" w:type="dxa"/>
            <w:vAlign w:val="center"/>
          </w:tcPr>
          <w:p w:rsidR="007C4F29" w:rsidRDefault="0035683B">
            <w:pPr>
              <w:jc w:val="center"/>
            </w:pPr>
            <w:r>
              <w:rPr>
                <w:rFonts w:eastAsiaTheme="minorEastAsia"/>
                <w:color w:val="000000" w:themeColor="text1"/>
                <w:szCs w:val="21"/>
              </w:rPr>
              <w:t>4</w:t>
            </w:r>
          </w:p>
        </w:tc>
        <w:tc>
          <w:tcPr>
            <w:tcW w:w="1504" w:type="dxa"/>
            <w:vAlign w:val="center"/>
          </w:tcPr>
          <w:p w:rsidR="007C4F29" w:rsidRDefault="0035683B">
            <w:pPr>
              <w:jc w:val="center"/>
            </w:pPr>
            <w:r>
              <w:rPr>
                <w:rFonts w:eastAsiaTheme="minorEastAsia"/>
                <w:color w:val="000000" w:themeColor="text1"/>
                <w:szCs w:val="21"/>
              </w:rPr>
              <w:t>102281375</w:t>
            </w:r>
          </w:p>
        </w:tc>
        <w:tc>
          <w:tcPr>
            <w:tcW w:w="1504" w:type="dxa"/>
            <w:vAlign w:val="center"/>
          </w:tcPr>
          <w:p w:rsidR="007C4F29" w:rsidRDefault="0035683B">
            <w:pPr>
              <w:jc w:val="center"/>
            </w:pPr>
            <w:r>
              <w:rPr>
                <w:rFonts w:eastAsiaTheme="minorEastAsia"/>
                <w:color w:val="000000" w:themeColor="text1"/>
                <w:szCs w:val="21"/>
              </w:rPr>
              <w:t>22</w:t>
            </w:r>
            <w:r>
              <w:rPr>
                <w:rFonts w:eastAsiaTheme="minorEastAsia"/>
                <w:color w:val="000000" w:themeColor="text1"/>
                <w:szCs w:val="21"/>
              </w:rPr>
              <w:t>中电投</w:t>
            </w:r>
            <w:r>
              <w:rPr>
                <w:rFonts w:eastAsiaTheme="minorEastAsia"/>
                <w:color w:val="000000" w:themeColor="text1"/>
                <w:szCs w:val="21"/>
              </w:rPr>
              <w:t>MTN017</w:t>
            </w:r>
          </w:p>
        </w:tc>
        <w:tc>
          <w:tcPr>
            <w:tcW w:w="1503" w:type="dxa"/>
            <w:vAlign w:val="center"/>
          </w:tcPr>
          <w:p w:rsidR="007C4F29" w:rsidRDefault="0035683B">
            <w:pPr>
              <w:jc w:val="right"/>
            </w:pPr>
            <w:r>
              <w:rPr>
                <w:rFonts w:eastAsiaTheme="minorEastAsia"/>
                <w:color w:val="000000" w:themeColor="text1"/>
                <w:szCs w:val="21"/>
              </w:rPr>
              <w:t>100,000</w:t>
            </w:r>
          </w:p>
        </w:tc>
        <w:tc>
          <w:tcPr>
            <w:tcW w:w="1503" w:type="dxa"/>
            <w:vAlign w:val="center"/>
          </w:tcPr>
          <w:p w:rsidR="007C4F29" w:rsidRDefault="0035683B">
            <w:pPr>
              <w:jc w:val="right"/>
            </w:pPr>
            <w:r>
              <w:rPr>
                <w:rFonts w:eastAsiaTheme="minorEastAsia"/>
                <w:color w:val="000000" w:themeColor="text1"/>
                <w:szCs w:val="21"/>
              </w:rPr>
              <w:t>10,120,300.82</w:t>
            </w:r>
          </w:p>
        </w:tc>
        <w:tc>
          <w:tcPr>
            <w:tcW w:w="1503" w:type="dxa"/>
            <w:vAlign w:val="center"/>
          </w:tcPr>
          <w:p w:rsidR="007C4F29" w:rsidRDefault="0035683B">
            <w:pPr>
              <w:jc w:val="right"/>
            </w:pPr>
            <w:r>
              <w:rPr>
                <w:rFonts w:eastAsiaTheme="minorEastAsia"/>
                <w:color w:val="000000" w:themeColor="text1"/>
                <w:szCs w:val="21"/>
              </w:rPr>
              <w:t>7.33</w:t>
            </w:r>
          </w:p>
        </w:tc>
      </w:tr>
      <w:tr w:rsidR="007C4F29">
        <w:tc>
          <w:tcPr>
            <w:tcW w:w="1504" w:type="dxa"/>
            <w:vAlign w:val="center"/>
          </w:tcPr>
          <w:p w:rsidR="007C4F29" w:rsidRDefault="0035683B">
            <w:pPr>
              <w:jc w:val="center"/>
            </w:pPr>
            <w:r>
              <w:rPr>
                <w:rFonts w:eastAsiaTheme="minorEastAsia"/>
                <w:color w:val="000000" w:themeColor="text1"/>
                <w:szCs w:val="21"/>
              </w:rPr>
              <w:t>5</w:t>
            </w:r>
          </w:p>
        </w:tc>
        <w:tc>
          <w:tcPr>
            <w:tcW w:w="1504" w:type="dxa"/>
            <w:vAlign w:val="center"/>
          </w:tcPr>
          <w:p w:rsidR="007C4F29" w:rsidRDefault="0035683B">
            <w:pPr>
              <w:jc w:val="center"/>
            </w:pPr>
            <w:r>
              <w:rPr>
                <w:rFonts w:eastAsiaTheme="minorEastAsia"/>
                <w:color w:val="000000" w:themeColor="text1"/>
                <w:szCs w:val="21"/>
              </w:rPr>
              <w:t>2220067</w:t>
            </w:r>
          </w:p>
        </w:tc>
        <w:tc>
          <w:tcPr>
            <w:tcW w:w="1504" w:type="dxa"/>
            <w:vAlign w:val="center"/>
          </w:tcPr>
          <w:p w:rsidR="007C4F29" w:rsidRDefault="0035683B">
            <w:pPr>
              <w:jc w:val="center"/>
            </w:pPr>
            <w:r>
              <w:rPr>
                <w:rFonts w:eastAsiaTheme="minorEastAsia"/>
                <w:color w:val="000000" w:themeColor="text1"/>
                <w:szCs w:val="21"/>
              </w:rPr>
              <w:t>22</w:t>
            </w:r>
            <w:r>
              <w:rPr>
                <w:rFonts w:eastAsiaTheme="minorEastAsia"/>
                <w:color w:val="000000" w:themeColor="text1"/>
                <w:szCs w:val="21"/>
              </w:rPr>
              <w:t>杭州银行债</w:t>
            </w:r>
            <w:r>
              <w:rPr>
                <w:rFonts w:eastAsiaTheme="minorEastAsia"/>
                <w:color w:val="000000" w:themeColor="text1"/>
                <w:szCs w:val="21"/>
              </w:rPr>
              <w:t>01</w:t>
            </w:r>
          </w:p>
        </w:tc>
        <w:tc>
          <w:tcPr>
            <w:tcW w:w="1503" w:type="dxa"/>
            <w:vAlign w:val="center"/>
          </w:tcPr>
          <w:p w:rsidR="007C4F29" w:rsidRDefault="0035683B">
            <w:pPr>
              <w:jc w:val="right"/>
            </w:pPr>
            <w:r>
              <w:rPr>
                <w:rFonts w:eastAsiaTheme="minorEastAsia"/>
                <w:color w:val="000000" w:themeColor="text1"/>
                <w:szCs w:val="21"/>
              </w:rPr>
              <w:t>100,000</w:t>
            </w:r>
          </w:p>
        </w:tc>
        <w:tc>
          <w:tcPr>
            <w:tcW w:w="1503" w:type="dxa"/>
            <w:vAlign w:val="center"/>
          </w:tcPr>
          <w:p w:rsidR="007C4F29" w:rsidRDefault="0035683B">
            <w:pPr>
              <w:jc w:val="right"/>
            </w:pPr>
            <w:r>
              <w:rPr>
                <w:rFonts w:eastAsiaTheme="minorEastAsia"/>
                <w:color w:val="000000" w:themeColor="text1"/>
                <w:szCs w:val="21"/>
              </w:rPr>
              <w:t>9,958,506.85</w:t>
            </w:r>
          </w:p>
        </w:tc>
        <w:tc>
          <w:tcPr>
            <w:tcW w:w="1503" w:type="dxa"/>
            <w:vAlign w:val="center"/>
          </w:tcPr>
          <w:p w:rsidR="007C4F29" w:rsidRDefault="0035683B">
            <w:pPr>
              <w:jc w:val="right"/>
            </w:pPr>
            <w:r>
              <w:rPr>
                <w:rFonts w:eastAsiaTheme="minorEastAsia"/>
                <w:color w:val="000000" w:themeColor="text1"/>
                <w:szCs w:val="21"/>
              </w:rPr>
              <w:t>7.21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3,091.78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1,857.41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4,949.19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7C4F29">
        <w:tc>
          <w:tcPr>
            <w:tcW w:w="1181" w:type="dxa"/>
            <w:vAlign w:val="center"/>
          </w:tcPr>
          <w:p w:rsidR="007C4F29" w:rsidRDefault="0035683B">
            <w:pPr>
              <w:jc w:val="center"/>
            </w:pPr>
            <w:r>
              <w:rPr>
                <w:rFonts w:eastAsiaTheme="minorEastAsia"/>
                <w:color w:val="000000" w:themeColor="text1"/>
                <w:szCs w:val="21"/>
              </w:rPr>
              <w:t>1</w:t>
            </w:r>
          </w:p>
        </w:tc>
        <w:tc>
          <w:tcPr>
            <w:tcW w:w="2497" w:type="dxa"/>
            <w:vAlign w:val="center"/>
          </w:tcPr>
          <w:p w:rsidR="007C4F29" w:rsidRDefault="0035683B">
            <w:pPr>
              <w:jc w:val="center"/>
            </w:pPr>
            <w:r>
              <w:rPr>
                <w:rFonts w:eastAsiaTheme="minorEastAsia"/>
                <w:color w:val="000000" w:themeColor="text1"/>
                <w:szCs w:val="21"/>
              </w:rPr>
              <w:t>110067</w:t>
            </w:r>
          </w:p>
        </w:tc>
        <w:tc>
          <w:tcPr>
            <w:tcW w:w="1746" w:type="dxa"/>
            <w:vAlign w:val="center"/>
          </w:tcPr>
          <w:p w:rsidR="007C4F29" w:rsidRDefault="0035683B">
            <w:pPr>
              <w:jc w:val="center"/>
            </w:pPr>
            <w:r>
              <w:rPr>
                <w:rFonts w:eastAsiaTheme="minorEastAsia"/>
                <w:color w:val="000000" w:themeColor="text1"/>
                <w:szCs w:val="21"/>
              </w:rPr>
              <w:t>华安转债</w:t>
            </w:r>
          </w:p>
        </w:tc>
        <w:tc>
          <w:tcPr>
            <w:tcW w:w="1825" w:type="dxa"/>
            <w:vAlign w:val="center"/>
          </w:tcPr>
          <w:p w:rsidR="007C4F29" w:rsidRDefault="0035683B">
            <w:pPr>
              <w:jc w:val="right"/>
            </w:pPr>
            <w:r>
              <w:rPr>
                <w:rFonts w:eastAsiaTheme="minorEastAsia"/>
                <w:color w:val="000000" w:themeColor="text1"/>
                <w:szCs w:val="21"/>
              </w:rPr>
              <w:t>1,510,011.23</w:t>
            </w:r>
          </w:p>
        </w:tc>
        <w:tc>
          <w:tcPr>
            <w:tcW w:w="1679" w:type="dxa"/>
            <w:vAlign w:val="center"/>
          </w:tcPr>
          <w:p w:rsidR="007C4F29" w:rsidRDefault="0035683B">
            <w:pPr>
              <w:jc w:val="right"/>
            </w:pPr>
            <w:r>
              <w:rPr>
                <w:rFonts w:eastAsiaTheme="minorEastAsia"/>
                <w:color w:val="000000" w:themeColor="text1"/>
                <w:szCs w:val="21"/>
              </w:rPr>
              <w:t>1.09</w:t>
            </w:r>
          </w:p>
        </w:tc>
      </w:tr>
      <w:tr w:rsidR="007C4F29">
        <w:tc>
          <w:tcPr>
            <w:tcW w:w="1181" w:type="dxa"/>
            <w:vAlign w:val="center"/>
          </w:tcPr>
          <w:p w:rsidR="007C4F29" w:rsidRDefault="0035683B">
            <w:pPr>
              <w:jc w:val="center"/>
            </w:pPr>
            <w:r>
              <w:rPr>
                <w:rFonts w:eastAsiaTheme="minorEastAsia"/>
                <w:color w:val="000000" w:themeColor="text1"/>
                <w:szCs w:val="21"/>
              </w:rPr>
              <w:t>2</w:t>
            </w:r>
          </w:p>
        </w:tc>
        <w:tc>
          <w:tcPr>
            <w:tcW w:w="2497" w:type="dxa"/>
            <w:vAlign w:val="center"/>
          </w:tcPr>
          <w:p w:rsidR="007C4F29" w:rsidRDefault="0035683B">
            <w:pPr>
              <w:jc w:val="center"/>
            </w:pPr>
            <w:r>
              <w:rPr>
                <w:rFonts w:eastAsiaTheme="minorEastAsia"/>
                <w:color w:val="000000" w:themeColor="text1"/>
                <w:szCs w:val="21"/>
              </w:rPr>
              <w:t>110079</w:t>
            </w:r>
          </w:p>
        </w:tc>
        <w:tc>
          <w:tcPr>
            <w:tcW w:w="1746" w:type="dxa"/>
            <w:vAlign w:val="center"/>
          </w:tcPr>
          <w:p w:rsidR="007C4F29" w:rsidRDefault="0035683B">
            <w:pPr>
              <w:jc w:val="center"/>
            </w:pPr>
            <w:r>
              <w:rPr>
                <w:rFonts w:eastAsiaTheme="minorEastAsia"/>
                <w:color w:val="000000" w:themeColor="text1"/>
                <w:szCs w:val="21"/>
              </w:rPr>
              <w:t>杭银转债</w:t>
            </w:r>
          </w:p>
        </w:tc>
        <w:tc>
          <w:tcPr>
            <w:tcW w:w="1825" w:type="dxa"/>
            <w:vAlign w:val="center"/>
          </w:tcPr>
          <w:p w:rsidR="007C4F29" w:rsidRDefault="0035683B">
            <w:pPr>
              <w:jc w:val="right"/>
            </w:pPr>
            <w:r>
              <w:rPr>
                <w:rFonts w:eastAsiaTheme="minorEastAsia"/>
                <w:color w:val="000000" w:themeColor="text1"/>
                <w:szCs w:val="21"/>
              </w:rPr>
              <w:t>1,045,833.53</w:t>
            </w:r>
          </w:p>
        </w:tc>
        <w:tc>
          <w:tcPr>
            <w:tcW w:w="1679" w:type="dxa"/>
            <w:vAlign w:val="center"/>
          </w:tcPr>
          <w:p w:rsidR="007C4F29" w:rsidRDefault="0035683B">
            <w:pPr>
              <w:jc w:val="right"/>
            </w:pPr>
            <w:r>
              <w:rPr>
                <w:rFonts w:eastAsiaTheme="minorEastAsia"/>
                <w:color w:val="000000" w:themeColor="text1"/>
                <w:szCs w:val="21"/>
              </w:rPr>
              <w:t>0.76</w:t>
            </w:r>
          </w:p>
        </w:tc>
      </w:tr>
      <w:tr w:rsidR="007C4F29">
        <w:tc>
          <w:tcPr>
            <w:tcW w:w="1181" w:type="dxa"/>
            <w:vAlign w:val="center"/>
          </w:tcPr>
          <w:p w:rsidR="007C4F29" w:rsidRDefault="0035683B">
            <w:pPr>
              <w:jc w:val="center"/>
            </w:pPr>
            <w:r>
              <w:rPr>
                <w:rFonts w:eastAsiaTheme="minorEastAsia"/>
                <w:color w:val="000000" w:themeColor="text1"/>
                <w:szCs w:val="21"/>
              </w:rPr>
              <w:t>3</w:t>
            </w:r>
          </w:p>
        </w:tc>
        <w:tc>
          <w:tcPr>
            <w:tcW w:w="2497" w:type="dxa"/>
            <w:vAlign w:val="center"/>
          </w:tcPr>
          <w:p w:rsidR="007C4F29" w:rsidRDefault="0035683B">
            <w:pPr>
              <w:jc w:val="center"/>
            </w:pPr>
            <w:r>
              <w:rPr>
                <w:rFonts w:eastAsiaTheme="minorEastAsia"/>
                <w:color w:val="000000" w:themeColor="text1"/>
                <w:szCs w:val="21"/>
              </w:rPr>
              <w:t>113060</w:t>
            </w:r>
          </w:p>
        </w:tc>
        <w:tc>
          <w:tcPr>
            <w:tcW w:w="1746" w:type="dxa"/>
            <w:vAlign w:val="center"/>
          </w:tcPr>
          <w:p w:rsidR="007C4F29" w:rsidRDefault="0035683B">
            <w:pPr>
              <w:jc w:val="center"/>
            </w:pPr>
            <w:r>
              <w:rPr>
                <w:rFonts w:eastAsiaTheme="minorEastAsia"/>
                <w:color w:val="000000" w:themeColor="text1"/>
                <w:szCs w:val="21"/>
              </w:rPr>
              <w:t>浙</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rsidR="007C4F29" w:rsidRDefault="0035683B">
            <w:pPr>
              <w:jc w:val="right"/>
            </w:pPr>
            <w:r>
              <w:rPr>
                <w:rFonts w:eastAsiaTheme="minorEastAsia"/>
                <w:color w:val="000000" w:themeColor="text1"/>
                <w:szCs w:val="21"/>
              </w:rPr>
              <w:t>966,384.88</w:t>
            </w:r>
          </w:p>
        </w:tc>
        <w:tc>
          <w:tcPr>
            <w:tcW w:w="1679" w:type="dxa"/>
            <w:vAlign w:val="center"/>
          </w:tcPr>
          <w:p w:rsidR="007C4F29" w:rsidRDefault="0035683B">
            <w:pPr>
              <w:jc w:val="right"/>
            </w:pPr>
            <w:r>
              <w:rPr>
                <w:rFonts w:eastAsiaTheme="minorEastAsia"/>
                <w:color w:val="000000" w:themeColor="text1"/>
                <w:szCs w:val="21"/>
              </w:rPr>
              <w:t>0.70</w:t>
            </w:r>
          </w:p>
        </w:tc>
      </w:tr>
      <w:tr w:rsidR="007C4F29">
        <w:tc>
          <w:tcPr>
            <w:tcW w:w="1181" w:type="dxa"/>
            <w:vAlign w:val="center"/>
          </w:tcPr>
          <w:p w:rsidR="007C4F29" w:rsidRDefault="0035683B">
            <w:pPr>
              <w:jc w:val="center"/>
            </w:pPr>
            <w:r>
              <w:rPr>
                <w:rFonts w:eastAsiaTheme="minorEastAsia"/>
                <w:color w:val="000000" w:themeColor="text1"/>
                <w:szCs w:val="21"/>
              </w:rPr>
              <w:t>4</w:t>
            </w:r>
          </w:p>
        </w:tc>
        <w:tc>
          <w:tcPr>
            <w:tcW w:w="2497" w:type="dxa"/>
            <w:vAlign w:val="center"/>
          </w:tcPr>
          <w:p w:rsidR="007C4F29" w:rsidRDefault="0035683B">
            <w:pPr>
              <w:jc w:val="center"/>
            </w:pPr>
            <w:r>
              <w:rPr>
                <w:rFonts w:eastAsiaTheme="minorEastAsia"/>
                <w:color w:val="000000" w:themeColor="text1"/>
                <w:szCs w:val="21"/>
              </w:rPr>
              <w:t>127038</w:t>
            </w:r>
          </w:p>
        </w:tc>
        <w:tc>
          <w:tcPr>
            <w:tcW w:w="1746" w:type="dxa"/>
            <w:vAlign w:val="center"/>
          </w:tcPr>
          <w:p w:rsidR="007C4F29" w:rsidRDefault="0035683B">
            <w:pPr>
              <w:jc w:val="center"/>
            </w:pPr>
            <w:r>
              <w:rPr>
                <w:rFonts w:eastAsiaTheme="minorEastAsia"/>
                <w:color w:val="000000" w:themeColor="text1"/>
                <w:szCs w:val="21"/>
              </w:rPr>
              <w:t>国微转债</w:t>
            </w:r>
          </w:p>
        </w:tc>
        <w:tc>
          <w:tcPr>
            <w:tcW w:w="1825" w:type="dxa"/>
            <w:vAlign w:val="center"/>
          </w:tcPr>
          <w:p w:rsidR="007C4F29" w:rsidRDefault="0035683B">
            <w:pPr>
              <w:jc w:val="right"/>
            </w:pPr>
            <w:r>
              <w:rPr>
                <w:rFonts w:eastAsiaTheme="minorEastAsia"/>
                <w:color w:val="000000" w:themeColor="text1"/>
                <w:szCs w:val="21"/>
              </w:rPr>
              <w:t>932,998.36</w:t>
            </w:r>
          </w:p>
        </w:tc>
        <w:tc>
          <w:tcPr>
            <w:tcW w:w="1679" w:type="dxa"/>
            <w:vAlign w:val="center"/>
          </w:tcPr>
          <w:p w:rsidR="007C4F29" w:rsidRDefault="0035683B">
            <w:pPr>
              <w:jc w:val="right"/>
            </w:pPr>
            <w:r>
              <w:rPr>
                <w:rFonts w:eastAsiaTheme="minorEastAsia"/>
                <w:color w:val="000000" w:themeColor="text1"/>
                <w:szCs w:val="21"/>
              </w:rPr>
              <w:t>0.68</w:t>
            </w:r>
          </w:p>
        </w:tc>
      </w:tr>
      <w:tr w:rsidR="007C4F29">
        <w:tc>
          <w:tcPr>
            <w:tcW w:w="1181" w:type="dxa"/>
            <w:vAlign w:val="center"/>
          </w:tcPr>
          <w:p w:rsidR="007C4F29" w:rsidRDefault="0035683B">
            <w:pPr>
              <w:jc w:val="center"/>
            </w:pPr>
            <w:r>
              <w:rPr>
                <w:rFonts w:eastAsiaTheme="minorEastAsia"/>
                <w:color w:val="000000" w:themeColor="text1"/>
                <w:szCs w:val="21"/>
              </w:rPr>
              <w:t>5</w:t>
            </w:r>
          </w:p>
        </w:tc>
        <w:tc>
          <w:tcPr>
            <w:tcW w:w="2497" w:type="dxa"/>
            <w:vAlign w:val="center"/>
          </w:tcPr>
          <w:p w:rsidR="007C4F29" w:rsidRDefault="0035683B">
            <w:pPr>
              <w:jc w:val="center"/>
            </w:pPr>
            <w:r>
              <w:rPr>
                <w:rFonts w:eastAsiaTheme="minorEastAsia"/>
                <w:color w:val="000000" w:themeColor="text1"/>
                <w:szCs w:val="21"/>
              </w:rPr>
              <w:t>113055</w:t>
            </w:r>
          </w:p>
        </w:tc>
        <w:tc>
          <w:tcPr>
            <w:tcW w:w="1746" w:type="dxa"/>
            <w:vAlign w:val="center"/>
          </w:tcPr>
          <w:p w:rsidR="007C4F29" w:rsidRDefault="0035683B">
            <w:pPr>
              <w:jc w:val="center"/>
            </w:pPr>
            <w:r>
              <w:rPr>
                <w:rFonts w:eastAsiaTheme="minorEastAsia"/>
                <w:color w:val="000000" w:themeColor="text1"/>
                <w:szCs w:val="21"/>
              </w:rPr>
              <w:t>成银转债</w:t>
            </w:r>
          </w:p>
        </w:tc>
        <w:tc>
          <w:tcPr>
            <w:tcW w:w="1825" w:type="dxa"/>
            <w:vAlign w:val="center"/>
          </w:tcPr>
          <w:p w:rsidR="007C4F29" w:rsidRDefault="0035683B">
            <w:pPr>
              <w:jc w:val="right"/>
            </w:pPr>
            <w:r>
              <w:rPr>
                <w:rFonts w:eastAsiaTheme="minorEastAsia"/>
                <w:color w:val="000000" w:themeColor="text1"/>
                <w:szCs w:val="21"/>
              </w:rPr>
              <w:t>840,092.82</w:t>
            </w:r>
          </w:p>
        </w:tc>
        <w:tc>
          <w:tcPr>
            <w:tcW w:w="1679" w:type="dxa"/>
            <w:vAlign w:val="center"/>
          </w:tcPr>
          <w:p w:rsidR="007C4F29" w:rsidRDefault="0035683B">
            <w:pPr>
              <w:jc w:val="right"/>
            </w:pPr>
            <w:r>
              <w:rPr>
                <w:rFonts w:eastAsiaTheme="minorEastAsia"/>
                <w:color w:val="000000" w:themeColor="text1"/>
                <w:szCs w:val="21"/>
              </w:rPr>
              <w:t>0.61</w:t>
            </w:r>
          </w:p>
        </w:tc>
      </w:tr>
      <w:tr w:rsidR="007C4F29">
        <w:tc>
          <w:tcPr>
            <w:tcW w:w="1181" w:type="dxa"/>
            <w:vAlign w:val="center"/>
          </w:tcPr>
          <w:p w:rsidR="007C4F29" w:rsidRDefault="0035683B">
            <w:pPr>
              <w:jc w:val="center"/>
            </w:pPr>
            <w:r>
              <w:rPr>
                <w:rFonts w:eastAsiaTheme="minorEastAsia"/>
                <w:color w:val="000000" w:themeColor="text1"/>
                <w:szCs w:val="21"/>
              </w:rPr>
              <w:t>6</w:t>
            </w:r>
          </w:p>
        </w:tc>
        <w:tc>
          <w:tcPr>
            <w:tcW w:w="2497" w:type="dxa"/>
            <w:vAlign w:val="center"/>
          </w:tcPr>
          <w:p w:rsidR="007C4F29" w:rsidRDefault="0035683B">
            <w:pPr>
              <w:jc w:val="center"/>
            </w:pPr>
            <w:r>
              <w:rPr>
                <w:rFonts w:eastAsiaTheme="minorEastAsia"/>
                <w:color w:val="000000" w:themeColor="text1"/>
                <w:szCs w:val="21"/>
              </w:rPr>
              <w:t>113052</w:t>
            </w:r>
          </w:p>
        </w:tc>
        <w:tc>
          <w:tcPr>
            <w:tcW w:w="1746" w:type="dxa"/>
            <w:vAlign w:val="center"/>
          </w:tcPr>
          <w:p w:rsidR="007C4F29" w:rsidRDefault="0035683B">
            <w:pPr>
              <w:jc w:val="center"/>
            </w:pPr>
            <w:r>
              <w:rPr>
                <w:rFonts w:eastAsiaTheme="minorEastAsia"/>
                <w:color w:val="000000" w:themeColor="text1"/>
                <w:szCs w:val="21"/>
              </w:rPr>
              <w:t>兴业转债</w:t>
            </w:r>
          </w:p>
        </w:tc>
        <w:tc>
          <w:tcPr>
            <w:tcW w:w="1825" w:type="dxa"/>
            <w:vAlign w:val="center"/>
          </w:tcPr>
          <w:p w:rsidR="007C4F29" w:rsidRDefault="0035683B">
            <w:pPr>
              <w:jc w:val="right"/>
            </w:pPr>
            <w:r>
              <w:rPr>
                <w:rFonts w:eastAsiaTheme="minorEastAsia"/>
                <w:color w:val="000000" w:themeColor="text1"/>
                <w:szCs w:val="21"/>
              </w:rPr>
              <w:t>814,515.07</w:t>
            </w:r>
          </w:p>
        </w:tc>
        <w:tc>
          <w:tcPr>
            <w:tcW w:w="1679" w:type="dxa"/>
            <w:vAlign w:val="center"/>
          </w:tcPr>
          <w:p w:rsidR="007C4F29" w:rsidRDefault="0035683B">
            <w:pPr>
              <w:jc w:val="right"/>
            </w:pPr>
            <w:r>
              <w:rPr>
                <w:rFonts w:eastAsiaTheme="minorEastAsia"/>
                <w:color w:val="000000" w:themeColor="text1"/>
                <w:szCs w:val="21"/>
              </w:rPr>
              <w:t>0.59</w:t>
            </w:r>
          </w:p>
        </w:tc>
      </w:tr>
      <w:tr w:rsidR="007C4F29">
        <w:tc>
          <w:tcPr>
            <w:tcW w:w="1181" w:type="dxa"/>
            <w:vAlign w:val="center"/>
          </w:tcPr>
          <w:p w:rsidR="007C4F29" w:rsidRDefault="0035683B">
            <w:pPr>
              <w:jc w:val="center"/>
            </w:pPr>
            <w:r>
              <w:rPr>
                <w:rFonts w:eastAsiaTheme="minorEastAsia"/>
                <w:color w:val="000000" w:themeColor="text1"/>
                <w:szCs w:val="21"/>
              </w:rPr>
              <w:t>7</w:t>
            </w:r>
          </w:p>
        </w:tc>
        <w:tc>
          <w:tcPr>
            <w:tcW w:w="2497" w:type="dxa"/>
            <w:vAlign w:val="center"/>
          </w:tcPr>
          <w:p w:rsidR="007C4F29" w:rsidRDefault="0035683B">
            <w:pPr>
              <w:jc w:val="center"/>
            </w:pPr>
            <w:r>
              <w:rPr>
                <w:rFonts w:eastAsiaTheme="minorEastAsia"/>
                <w:color w:val="000000" w:themeColor="text1"/>
                <w:szCs w:val="21"/>
              </w:rPr>
              <w:t>127029</w:t>
            </w:r>
          </w:p>
        </w:tc>
        <w:tc>
          <w:tcPr>
            <w:tcW w:w="1746" w:type="dxa"/>
            <w:vAlign w:val="center"/>
          </w:tcPr>
          <w:p w:rsidR="007C4F29" w:rsidRDefault="0035683B">
            <w:pPr>
              <w:jc w:val="center"/>
            </w:pPr>
            <w:r>
              <w:rPr>
                <w:rFonts w:eastAsiaTheme="minorEastAsia"/>
                <w:color w:val="000000" w:themeColor="text1"/>
                <w:szCs w:val="21"/>
              </w:rPr>
              <w:t>中钢转债</w:t>
            </w:r>
          </w:p>
        </w:tc>
        <w:tc>
          <w:tcPr>
            <w:tcW w:w="1825" w:type="dxa"/>
            <w:vAlign w:val="center"/>
          </w:tcPr>
          <w:p w:rsidR="007C4F29" w:rsidRDefault="0035683B">
            <w:pPr>
              <w:jc w:val="right"/>
            </w:pPr>
            <w:r>
              <w:rPr>
                <w:rFonts w:eastAsiaTheme="minorEastAsia"/>
                <w:color w:val="000000" w:themeColor="text1"/>
                <w:szCs w:val="21"/>
              </w:rPr>
              <w:t>754,183.46</w:t>
            </w:r>
          </w:p>
        </w:tc>
        <w:tc>
          <w:tcPr>
            <w:tcW w:w="1679" w:type="dxa"/>
            <w:vAlign w:val="center"/>
          </w:tcPr>
          <w:p w:rsidR="007C4F29" w:rsidRDefault="0035683B">
            <w:pPr>
              <w:jc w:val="right"/>
            </w:pPr>
            <w:r>
              <w:rPr>
                <w:rFonts w:eastAsiaTheme="minorEastAsia"/>
                <w:color w:val="000000" w:themeColor="text1"/>
                <w:szCs w:val="21"/>
              </w:rPr>
              <w:t>0.55</w:t>
            </w:r>
          </w:p>
        </w:tc>
      </w:tr>
      <w:tr w:rsidR="007C4F29">
        <w:tc>
          <w:tcPr>
            <w:tcW w:w="1181" w:type="dxa"/>
            <w:vAlign w:val="center"/>
          </w:tcPr>
          <w:p w:rsidR="007C4F29" w:rsidRDefault="0035683B">
            <w:pPr>
              <w:jc w:val="center"/>
            </w:pPr>
            <w:r>
              <w:rPr>
                <w:rFonts w:eastAsiaTheme="minorEastAsia"/>
                <w:color w:val="000000" w:themeColor="text1"/>
                <w:szCs w:val="21"/>
              </w:rPr>
              <w:t>8</w:t>
            </w:r>
          </w:p>
        </w:tc>
        <w:tc>
          <w:tcPr>
            <w:tcW w:w="2497" w:type="dxa"/>
            <w:vAlign w:val="center"/>
          </w:tcPr>
          <w:p w:rsidR="007C4F29" w:rsidRDefault="0035683B">
            <w:pPr>
              <w:jc w:val="center"/>
            </w:pPr>
            <w:r>
              <w:rPr>
                <w:rFonts w:eastAsiaTheme="minorEastAsia"/>
                <w:color w:val="000000" w:themeColor="text1"/>
                <w:szCs w:val="21"/>
              </w:rPr>
              <w:t>113057</w:t>
            </w:r>
          </w:p>
        </w:tc>
        <w:tc>
          <w:tcPr>
            <w:tcW w:w="1746" w:type="dxa"/>
            <w:vAlign w:val="center"/>
          </w:tcPr>
          <w:p w:rsidR="007C4F29" w:rsidRDefault="0035683B">
            <w:pPr>
              <w:jc w:val="center"/>
            </w:pPr>
            <w:r>
              <w:rPr>
                <w:rFonts w:eastAsiaTheme="minorEastAsia"/>
                <w:color w:val="000000" w:themeColor="text1"/>
                <w:szCs w:val="21"/>
              </w:rPr>
              <w:t>中银转债</w:t>
            </w:r>
          </w:p>
        </w:tc>
        <w:tc>
          <w:tcPr>
            <w:tcW w:w="1825" w:type="dxa"/>
            <w:vAlign w:val="center"/>
          </w:tcPr>
          <w:p w:rsidR="007C4F29" w:rsidRDefault="0035683B">
            <w:pPr>
              <w:jc w:val="right"/>
            </w:pPr>
            <w:r>
              <w:rPr>
                <w:rFonts w:eastAsiaTheme="minorEastAsia"/>
                <w:color w:val="000000" w:themeColor="text1"/>
                <w:szCs w:val="21"/>
              </w:rPr>
              <w:t>704,424.33</w:t>
            </w:r>
          </w:p>
        </w:tc>
        <w:tc>
          <w:tcPr>
            <w:tcW w:w="1679" w:type="dxa"/>
            <w:vAlign w:val="center"/>
          </w:tcPr>
          <w:p w:rsidR="007C4F29" w:rsidRDefault="0035683B">
            <w:pPr>
              <w:jc w:val="right"/>
            </w:pPr>
            <w:r>
              <w:rPr>
                <w:rFonts w:eastAsiaTheme="minorEastAsia"/>
                <w:color w:val="000000" w:themeColor="text1"/>
                <w:szCs w:val="21"/>
              </w:rPr>
              <w:t>0.51</w:t>
            </w:r>
          </w:p>
        </w:tc>
      </w:tr>
      <w:tr w:rsidR="007C4F29">
        <w:tc>
          <w:tcPr>
            <w:tcW w:w="1181" w:type="dxa"/>
            <w:vAlign w:val="center"/>
          </w:tcPr>
          <w:p w:rsidR="007C4F29" w:rsidRDefault="0035683B">
            <w:pPr>
              <w:jc w:val="center"/>
            </w:pPr>
            <w:r>
              <w:rPr>
                <w:rFonts w:eastAsiaTheme="minorEastAsia"/>
                <w:color w:val="000000" w:themeColor="text1"/>
                <w:szCs w:val="21"/>
              </w:rPr>
              <w:t>9</w:t>
            </w:r>
          </w:p>
        </w:tc>
        <w:tc>
          <w:tcPr>
            <w:tcW w:w="2497" w:type="dxa"/>
            <w:vAlign w:val="center"/>
          </w:tcPr>
          <w:p w:rsidR="007C4F29" w:rsidRDefault="0035683B">
            <w:pPr>
              <w:jc w:val="center"/>
            </w:pPr>
            <w:r>
              <w:rPr>
                <w:rFonts w:eastAsiaTheme="minorEastAsia"/>
                <w:color w:val="000000" w:themeColor="text1"/>
                <w:szCs w:val="21"/>
              </w:rPr>
              <w:t>123132</w:t>
            </w:r>
          </w:p>
        </w:tc>
        <w:tc>
          <w:tcPr>
            <w:tcW w:w="1746" w:type="dxa"/>
            <w:vAlign w:val="center"/>
          </w:tcPr>
          <w:p w:rsidR="007C4F29" w:rsidRDefault="0035683B">
            <w:pPr>
              <w:jc w:val="center"/>
            </w:pPr>
            <w:r>
              <w:rPr>
                <w:rFonts w:eastAsiaTheme="minorEastAsia"/>
                <w:color w:val="000000" w:themeColor="text1"/>
                <w:szCs w:val="21"/>
              </w:rPr>
              <w:t>回盛转债</w:t>
            </w:r>
          </w:p>
        </w:tc>
        <w:tc>
          <w:tcPr>
            <w:tcW w:w="1825" w:type="dxa"/>
            <w:vAlign w:val="center"/>
          </w:tcPr>
          <w:p w:rsidR="007C4F29" w:rsidRDefault="0035683B">
            <w:pPr>
              <w:jc w:val="right"/>
            </w:pPr>
            <w:r>
              <w:rPr>
                <w:rFonts w:eastAsiaTheme="minorEastAsia"/>
                <w:color w:val="000000" w:themeColor="text1"/>
                <w:szCs w:val="21"/>
              </w:rPr>
              <w:t>676,798.36</w:t>
            </w:r>
          </w:p>
        </w:tc>
        <w:tc>
          <w:tcPr>
            <w:tcW w:w="1679" w:type="dxa"/>
            <w:vAlign w:val="center"/>
          </w:tcPr>
          <w:p w:rsidR="007C4F29" w:rsidRDefault="0035683B">
            <w:pPr>
              <w:jc w:val="right"/>
            </w:pPr>
            <w:r>
              <w:rPr>
                <w:rFonts w:eastAsiaTheme="minorEastAsia"/>
                <w:color w:val="000000" w:themeColor="text1"/>
                <w:szCs w:val="21"/>
              </w:rPr>
              <w:t>0.49</w:t>
            </w:r>
          </w:p>
        </w:tc>
      </w:tr>
      <w:tr w:rsidR="007C4F29">
        <w:tc>
          <w:tcPr>
            <w:tcW w:w="1181" w:type="dxa"/>
            <w:vAlign w:val="center"/>
          </w:tcPr>
          <w:p w:rsidR="007C4F29" w:rsidRDefault="0035683B">
            <w:pPr>
              <w:jc w:val="center"/>
            </w:pPr>
            <w:r>
              <w:rPr>
                <w:rFonts w:eastAsiaTheme="minorEastAsia"/>
                <w:color w:val="000000" w:themeColor="text1"/>
                <w:szCs w:val="21"/>
              </w:rPr>
              <w:t>10</w:t>
            </w:r>
          </w:p>
        </w:tc>
        <w:tc>
          <w:tcPr>
            <w:tcW w:w="2497" w:type="dxa"/>
            <w:vAlign w:val="center"/>
          </w:tcPr>
          <w:p w:rsidR="007C4F29" w:rsidRDefault="0035683B">
            <w:pPr>
              <w:jc w:val="center"/>
            </w:pPr>
            <w:r>
              <w:rPr>
                <w:rFonts w:eastAsiaTheme="minorEastAsia"/>
                <w:color w:val="000000" w:themeColor="text1"/>
                <w:szCs w:val="21"/>
              </w:rPr>
              <w:t>128134</w:t>
            </w:r>
          </w:p>
        </w:tc>
        <w:tc>
          <w:tcPr>
            <w:tcW w:w="1746" w:type="dxa"/>
            <w:vAlign w:val="center"/>
          </w:tcPr>
          <w:p w:rsidR="007C4F29" w:rsidRDefault="0035683B">
            <w:pPr>
              <w:jc w:val="center"/>
            </w:pPr>
            <w:r>
              <w:rPr>
                <w:rFonts w:eastAsiaTheme="minorEastAsia"/>
                <w:color w:val="000000" w:themeColor="text1"/>
                <w:szCs w:val="21"/>
              </w:rPr>
              <w:t>鸿路转债</w:t>
            </w:r>
          </w:p>
        </w:tc>
        <w:tc>
          <w:tcPr>
            <w:tcW w:w="1825" w:type="dxa"/>
            <w:vAlign w:val="center"/>
          </w:tcPr>
          <w:p w:rsidR="007C4F29" w:rsidRDefault="0035683B">
            <w:pPr>
              <w:jc w:val="right"/>
            </w:pPr>
            <w:r>
              <w:rPr>
                <w:rFonts w:eastAsiaTheme="minorEastAsia"/>
                <w:color w:val="000000" w:themeColor="text1"/>
                <w:szCs w:val="21"/>
              </w:rPr>
              <w:t>662,772.60</w:t>
            </w:r>
          </w:p>
        </w:tc>
        <w:tc>
          <w:tcPr>
            <w:tcW w:w="1679" w:type="dxa"/>
            <w:vAlign w:val="center"/>
          </w:tcPr>
          <w:p w:rsidR="007C4F29" w:rsidRDefault="0035683B">
            <w:pPr>
              <w:jc w:val="right"/>
            </w:pPr>
            <w:r>
              <w:rPr>
                <w:rFonts w:eastAsiaTheme="minorEastAsia"/>
                <w:color w:val="000000" w:themeColor="text1"/>
                <w:szCs w:val="21"/>
              </w:rPr>
              <w:t>0.48</w:t>
            </w:r>
          </w:p>
        </w:tc>
      </w:tr>
      <w:tr w:rsidR="007C4F29">
        <w:tc>
          <w:tcPr>
            <w:tcW w:w="1181" w:type="dxa"/>
            <w:vAlign w:val="center"/>
          </w:tcPr>
          <w:p w:rsidR="007C4F29" w:rsidRDefault="0035683B">
            <w:pPr>
              <w:jc w:val="center"/>
            </w:pPr>
            <w:r>
              <w:rPr>
                <w:rFonts w:eastAsiaTheme="minorEastAsia"/>
                <w:color w:val="000000" w:themeColor="text1"/>
                <w:szCs w:val="21"/>
              </w:rPr>
              <w:t>11</w:t>
            </w:r>
          </w:p>
        </w:tc>
        <w:tc>
          <w:tcPr>
            <w:tcW w:w="2497" w:type="dxa"/>
            <w:vAlign w:val="center"/>
          </w:tcPr>
          <w:p w:rsidR="007C4F29" w:rsidRDefault="0035683B">
            <w:pPr>
              <w:jc w:val="center"/>
            </w:pPr>
            <w:r>
              <w:rPr>
                <w:rFonts w:eastAsiaTheme="minorEastAsia"/>
                <w:color w:val="000000" w:themeColor="text1"/>
                <w:szCs w:val="21"/>
              </w:rPr>
              <w:t>113545</w:t>
            </w:r>
          </w:p>
        </w:tc>
        <w:tc>
          <w:tcPr>
            <w:tcW w:w="1746" w:type="dxa"/>
            <w:vAlign w:val="center"/>
          </w:tcPr>
          <w:p w:rsidR="007C4F29" w:rsidRDefault="0035683B">
            <w:pPr>
              <w:jc w:val="center"/>
            </w:pPr>
            <w:r>
              <w:rPr>
                <w:rFonts w:eastAsiaTheme="minorEastAsia"/>
                <w:color w:val="000000" w:themeColor="text1"/>
                <w:szCs w:val="21"/>
              </w:rPr>
              <w:t>金能转债</w:t>
            </w:r>
          </w:p>
        </w:tc>
        <w:tc>
          <w:tcPr>
            <w:tcW w:w="1825" w:type="dxa"/>
            <w:vAlign w:val="center"/>
          </w:tcPr>
          <w:p w:rsidR="007C4F29" w:rsidRDefault="0035683B">
            <w:pPr>
              <w:jc w:val="right"/>
            </w:pPr>
            <w:r>
              <w:rPr>
                <w:rFonts w:eastAsiaTheme="minorEastAsia"/>
                <w:color w:val="000000" w:themeColor="text1"/>
                <w:szCs w:val="21"/>
              </w:rPr>
              <w:t>633,158.49</w:t>
            </w:r>
          </w:p>
        </w:tc>
        <w:tc>
          <w:tcPr>
            <w:tcW w:w="1679" w:type="dxa"/>
            <w:vAlign w:val="center"/>
          </w:tcPr>
          <w:p w:rsidR="007C4F29" w:rsidRDefault="0035683B">
            <w:pPr>
              <w:jc w:val="right"/>
            </w:pPr>
            <w:r>
              <w:rPr>
                <w:rFonts w:eastAsiaTheme="minorEastAsia"/>
                <w:color w:val="000000" w:themeColor="text1"/>
                <w:szCs w:val="21"/>
              </w:rPr>
              <w:t>0.46</w:t>
            </w:r>
          </w:p>
        </w:tc>
      </w:tr>
      <w:tr w:rsidR="007C4F29">
        <w:tc>
          <w:tcPr>
            <w:tcW w:w="1181" w:type="dxa"/>
            <w:vAlign w:val="center"/>
          </w:tcPr>
          <w:p w:rsidR="007C4F29" w:rsidRDefault="0035683B">
            <w:pPr>
              <w:jc w:val="center"/>
            </w:pPr>
            <w:r>
              <w:rPr>
                <w:rFonts w:eastAsiaTheme="minorEastAsia"/>
                <w:color w:val="000000" w:themeColor="text1"/>
                <w:szCs w:val="21"/>
              </w:rPr>
              <w:t>12</w:t>
            </w:r>
          </w:p>
        </w:tc>
        <w:tc>
          <w:tcPr>
            <w:tcW w:w="2497" w:type="dxa"/>
            <w:vAlign w:val="center"/>
          </w:tcPr>
          <w:p w:rsidR="007C4F29" w:rsidRDefault="0035683B">
            <w:pPr>
              <w:jc w:val="center"/>
            </w:pPr>
            <w:r>
              <w:rPr>
                <w:rFonts w:eastAsiaTheme="minorEastAsia"/>
                <w:color w:val="000000" w:themeColor="text1"/>
                <w:szCs w:val="21"/>
              </w:rPr>
              <w:t>123138</w:t>
            </w:r>
          </w:p>
        </w:tc>
        <w:tc>
          <w:tcPr>
            <w:tcW w:w="1746" w:type="dxa"/>
            <w:vAlign w:val="center"/>
          </w:tcPr>
          <w:p w:rsidR="007C4F29" w:rsidRDefault="0035683B">
            <w:pPr>
              <w:jc w:val="center"/>
            </w:pPr>
            <w:r>
              <w:rPr>
                <w:rFonts w:eastAsiaTheme="minorEastAsia"/>
                <w:color w:val="000000" w:themeColor="text1"/>
                <w:szCs w:val="21"/>
              </w:rPr>
              <w:t>丝路转债</w:t>
            </w:r>
          </w:p>
        </w:tc>
        <w:tc>
          <w:tcPr>
            <w:tcW w:w="1825" w:type="dxa"/>
            <w:vAlign w:val="center"/>
          </w:tcPr>
          <w:p w:rsidR="007C4F29" w:rsidRDefault="0035683B">
            <w:pPr>
              <w:jc w:val="right"/>
            </w:pPr>
            <w:r>
              <w:rPr>
                <w:rFonts w:eastAsiaTheme="minorEastAsia"/>
                <w:color w:val="000000" w:themeColor="text1"/>
                <w:szCs w:val="21"/>
              </w:rPr>
              <w:t>590,521.23</w:t>
            </w:r>
          </w:p>
        </w:tc>
        <w:tc>
          <w:tcPr>
            <w:tcW w:w="1679" w:type="dxa"/>
            <w:vAlign w:val="center"/>
          </w:tcPr>
          <w:p w:rsidR="007C4F29" w:rsidRDefault="0035683B">
            <w:pPr>
              <w:jc w:val="right"/>
            </w:pPr>
            <w:r>
              <w:rPr>
                <w:rFonts w:eastAsiaTheme="minorEastAsia"/>
                <w:color w:val="000000" w:themeColor="text1"/>
                <w:szCs w:val="21"/>
              </w:rPr>
              <w:t>0.43</w:t>
            </w:r>
          </w:p>
        </w:tc>
      </w:tr>
      <w:tr w:rsidR="007C4F29">
        <w:tc>
          <w:tcPr>
            <w:tcW w:w="1181" w:type="dxa"/>
            <w:vAlign w:val="center"/>
          </w:tcPr>
          <w:p w:rsidR="007C4F29" w:rsidRDefault="0035683B">
            <w:pPr>
              <w:jc w:val="center"/>
            </w:pPr>
            <w:r>
              <w:rPr>
                <w:rFonts w:eastAsiaTheme="minorEastAsia"/>
                <w:color w:val="000000" w:themeColor="text1"/>
                <w:szCs w:val="21"/>
              </w:rPr>
              <w:t>13</w:t>
            </w:r>
          </w:p>
        </w:tc>
        <w:tc>
          <w:tcPr>
            <w:tcW w:w="2497" w:type="dxa"/>
            <w:vAlign w:val="center"/>
          </w:tcPr>
          <w:p w:rsidR="007C4F29" w:rsidRDefault="0035683B">
            <w:pPr>
              <w:jc w:val="center"/>
            </w:pPr>
            <w:r>
              <w:rPr>
                <w:rFonts w:eastAsiaTheme="minorEastAsia"/>
                <w:color w:val="000000" w:themeColor="text1"/>
                <w:szCs w:val="21"/>
              </w:rPr>
              <w:t>123114</w:t>
            </w:r>
          </w:p>
        </w:tc>
        <w:tc>
          <w:tcPr>
            <w:tcW w:w="1746" w:type="dxa"/>
            <w:vAlign w:val="center"/>
          </w:tcPr>
          <w:p w:rsidR="007C4F29" w:rsidRDefault="0035683B">
            <w:pPr>
              <w:jc w:val="center"/>
            </w:pPr>
            <w:r>
              <w:rPr>
                <w:rFonts w:eastAsiaTheme="minorEastAsia"/>
                <w:color w:val="000000" w:themeColor="text1"/>
                <w:szCs w:val="21"/>
              </w:rPr>
              <w:t>三角转债</w:t>
            </w:r>
          </w:p>
        </w:tc>
        <w:tc>
          <w:tcPr>
            <w:tcW w:w="1825" w:type="dxa"/>
            <w:vAlign w:val="center"/>
          </w:tcPr>
          <w:p w:rsidR="007C4F29" w:rsidRDefault="0035683B">
            <w:pPr>
              <w:jc w:val="right"/>
            </w:pPr>
            <w:r>
              <w:rPr>
                <w:rFonts w:eastAsiaTheme="minorEastAsia"/>
                <w:color w:val="000000" w:themeColor="text1"/>
                <w:szCs w:val="21"/>
              </w:rPr>
              <w:t>563,922.52</w:t>
            </w:r>
          </w:p>
        </w:tc>
        <w:tc>
          <w:tcPr>
            <w:tcW w:w="1679" w:type="dxa"/>
            <w:vAlign w:val="center"/>
          </w:tcPr>
          <w:p w:rsidR="007C4F29" w:rsidRDefault="0035683B">
            <w:pPr>
              <w:jc w:val="right"/>
            </w:pPr>
            <w:r>
              <w:rPr>
                <w:rFonts w:eastAsiaTheme="minorEastAsia"/>
                <w:color w:val="000000" w:themeColor="text1"/>
                <w:szCs w:val="21"/>
              </w:rPr>
              <w:t>0.41</w:t>
            </w:r>
          </w:p>
        </w:tc>
      </w:tr>
      <w:tr w:rsidR="007C4F29">
        <w:tc>
          <w:tcPr>
            <w:tcW w:w="1181" w:type="dxa"/>
            <w:vAlign w:val="center"/>
          </w:tcPr>
          <w:p w:rsidR="007C4F29" w:rsidRDefault="0035683B">
            <w:pPr>
              <w:jc w:val="center"/>
            </w:pPr>
            <w:r>
              <w:rPr>
                <w:rFonts w:eastAsiaTheme="minorEastAsia"/>
                <w:color w:val="000000" w:themeColor="text1"/>
                <w:szCs w:val="21"/>
              </w:rPr>
              <w:t>14</w:t>
            </w:r>
          </w:p>
        </w:tc>
        <w:tc>
          <w:tcPr>
            <w:tcW w:w="2497" w:type="dxa"/>
            <w:vAlign w:val="center"/>
          </w:tcPr>
          <w:p w:rsidR="007C4F29" w:rsidRDefault="0035683B">
            <w:pPr>
              <w:jc w:val="center"/>
            </w:pPr>
            <w:r>
              <w:rPr>
                <w:rFonts w:eastAsiaTheme="minorEastAsia"/>
                <w:color w:val="000000" w:themeColor="text1"/>
                <w:szCs w:val="21"/>
              </w:rPr>
              <w:t>110075</w:t>
            </w:r>
          </w:p>
        </w:tc>
        <w:tc>
          <w:tcPr>
            <w:tcW w:w="1746" w:type="dxa"/>
            <w:vAlign w:val="center"/>
          </w:tcPr>
          <w:p w:rsidR="007C4F29" w:rsidRDefault="0035683B">
            <w:pPr>
              <w:jc w:val="center"/>
            </w:pPr>
            <w:r>
              <w:rPr>
                <w:rFonts w:eastAsiaTheme="minorEastAsia"/>
                <w:color w:val="000000" w:themeColor="text1"/>
                <w:szCs w:val="21"/>
              </w:rPr>
              <w:t>南航转债</w:t>
            </w:r>
          </w:p>
        </w:tc>
        <w:tc>
          <w:tcPr>
            <w:tcW w:w="1825" w:type="dxa"/>
            <w:vAlign w:val="center"/>
          </w:tcPr>
          <w:p w:rsidR="007C4F29" w:rsidRDefault="0035683B">
            <w:pPr>
              <w:jc w:val="right"/>
            </w:pPr>
            <w:r>
              <w:rPr>
                <w:rFonts w:eastAsiaTheme="minorEastAsia"/>
                <w:color w:val="000000" w:themeColor="text1"/>
                <w:szCs w:val="21"/>
              </w:rPr>
              <w:t>538,010.30</w:t>
            </w:r>
          </w:p>
        </w:tc>
        <w:tc>
          <w:tcPr>
            <w:tcW w:w="1679" w:type="dxa"/>
            <w:vAlign w:val="center"/>
          </w:tcPr>
          <w:p w:rsidR="007C4F29" w:rsidRDefault="0035683B">
            <w:pPr>
              <w:jc w:val="right"/>
            </w:pPr>
            <w:r>
              <w:rPr>
                <w:rFonts w:eastAsiaTheme="minorEastAsia"/>
                <w:color w:val="000000" w:themeColor="text1"/>
                <w:szCs w:val="21"/>
              </w:rPr>
              <w:t>0.39</w:t>
            </w:r>
          </w:p>
        </w:tc>
      </w:tr>
      <w:tr w:rsidR="007C4F29">
        <w:tc>
          <w:tcPr>
            <w:tcW w:w="1181" w:type="dxa"/>
            <w:vAlign w:val="center"/>
          </w:tcPr>
          <w:p w:rsidR="007C4F29" w:rsidRDefault="0035683B">
            <w:pPr>
              <w:jc w:val="center"/>
            </w:pPr>
            <w:r>
              <w:rPr>
                <w:rFonts w:eastAsiaTheme="minorEastAsia"/>
                <w:color w:val="000000" w:themeColor="text1"/>
                <w:szCs w:val="21"/>
              </w:rPr>
              <w:t>15</w:t>
            </w:r>
          </w:p>
        </w:tc>
        <w:tc>
          <w:tcPr>
            <w:tcW w:w="2497" w:type="dxa"/>
            <w:vAlign w:val="center"/>
          </w:tcPr>
          <w:p w:rsidR="007C4F29" w:rsidRDefault="0035683B">
            <w:pPr>
              <w:jc w:val="center"/>
            </w:pPr>
            <w:r>
              <w:rPr>
                <w:rFonts w:eastAsiaTheme="minorEastAsia"/>
                <w:color w:val="000000" w:themeColor="text1"/>
                <w:szCs w:val="21"/>
              </w:rPr>
              <w:t>123108</w:t>
            </w:r>
          </w:p>
        </w:tc>
        <w:tc>
          <w:tcPr>
            <w:tcW w:w="1746" w:type="dxa"/>
            <w:vAlign w:val="center"/>
          </w:tcPr>
          <w:p w:rsidR="007C4F29" w:rsidRDefault="0035683B">
            <w:pPr>
              <w:jc w:val="center"/>
            </w:pPr>
            <w:r>
              <w:rPr>
                <w:rFonts w:eastAsiaTheme="minorEastAsia"/>
                <w:color w:val="000000" w:themeColor="text1"/>
                <w:szCs w:val="21"/>
              </w:rPr>
              <w:t>乐普转</w:t>
            </w:r>
            <w:r>
              <w:rPr>
                <w:rFonts w:eastAsiaTheme="minorEastAsia"/>
                <w:color w:val="000000" w:themeColor="text1"/>
                <w:szCs w:val="21"/>
              </w:rPr>
              <w:t>2</w:t>
            </w:r>
          </w:p>
        </w:tc>
        <w:tc>
          <w:tcPr>
            <w:tcW w:w="1825" w:type="dxa"/>
            <w:vAlign w:val="center"/>
          </w:tcPr>
          <w:p w:rsidR="007C4F29" w:rsidRDefault="0035683B">
            <w:pPr>
              <w:jc w:val="right"/>
            </w:pPr>
            <w:r>
              <w:rPr>
                <w:rFonts w:eastAsiaTheme="minorEastAsia"/>
                <w:color w:val="000000" w:themeColor="text1"/>
                <w:szCs w:val="21"/>
              </w:rPr>
              <w:t>529,351.03</w:t>
            </w:r>
          </w:p>
        </w:tc>
        <w:tc>
          <w:tcPr>
            <w:tcW w:w="1679" w:type="dxa"/>
            <w:vAlign w:val="center"/>
          </w:tcPr>
          <w:p w:rsidR="007C4F29" w:rsidRDefault="0035683B">
            <w:pPr>
              <w:jc w:val="right"/>
            </w:pPr>
            <w:r>
              <w:rPr>
                <w:rFonts w:eastAsiaTheme="minorEastAsia"/>
                <w:color w:val="000000" w:themeColor="text1"/>
                <w:szCs w:val="21"/>
              </w:rPr>
              <w:t>0.38</w:t>
            </w:r>
          </w:p>
        </w:tc>
      </w:tr>
      <w:tr w:rsidR="007C4F29">
        <w:tc>
          <w:tcPr>
            <w:tcW w:w="1181" w:type="dxa"/>
            <w:vAlign w:val="center"/>
          </w:tcPr>
          <w:p w:rsidR="007C4F29" w:rsidRDefault="0035683B">
            <w:pPr>
              <w:jc w:val="center"/>
            </w:pPr>
            <w:r>
              <w:rPr>
                <w:rFonts w:eastAsiaTheme="minorEastAsia"/>
                <w:color w:val="000000" w:themeColor="text1"/>
                <w:szCs w:val="21"/>
              </w:rPr>
              <w:t>16</w:t>
            </w:r>
          </w:p>
        </w:tc>
        <w:tc>
          <w:tcPr>
            <w:tcW w:w="2497" w:type="dxa"/>
            <w:vAlign w:val="center"/>
          </w:tcPr>
          <w:p w:rsidR="007C4F29" w:rsidRDefault="0035683B">
            <w:pPr>
              <w:jc w:val="center"/>
            </w:pPr>
            <w:r>
              <w:rPr>
                <w:rFonts w:eastAsiaTheme="minorEastAsia"/>
                <w:color w:val="000000" w:themeColor="text1"/>
                <w:szCs w:val="21"/>
              </w:rPr>
              <w:t>118007</w:t>
            </w:r>
          </w:p>
        </w:tc>
        <w:tc>
          <w:tcPr>
            <w:tcW w:w="1746" w:type="dxa"/>
            <w:vAlign w:val="center"/>
          </w:tcPr>
          <w:p w:rsidR="007C4F29" w:rsidRDefault="0035683B">
            <w:pPr>
              <w:jc w:val="center"/>
            </w:pPr>
            <w:r>
              <w:rPr>
                <w:rFonts w:eastAsiaTheme="minorEastAsia"/>
                <w:color w:val="000000" w:themeColor="text1"/>
                <w:szCs w:val="21"/>
              </w:rPr>
              <w:t>山石转债</w:t>
            </w:r>
          </w:p>
        </w:tc>
        <w:tc>
          <w:tcPr>
            <w:tcW w:w="1825" w:type="dxa"/>
            <w:vAlign w:val="center"/>
          </w:tcPr>
          <w:p w:rsidR="007C4F29" w:rsidRDefault="0035683B">
            <w:pPr>
              <w:jc w:val="right"/>
            </w:pPr>
            <w:r>
              <w:rPr>
                <w:rFonts w:eastAsiaTheme="minorEastAsia"/>
                <w:color w:val="000000" w:themeColor="text1"/>
                <w:szCs w:val="21"/>
              </w:rPr>
              <w:t>507,275.42</w:t>
            </w:r>
          </w:p>
        </w:tc>
        <w:tc>
          <w:tcPr>
            <w:tcW w:w="1679" w:type="dxa"/>
            <w:vAlign w:val="center"/>
          </w:tcPr>
          <w:p w:rsidR="007C4F29" w:rsidRDefault="0035683B">
            <w:pPr>
              <w:jc w:val="right"/>
            </w:pPr>
            <w:r>
              <w:rPr>
                <w:rFonts w:eastAsiaTheme="minorEastAsia"/>
                <w:color w:val="000000" w:themeColor="text1"/>
                <w:szCs w:val="21"/>
              </w:rPr>
              <w:t>0.37</w:t>
            </w:r>
          </w:p>
        </w:tc>
      </w:tr>
      <w:tr w:rsidR="007C4F29">
        <w:tc>
          <w:tcPr>
            <w:tcW w:w="1181" w:type="dxa"/>
            <w:vAlign w:val="center"/>
          </w:tcPr>
          <w:p w:rsidR="007C4F29" w:rsidRDefault="0035683B">
            <w:pPr>
              <w:jc w:val="center"/>
            </w:pPr>
            <w:r>
              <w:rPr>
                <w:rFonts w:eastAsiaTheme="minorEastAsia"/>
                <w:color w:val="000000" w:themeColor="text1"/>
                <w:szCs w:val="21"/>
              </w:rPr>
              <w:t>17</w:t>
            </w:r>
          </w:p>
        </w:tc>
        <w:tc>
          <w:tcPr>
            <w:tcW w:w="2497" w:type="dxa"/>
            <w:vAlign w:val="center"/>
          </w:tcPr>
          <w:p w:rsidR="007C4F29" w:rsidRDefault="0035683B">
            <w:pPr>
              <w:jc w:val="center"/>
            </w:pPr>
            <w:r>
              <w:rPr>
                <w:rFonts w:eastAsiaTheme="minorEastAsia"/>
                <w:color w:val="000000" w:themeColor="text1"/>
                <w:szCs w:val="21"/>
              </w:rPr>
              <w:t>128144</w:t>
            </w:r>
          </w:p>
        </w:tc>
        <w:tc>
          <w:tcPr>
            <w:tcW w:w="1746" w:type="dxa"/>
            <w:vAlign w:val="center"/>
          </w:tcPr>
          <w:p w:rsidR="007C4F29" w:rsidRDefault="0035683B">
            <w:pPr>
              <w:jc w:val="center"/>
            </w:pPr>
            <w:r>
              <w:rPr>
                <w:rFonts w:eastAsiaTheme="minorEastAsia"/>
                <w:color w:val="000000" w:themeColor="text1"/>
                <w:szCs w:val="21"/>
              </w:rPr>
              <w:t>利民转债</w:t>
            </w:r>
          </w:p>
        </w:tc>
        <w:tc>
          <w:tcPr>
            <w:tcW w:w="1825" w:type="dxa"/>
            <w:vAlign w:val="center"/>
          </w:tcPr>
          <w:p w:rsidR="007C4F29" w:rsidRDefault="0035683B">
            <w:pPr>
              <w:jc w:val="right"/>
            </w:pPr>
            <w:r>
              <w:rPr>
                <w:rFonts w:eastAsiaTheme="minorEastAsia"/>
                <w:color w:val="000000" w:themeColor="text1"/>
                <w:szCs w:val="21"/>
              </w:rPr>
              <w:t>487,943.97</w:t>
            </w:r>
          </w:p>
        </w:tc>
        <w:tc>
          <w:tcPr>
            <w:tcW w:w="1679" w:type="dxa"/>
            <w:vAlign w:val="center"/>
          </w:tcPr>
          <w:p w:rsidR="007C4F29" w:rsidRDefault="0035683B">
            <w:pPr>
              <w:jc w:val="right"/>
            </w:pPr>
            <w:r>
              <w:rPr>
                <w:rFonts w:eastAsiaTheme="minorEastAsia"/>
                <w:color w:val="000000" w:themeColor="text1"/>
                <w:szCs w:val="21"/>
              </w:rPr>
              <w:t>0.35</w:t>
            </w:r>
          </w:p>
        </w:tc>
      </w:tr>
      <w:tr w:rsidR="007C4F29">
        <w:tc>
          <w:tcPr>
            <w:tcW w:w="1181" w:type="dxa"/>
            <w:vAlign w:val="center"/>
          </w:tcPr>
          <w:p w:rsidR="007C4F29" w:rsidRDefault="0035683B">
            <w:pPr>
              <w:jc w:val="center"/>
            </w:pPr>
            <w:r>
              <w:rPr>
                <w:rFonts w:eastAsiaTheme="minorEastAsia"/>
                <w:color w:val="000000" w:themeColor="text1"/>
                <w:szCs w:val="21"/>
              </w:rPr>
              <w:t>18</w:t>
            </w:r>
          </w:p>
        </w:tc>
        <w:tc>
          <w:tcPr>
            <w:tcW w:w="2497" w:type="dxa"/>
            <w:vAlign w:val="center"/>
          </w:tcPr>
          <w:p w:rsidR="007C4F29" w:rsidRDefault="0035683B">
            <w:pPr>
              <w:jc w:val="center"/>
            </w:pPr>
            <w:r>
              <w:rPr>
                <w:rFonts w:eastAsiaTheme="minorEastAsia"/>
                <w:color w:val="000000" w:themeColor="text1"/>
                <w:szCs w:val="21"/>
              </w:rPr>
              <w:t>110081</w:t>
            </w:r>
          </w:p>
        </w:tc>
        <w:tc>
          <w:tcPr>
            <w:tcW w:w="1746" w:type="dxa"/>
            <w:vAlign w:val="center"/>
          </w:tcPr>
          <w:p w:rsidR="007C4F29" w:rsidRDefault="0035683B">
            <w:pPr>
              <w:jc w:val="center"/>
            </w:pPr>
            <w:r>
              <w:rPr>
                <w:rFonts w:eastAsiaTheme="minorEastAsia"/>
                <w:color w:val="000000" w:themeColor="text1"/>
                <w:szCs w:val="21"/>
              </w:rPr>
              <w:t>闻泰转债</w:t>
            </w:r>
          </w:p>
        </w:tc>
        <w:tc>
          <w:tcPr>
            <w:tcW w:w="1825" w:type="dxa"/>
            <w:vAlign w:val="center"/>
          </w:tcPr>
          <w:p w:rsidR="007C4F29" w:rsidRDefault="0035683B">
            <w:pPr>
              <w:jc w:val="right"/>
            </w:pPr>
            <w:r>
              <w:rPr>
                <w:rFonts w:eastAsiaTheme="minorEastAsia"/>
                <w:color w:val="000000" w:themeColor="text1"/>
                <w:szCs w:val="21"/>
              </w:rPr>
              <w:t>430,875.29</w:t>
            </w:r>
          </w:p>
        </w:tc>
        <w:tc>
          <w:tcPr>
            <w:tcW w:w="1679" w:type="dxa"/>
            <w:vAlign w:val="center"/>
          </w:tcPr>
          <w:p w:rsidR="007C4F29" w:rsidRDefault="0035683B">
            <w:pPr>
              <w:jc w:val="right"/>
            </w:pPr>
            <w:r>
              <w:rPr>
                <w:rFonts w:eastAsiaTheme="minorEastAsia"/>
                <w:color w:val="000000" w:themeColor="text1"/>
                <w:szCs w:val="21"/>
              </w:rPr>
              <w:t>0.31</w:t>
            </w:r>
          </w:p>
        </w:tc>
      </w:tr>
      <w:tr w:rsidR="007C4F29">
        <w:tc>
          <w:tcPr>
            <w:tcW w:w="1181" w:type="dxa"/>
            <w:vAlign w:val="center"/>
          </w:tcPr>
          <w:p w:rsidR="007C4F29" w:rsidRDefault="0035683B">
            <w:pPr>
              <w:jc w:val="center"/>
            </w:pPr>
            <w:r>
              <w:rPr>
                <w:rFonts w:eastAsiaTheme="minorEastAsia"/>
                <w:color w:val="000000" w:themeColor="text1"/>
                <w:szCs w:val="21"/>
              </w:rPr>
              <w:t>19</w:t>
            </w:r>
          </w:p>
        </w:tc>
        <w:tc>
          <w:tcPr>
            <w:tcW w:w="2497" w:type="dxa"/>
            <w:vAlign w:val="center"/>
          </w:tcPr>
          <w:p w:rsidR="007C4F29" w:rsidRDefault="0035683B">
            <w:pPr>
              <w:jc w:val="center"/>
            </w:pPr>
            <w:r>
              <w:rPr>
                <w:rFonts w:eastAsiaTheme="minorEastAsia"/>
                <w:color w:val="000000" w:themeColor="text1"/>
                <w:szCs w:val="21"/>
              </w:rPr>
              <w:t>128132</w:t>
            </w:r>
          </w:p>
        </w:tc>
        <w:tc>
          <w:tcPr>
            <w:tcW w:w="1746" w:type="dxa"/>
            <w:vAlign w:val="center"/>
          </w:tcPr>
          <w:p w:rsidR="007C4F29" w:rsidRDefault="0035683B">
            <w:pPr>
              <w:jc w:val="center"/>
            </w:pPr>
            <w:r>
              <w:rPr>
                <w:rFonts w:eastAsiaTheme="minorEastAsia"/>
                <w:color w:val="000000" w:themeColor="text1"/>
                <w:szCs w:val="21"/>
              </w:rPr>
              <w:t>交建转债</w:t>
            </w:r>
          </w:p>
        </w:tc>
        <w:tc>
          <w:tcPr>
            <w:tcW w:w="1825" w:type="dxa"/>
            <w:vAlign w:val="center"/>
          </w:tcPr>
          <w:p w:rsidR="007C4F29" w:rsidRDefault="0035683B">
            <w:pPr>
              <w:jc w:val="right"/>
            </w:pPr>
            <w:r>
              <w:rPr>
                <w:rFonts w:eastAsiaTheme="minorEastAsia"/>
                <w:color w:val="000000" w:themeColor="text1"/>
                <w:szCs w:val="21"/>
              </w:rPr>
              <w:t>426,106.85</w:t>
            </w:r>
          </w:p>
        </w:tc>
        <w:tc>
          <w:tcPr>
            <w:tcW w:w="1679" w:type="dxa"/>
            <w:vAlign w:val="center"/>
          </w:tcPr>
          <w:p w:rsidR="007C4F29" w:rsidRDefault="0035683B">
            <w:pPr>
              <w:jc w:val="right"/>
            </w:pPr>
            <w:r>
              <w:rPr>
                <w:rFonts w:eastAsiaTheme="minorEastAsia"/>
                <w:color w:val="000000" w:themeColor="text1"/>
                <w:szCs w:val="21"/>
              </w:rPr>
              <w:t>0.31</w:t>
            </w:r>
          </w:p>
        </w:tc>
      </w:tr>
      <w:tr w:rsidR="007C4F29">
        <w:tc>
          <w:tcPr>
            <w:tcW w:w="1181" w:type="dxa"/>
            <w:vAlign w:val="center"/>
          </w:tcPr>
          <w:p w:rsidR="007C4F29" w:rsidRDefault="0035683B">
            <w:pPr>
              <w:jc w:val="center"/>
            </w:pPr>
            <w:r>
              <w:rPr>
                <w:rFonts w:eastAsiaTheme="minorEastAsia"/>
                <w:color w:val="000000" w:themeColor="text1"/>
                <w:szCs w:val="21"/>
              </w:rPr>
              <w:t>20</w:t>
            </w:r>
          </w:p>
        </w:tc>
        <w:tc>
          <w:tcPr>
            <w:tcW w:w="2497" w:type="dxa"/>
            <w:vAlign w:val="center"/>
          </w:tcPr>
          <w:p w:rsidR="007C4F29" w:rsidRDefault="0035683B">
            <w:pPr>
              <w:jc w:val="center"/>
            </w:pPr>
            <w:r>
              <w:rPr>
                <w:rFonts w:eastAsiaTheme="minorEastAsia"/>
                <w:color w:val="000000" w:themeColor="text1"/>
                <w:szCs w:val="21"/>
              </w:rPr>
              <w:t>128078</w:t>
            </w:r>
          </w:p>
        </w:tc>
        <w:tc>
          <w:tcPr>
            <w:tcW w:w="1746" w:type="dxa"/>
            <w:vAlign w:val="center"/>
          </w:tcPr>
          <w:p w:rsidR="007C4F29" w:rsidRDefault="0035683B">
            <w:pPr>
              <w:jc w:val="center"/>
            </w:pPr>
            <w:r>
              <w:rPr>
                <w:rFonts w:eastAsiaTheme="minorEastAsia"/>
                <w:color w:val="000000" w:themeColor="text1"/>
                <w:szCs w:val="21"/>
              </w:rPr>
              <w:t>太极转债</w:t>
            </w:r>
          </w:p>
        </w:tc>
        <w:tc>
          <w:tcPr>
            <w:tcW w:w="1825" w:type="dxa"/>
            <w:vAlign w:val="center"/>
          </w:tcPr>
          <w:p w:rsidR="007C4F29" w:rsidRDefault="0035683B">
            <w:pPr>
              <w:jc w:val="right"/>
            </w:pPr>
            <w:r>
              <w:rPr>
                <w:rFonts w:eastAsiaTheme="minorEastAsia"/>
                <w:color w:val="000000" w:themeColor="text1"/>
                <w:szCs w:val="21"/>
              </w:rPr>
              <w:t>401,538.79</w:t>
            </w:r>
          </w:p>
        </w:tc>
        <w:tc>
          <w:tcPr>
            <w:tcW w:w="1679" w:type="dxa"/>
            <w:vAlign w:val="center"/>
          </w:tcPr>
          <w:p w:rsidR="007C4F29" w:rsidRDefault="0035683B">
            <w:pPr>
              <w:jc w:val="right"/>
            </w:pPr>
            <w:r>
              <w:rPr>
                <w:rFonts w:eastAsiaTheme="minorEastAsia"/>
                <w:color w:val="000000" w:themeColor="text1"/>
                <w:szCs w:val="21"/>
              </w:rPr>
              <w:t>0.29</w:t>
            </w:r>
          </w:p>
        </w:tc>
      </w:tr>
      <w:tr w:rsidR="007C4F29">
        <w:tc>
          <w:tcPr>
            <w:tcW w:w="1181" w:type="dxa"/>
            <w:vAlign w:val="center"/>
          </w:tcPr>
          <w:p w:rsidR="007C4F29" w:rsidRDefault="0035683B">
            <w:pPr>
              <w:jc w:val="center"/>
            </w:pPr>
            <w:r>
              <w:rPr>
                <w:rFonts w:eastAsiaTheme="minorEastAsia"/>
                <w:color w:val="000000" w:themeColor="text1"/>
                <w:szCs w:val="21"/>
              </w:rPr>
              <w:t>21</w:t>
            </w:r>
          </w:p>
        </w:tc>
        <w:tc>
          <w:tcPr>
            <w:tcW w:w="2497" w:type="dxa"/>
            <w:vAlign w:val="center"/>
          </w:tcPr>
          <w:p w:rsidR="007C4F29" w:rsidRDefault="0035683B">
            <w:pPr>
              <w:jc w:val="center"/>
            </w:pPr>
            <w:r>
              <w:rPr>
                <w:rFonts w:eastAsiaTheme="minorEastAsia"/>
                <w:color w:val="000000" w:themeColor="text1"/>
                <w:szCs w:val="21"/>
              </w:rPr>
              <w:t>110064</w:t>
            </w:r>
          </w:p>
        </w:tc>
        <w:tc>
          <w:tcPr>
            <w:tcW w:w="1746" w:type="dxa"/>
            <w:vAlign w:val="center"/>
          </w:tcPr>
          <w:p w:rsidR="007C4F29" w:rsidRDefault="0035683B">
            <w:pPr>
              <w:jc w:val="center"/>
            </w:pPr>
            <w:r>
              <w:rPr>
                <w:rFonts w:eastAsiaTheme="minorEastAsia"/>
                <w:color w:val="000000" w:themeColor="text1"/>
                <w:szCs w:val="21"/>
              </w:rPr>
              <w:t>建工转债</w:t>
            </w:r>
          </w:p>
        </w:tc>
        <w:tc>
          <w:tcPr>
            <w:tcW w:w="1825" w:type="dxa"/>
            <w:vAlign w:val="center"/>
          </w:tcPr>
          <w:p w:rsidR="007C4F29" w:rsidRDefault="0035683B">
            <w:pPr>
              <w:jc w:val="right"/>
            </w:pPr>
            <w:r>
              <w:rPr>
                <w:rFonts w:eastAsiaTheme="minorEastAsia"/>
                <w:color w:val="000000" w:themeColor="text1"/>
                <w:szCs w:val="21"/>
              </w:rPr>
              <w:t>380,669.11</w:t>
            </w:r>
          </w:p>
        </w:tc>
        <w:tc>
          <w:tcPr>
            <w:tcW w:w="1679" w:type="dxa"/>
            <w:vAlign w:val="center"/>
          </w:tcPr>
          <w:p w:rsidR="007C4F29" w:rsidRDefault="0035683B">
            <w:pPr>
              <w:jc w:val="right"/>
            </w:pPr>
            <w:r>
              <w:rPr>
                <w:rFonts w:eastAsiaTheme="minorEastAsia"/>
                <w:color w:val="000000" w:themeColor="text1"/>
                <w:szCs w:val="21"/>
              </w:rPr>
              <w:t>0.28</w:t>
            </w:r>
          </w:p>
        </w:tc>
      </w:tr>
      <w:tr w:rsidR="007C4F29">
        <w:tc>
          <w:tcPr>
            <w:tcW w:w="1181" w:type="dxa"/>
            <w:vAlign w:val="center"/>
          </w:tcPr>
          <w:p w:rsidR="007C4F29" w:rsidRDefault="0035683B">
            <w:pPr>
              <w:jc w:val="center"/>
            </w:pPr>
            <w:r>
              <w:rPr>
                <w:rFonts w:eastAsiaTheme="minorEastAsia"/>
                <w:color w:val="000000" w:themeColor="text1"/>
                <w:szCs w:val="21"/>
              </w:rPr>
              <w:t>22</w:t>
            </w:r>
          </w:p>
        </w:tc>
        <w:tc>
          <w:tcPr>
            <w:tcW w:w="2497" w:type="dxa"/>
            <w:vAlign w:val="center"/>
          </w:tcPr>
          <w:p w:rsidR="007C4F29" w:rsidRDefault="0035683B">
            <w:pPr>
              <w:jc w:val="center"/>
            </w:pPr>
            <w:r>
              <w:rPr>
                <w:rFonts w:eastAsiaTheme="minorEastAsia"/>
                <w:color w:val="000000" w:themeColor="text1"/>
                <w:szCs w:val="21"/>
              </w:rPr>
              <w:t>128017</w:t>
            </w:r>
          </w:p>
        </w:tc>
        <w:tc>
          <w:tcPr>
            <w:tcW w:w="1746" w:type="dxa"/>
            <w:vAlign w:val="center"/>
          </w:tcPr>
          <w:p w:rsidR="007C4F29" w:rsidRDefault="0035683B">
            <w:pPr>
              <w:jc w:val="center"/>
            </w:pPr>
            <w:r>
              <w:rPr>
                <w:rFonts w:eastAsiaTheme="minorEastAsia"/>
                <w:color w:val="000000" w:themeColor="text1"/>
                <w:szCs w:val="21"/>
              </w:rPr>
              <w:t>金禾转债</w:t>
            </w:r>
          </w:p>
        </w:tc>
        <w:tc>
          <w:tcPr>
            <w:tcW w:w="1825" w:type="dxa"/>
            <w:vAlign w:val="center"/>
          </w:tcPr>
          <w:p w:rsidR="007C4F29" w:rsidRDefault="0035683B">
            <w:pPr>
              <w:jc w:val="right"/>
            </w:pPr>
            <w:r>
              <w:rPr>
                <w:rFonts w:eastAsiaTheme="minorEastAsia"/>
                <w:color w:val="000000" w:themeColor="text1"/>
                <w:szCs w:val="21"/>
              </w:rPr>
              <w:t>372,923.45</w:t>
            </w:r>
          </w:p>
        </w:tc>
        <w:tc>
          <w:tcPr>
            <w:tcW w:w="1679" w:type="dxa"/>
            <w:vAlign w:val="center"/>
          </w:tcPr>
          <w:p w:rsidR="007C4F29" w:rsidRDefault="0035683B">
            <w:pPr>
              <w:jc w:val="right"/>
            </w:pPr>
            <w:r>
              <w:rPr>
                <w:rFonts w:eastAsiaTheme="minorEastAsia"/>
                <w:color w:val="000000" w:themeColor="text1"/>
                <w:szCs w:val="21"/>
              </w:rPr>
              <w:t>0.27</w:t>
            </w:r>
          </w:p>
        </w:tc>
      </w:tr>
      <w:tr w:rsidR="007C4F29">
        <w:tc>
          <w:tcPr>
            <w:tcW w:w="1181" w:type="dxa"/>
            <w:vAlign w:val="center"/>
          </w:tcPr>
          <w:p w:rsidR="007C4F29" w:rsidRDefault="0035683B">
            <w:pPr>
              <w:jc w:val="center"/>
            </w:pPr>
            <w:r>
              <w:rPr>
                <w:rFonts w:eastAsiaTheme="minorEastAsia"/>
                <w:color w:val="000000" w:themeColor="text1"/>
                <w:szCs w:val="21"/>
              </w:rPr>
              <w:t>23</w:t>
            </w:r>
          </w:p>
        </w:tc>
        <w:tc>
          <w:tcPr>
            <w:tcW w:w="2497" w:type="dxa"/>
            <w:vAlign w:val="center"/>
          </w:tcPr>
          <w:p w:rsidR="007C4F29" w:rsidRDefault="0035683B">
            <w:pPr>
              <w:jc w:val="center"/>
            </w:pPr>
            <w:r>
              <w:rPr>
                <w:rFonts w:eastAsiaTheme="minorEastAsia"/>
                <w:color w:val="000000" w:themeColor="text1"/>
                <w:szCs w:val="21"/>
              </w:rPr>
              <w:t>123145</w:t>
            </w:r>
          </w:p>
        </w:tc>
        <w:tc>
          <w:tcPr>
            <w:tcW w:w="1746" w:type="dxa"/>
            <w:vAlign w:val="center"/>
          </w:tcPr>
          <w:p w:rsidR="007C4F29" w:rsidRDefault="0035683B">
            <w:pPr>
              <w:jc w:val="center"/>
            </w:pPr>
            <w:r>
              <w:rPr>
                <w:rFonts w:eastAsiaTheme="minorEastAsia"/>
                <w:color w:val="000000" w:themeColor="text1"/>
                <w:szCs w:val="21"/>
              </w:rPr>
              <w:t>药石转债</w:t>
            </w:r>
          </w:p>
        </w:tc>
        <w:tc>
          <w:tcPr>
            <w:tcW w:w="1825" w:type="dxa"/>
            <w:vAlign w:val="center"/>
          </w:tcPr>
          <w:p w:rsidR="007C4F29" w:rsidRDefault="0035683B">
            <w:pPr>
              <w:jc w:val="right"/>
            </w:pPr>
            <w:r>
              <w:rPr>
                <w:rFonts w:eastAsiaTheme="minorEastAsia"/>
                <w:color w:val="000000" w:themeColor="text1"/>
                <w:szCs w:val="21"/>
              </w:rPr>
              <w:t>371,454.99</w:t>
            </w:r>
          </w:p>
        </w:tc>
        <w:tc>
          <w:tcPr>
            <w:tcW w:w="1679" w:type="dxa"/>
            <w:vAlign w:val="center"/>
          </w:tcPr>
          <w:p w:rsidR="007C4F29" w:rsidRDefault="0035683B">
            <w:pPr>
              <w:jc w:val="right"/>
            </w:pPr>
            <w:r>
              <w:rPr>
                <w:rFonts w:eastAsiaTheme="minorEastAsia"/>
                <w:color w:val="000000" w:themeColor="text1"/>
                <w:szCs w:val="21"/>
              </w:rPr>
              <w:t>0.27</w:t>
            </w:r>
          </w:p>
        </w:tc>
      </w:tr>
      <w:tr w:rsidR="007C4F29">
        <w:tc>
          <w:tcPr>
            <w:tcW w:w="1181" w:type="dxa"/>
            <w:vAlign w:val="center"/>
          </w:tcPr>
          <w:p w:rsidR="007C4F29" w:rsidRDefault="0035683B">
            <w:pPr>
              <w:jc w:val="center"/>
            </w:pPr>
            <w:r>
              <w:rPr>
                <w:rFonts w:eastAsiaTheme="minorEastAsia"/>
                <w:color w:val="000000" w:themeColor="text1"/>
                <w:szCs w:val="21"/>
              </w:rPr>
              <w:t>24</w:t>
            </w:r>
          </w:p>
        </w:tc>
        <w:tc>
          <w:tcPr>
            <w:tcW w:w="2497" w:type="dxa"/>
            <w:vAlign w:val="center"/>
          </w:tcPr>
          <w:p w:rsidR="007C4F29" w:rsidRDefault="0035683B">
            <w:pPr>
              <w:jc w:val="center"/>
            </w:pPr>
            <w:r>
              <w:rPr>
                <w:rFonts w:eastAsiaTheme="minorEastAsia"/>
                <w:color w:val="000000" w:themeColor="text1"/>
                <w:szCs w:val="21"/>
              </w:rPr>
              <w:t>128101</w:t>
            </w:r>
          </w:p>
        </w:tc>
        <w:tc>
          <w:tcPr>
            <w:tcW w:w="1746" w:type="dxa"/>
            <w:vAlign w:val="center"/>
          </w:tcPr>
          <w:p w:rsidR="007C4F29" w:rsidRDefault="0035683B">
            <w:pPr>
              <w:jc w:val="center"/>
            </w:pPr>
            <w:r>
              <w:rPr>
                <w:rFonts w:eastAsiaTheme="minorEastAsia"/>
                <w:color w:val="000000" w:themeColor="text1"/>
                <w:szCs w:val="21"/>
              </w:rPr>
              <w:t>联创转债</w:t>
            </w:r>
          </w:p>
        </w:tc>
        <w:tc>
          <w:tcPr>
            <w:tcW w:w="1825" w:type="dxa"/>
            <w:vAlign w:val="center"/>
          </w:tcPr>
          <w:p w:rsidR="007C4F29" w:rsidRDefault="0035683B">
            <w:pPr>
              <w:jc w:val="right"/>
            </w:pPr>
            <w:r>
              <w:rPr>
                <w:rFonts w:eastAsiaTheme="minorEastAsia"/>
                <w:color w:val="000000" w:themeColor="text1"/>
                <w:szCs w:val="21"/>
              </w:rPr>
              <w:t>365,603.42</w:t>
            </w:r>
          </w:p>
        </w:tc>
        <w:tc>
          <w:tcPr>
            <w:tcW w:w="1679" w:type="dxa"/>
            <w:vAlign w:val="center"/>
          </w:tcPr>
          <w:p w:rsidR="007C4F29" w:rsidRDefault="0035683B">
            <w:pPr>
              <w:jc w:val="right"/>
            </w:pPr>
            <w:r>
              <w:rPr>
                <w:rFonts w:eastAsiaTheme="minorEastAsia"/>
                <w:color w:val="000000" w:themeColor="text1"/>
                <w:szCs w:val="21"/>
              </w:rPr>
              <w:t>0.26</w:t>
            </w:r>
          </w:p>
        </w:tc>
      </w:tr>
      <w:tr w:rsidR="007C4F29">
        <w:tc>
          <w:tcPr>
            <w:tcW w:w="1181" w:type="dxa"/>
            <w:vAlign w:val="center"/>
          </w:tcPr>
          <w:p w:rsidR="007C4F29" w:rsidRDefault="0035683B">
            <w:pPr>
              <w:jc w:val="center"/>
            </w:pPr>
            <w:r>
              <w:rPr>
                <w:rFonts w:eastAsiaTheme="minorEastAsia"/>
                <w:color w:val="000000" w:themeColor="text1"/>
                <w:szCs w:val="21"/>
              </w:rPr>
              <w:t>25</w:t>
            </w:r>
          </w:p>
        </w:tc>
        <w:tc>
          <w:tcPr>
            <w:tcW w:w="2497" w:type="dxa"/>
            <w:vAlign w:val="center"/>
          </w:tcPr>
          <w:p w:rsidR="007C4F29" w:rsidRDefault="0035683B">
            <w:pPr>
              <w:jc w:val="center"/>
            </w:pPr>
            <w:r>
              <w:rPr>
                <w:rFonts w:eastAsiaTheme="minorEastAsia"/>
                <w:color w:val="000000" w:themeColor="text1"/>
                <w:szCs w:val="21"/>
              </w:rPr>
              <w:t>127055</w:t>
            </w:r>
          </w:p>
        </w:tc>
        <w:tc>
          <w:tcPr>
            <w:tcW w:w="1746" w:type="dxa"/>
            <w:vAlign w:val="center"/>
          </w:tcPr>
          <w:p w:rsidR="007C4F29" w:rsidRDefault="0035683B">
            <w:pPr>
              <w:jc w:val="center"/>
            </w:pPr>
            <w:r>
              <w:rPr>
                <w:rFonts w:eastAsiaTheme="minorEastAsia"/>
                <w:color w:val="000000" w:themeColor="text1"/>
                <w:szCs w:val="21"/>
              </w:rPr>
              <w:t>精装转债</w:t>
            </w:r>
          </w:p>
        </w:tc>
        <w:tc>
          <w:tcPr>
            <w:tcW w:w="1825" w:type="dxa"/>
            <w:vAlign w:val="center"/>
          </w:tcPr>
          <w:p w:rsidR="007C4F29" w:rsidRDefault="0035683B">
            <w:pPr>
              <w:jc w:val="right"/>
            </w:pPr>
            <w:r>
              <w:rPr>
                <w:rFonts w:eastAsiaTheme="minorEastAsia"/>
                <w:color w:val="000000" w:themeColor="text1"/>
                <w:szCs w:val="21"/>
              </w:rPr>
              <w:t>347,207.42</w:t>
            </w:r>
          </w:p>
        </w:tc>
        <w:tc>
          <w:tcPr>
            <w:tcW w:w="1679" w:type="dxa"/>
            <w:vAlign w:val="center"/>
          </w:tcPr>
          <w:p w:rsidR="007C4F29" w:rsidRDefault="0035683B">
            <w:pPr>
              <w:jc w:val="right"/>
            </w:pPr>
            <w:r>
              <w:rPr>
                <w:rFonts w:eastAsiaTheme="minorEastAsia"/>
                <w:color w:val="000000" w:themeColor="text1"/>
                <w:szCs w:val="21"/>
              </w:rPr>
              <w:t>0.25</w:t>
            </w:r>
          </w:p>
        </w:tc>
      </w:tr>
      <w:tr w:rsidR="007C4F29">
        <w:tc>
          <w:tcPr>
            <w:tcW w:w="1181" w:type="dxa"/>
            <w:vAlign w:val="center"/>
          </w:tcPr>
          <w:p w:rsidR="007C4F29" w:rsidRDefault="0035683B">
            <w:pPr>
              <w:jc w:val="center"/>
            </w:pPr>
            <w:r>
              <w:rPr>
                <w:rFonts w:eastAsiaTheme="minorEastAsia"/>
                <w:color w:val="000000" w:themeColor="text1"/>
                <w:szCs w:val="21"/>
              </w:rPr>
              <w:t>26</w:t>
            </w:r>
          </w:p>
        </w:tc>
        <w:tc>
          <w:tcPr>
            <w:tcW w:w="2497" w:type="dxa"/>
            <w:vAlign w:val="center"/>
          </w:tcPr>
          <w:p w:rsidR="007C4F29" w:rsidRDefault="0035683B">
            <w:pPr>
              <w:jc w:val="center"/>
            </w:pPr>
            <w:r>
              <w:rPr>
                <w:rFonts w:eastAsiaTheme="minorEastAsia"/>
                <w:color w:val="000000" w:themeColor="text1"/>
                <w:szCs w:val="21"/>
              </w:rPr>
              <w:t>123105</w:t>
            </w:r>
          </w:p>
        </w:tc>
        <w:tc>
          <w:tcPr>
            <w:tcW w:w="1746" w:type="dxa"/>
            <w:vAlign w:val="center"/>
          </w:tcPr>
          <w:p w:rsidR="007C4F29" w:rsidRDefault="0035683B">
            <w:pPr>
              <w:jc w:val="center"/>
            </w:pPr>
            <w:r>
              <w:rPr>
                <w:rFonts w:eastAsiaTheme="minorEastAsia"/>
                <w:color w:val="000000" w:themeColor="text1"/>
                <w:szCs w:val="21"/>
              </w:rPr>
              <w:t>拓尔转债</w:t>
            </w:r>
          </w:p>
        </w:tc>
        <w:tc>
          <w:tcPr>
            <w:tcW w:w="1825" w:type="dxa"/>
            <w:vAlign w:val="center"/>
          </w:tcPr>
          <w:p w:rsidR="007C4F29" w:rsidRDefault="0035683B">
            <w:pPr>
              <w:jc w:val="right"/>
            </w:pPr>
            <w:r>
              <w:rPr>
                <w:rFonts w:eastAsiaTheme="minorEastAsia"/>
                <w:color w:val="000000" w:themeColor="text1"/>
                <w:szCs w:val="21"/>
              </w:rPr>
              <w:t>264,197.48</w:t>
            </w:r>
          </w:p>
        </w:tc>
        <w:tc>
          <w:tcPr>
            <w:tcW w:w="1679" w:type="dxa"/>
            <w:vAlign w:val="center"/>
          </w:tcPr>
          <w:p w:rsidR="007C4F29" w:rsidRDefault="0035683B">
            <w:pPr>
              <w:jc w:val="right"/>
            </w:pPr>
            <w:r>
              <w:rPr>
                <w:rFonts w:eastAsiaTheme="minorEastAsia"/>
                <w:color w:val="000000" w:themeColor="text1"/>
                <w:szCs w:val="21"/>
              </w:rPr>
              <w:t>0.19</w:t>
            </w:r>
          </w:p>
        </w:tc>
      </w:tr>
      <w:tr w:rsidR="007C4F29">
        <w:tc>
          <w:tcPr>
            <w:tcW w:w="1181" w:type="dxa"/>
            <w:vAlign w:val="center"/>
          </w:tcPr>
          <w:p w:rsidR="007C4F29" w:rsidRDefault="0035683B">
            <w:pPr>
              <w:jc w:val="center"/>
            </w:pPr>
            <w:r>
              <w:rPr>
                <w:rFonts w:eastAsiaTheme="minorEastAsia"/>
                <w:color w:val="000000" w:themeColor="text1"/>
                <w:szCs w:val="21"/>
              </w:rPr>
              <w:t>27</w:t>
            </w:r>
          </w:p>
        </w:tc>
        <w:tc>
          <w:tcPr>
            <w:tcW w:w="2497" w:type="dxa"/>
            <w:vAlign w:val="center"/>
          </w:tcPr>
          <w:p w:rsidR="007C4F29" w:rsidRDefault="0035683B">
            <w:pPr>
              <w:jc w:val="center"/>
            </w:pPr>
            <w:r>
              <w:rPr>
                <w:rFonts w:eastAsiaTheme="minorEastAsia"/>
                <w:color w:val="000000" w:themeColor="text1"/>
                <w:szCs w:val="21"/>
              </w:rPr>
              <w:t>123130</w:t>
            </w:r>
          </w:p>
        </w:tc>
        <w:tc>
          <w:tcPr>
            <w:tcW w:w="1746" w:type="dxa"/>
            <w:vAlign w:val="center"/>
          </w:tcPr>
          <w:p w:rsidR="007C4F29" w:rsidRDefault="0035683B">
            <w:pPr>
              <w:jc w:val="center"/>
            </w:pPr>
            <w:r>
              <w:rPr>
                <w:rFonts w:eastAsiaTheme="minorEastAsia"/>
                <w:color w:val="000000" w:themeColor="text1"/>
                <w:szCs w:val="21"/>
              </w:rPr>
              <w:t>设研转债</w:t>
            </w:r>
          </w:p>
        </w:tc>
        <w:tc>
          <w:tcPr>
            <w:tcW w:w="1825" w:type="dxa"/>
            <w:vAlign w:val="center"/>
          </w:tcPr>
          <w:p w:rsidR="007C4F29" w:rsidRDefault="0035683B">
            <w:pPr>
              <w:jc w:val="right"/>
            </w:pPr>
            <w:r>
              <w:rPr>
                <w:rFonts w:eastAsiaTheme="minorEastAsia"/>
                <w:color w:val="000000" w:themeColor="text1"/>
                <w:szCs w:val="21"/>
              </w:rPr>
              <w:t>241,911.78</w:t>
            </w:r>
          </w:p>
        </w:tc>
        <w:tc>
          <w:tcPr>
            <w:tcW w:w="1679" w:type="dxa"/>
            <w:vAlign w:val="center"/>
          </w:tcPr>
          <w:p w:rsidR="007C4F29" w:rsidRDefault="0035683B">
            <w:pPr>
              <w:jc w:val="right"/>
            </w:pPr>
            <w:r>
              <w:rPr>
                <w:rFonts w:eastAsiaTheme="minorEastAsia"/>
                <w:color w:val="000000" w:themeColor="text1"/>
                <w:szCs w:val="21"/>
              </w:rPr>
              <w:t>0.18</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上投摩根纯债债券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上投摩根纯债债券</w:t>
            </w:r>
            <w:r w:rsidRPr="00B27A29">
              <w:rPr>
                <w:rFonts w:eastAsiaTheme="minorEastAsia"/>
                <w:color w:val="000000" w:themeColor="text1"/>
                <w:szCs w:val="21"/>
              </w:rPr>
              <w:t>B</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72,046,936.34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41,713,881.89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1,052,494.93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159,213.38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4,024,804.81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2,278,401.37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69,074,626.46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39,594,693.90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7C4F29">
        <w:tc>
          <w:tcPr>
            <w:tcW w:w="993" w:type="dxa"/>
            <w:vMerge w:val="restart"/>
            <w:vAlign w:val="center"/>
          </w:tcPr>
          <w:p w:rsidR="007C4F29" w:rsidRDefault="0035683B">
            <w:r>
              <w:rPr>
                <w:bCs/>
                <w:color w:val="000000"/>
                <w:kern w:val="0"/>
                <w:szCs w:val="21"/>
              </w:rPr>
              <w:t>机构</w:t>
            </w:r>
          </w:p>
        </w:tc>
        <w:tc>
          <w:tcPr>
            <w:tcW w:w="992" w:type="dxa"/>
            <w:vAlign w:val="center"/>
          </w:tcPr>
          <w:p w:rsidR="007C4F29" w:rsidRDefault="0035683B">
            <w:pPr>
              <w:jc w:val="center"/>
            </w:pPr>
            <w:r>
              <w:rPr>
                <w:color w:val="000000"/>
                <w:kern w:val="0"/>
                <w:szCs w:val="21"/>
              </w:rPr>
              <w:t>1</w:t>
            </w:r>
          </w:p>
        </w:tc>
        <w:tc>
          <w:tcPr>
            <w:tcW w:w="1843" w:type="dxa"/>
            <w:vAlign w:val="center"/>
          </w:tcPr>
          <w:p w:rsidR="007C4F29" w:rsidRDefault="0035683B">
            <w:pPr>
              <w:jc w:val="center"/>
            </w:pPr>
            <w:r>
              <w:rPr>
                <w:color w:val="000000"/>
                <w:kern w:val="0"/>
                <w:szCs w:val="21"/>
              </w:rPr>
              <w:t>20221001-20221231</w:t>
            </w:r>
          </w:p>
        </w:tc>
        <w:tc>
          <w:tcPr>
            <w:tcW w:w="851" w:type="dxa"/>
            <w:vAlign w:val="center"/>
          </w:tcPr>
          <w:p w:rsidR="007C4F29" w:rsidRDefault="0035683B">
            <w:pPr>
              <w:jc w:val="center"/>
            </w:pPr>
            <w:r>
              <w:rPr>
                <w:color w:val="000000"/>
                <w:kern w:val="0"/>
                <w:szCs w:val="21"/>
              </w:rPr>
              <w:t>40,108,704.86</w:t>
            </w:r>
          </w:p>
        </w:tc>
        <w:tc>
          <w:tcPr>
            <w:tcW w:w="850" w:type="dxa"/>
            <w:vAlign w:val="center"/>
          </w:tcPr>
          <w:p w:rsidR="007C4F29" w:rsidRDefault="0035683B">
            <w:pPr>
              <w:jc w:val="center"/>
            </w:pPr>
            <w:r>
              <w:rPr>
                <w:color w:val="000000"/>
                <w:kern w:val="0"/>
                <w:szCs w:val="21"/>
              </w:rPr>
              <w:t>0.00</w:t>
            </w:r>
          </w:p>
        </w:tc>
        <w:tc>
          <w:tcPr>
            <w:tcW w:w="1134" w:type="dxa"/>
            <w:vAlign w:val="center"/>
          </w:tcPr>
          <w:p w:rsidR="007C4F29" w:rsidRDefault="0035683B">
            <w:pPr>
              <w:jc w:val="center"/>
            </w:pPr>
            <w:r>
              <w:rPr>
                <w:color w:val="000000"/>
                <w:kern w:val="0"/>
                <w:szCs w:val="21"/>
              </w:rPr>
              <w:t>0.00</w:t>
            </w:r>
          </w:p>
        </w:tc>
        <w:tc>
          <w:tcPr>
            <w:tcW w:w="1419" w:type="dxa"/>
            <w:vAlign w:val="center"/>
          </w:tcPr>
          <w:p w:rsidR="007C4F29" w:rsidRDefault="0035683B">
            <w:pPr>
              <w:jc w:val="center"/>
            </w:pPr>
            <w:r>
              <w:rPr>
                <w:color w:val="000000"/>
                <w:kern w:val="0"/>
                <w:szCs w:val="21"/>
              </w:rPr>
              <w:t>40,108,704.86</w:t>
            </w:r>
          </w:p>
        </w:tc>
        <w:tc>
          <w:tcPr>
            <w:tcW w:w="1130" w:type="dxa"/>
            <w:vAlign w:val="center"/>
          </w:tcPr>
          <w:p w:rsidR="007C4F29" w:rsidRDefault="0035683B">
            <w:pPr>
              <w:jc w:val="center"/>
            </w:pPr>
            <w:r>
              <w:rPr>
                <w:color w:val="000000"/>
                <w:kern w:val="0"/>
                <w:szCs w:val="21"/>
              </w:rPr>
              <w:t>36.91%</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、中国证监会批准上投摩根纯债债券型证券投资基金设立的文件；</w:t>
      </w:r>
      <w:r>
        <w:rPr>
          <w:rFonts w:eastAsiaTheme="minorEastAsia"/>
          <w:color w:val="000000" w:themeColor="text1"/>
          <w:szCs w:val="21"/>
        </w:rPr>
        <w:t xml:space="preserve"> </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、《上投摩根纯债债券型证券投资基金基金合同》；</w:t>
      </w:r>
      <w:r>
        <w:rPr>
          <w:rFonts w:eastAsiaTheme="minorEastAsia"/>
          <w:color w:val="000000" w:themeColor="text1"/>
          <w:szCs w:val="21"/>
        </w:rPr>
        <w:t xml:space="preserve"> </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、《上投摩根纯债债券型证券投资基金托管协议》；</w:t>
      </w:r>
      <w:r>
        <w:rPr>
          <w:rFonts w:eastAsiaTheme="minorEastAsia"/>
          <w:color w:val="000000" w:themeColor="text1"/>
          <w:szCs w:val="21"/>
        </w:rPr>
        <w:t xml:space="preserve"> </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7C4F29" w:rsidRDefault="0035683B">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二〇二三年一月二十日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5683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5683B">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5683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上投摩根纯债债券型证券投资基金</w:t>
    </w:r>
    <w:r>
      <w:t>2022</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683B"/>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4F29"/>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14C19-2A7F-4483-A398-2E2B94D2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15</Pages>
  <Words>1363</Words>
  <Characters>7774</Characters>
  <Application>Microsoft Office Word</Application>
  <DocSecurity>0</DocSecurity>
  <Lines>64</Lines>
  <Paragraphs>18</Paragraphs>
  <ScaleCrop>false</ScaleCrop>
  <Company>TRT. Ltd. Co.</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219</cp:revision>
  <cp:lastPrinted>2007-07-19T00:46:00Z</cp:lastPrinted>
  <dcterms:created xsi:type="dcterms:W3CDTF">2013-06-21T06:56:00Z</dcterms:created>
  <dcterms:modified xsi:type="dcterms:W3CDTF">2023-01-19T03:22:00Z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