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169,710,356.38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本基金将充分利用基金管理人研究团队的集体智慧，以内部研究组合作为核心股票，从中优选出具有良好基本面和较高成长性的公司进行投资，力争实现基金资产的长期稳定增值。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321937" w:rsidRDefault="00642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321937" w:rsidRDefault="00642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321937" w:rsidRDefault="00642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321937" w:rsidRDefault="00642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本基金将依托本基金管理人的研究平台，采用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w:t>
            </w:r>
            <w:r>
              <w:rPr>
                <w:rFonts w:eastAsiaTheme="minorEastAsia"/>
                <w:color w:val="000000" w:themeColor="text1"/>
                <w:kern w:val="0"/>
                <w:szCs w:val="21"/>
              </w:rPr>
              <w:t xml:space="preserve"> </w:t>
            </w:r>
            <w:r>
              <w:rPr>
                <w:rFonts w:eastAsiaTheme="minorEastAsia"/>
                <w:color w:val="000000" w:themeColor="text1"/>
                <w:kern w:val="0"/>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kern w:val="0"/>
                <w:szCs w:val="21"/>
              </w:rPr>
              <w:t>80%</w:t>
            </w:r>
            <w:r>
              <w:rPr>
                <w:rFonts w:eastAsiaTheme="minorEastAsia"/>
                <w:color w:val="000000" w:themeColor="text1"/>
                <w:kern w:val="0"/>
                <w:szCs w:val="21"/>
              </w:rPr>
              <w:t>的股票资产投资于公司内部研究组合中的股票。</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、其他投资策略：包括行业配置策略、固定收益类投资策略、可转换债券投资策略、权证投资策略、股指期货投资策略、存托凭证投资策略。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321937" w:rsidRDefault="006426B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169,590,069.56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120,286.82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-40,357,224.24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-26,881.90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-40,647,828.50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-22,644.63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-0.2367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-0.1994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676,470,120.63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475,878.94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3.9889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3.9562</w:t>
            </w:r>
          </w:p>
        </w:tc>
      </w:tr>
    </w:tbl>
    <w:p w:rsidR="00321937" w:rsidRDefault="006426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21937">
        <w:tc>
          <w:tcPr>
            <w:tcW w:w="1290" w:type="dxa"/>
            <w:vAlign w:val="center"/>
          </w:tcPr>
          <w:p w:rsidR="00321937" w:rsidRDefault="006426B9">
            <w:pPr>
              <w:jc w:val="left"/>
            </w:pPr>
            <w:r>
              <w:rPr>
                <w:rFonts w:eastAsiaTheme="minorEastAsia"/>
                <w:color w:val="000000" w:themeColor="text1"/>
                <w:szCs w:val="21"/>
              </w:rPr>
              <w:t>过去三个月</w:t>
            </w:r>
          </w:p>
        </w:tc>
        <w:tc>
          <w:tcPr>
            <w:tcW w:w="1291" w:type="dxa"/>
            <w:vAlign w:val="center"/>
          </w:tcPr>
          <w:p w:rsidR="00321937" w:rsidRDefault="006426B9">
            <w:pPr>
              <w:jc w:val="right"/>
            </w:pPr>
            <w:r>
              <w:rPr>
                <w:rFonts w:eastAsiaTheme="minorEastAsia"/>
                <w:color w:val="000000" w:themeColor="text1"/>
                <w:szCs w:val="21"/>
              </w:rPr>
              <w:t>-5.60%</w:t>
            </w:r>
          </w:p>
        </w:tc>
        <w:tc>
          <w:tcPr>
            <w:tcW w:w="1291" w:type="dxa"/>
            <w:vAlign w:val="center"/>
          </w:tcPr>
          <w:p w:rsidR="00321937" w:rsidRDefault="006426B9">
            <w:pPr>
              <w:jc w:val="right"/>
            </w:pPr>
            <w:r>
              <w:rPr>
                <w:rFonts w:eastAsiaTheme="minorEastAsia"/>
                <w:color w:val="000000" w:themeColor="text1"/>
                <w:szCs w:val="21"/>
              </w:rPr>
              <w:t>1.03%</w:t>
            </w:r>
          </w:p>
        </w:tc>
        <w:tc>
          <w:tcPr>
            <w:tcW w:w="1291" w:type="dxa"/>
            <w:vAlign w:val="center"/>
          </w:tcPr>
          <w:p w:rsidR="00321937" w:rsidRDefault="006426B9">
            <w:pPr>
              <w:jc w:val="right"/>
            </w:pPr>
            <w:r>
              <w:rPr>
                <w:rFonts w:eastAsiaTheme="minorEastAsia"/>
                <w:color w:val="000000" w:themeColor="text1"/>
                <w:szCs w:val="21"/>
              </w:rPr>
              <w:t>-4.16%</w:t>
            </w:r>
          </w:p>
        </w:tc>
        <w:tc>
          <w:tcPr>
            <w:tcW w:w="1291" w:type="dxa"/>
            <w:vAlign w:val="center"/>
          </w:tcPr>
          <w:p w:rsidR="00321937" w:rsidRDefault="006426B9">
            <w:pPr>
              <w:jc w:val="right"/>
            </w:pPr>
            <w:r>
              <w:rPr>
                <w:rFonts w:eastAsiaTheme="minorEastAsia"/>
                <w:color w:val="000000" w:themeColor="text1"/>
                <w:szCs w:val="21"/>
              </w:rPr>
              <w:t>0.70%</w:t>
            </w:r>
          </w:p>
        </w:tc>
        <w:tc>
          <w:tcPr>
            <w:tcW w:w="1291" w:type="dxa"/>
            <w:vAlign w:val="center"/>
          </w:tcPr>
          <w:p w:rsidR="00321937" w:rsidRDefault="006426B9">
            <w:pPr>
              <w:jc w:val="right"/>
            </w:pPr>
            <w:r>
              <w:rPr>
                <w:rFonts w:eastAsiaTheme="minorEastAsia"/>
                <w:color w:val="000000" w:themeColor="text1"/>
                <w:szCs w:val="21"/>
              </w:rPr>
              <w:t>-1.44%</w:t>
            </w:r>
          </w:p>
        </w:tc>
        <w:tc>
          <w:tcPr>
            <w:tcW w:w="1291" w:type="dxa"/>
            <w:vAlign w:val="center"/>
          </w:tcPr>
          <w:p w:rsidR="00321937" w:rsidRDefault="006426B9">
            <w:pPr>
              <w:jc w:val="right"/>
            </w:pPr>
            <w:r>
              <w:rPr>
                <w:rFonts w:eastAsiaTheme="minorEastAsia"/>
                <w:color w:val="000000" w:themeColor="text1"/>
                <w:szCs w:val="21"/>
              </w:rPr>
              <w:t>0.33%</w:t>
            </w:r>
          </w:p>
        </w:tc>
      </w:tr>
      <w:tr w:rsidR="00321937">
        <w:tc>
          <w:tcPr>
            <w:tcW w:w="1290" w:type="dxa"/>
            <w:vAlign w:val="center"/>
          </w:tcPr>
          <w:p w:rsidR="00321937" w:rsidRDefault="006426B9">
            <w:pPr>
              <w:jc w:val="left"/>
            </w:pPr>
            <w:r>
              <w:rPr>
                <w:rFonts w:eastAsiaTheme="minorEastAsia"/>
                <w:color w:val="000000" w:themeColor="text1"/>
                <w:szCs w:val="21"/>
              </w:rPr>
              <w:t>过去六个月</w:t>
            </w:r>
          </w:p>
        </w:tc>
        <w:tc>
          <w:tcPr>
            <w:tcW w:w="1291" w:type="dxa"/>
            <w:vAlign w:val="center"/>
          </w:tcPr>
          <w:p w:rsidR="00321937" w:rsidRDefault="006426B9">
            <w:pPr>
              <w:jc w:val="right"/>
            </w:pPr>
            <w:r>
              <w:rPr>
                <w:rFonts w:eastAsiaTheme="minorEastAsia"/>
                <w:color w:val="000000" w:themeColor="text1"/>
                <w:szCs w:val="21"/>
              </w:rPr>
              <w:t>-2.72%</w:t>
            </w:r>
          </w:p>
        </w:tc>
        <w:tc>
          <w:tcPr>
            <w:tcW w:w="1291" w:type="dxa"/>
            <w:vAlign w:val="center"/>
          </w:tcPr>
          <w:p w:rsidR="00321937" w:rsidRDefault="006426B9">
            <w:pPr>
              <w:jc w:val="right"/>
            </w:pPr>
            <w:r>
              <w:rPr>
                <w:rFonts w:eastAsiaTheme="minorEastAsia"/>
                <w:color w:val="000000" w:themeColor="text1"/>
                <w:szCs w:val="21"/>
              </w:rPr>
              <w:t>0.97%</w:t>
            </w:r>
          </w:p>
        </w:tc>
        <w:tc>
          <w:tcPr>
            <w:tcW w:w="1291" w:type="dxa"/>
            <w:vAlign w:val="center"/>
          </w:tcPr>
          <w:p w:rsidR="00321937" w:rsidRDefault="006426B9">
            <w:pPr>
              <w:jc w:val="right"/>
            </w:pPr>
            <w:r>
              <w:rPr>
                <w:rFonts w:eastAsiaTheme="minorEastAsia"/>
                <w:color w:val="000000" w:themeColor="text1"/>
                <w:szCs w:val="21"/>
              </w:rPr>
              <w:t>-0.32%</w:t>
            </w:r>
          </w:p>
        </w:tc>
        <w:tc>
          <w:tcPr>
            <w:tcW w:w="1291" w:type="dxa"/>
            <w:vAlign w:val="center"/>
          </w:tcPr>
          <w:p w:rsidR="00321937" w:rsidRDefault="006426B9">
            <w:pPr>
              <w:jc w:val="right"/>
            </w:pPr>
            <w:r>
              <w:rPr>
                <w:rFonts w:eastAsiaTheme="minorEastAsia"/>
                <w:color w:val="000000" w:themeColor="text1"/>
                <w:szCs w:val="21"/>
              </w:rPr>
              <w:t>0.72%</w:t>
            </w:r>
          </w:p>
        </w:tc>
        <w:tc>
          <w:tcPr>
            <w:tcW w:w="1291" w:type="dxa"/>
            <w:vAlign w:val="center"/>
          </w:tcPr>
          <w:p w:rsidR="00321937" w:rsidRDefault="006426B9">
            <w:pPr>
              <w:jc w:val="right"/>
            </w:pPr>
            <w:r>
              <w:rPr>
                <w:rFonts w:eastAsiaTheme="minorEastAsia"/>
                <w:color w:val="000000" w:themeColor="text1"/>
                <w:szCs w:val="21"/>
              </w:rPr>
              <w:t>-2.40%</w:t>
            </w:r>
          </w:p>
        </w:tc>
        <w:tc>
          <w:tcPr>
            <w:tcW w:w="1291" w:type="dxa"/>
            <w:vAlign w:val="center"/>
          </w:tcPr>
          <w:p w:rsidR="00321937" w:rsidRDefault="006426B9">
            <w:pPr>
              <w:jc w:val="right"/>
            </w:pPr>
            <w:r>
              <w:rPr>
                <w:rFonts w:eastAsiaTheme="minorEastAsia"/>
                <w:color w:val="000000" w:themeColor="text1"/>
                <w:szCs w:val="21"/>
              </w:rPr>
              <w:t>0.25%</w:t>
            </w:r>
          </w:p>
        </w:tc>
      </w:tr>
      <w:tr w:rsidR="00321937">
        <w:tc>
          <w:tcPr>
            <w:tcW w:w="1290" w:type="dxa"/>
            <w:vAlign w:val="center"/>
          </w:tcPr>
          <w:p w:rsidR="00321937" w:rsidRDefault="006426B9">
            <w:pPr>
              <w:jc w:val="left"/>
            </w:pPr>
            <w:r>
              <w:rPr>
                <w:rFonts w:eastAsiaTheme="minorEastAsia"/>
                <w:color w:val="000000" w:themeColor="text1"/>
                <w:szCs w:val="21"/>
              </w:rPr>
              <w:t>过去一年</w:t>
            </w:r>
          </w:p>
        </w:tc>
        <w:tc>
          <w:tcPr>
            <w:tcW w:w="1291" w:type="dxa"/>
            <w:vAlign w:val="center"/>
          </w:tcPr>
          <w:p w:rsidR="00321937" w:rsidRDefault="006426B9">
            <w:pPr>
              <w:jc w:val="right"/>
            </w:pPr>
            <w:r>
              <w:rPr>
                <w:rFonts w:eastAsiaTheme="minorEastAsia"/>
                <w:color w:val="000000" w:themeColor="text1"/>
                <w:szCs w:val="21"/>
              </w:rPr>
              <w:t>-26.42%</w:t>
            </w:r>
          </w:p>
        </w:tc>
        <w:tc>
          <w:tcPr>
            <w:tcW w:w="1291" w:type="dxa"/>
            <w:vAlign w:val="center"/>
          </w:tcPr>
          <w:p w:rsidR="00321937" w:rsidRDefault="006426B9">
            <w:pPr>
              <w:jc w:val="right"/>
            </w:pPr>
            <w:r>
              <w:rPr>
                <w:rFonts w:eastAsiaTheme="minorEastAsia"/>
                <w:color w:val="000000" w:themeColor="text1"/>
                <w:szCs w:val="21"/>
              </w:rPr>
              <w:t>1.14%</w:t>
            </w:r>
          </w:p>
        </w:tc>
        <w:tc>
          <w:tcPr>
            <w:tcW w:w="1291" w:type="dxa"/>
            <w:vAlign w:val="center"/>
          </w:tcPr>
          <w:p w:rsidR="00321937" w:rsidRDefault="006426B9">
            <w:pPr>
              <w:jc w:val="right"/>
            </w:pPr>
            <w:r>
              <w:rPr>
                <w:rFonts w:eastAsiaTheme="minorEastAsia"/>
                <w:color w:val="000000" w:themeColor="text1"/>
                <w:szCs w:val="21"/>
              </w:rPr>
              <w:t>-11.62%</w:t>
            </w:r>
          </w:p>
        </w:tc>
        <w:tc>
          <w:tcPr>
            <w:tcW w:w="1291" w:type="dxa"/>
            <w:vAlign w:val="center"/>
          </w:tcPr>
          <w:p w:rsidR="00321937" w:rsidRDefault="006426B9">
            <w:pPr>
              <w:jc w:val="right"/>
            </w:pPr>
            <w:r>
              <w:rPr>
                <w:rFonts w:eastAsiaTheme="minorEastAsia"/>
                <w:color w:val="000000" w:themeColor="text1"/>
                <w:szCs w:val="21"/>
              </w:rPr>
              <w:t>0.84%</w:t>
            </w:r>
          </w:p>
        </w:tc>
        <w:tc>
          <w:tcPr>
            <w:tcW w:w="1291" w:type="dxa"/>
            <w:vAlign w:val="center"/>
          </w:tcPr>
          <w:p w:rsidR="00321937" w:rsidRDefault="006426B9">
            <w:pPr>
              <w:jc w:val="right"/>
            </w:pPr>
            <w:r>
              <w:rPr>
                <w:rFonts w:eastAsiaTheme="minorEastAsia"/>
                <w:color w:val="000000" w:themeColor="text1"/>
                <w:szCs w:val="21"/>
              </w:rPr>
              <w:t>-14.80%</w:t>
            </w:r>
          </w:p>
        </w:tc>
        <w:tc>
          <w:tcPr>
            <w:tcW w:w="1291" w:type="dxa"/>
            <w:vAlign w:val="center"/>
          </w:tcPr>
          <w:p w:rsidR="00321937" w:rsidRDefault="006426B9">
            <w:pPr>
              <w:jc w:val="right"/>
            </w:pPr>
            <w:r>
              <w:rPr>
                <w:rFonts w:eastAsiaTheme="minorEastAsia"/>
                <w:color w:val="000000" w:themeColor="text1"/>
                <w:szCs w:val="21"/>
              </w:rPr>
              <w:t>0.30%</w:t>
            </w:r>
          </w:p>
        </w:tc>
      </w:tr>
      <w:tr w:rsidR="00321937">
        <w:tc>
          <w:tcPr>
            <w:tcW w:w="1290" w:type="dxa"/>
            <w:vAlign w:val="center"/>
          </w:tcPr>
          <w:p w:rsidR="00321937" w:rsidRDefault="006426B9">
            <w:pPr>
              <w:jc w:val="left"/>
            </w:pPr>
            <w:r>
              <w:rPr>
                <w:rFonts w:eastAsiaTheme="minorEastAsia"/>
                <w:color w:val="000000" w:themeColor="text1"/>
                <w:szCs w:val="21"/>
              </w:rPr>
              <w:t>过去三年</w:t>
            </w:r>
          </w:p>
        </w:tc>
        <w:tc>
          <w:tcPr>
            <w:tcW w:w="1291" w:type="dxa"/>
            <w:vAlign w:val="center"/>
          </w:tcPr>
          <w:p w:rsidR="00321937" w:rsidRDefault="006426B9">
            <w:pPr>
              <w:jc w:val="right"/>
            </w:pPr>
            <w:r>
              <w:rPr>
                <w:rFonts w:eastAsiaTheme="minorEastAsia"/>
                <w:color w:val="000000" w:themeColor="text1"/>
                <w:szCs w:val="21"/>
              </w:rPr>
              <w:t>-2.61%</w:t>
            </w:r>
          </w:p>
        </w:tc>
        <w:tc>
          <w:tcPr>
            <w:tcW w:w="1291" w:type="dxa"/>
            <w:vAlign w:val="center"/>
          </w:tcPr>
          <w:p w:rsidR="00321937" w:rsidRDefault="006426B9">
            <w:pPr>
              <w:jc w:val="right"/>
            </w:pPr>
            <w:r>
              <w:rPr>
                <w:rFonts w:eastAsiaTheme="minorEastAsia"/>
                <w:color w:val="000000" w:themeColor="text1"/>
                <w:szCs w:val="21"/>
              </w:rPr>
              <w:t>1.61%</w:t>
            </w:r>
          </w:p>
        </w:tc>
        <w:tc>
          <w:tcPr>
            <w:tcW w:w="1291" w:type="dxa"/>
            <w:vAlign w:val="center"/>
          </w:tcPr>
          <w:p w:rsidR="00321937" w:rsidRDefault="006426B9">
            <w:pPr>
              <w:jc w:val="right"/>
            </w:pPr>
            <w:r>
              <w:rPr>
                <w:rFonts w:eastAsiaTheme="minorEastAsia"/>
                <w:color w:val="000000" w:themeColor="text1"/>
                <w:szCs w:val="21"/>
              </w:rPr>
              <w:t>-4.89%</w:t>
            </w:r>
          </w:p>
        </w:tc>
        <w:tc>
          <w:tcPr>
            <w:tcW w:w="1291" w:type="dxa"/>
            <w:vAlign w:val="center"/>
          </w:tcPr>
          <w:p w:rsidR="00321937" w:rsidRDefault="006426B9">
            <w:pPr>
              <w:jc w:val="right"/>
            </w:pPr>
            <w:r>
              <w:rPr>
                <w:rFonts w:eastAsiaTheme="minorEastAsia"/>
                <w:color w:val="000000" w:themeColor="text1"/>
                <w:szCs w:val="21"/>
              </w:rPr>
              <w:t>1.02%</w:t>
            </w:r>
          </w:p>
        </w:tc>
        <w:tc>
          <w:tcPr>
            <w:tcW w:w="1291" w:type="dxa"/>
            <w:vAlign w:val="center"/>
          </w:tcPr>
          <w:p w:rsidR="00321937" w:rsidRDefault="006426B9">
            <w:pPr>
              <w:jc w:val="right"/>
            </w:pPr>
            <w:r>
              <w:rPr>
                <w:rFonts w:eastAsiaTheme="minorEastAsia"/>
                <w:color w:val="000000" w:themeColor="text1"/>
                <w:szCs w:val="21"/>
              </w:rPr>
              <w:t>2.28%</w:t>
            </w:r>
          </w:p>
        </w:tc>
        <w:tc>
          <w:tcPr>
            <w:tcW w:w="1291" w:type="dxa"/>
            <w:vAlign w:val="center"/>
          </w:tcPr>
          <w:p w:rsidR="00321937" w:rsidRDefault="006426B9">
            <w:pPr>
              <w:jc w:val="right"/>
            </w:pPr>
            <w:r>
              <w:rPr>
                <w:rFonts w:eastAsiaTheme="minorEastAsia"/>
                <w:color w:val="000000" w:themeColor="text1"/>
                <w:szCs w:val="21"/>
              </w:rPr>
              <w:t>0.59%</w:t>
            </w:r>
          </w:p>
        </w:tc>
      </w:tr>
      <w:tr w:rsidR="00321937">
        <w:tc>
          <w:tcPr>
            <w:tcW w:w="1290" w:type="dxa"/>
            <w:vAlign w:val="center"/>
          </w:tcPr>
          <w:p w:rsidR="00321937" w:rsidRDefault="006426B9">
            <w:pPr>
              <w:jc w:val="left"/>
            </w:pPr>
            <w:r>
              <w:rPr>
                <w:rFonts w:eastAsiaTheme="minorEastAsia"/>
                <w:color w:val="000000" w:themeColor="text1"/>
                <w:szCs w:val="21"/>
              </w:rPr>
              <w:t>过去五年</w:t>
            </w:r>
          </w:p>
        </w:tc>
        <w:tc>
          <w:tcPr>
            <w:tcW w:w="1291" w:type="dxa"/>
            <w:vAlign w:val="center"/>
          </w:tcPr>
          <w:p w:rsidR="00321937" w:rsidRDefault="006426B9">
            <w:pPr>
              <w:jc w:val="right"/>
            </w:pPr>
            <w:r>
              <w:rPr>
                <w:rFonts w:eastAsiaTheme="minorEastAsia"/>
                <w:color w:val="000000" w:themeColor="text1"/>
                <w:szCs w:val="21"/>
              </w:rPr>
              <w:t>66.26%</w:t>
            </w:r>
          </w:p>
        </w:tc>
        <w:tc>
          <w:tcPr>
            <w:tcW w:w="1291" w:type="dxa"/>
            <w:vAlign w:val="center"/>
          </w:tcPr>
          <w:p w:rsidR="00321937" w:rsidRDefault="006426B9">
            <w:pPr>
              <w:jc w:val="right"/>
            </w:pPr>
            <w:r>
              <w:rPr>
                <w:rFonts w:eastAsiaTheme="minorEastAsia"/>
                <w:color w:val="000000" w:themeColor="text1"/>
                <w:szCs w:val="21"/>
              </w:rPr>
              <w:t>1.62%</w:t>
            </w:r>
          </w:p>
        </w:tc>
        <w:tc>
          <w:tcPr>
            <w:tcW w:w="1291" w:type="dxa"/>
            <w:vAlign w:val="center"/>
          </w:tcPr>
          <w:p w:rsidR="00321937" w:rsidRDefault="006426B9">
            <w:pPr>
              <w:jc w:val="right"/>
            </w:pPr>
            <w:r>
              <w:rPr>
                <w:rFonts w:eastAsiaTheme="minorEastAsia"/>
                <w:color w:val="000000" w:themeColor="text1"/>
                <w:szCs w:val="21"/>
              </w:rPr>
              <w:t>11.41%</w:t>
            </w:r>
          </w:p>
        </w:tc>
        <w:tc>
          <w:tcPr>
            <w:tcW w:w="1291" w:type="dxa"/>
            <w:vAlign w:val="center"/>
          </w:tcPr>
          <w:p w:rsidR="00321937" w:rsidRDefault="006426B9">
            <w:pPr>
              <w:jc w:val="right"/>
            </w:pPr>
            <w:r>
              <w:rPr>
                <w:rFonts w:eastAsiaTheme="minorEastAsia"/>
                <w:color w:val="000000" w:themeColor="text1"/>
                <w:szCs w:val="21"/>
              </w:rPr>
              <w:t>1.08%</w:t>
            </w:r>
          </w:p>
        </w:tc>
        <w:tc>
          <w:tcPr>
            <w:tcW w:w="1291" w:type="dxa"/>
            <w:vAlign w:val="center"/>
          </w:tcPr>
          <w:p w:rsidR="00321937" w:rsidRDefault="006426B9">
            <w:pPr>
              <w:jc w:val="right"/>
            </w:pPr>
            <w:r>
              <w:rPr>
                <w:rFonts w:eastAsiaTheme="minorEastAsia"/>
                <w:color w:val="000000" w:themeColor="text1"/>
                <w:szCs w:val="21"/>
              </w:rPr>
              <w:t>54.85%</w:t>
            </w:r>
          </w:p>
        </w:tc>
        <w:tc>
          <w:tcPr>
            <w:tcW w:w="1291" w:type="dxa"/>
            <w:vAlign w:val="center"/>
          </w:tcPr>
          <w:p w:rsidR="00321937" w:rsidRDefault="006426B9">
            <w:pPr>
              <w:jc w:val="right"/>
            </w:pPr>
            <w:r>
              <w:rPr>
                <w:rFonts w:eastAsiaTheme="minorEastAsia"/>
                <w:color w:val="000000" w:themeColor="text1"/>
                <w:szCs w:val="21"/>
              </w:rPr>
              <w:t>0.54%</w:t>
            </w:r>
          </w:p>
        </w:tc>
      </w:tr>
      <w:tr w:rsidR="00321937">
        <w:tc>
          <w:tcPr>
            <w:tcW w:w="1290" w:type="dxa"/>
            <w:vAlign w:val="center"/>
          </w:tcPr>
          <w:p w:rsidR="00321937" w:rsidRDefault="006426B9">
            <w:pPr>
              <w:jc w:val="left"/>
            </w:pPr>
            <w:r>
              <w:rPr>
                <w:rFonts w:eastAsiaTheme="minorEastAsia"/>
                <w:color w:val="000000" w:themeColor="text1"/>
                <w:szCs w:val="21"/>
              </w:rPr>
              <w:t>自基金合同生效起至今</w:t>
            </w:r>
          </w:p>
        </w:tc>
        <w:tc>
          <w:tcPr>
            <w:tcW w:w="1291" w:type="dxa"/>
            <w:vAlign w:val="center"/>
          </w:tcPr>
          <w:p w:rsidR="00321937" w:rsidRDefault="006426B9">
            <w:pPr>
              <w:jc w:val="right"/>
            </w:pPr>
            <w:r>
              <w:rPr>
                <w:rFonts w:eastAsiaTheme="minorEastAsia"/>
                <w:color w:val="000000" w:themeColor="text1"/>
                <w:szCs w:val="21"/>
              </w:rPr>
              <w:t>345.42%</w:t>
            </w:r>
          </w:p>
        </w:tc>
        <w:tc>
          <w:tcPr>
            <w:tcW w:w="1291" w:type="dxa"/>
            <w:vAlign w:val="center"/>
          </w:tcPr>
          <w:p w:rsidR="00321937" w:rsidRDefault="006426B9">
            <w:pPr>
              <w:jc w:val="right"/>
            </w:pPr>
            <w:r>
              <w:rPr>
                <w:rFonts w:eastAsiaTheme="minorEastAsia"/>
                <w:color w:val="000000" w:themeColor="text1"/>
                <w:szCs w:val="21"/>
              </w:rPr>
              <w:t>1.79%</w:t>
            </w:r>
          </w:p>
        </w:tc>
        <w:tc>
          <w:tcPr>
            <w:tcW w:w="1291" w:type="dxa"/>
            <w:vAlign w:val="center"/>
          </w:tcPr>
          <w:p w:rsidR="00321937" w:rsidRDefault="006426B9">
            <w:pPr>
              <w:jc w:val="right"/>
            </w:pPr>
            <w:r>
              <w:rPr>
                <w:rFonts w:eastAsiaTheme="minorEastAsia"/>
                <w:color w:val="000000" w:themeColor="text1"/>
                <w:szCs w:val="21"/>
              </w:rPr>
              <w:t>74.31%</w:t>
            </w:r>
          </w:p>
        </w:tc>
        <w:tc>
          <w:tcPr>
            <w:tcW w:w="1291" w:type="dxa"/>
            <w:vAlign w:val="center"/>
          </w:tcPr>
          <w:p w:rsidR="00321937" w:rsidRDefault="006426B9">
            <w:pPr>
              <w:jc w:val="right"/>
            </w:pPr>
            <w:r>
              <w:rPr>
                <w:rFonts w:eastAsiaTheme="minorEastAsia"/>
                <w:color w:val="000000" w:themeColor="text1"/>
                <w:szCs w:val="21"/>
              </w:rPr>
              <w:t>1.20%</w:t>
            </w:r>
          </w:p>
        </w:tc>
        <w:tc>
          <w:tcPr>
            <w:tcW w:w="1291" w:type="dxa"/>
            <w:vAlign w:val="center"/>
          </w:tcPr>
          <w:p w:rsidR="00321937" w:rsidRDefault="006426B9">
            <w:pPr>
              <w:jc w:val="right"/>
            </w:pPr>
            <w:r>
              <w:rPr>
                <w:rFonts w:eastAsiaTheme="minorEastAsia"/>
                <w:color w:val="000000" w:themeColor="text1"/>
                <w:szCs w:val="21"/>
              </w:rPr>
              <w:t>271.11%</w:t>
            </w:r>
          </w:p>
        </w:tc>
        <w:tc>
          <w:tcPr>
            <w:tcW w:w="1291" w:type="dxa"/>
            <w:vAlign w:val="center"/>
          </w:tcPr>
          <w:p w:rsidR="00321937" w:rsidRDefault="006426B9">
            <w:pPr>
              <w:jc w:val="right"/>
            </w:pPr>
            <w:r>
              <w:rPr>
                <w:rFonts w:eastAsiaTheme="minorEastAsia"/>
                <w:color w:val="000000" w:themeColor="text1"/>
                <w:szCs w:val="21"/>
              </w:rPr>
              <w:t>0.59%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摩根核心优选混合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321937">
        <w:tc>
          <w:tcPr>
            <w:tcW w:w="1290" w:type="dxa"/>
            <w:vAlign w:val="center"/>
          </w:tcPr>
          <w:p w:rsidR="00321937" w:rsidRDefault="006426B9">
            <w:pPr>
              <w:jc w:val="left"/>
            </w:pPr>
            <w:r>
              <w:rPr>
                <w:rFonts w:eastAsiaTheme="minorEastAsia"/>
                <w:color w:val="000000" w:themeColor="text1"/>
                <w:szCs w:val="21"/>
              </w:rPr>
              <w:t>过去三个月</w:t>
            </w:r>
          </w:p>
        </w:tc>
        <w:tc>
          <w:tcPr>
            <w:tcW w:w="1291" w:type="dxa"/>
            <w:vAlign w:val="center"/>
          </w:tcPr>
          <w:p w:rsidR="00321937" w:rsidRDefault="006426B9">
            <w:pPr>
              <w:jc w:val="right"/>
            </w:pPr>
            <w:r>
              <w:rPr>
                <w:rFonts w:eastAsiaTheme="minorEastAsia"/>
                <w:color w:val="000000" w:themeColor="text1"/>
                <w:szCs w:val="21"/>
              </w:rPr>
              <w:t>-5.74%</w:t>
            </w:r>
          </w:p>
        </w:tc>
        <w:tc>
          <w:tcPr>
            <w:tcW w:w="1291" w:type="dxa"/>
            <w:vAlign w:val="center"/>
          </w:tcPr>
          <w:p w:rsidR="00321937" w:rsidRDefault="006426B9">
            <w:pPr>
              <w:jc w:val="right"/>
            </w:pPr>
            <w:r>
              <w:rPr>
                <w:rFonts w:eastAsiaTheme="minorEastAsia"/>
                <w:color w:val="000000" w:themeColor="text1"/>
                <w:szCs w:val="21"/>
              </w:rPr>
              <w:t>1.03%</w:t>
            </w:r>
          </w:p>
        </w:tc>
        <w:tc>
          <w:tcPr>
            <w:tcW w:w="1291" w:type="dxa"/>
            <w:vAlign w:val="center"/>
          </w:tcPr>
          <w:p w:rsidR="00321937" w:rsidRDefault="006426B9">
            <w:pPr>
              <w:jc w:val="right"/>
            </w:pPr>
            <w:r>
              <w:rPr>
                <w:rFonts w:eastAsiaTheme="minorEastAsia"/>
                <w:color w:val="000000" w:themeColor="text1"/>
                <w:szCs w:val="21"/>
              </w:rPr>
              <w:t>-4.16%</w:t>
            </w:r>
          </w:p>
        </w:tc>
        <w:tc>
          <w:tcPr>
            <w:tcW w:w="1291" w:type="dxa"/>
            <w:vAlign w:val="center"/>
          </w:tcPr>
          <w:p w:rsidR="00321937" w:rsidRDefault="006426B9">
            <w:pPr>
              <w:jc w:val="right"/>
            </w:pPr>
            <w:r>
              <w:rPr>
                <w:rFonts w:eastAsiaTheme="minorEastAsia"/>
                <w:color w:val="000000" w:themeColor="text1"/>
                <w:szCs w:val="21"/>
              </w:rPr>
              <w:t>0.70%</w:t>
            </w:r>
          </w:p>
        </w:tc>
        <w:tc>
          <w:tcPr>
            <w:tcW w:w="1291" w:type="dxa"/>
            <w:vAlign w:val="center"/>
          </w:tcPr>
          <w:p w:rsidR="00321937" w:rsidRDefault="006426B9">
            <w:pPr>
              <w:jc w:val="right"/>
            </w:pPr>
            <w:r>
              <w:rPr>
                <w:rFonts w:eastAsiaTheme="minorEastAsia"/>
                <w:color w:val="000000" w:themeColor="text1"/>
                <w:szCs w:val="21"/>
              </w:rPr>
              <w:t>-1.58%</w:t>
            </w:r>
          </w:p>
        </w:tc>
        <w:tc>
          <w:tcPr>
            <w:tcW w:w="1291" w:type="dxa"/>
            <w:vAlign w:val="center"/>
          </w:tcPr>
          <w:p w:rsidR="00321937" w:rsidRDefault="006426B9">
            <w:pPr>
              <w:jc w:val="right"/>
            </w:pPr>
            <w:r>
              <w:rPr>
                <w:rFonts w:eastAsiaTheme="minorEastAsia"/>
                <w:color w:val="000000" w:themeColor="text1"/>
                <w:szCs w:val="21"/>
              </w:rPr>
              <w:t>0.33%</w:t>
            </w:r>
          </w:p>
        </w:tc>
      </w:tr>
      <w:tr w:rsidR="00321937">
        <w:tc>
          <w:tcPr>
            <w:tcW w:w="1290" w:type="dxa"/>
            <w:vAlign w:val="center"/>
          </w:tcPr>
          <w:p w:rsidR="00321937" w:rsidRDefault="006426B9">
            <w:pPr>
              <w:jc w:val="left"/>
            </w:pPr>
            <w:r>
              <w:rPr>
                <w:rFonts w:eastAsiaTheme="minorEastAsia"/>
                <w:color w:val="000000" w:themeColor="text1"/>
                <w:szCs w:val="21"/>
              </w:rPr>
              <w:t>过去六个月</w:t>
            </w:r>
          </w:p>
        </w:tc>
        <w:tc>
          <w:tcPr>
            <w:tcW w:w="1291" w:type="dxa"/>
            <w:vAlign w:val="center"/>
          </w:tcPr>
          <w:p w:rsidR="00321937" w:rsidRDefault="006426B9">
            <w:pPr>
              <w:jc w:val="right"/>
            </w:pPr>
            <w:r>
              <w:rPr>
                <w:rFonts w:eastAsiaTheme="minorEastAsia"/>
                <w:color w:val="000000" w:themeColor="text1"/>
                <w:szCs w:val="21"/>
              </w:rPr>
              <w:t>-3.01%</w:t>
            </w:r>
          </w:p>
        </w:tc>
        <w:tc>
          <w:tcPr>
            <w:tcW w:w="1291" w:type="dxa"/>
            <w:vAlign w:val="center"/>
          </w:tcPr>
          <w:p w:rsidR="00321937" w:rsidRDefault="006426B9">
            <w:pPr>
              <w:jc w:val="right"/>
            </w:pPr>
            <w:r>
              <w:rPr>
                <w:rFonts w:eastAsiaTheme="minorEastAsia"/>
                <w:color w:val="000000" w:themeColor="text1"/>
                <w:szCs w:val="21"/>
              </w:rPr>
              <w:t>0.97%</w:t>
            </w:r>
          </w:p>
        </w:tc>
        <w:tc>
          <w:tcPr>
            <w:tcW w:w="1291" w:type="dxa"/>
            <w:vAlign w:val="center"/>
          </w:tcPr>
          <w:p w:rsidR="00321937" w:rsidRDefault="006426B9">
            <w:pPr>
              <w:jc w:val="right"/>
            </w:pPr>
            <w:r>
              <w:rPr>
                <w:rFonts w:eastAsiaTheme="minorEastAsia"/>
                <w:color w:val="000000" w:themeColor="text1"/>
                <w:szCs w:val="21"/>
              </w:rPr>
              <w:t>-0.32%</w:t>
            </w:r>
          </w:p>
        </w:tc>
        <w:tc>
          <w:tcPr>
            <w:tcW w:w="1291" w:type="dxa"/>
            <w:vAlign w:val="center"/>
          </w:tcPr>
          <w:p w:rsidR="00321937" w:rsidRDefault="006426B9">
            <w:pPr>
              <w:jc w:val="right"/>
            </w:pPr>
            <w:r>
              <w:rPr>
                <w:rFonts w:eastAsiaTheme="minorEastAsia"/>
                <w:color w:val="000000" w:themeColor="text1"/>
                <w:szCs w:val="21"/>
              </w:rPr>
              <w:t>0.72%</w:t>
            </w:r>
          </w:p>
        </w:tc>
        <w:tc>
          <w:tcPr>
            <w:tcW w:w="1291" w:type="dxa"/>
            <w:vAlign w:val="center"/>
          </w:tcPr>
          <w:p w:rsidR="00321937" w:rsidRDefault="006426B9">
            <w:pPr>
              <w:jc w:val="right"/>
            </w:pPr>
            <w:r>
              <w:rPr>
                <w:rFonts w:eastAsiaTheme="minorEastAsia"/>
                <w:color w:val="000000" w:themeColor="text1"/>
                <w:szCs w:val="21"/>
              </w:rPr>
              <w:t>-2.69%</w:t>
            </w:r>
          </w:p>
        </w:tc>
        <w:tc>
          <w:tcPr>
            <w:tcW w:w="1291" w:type="dxa"/>
            <w:vAlign w:val="center"/>
          </w:tcPr>
          <w:p w:rsidR="00321937" w:rsidRDefault="006426B9">
            <w:pPr>
              <w:jc w:val="right"/>
            </w:pPr>
            <w:r>
              <w:rPr>
                <w:rFonts w:eastAsiaTheme="minorEastAsia"/>
                <w:color w:val="000000" w:themeColor="text1"/>
                <w:szCs w:val="21"/>
              </w:rPr>
              <w:t>0.25%</w:t>
            </w:r>
          </w:p>
        </w:tc>
      </w:tr>
      <w:tr w:rsidR="00321937">
        <w:tc>
          <w:tcPr>
            <w:tcW w:w="1290" w:type="dxa"/>
            <w:vAlign w:val="center"/>
          </w:tcPr>
          <w:p w:rsidR="00321937" w:rsidRDefault="006426B9">
            <w:pPr>
              <w:jc w:val="left"/>
            </w:pPr>
            <w:r>
              <w:rPr>
                <w:rFonts w:eastAsiaTheme="minorEastAsia"/>
                <w:color w:val="000000" w:themeColor="text1"/>
                <w:szCs w:val="21"/>
              </w:rPr>
              <w:t>过去一年</w:t>
            </w:r>
          </w:p>
        </w:tc>
        <w:tc>
          <w:tcPr>
            <w:tcW w:w="1291" w:type="dxa"/>
            <w:vAlign w:val="center"/>
          </w:tcPr>
          <w:p w:rsidR="00321937" w:rsidRDefault="006426B9">
            <w:pPr>
              <w:jc w:val="right"/>
            </w:pPr>
            <w:r>
              <w:rPr>
                <w:rFonts w:eastAsiaTheme="minorEastAsia"/>
                <w:color w:val="000000" w:themeColor="text1"/>
                <w:szCs w:val="21"/>
              </w:rPr>
              <w:t>-26.86%</w:t>
            </w:r>
          </w:p>
        </w:tc>
        <w:tc>
          <w:tcPr>
            <w:tcW w:w="1291" w:type="dxa"/>
            <w:vAlign w:val="center"/>
          </w:tcPr>
          <w:p w:rsidR="00321937" w:rsidRDefault="006426B9">
            <w:pPr>
              <w:jc w:val="right"/>
            </w:pPr>
            <w:r>
              <w:rPr>
                <w:rFonts w:eastAsiaTheme="minorEastAsia"/>
                <w:color w:val="000000" w:themeColor="text1"/>
                <w:szCs w:val="21"/>
              </w:rPr>
              <w:t>1.14%</w:t>
            </w:r>
          </w:p>
        </w:tc>
        <w:tc>
          <w:tcPr>
            <w:tcW w:w="1291" w:type="dxa"/>
            <w:vAlign w:val="center"/>
          </w:tcPr>
          <w:p w:rsidR="00321937" w:rsidRDefault="006426B9">
            <w:pPr>
              <w:jc w:val="right"/>
            </w:pPr>
            <w:r>
              <w:rPr>
                <w:rFonts w:eastAsiaTheme="minorEastAsia"/>
                <w:color w:val="000000" w:themeColor="text1"/>
                <w:szCs w:val="21"/>
              </w:rPr>
              <w:t>-11.62%</w:t>
            </w:r>
          </w:p>
        </w:tc>
        <w:tc>
          <w:tcPr>
            <w:tcW w:w="1291" w:type="dxa"/>
            <w:vAlign w:val="center"/>
          </w:tcPr>
          <w:p w:rsidR="00321937" w:rsidRDefault="006426B9">
            <w:pPr>
              <w:jc w:val="right"/>
            </w:pPr>
            <w:r>
              <w:rPr>
                <w:rFonts w:eastAsiaTheme="minorEastAsia"/>
                <w:color w:val="000000" w:themeColor="text1"/>
                <w:szCs w:val="21"/>
              </w:rPr>
              <w:t>0.84%</w:t>
            </w:r>
          </w:p>
        </w:tc>
        <w:tc>
          <w:tcPr>
            <w:tcW w:w="1291" w:type="dxa"/>
            <w:vAlign w:val="center"/>
          </w:tcPr>
          <w:p w:rsidR="00321937" w:rsidRDefault="006426B9">
            <w:pPr>
              <w:jc w:val="right"/>
            </w:pPr>
            <w:r>
              <w:rPr>
                <w:rFonts w:eastAsiaTheme="minorEastAsia"/>
                <w:color w:val="000000" w:themeColor="text1"/>
                <w:szCs w:val="21"/>
              </w:rPr>
              <w:t>-15.24%</w:t>
            </w:r>
          </w:p>
        </w:tc>
        <w:tc>
          <w:tcPr>
            <w:tcW w:w="1291" w:type="dxa"/>
            <w:vAlign w:val="center"/>
          </w:tcPr>
          <w:p w:rsidR="00321937" w:rsidRDefault="006426B9">
            <w:pPr>
              <w:jc w:val="right"/>
            </w:pPr>
            <w:r>
              <w:rPr>
                <w:rFonts w:eastAsiaTheme="minorEastAsia"/>
                <w:color w:val="000000" w:themeColor="text1"/>
                <w:szCs w:val="21"/>
              </w:rPr>
              <w:t>0.30%</w:t>
            </w:r>
          </w:p>
        </w:tc>
      </w:tr>
      <w:tr w:rsidR="00321937">
        <w:tc>
          <w:tcPr>
            <w:tcW w:w="1290" w:type="dxa"/>
            <w:vAlign w:val="center"/>
          </w:tcPr>
          <w:p w:rsidR="00321937" w:rsidRDefault="006426B9">
            <w:pPr>
              <w:jc w:val="left"/>
            </w:pPr>
            <w:r>
              <w:rPr>
                <w:rFonts w:eastAsiaTheme="minorEastAsia"/>
                <w:color w:val="000000" w:themeColor="text1"/>
                <w:szCs w:val="21"/>
              </w:rPr>
              <w:t>过去三年</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r>
      <w:tr w:rsidR="00321937">
        <w:tc>
          <w:tcPr>
            <w:tcW w:w="1290" w:type="dxa"/>
            <w:vAlign w:val="center"/>
          </w:tcPr>
          <w:p w:rsidR="00321937" w:rsidRDefault="006426B9">
            <w:pPr>
              <w:jc w:val="left"/>
            </w:pPr>
            <w:r>
              <w:rPr>
                <w:rFonts w:eastAsiaTheme="minorEastAsia"/>
                <w:color w:val="000000" w:themeColor="text1"/>
                <w:szCs w:val="21"/>
              </w:rPr>
              <w:t>过去五年</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c>
          <w:tcPr>
            <w:tcW w:w="1291" w:type="dxa"/>
            <w:vAlign w:val="center"/>
          </w:tcPr>
          <w:p w:rsidR="00321937" w:rsidRDefault="006426B9">
            <w:pPr>
              <w:jc w:val="right"/>
            </w:pPr>
            <w:r>
              <w:rPr>
                <w:rFonts w:eastAsiaTheme="minorEastAsia"/>
                <w:color w:val="000000" w:themeColor="text1"/>
                <w:szCs w:val="21"/>
              </w:rPr>
              <w:t>-</w:t>
            </w:r>
          </w:p>
        </w:tc>
      </w:tr>
      <w:tr w:rsidR="00321937">
        <w:tc>
          <w:tcPr>
            <w:tcW w:w="1290" w:type="dxa"/>
            <w:vAlign w:val="center"/>
          </w:tcPr>
          <w:p w:rsidR="00321937" w:rsidRDefault="006426B9">
            <w:pPr>
              <w:jc w:val="left"/>
            </w:pPr>
            <w:r>
              <w:rPr>
                <w:rFonts w:eastAsiaTheme="minorEastAsia"/>
                <w:color w:val="000000" w:themeColor="text1"/>
                <w:szCs w:val="21"/>
              </w:rPr>
              <w:t>自基金合同生效起至今</w:t>
            </w:r>
          </w:p>
        </w:tc>
        <w:tc>
          <w:tcPr>
            <w:tcW w:w="1291" w:type="dxa"/>
            <w:vAlign w:val="center"/>
          </w:tcPr>
          <w:p w:rsidR="00321937" w:rsidRDefault="006426B9">
            <w:pPr>
              <w:jc w:val="right"/>
            </w:pPr>
            <w:r>
              <w:rPr>
                <w:rFonts w:eastAsiaTheme="minorEastAsia"/>
                <w:color w:val="000000" w:themeColor="text1"/>
                <w:szCs w:val="21"/>
              </w:rPr>
              <w:t>-26.13%</w:t>
            </w:r>
          </w:p>
        </w:tc>
        <w:tc>
          <w:tcPr>
            <w:tcW w:w="1291" w:type="dxa"/>
            <w:vAlign w:val="center"/>
          </w:tcPr>
          <w:p w:rsidR="00321937" w:rsidRDefault="006426B9">
            <w:pPr>
              <w:jc w:val="right"/>
            </w:pPr>
            <w:r>
              <w:rPr>
                <w:rFonts w:eastAsiaTheme="minorEastAsia"/>
                <w:color w:val="000000" w:themeColor="text1"/>
                <w:szCs w:val="21"/>
              </w:rPr>
              <w:t>1.32%</w:t>
            </w:r>
          </w:p>
        </w:tc>
        <w:tc>
          <w:tcPr>
            <w:tcW w:w="1291" w:type="dxa"/>
            <w:vAlign w:val="center"/>
          </w:tcPr>
          <w:p w:rsidR="00321937" w:rsidRDefault="006426B9">
            <w:pPr>
              <w:jc w:val="right"/>
            </w:pPr>
            <w:r>
              <w:rPr>
                <w:rFonts w:eastAsiaTheme="minorEastAsia"/>
                <w:color w:val="000000" w:themeColor="text1"/>
                <w:szCs w:val="21"/>
              </w:rPr>
              <w:t>-13.84%</w:t>
            </w:r>
          </w:p>
        </w:tc>
        <w:tc>
          <w:tcPr>
            <w:tcW w:w="1291" w:type="dxa"/>
            <w:vAlign w:val="center"/>
          </w:tcPr>
          <w:p w:rsidR="00321937" w:rsidRDefault="006426B9">
            <w:pPr>
              <w:jc w:val="right"/>
            </w:pPr>
            <w:r>
              <w:rPr>
                <w:rFonts w:eastAsiaTheme="minorEastAsia"/>
                <w:color w:val="000000" w:themeColor="text1"/>
                <w:szCs w:val="21"/>
              </w:rPr>
              <w:t>0.99%</w:t>
            </w:r>
          </w:p>
        </w:tc>
        <w:tc>
          <w:tcPr>
            <w:tcW w:w="1291" w:type="dxa"/>
            <w:vAlign w:val="center"/>
          </w:tcPr>
          <w:p w:rsidR="00321937" w:rsidRDefault="006426B9">
            <w:pPr>
              <w:jc w:val="right"/>
            </w:pPr>
            <w:r>
              <w:rPr>
                <w:rFonts w:eastAsiaTheme="minorEastAsia"/>
                <w:color w:val="000000" w:themeColor="text1"/>
                <w:szCs w:val="21"/>
              </w:rPr>
              <w:t>-12.29%</w:t>
            </w:r>
          </w:p>
        </w:tc>
        <w:tc>
          <w:tcPr>
            <w:tcW w:w="1291" w:type="dxa"/>
            <w:vAlign w:val="center"/>
          </w:tcPr>
          <w:p w:rsidR="00321937" w:rsidRDefault="006426B9">
            <w:pPr>
              <w:jc w:val="right"/>
            </w:pPr>
            <w:r>
              <w:rPr>
                <w:rFonts w:eastAsiaTheme="minorEastAsia"/>
                <w:color w:val="000000" w:themeColor="text1"/>
                <w:szCs w:val="21"/>
              </w:rPr>
              <w:t>0.33%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321937">
        <w:tc>
          <w:tcPr>
            <w:tcW w:w="952" w:type="dxa"/>
            <w:vAlign w:val="center"/>
          </w:tcPr>
          <w:p w:rsidR="00321937" w:rsidRDefault="006426B9">
            <w:pPr>
              <w:jc w:val="center"/>
            </w:pPr>
            <w:r>
              <w:rPr>
                <w:rFonts w:eastAsiaTheme="minorEastAsia"/>
                <w:color w:val="000000" w:themeColor="text1"/>
                <w:szCs w:val="21"/>
              </w:rPr>
              <w:t>倪权生</w:t>
            </w:r>
          </w:p>
        </w:tc>
        <w:tc>
          <w:tcPr>
            <w:tcW w:w="930" w:type="dxa"/>
            <w:vAlign w:val="center"/>
          </w:tcPr>
          <w:p w:rsidR="00321937" w:rsidRDefault="006426B9">
            <w:pPr>
              <w:jc w:val="center"/>
            </w:pPr>
            <w:r>
              <w:rPr>
                <w:rFonts w:eastAsiaTheme="minorEastAsia"/>
                <w:color w:val="000000" w:themeColor="text1"/>
                <w:szCs w:val="21"/>
              </w:rPr>
              <w:t>本基金基金经理</w:t>
            </w:r>
          </w:p>
        </w:tc>
        <w:tc>
          <w:tcPr>
            <w:tcW w:w="1210" w:type="dxa"/>
            <w:vAlign w:val="center"/>
          </w:tcPr>
          <w:p w:rsidR="00321937" w:rsidRDefault="006426B9">
            <w:pPr>
              <w:jc w:val="center"/>
            </w:pPr>
            <w:r>
              <w:rPr>
                <w:rFonts w:eastAsiaTheme="minorEastAsia"/>
                <w:color w:val="000000" w:themeColor="text1"/>
                <w:szCs w:val="21"/>
              </w:rPr>
              <w:t>2022-08-18</w:t>
            </w:r>
          </w:p>
        </w:tc>
        <w:tc>
          <w:tcPr>
            <w:tcW w:w="1309" w:type="dxa"/>
            <w:vAlign w:val="center"/>
          </w:tcPr>
          <w:p w:rsidR="00321937" w:rsidRDefault="006426B9">
            <w:pPr>
              <w:jc w:val="center"/>
            </w:pPr>
            <w:r>
              <w:rPr>
                <w:rFonts w:eastAsiaTheme="minorEastAsia"/>
                <w:color w:val="000000" w:themeColor="text1"/>
                <w:szCs w:val="21"/>
              </w:rPr>
              <w:t>-</w:t>
            </w:r>
          </w:p>
        </w:tc>
        <w:tc>
          <w:tcPr>
            <w:tcW w:w="1254" w:type="dxa"/>
            <w:vAlign w:val="center"/>
          </w:tcPr>
          <w:p w:rsidR="00321937" w:rsidRDefault="006426B9">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321937" w:rsidRDefault="006426B9">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321937" w:rsidRDefault="006426B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lastRenderedPageBreak/>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p w:rsidR="00321937" w:rsidRDefault="006426B9">
      <w:pPr>
        <w:spacing w:line="360" w:lineRule="auto"/>
        <w:ind w:firstLineChars="200" w:firstLine="420"/>
        <w:rPr>
          <w:rFonts w:eastAsiaTheme="minorEastAsia"/>
          <w:color w:val="000000"/>
          <w:szCs w:val="21"/>
        </w:rPr>
      </w:pPr>
      <w:r>
        <w:rPr>
          <w:color w:val="000000"/>
          <w:szCs w:val="21"/>
        </w:rPr>
        <w:t>本产品基金经理倪权生报告期末已离任私募资产管理计划投资经理。报告期内离任产品情况如下：</w:t>
      </w:r>
    </w:p>
    <w:p w:rsidR="00321937" w:rsidRDefault="006426B9">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rsidR="00321937" w:rsidRDefault="006426B9">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2023</w:t>
      </w:r>
      <w:r w:rsidRPr="00B27A29">
        <w:rPr>
          <w:color w:val="000000"/>
          <w:szCs w:val="21"/>
        </w:rPr>
        <w:t>年</w:t>
      </w:r>
      <w:r w:rsidRPr="00B27A29">
        <w:rPr>
          <w:color w:val="000000"/>
          <w:szCs w:val="21"/>
        </w:rPr>
        <w:t>4</w:t>
      </w:r>
      <w:r w:rsidRPr="00B27A29">
        <w:rPr>
          <w:color w:val="000000"/>
          <w:szCs w:val="21"/>
        </w:rPr>
        <w:t>月</w:t>
      </w:r>
      <w:r w:rsidRPr="00B27A29">
        <w:rPr>
          <w:color w:val="000000"/>
          <w:szCs w:val="21"/>
        </w:rPr>
        <w:t>18</w:t>
      </w:r>
      <w:r w:rsidRPr="00B27A29">
        <w:rPr>
          <w:color w:val="000000"/>
          <w:szCs w:val="21"/>
        </w:rPr>
        <w:t>日</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经济活动和居民生活逐步恢复常态化，尽管面临着内外部的需求压力，二季度经济复苏强度弱于此前预期，但仍呈现出一定韧性。从结构来看，工业企业盈利承受一定压力，工业需求相对偏弱，但整体仍处于弱复苏阶段，开工率保持适度合理水平。消费端，居民出行呈现持续改善的趋势，五一和端午假期出行人数均有较好恢复，但其他消费品类整体表现一般。尽管由于较高基数的原因，以及对海外加息导致需求衰退的担忧，出口仍然表现出一定韧性，特别是中游制造业表现出较强竞争力。科技方面，今年以来的人工智能在技术上的进步对全球经济和科技领域正在产生</w:t>
      </w:r>
      <w:r>
        <w:rPr>
          <w:rFonts w:eastAsiaTheme="minorEastAsia"/>
          <w:color w:val="000000" w:themeColor="text1"/>
          <w:szCs w:val="21"/>
        </w:rPr>
        <w:t>深远影响，人工智能在各领域的应用正在被快速开发，其对算力、应用等产业链的影响正在加速推进。</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从市场表现来看，由于市场对经济增速的预期有所下修，叠加海外加息背景下对流动性收缩的担忧，</w:t>
      </w:r>
      <w:r>
        <w:rPr>
          <w:rFonts w:eastAsiaTheme="minorEastAsia"/>
          <w:color w:val="000000" w:themeColor="text1"/>
          <w:szCs w:val="21"/>
        </w:rPr>
        <w:t>A</w:t>
      </w:r>
      <w:r>
        <w:rPr>
          <w:rFonts w:eastAsiaTheme="minorEastAsia"/>
          <w:color w:val="000000" w:themeColor="text1"/>
          <w:szCs w:val="21"/>
        </w:rPr>
        <w:t>股和港股市场整体表现偏弱，但不乏结构性亮点。人工智能触发的对算力、大模型、人工智能（</w:t>
      </w:r>
      <w:r>
        <w:rPr>
          <w:rFonts w:eastAsiaTheme="minorEastAsia"/>
          <w:color w:val="000000" w:themeColor="text1"/>
          <w:szCs w:val="21"/>
        </w:rPr>
        <w:t>AI</w:t>
      </w:r>
      <w:r>
        <w:rPr>
          <w:rFonts w:eastAsiaTheme="minorEastAsia"/>
          <w:color w:val="000000" w:themeColor="text1"/>
          <w:szCs w:val="21"/>
        </w:rPr>
        <w:t>）应用的需求爆发，推动通信、计算机、电子、传媒等领域相关个股的股价上涨。而和传统宏观经济相关性较强的周期、传统制造和消费则表现相对偏弱。组合操作层面，二季度主要布局于与宏观相关性偏低的板块，重点在算力、数字经济、医药、光伏等需求向好的板块布局</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当前市场关注度较高的人工智能、机器人等产业链未来会持续兑现基本面，在估值提升后，盈利将会逐步兑现，仍存在超预期的空间。而另一方面，当前市场关注度主要集中于人工智能、机器人、自动驾驶等科技领域，对于传统的制造、消费关注度较低。从经济周期角度看，我们认为当前正处于筑底阶段，且市场表现已经反映较弱的预期，从高频数据跟踪来看，经济增速环比改善的拐点或已临近，我们也会加大对顺周期产业的关注，特别是同时又受益于出口竞争力提升的中游制造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本报告期摩根核心优选</w:t>
      </w:r>
      <w:r>
        <w:rPr>
          <w:rFonts w:eastAsiaTheme="minorEastAsia"/>
          <w:color w:val="000000" w:themeColor="text1"/>
          <w:szCs w:val="21"/>
        </w:rPr>
        <w:t>A</w:t>
      </w:r>
      <w:r>
        <w:rPr>
          <w:rFonts w:eastAsiaTheme="minorEastAsia"/>
          <w:color w:val="000000" w:themeColor="text1"/>
          <w:szCs w:val="21"/>
        </w:rPr>
        <w:t>份</w:t>
      </w:r>
      <w:r>
        <w:rPr>
          <w:rFonts w:eastAsiaTheme="minorEastAsia"/>
          <w:color w:val="000000" w:themeColor="text1"/>
          <w:szCs w:val="21"/>
        </w:rPr>
        <w:t>额净值增长率为</w:t>
      </w:r>
      <w:r>
        <w:rPr>
          <w:rFonts w:eastAsiaTheme="minorEastAsia"/>
          <w:color w:val="000000" w:themeColor="text1"/>
          <w:szCs w:val="21"/>
        </w:rPr>
        <w:t>:-5.60%</w:t>
      </w:r>
      <w:r>
        <w:rPr>
          <w:rFonts w:eastAsiaTheme="minorEastAsia"/>
          <w:color w:val="000000" w:themeColor="text1"/>
          <w:szCs w:val="21"/>
        </w:rPr>
        <w:t>，同期业绩比较基准收益率为</w:t>
      </w:r>
      <w:r>
        <w:rPr>
          <w:rFonts w:eastAsiaTheme="minorEastAsia"/>
          <w:color w:val="000000" w:themeColor="text1"/>
          <w:szCs w:val="21"/>
        </w:rPr>
        <w:t>:-4.16%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:-5.74%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:-4.16%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552,624,678.62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81.25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552,624,678.62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81.25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127,126,263.81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382,329.79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680,133,272.22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28,349,067.60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410,225,888.44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36,429,226.00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68,137,484.58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9,483,012.00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552,624,678.62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81.63</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321937">
        <w:tc>
          <w:tcPr>
            <w:tcW w:w="817" w:type="dxa"/>
            <w:vAlign w:val="center"/>
          </w:tcPr>
          <w:p w:rsidR="00321937" w:rsidRDefault="006426B9">
            <w:pPr>
              <w:jc w:val="center"/>
            </w:pPr>
            <w:r>
              <w:rPr>
                <w:rFonts w:eastAsiaTheme="minorEastAsia"/>
                <w:kern w:val="0"/>
                <w:szCs w:val="21"/>
              </w:rPr>
              <w:t>1</w:t>
            </w:r>
          </w:p>
        </w:tc>
        <w:tc>
          <w:tcPr>
            <w:tcW w:w="1276" w:type="dxa"/>
            <w:vAlign w:val="center"/>
          </w:tcPr>
          <w:p w:rsidR="00321937" w:rsidRDefault="006426B9">
            <w:pPr>
              <w:jc w:val="center"/>
            </w:pPr>
            <w:r>
              <w:rPr>
                <w:rFonts w:eastAsiaTheme="minorEastAsia"/>
                <w:kern w:val="0"/>
                <w:szCs w:val="21"/>
              </w:rPr>
              <w:t>002236</w:t>
            </w:r>
          </w:p>
        </w:tc>
        <w:tc>
          <w:tcPr>
            <w:tcW w:w="1701" w:type="dxa"/>
            <w:vAlign w:val="center"/>
          </w:tcPr>
          <w:p w:rsidR="00321937" w:rsidRDefault="006426B9">
            <w:pPr>
              <w:jc w:val="center"/>
            </w:pPr>
            <w:r>
              <w:rPr>
                <w:rFonts w:eastAsiaTheme="minorEastAsia"/>
                <w:kern w:val="0"/>
                <w:szCs w:val="21"/>
              </w:rPr>
              <w:t>大华股份</w:t>
            </w:r>
          </w:p>
        </w:tc>
        <w:tc>
          <w:tcPr>
            <w:tcW w:w="1276" w:type="dxa"/>
            <w:vAlign w:val="center"/>
          </w:tcPr>
          <w:p w:rsidR="00321937" w:rsidRDefault="006426B9">
            <w:pPr>
              <w:jc w:val="right"/>
            </w:pPr>
            <w:r>
              <w:rPr>
                <w:rFonts w:eastAsiaTheme="minorEastAsia"/>
                <w:kern w:val="0"/>
                <w:szCs w:val="21"/>
              </w:rPr>
              <w:t>1,595,900</w:t>
            </w:r>
          </w:p>
        </w:tc>
        <w:tc>
          <w:tcPr>
            <w:tcW w:w="1842" w:type="dxa"/>
            <w:vAlign w:val="center"/>
          </w:tcPr>
          <w:p w:rsidR="00321937" w:rsidRDefault="006426B9">
            <w:pPr>
              <w:jc w:val="right"/>
            </w:pPr>
            <w:r>
              <w:rPr>
                <w:rFonts w:eastAsiaTheme="minorEastAsia"/>
                <w:kern w:val="0"/>
                <w:szCs w:val="21"/>
              </w:rPr>
              <w:t>31,519,025.00</w:t>
            </w:r>
          </w:p>
        </w:tc>
        <w:tc>
          <w:tcPr>
            <w:tcW w:w="1616" w:type="dxa"/>
            <w:vAlign w:val="center"/>
          </w:tcPr>
          <w:p w:rsidR="00321937" w:rsidRDefault="006426B9">
            <w:pPr>
              <w:jc w:val="right"/>
            </w:pPr>
            <w:r>
              <w:rPr>
                <w:rFonts w:eastAsiaTheme="minorEastAsia"/>
                <w:kern w:val="0"/>
                <w:szCs w:val="21"/>
              </w:rPr>
              <w:t>4.66</w:t>
            </w:r>
          </w:p>
        </w:tc>
      </w:tr>
      <w:tr w:rsidR="00321937">
        <w:tc>
          <w:tcPr>
            <w:tcW w:w="817" w:type="dxa"/>
            <w:vAlign w:val="center"/>
          </w:tcPr>
          <w:p w:rsidR="00321937" w:rsidRDefault="006426B9">
            <w:pPr>
              <w:jc w:val="center"/>
            </w:pPr>
            <w:r>
              <w:rPr>
                <w:rFonts w:eastAsiaTheme="minorEastAsia"/>
                <w:kern w:val="0"/>
                <w:szCs w:val="21"/>
              </w:rPr>
              <w:t>2</w:t>
            </w:r>
          </w:p>
        </w:tc>
        <w:tc>
          <w:tcPr>
            <w:tcW w:w="1276" w:type="dxa"/>
            <w:vAlign w:val="center"/>
          </w:tcPr>
          <w:p w:rsidR="00321937" w:rsidRDefault="006426B9">
            <w:pPr>
              <w:jc w:val="center"/>
            </w:pPr>
            <w:r>
              <w:rPr>
                <w:rFonts w:eastAsiaTheme="minorEastAsia"/>
                <w:kern w:val="0"/>
                <w:szCs w:val="21"/>
              </w:rPr>
              <w:t>600079</w:t>
            </w:r>
          </w:p>
        </w:tc>
        <w:tc>
          <w:tcPr>
            <w:tcW w:w="1701" w:type="dxa"/>
            <w:vAlign w:val="center"/>
          </w:tcPr>
          <w:p w:rsidR="00321937" w:rsidRDefault="006426B9">
            <w:pPr>
              <w:jc w:val="center"/>
            </w:pPr>
            <w:r>
              <w:rPr>
                <w:rFonts w:eastAsiaTheme="minorEastAsia"/>
                <w:kern w:val="0"/>
                <w:szCs w:val="21"/>
              </w:rPr>
              <w:t>人福医药</w:t>
            </w:r>
          </w:p>
        </w:tc>
        <w:tc>
          <w:tcPr>
            <w:tcW w:w="1276" w:type="dxa"/>
            <w:vAlign w:val="center"/>
          </w:tcPr>
          <w:p w:rsidR="00321937" w:rsidRDefault="006426B9">
            <w:pPr>
              <w:jc w:val="right"/>
            </w:pPr>
            <w:r>
              <w:rPr>
                <w:rFonts w:eastAsiaTheme="minorEastAsia"/>
                <w:kern w:val="0"/>
                <w:szCs w:val="21"/>
              </w:rPr>
              <w:t>953,679</w:t>
            </w:r>
          </w:p>
        </w:tc>
        <w:tc>
          <w:tcPr>
            <w:tcW w:w="1842" w:type="dxa"/>
            <w:vAlign w:val="center"/>
          </w:tcPr>
          <w:p w:rsidR="00321937" w:rsidRDefault="006426B9">
            <w:pPr>
              <w:jc w:val="right"/>
            </w:pPr>
            <w:r>
              <w:rPr>
                <w:rFonts w:eastAsiaTheme="minorEastAsia"/>
                <w:kern w:val="0"/>
                <w:szCs w:val="21"/>
              </w:rPr>
              <w:t>25,692,112.26</w:t>
            </w:r>
          </w:p>
        </w:tc>
        <w:tc>
          <w:tcPr>
            <w:tcW w:w="1616" w:type="dxa"/>
            <w:vAlign w:val="center"/>
          </w:tcPr>
          <w:p w:rsidR="00321937" w:rsidRDefault="006426B9">
            <w:pPr>
              <w:jc w:val="right"/>
            </w:pPr>
            <w:r>
              <w:rPr>
                <w:rFonts w:eastAsiaTheme="minorEastAsia"/>
                <w:kern w:val="0"/>
                <w:szCs w:val="21"/>
              </w:rPr>
              <w:t>3.80</w:t>
            </w:r>
          </w:p>
        </w:tc>
      </w:tr>
      <w:tr w:rsidR="00321937">
        <w:tc>
          <w:tcPr>
            <w:tcW w:w="817" w:type="dxa"/>
            <w:vAlign w:val="center"/>
          </w:tcPr>
          <w:p w:rsidR="00321937" w:rsidRDefault="006426B9">
            <w:pPr>
              <w:jc w:val="center"/>
            </w:pPr>
            <w:r>
              <w:rPr>
                <w:rFonts w:eastAsiaTheme="minorEastAsia"/>
                <w:kern w:val="0"/>
                <w:szCs w:val="21"/>
              </w:rPr>
              <w:t>3</w:t>
            </w:r>
          </w:p>
        </w:tc>
        <w:tc>
          <w:tcPr>
            <w:tcW w:w="1276" w:type="dxa"/>
            <w:vAlign w:val="center"/>
          </w:tcPr>
          <w:p w:rsidR="00321937" w:rsidRDefault="006426B9">
            <w:pPr>
              <w:jc w:val="center"/>
            </w:pPr>
            <w:r>
              <w:rPr>
                <w:rFonts w:eastAsiaTheme="minorEastAsia"/>
                <w:kern w:val="0"/>
                <w:szCs w:val="21"/>
              </w:rPr>
              <w:t>300502</w:t>
            </w:r>
          </w:p>
        </w:tc>
        <w:tc>
          <w:tcPr>
            <w:tcW w:w="1701" w:type="dxa"/>
            <w:vAlign w:val="center"/>
          </w:tcPr>
          <w:p w:rsidR="00321937" w:rsidRDefault="006426B9">
            <w:pPr>
              <w:jc w:val="center"/>
            </w:pPr>
            <w:r>
              <w:rPr>
                <w:rFonts w:eastAsiaTheme="minorEastAsia"/>
                <w:kern w:val="0"/>
                <w:szCs w:val="21"/>
              </w:rPr>
              <w:t>新易盛</w:t>
            </w:r>
          </w:p>
        </w:tc>
        <w:tc>
          <w:tcPr>
            <w:tcW w:w="1276" w:type="dxa"/>
            <w:vAlign w:val="center"/>
          </w:tcPr>
          <w:p w:rsidR="00321937" w:rsidRDefault="006426B9">
            <w:pPr>
              <w:jc w:val="right"/>
            </w:pPr>
            <w:r>
              <w:rPr>
                <w:rFonts w:eastAsiaTheme="minorEastAsia"/>
                <w:kern w:val="0"/>
                <w:szCs w:val="21"/>
              </w:rPr>
              <w:t>333,749</w:t>
            </w:r>
          </w:p>
        </w:tc>
        <w:tc>
          <w:tcPr>
            <w:tcW w:w="1842" w:type="dxa"/>
            <w:vAlign w:val="center"/>
          </w:tcPr>
          <w:p w:rsidR="00321937" w:rsidRDefault="006426B9">
            <w:pPr>
              <w:jc w:val="right"/>
            </w:pPr>
            <w:r>
              <w:rPr>
                <w:rFonts w:eastAsiaTheme="minorEastAsia"/>
                <w:kern w:val="0"/>
                <w:szCs w:val="21"/>
              </w:rPr>
              <w:t>22,684,919.53</w:t>
            </w:r>
          </w:p>
        </w:tc>
        <w:tc>
          <w:tcPr>
            <w:tcW w:w="1616" w:type="dxa"/>
            <w:vAlign w:val="center"/>
          </w:tcPr>
          <w:p w:rsidR="00321937" w:rsidRDefault="006426B9">
            <w:pPr>
              <w:jc w:val="right"/>
            </w:pPr>
            <w:r>
              <w:rPr>
                <w:rFonts w:eastAsiaTheme="minorEastAsia"/>
                <w:kern w:val="0"/>
                <w:szCs w:val="21"/>
              </w:rPr>
              <w:t>3.35</w:t>
            </w:r>
          </w:p>
        </w:tc>
      </w:tr>
      <w:tr w:rsidR="00321937">
        <w:tc>
          <w:tcPr>
            <w:tcW w:w="817" w:type="dxa"/>
            <w:vAlign w:val="center"/>
          </w:tcPr>
          <w:p w:rsidR="00321937" w:rsidRDefault="006426B9">
            <w:pPr>
              <w:jc w:val="center"/>
            </w:pPr>
            <w:r>
              <w:rPr>
                <w:rFonts w:eastAsiaTheme="minorEastAsia"/>
                <w:kern w:val="0"/>
                <w:szCs w:val="21"/>
              </w:rPr>
              <w:t>4</w:t>
            </w:r>
          </w:p>
        </w:tc>
        <w:tc>
          <w:tcPr>
            <w:tcW w:w="1276" w:type="dxa"/>
            <w:vAlign w:val="center"/>
          </w:tcPr>
          <w:p w:rsidR="00321937" w:rsidRDefault="006426B9">
            <w:pPr>
              <w:jc w:val="center"/>
            </w:pPr>
            <w:r>
              <w:rPr>
                <w:rFonts w:eastAsiaTheme="minorEastAsia"/>
                <w:kern w:val="0"/>
                <w:szCs w:val="21"/>
              </w:rPr>
              <w:t>002459</w:t>
            </w:r>
          </w:p>
        </w:tc>
        <w:tc>
          <w:tcPr>
            <w:tcW w:w="1701" w:type="dxa"/>
            <w:vAlign w:val="center"/>
          </w:tcPr>
          <w:p w:rsidR="00321937" w:rsidRDefault="006426B9">
            <w:pPr>
              <w:jc w:val="center"/>
            </w:pPr>
            <w:r>
              <w:rPr>
                <w:rFonts w:eastAsiaTheme="minorEastAsia"/>
                <w:kern w:val="0"/>
                <w:szCs w:val="21"/>
              </w:rPr>
              <w:t>晶澳科技</w:t>
            </w:r>
          </w:p>
        </w:tc>
        <w:tc>
          <w:tcPr>
            <w:tcW w:w="1276" w:type="dxa"/>
            <w:vAlign w:val="center"/>
          </w:tcPr>
          <w:p w:rsidR="00321937" w:rsidRDefault="006426B9">
            <w:pPr>
              <w:jc w:val="right"/>
            </w:pPr>
            <w:r>
              <w:rPr>
                <w:rFonts w:eastAsiaTheme="minorEastAsia"/>
                <w:kern w:val="0"/>
                <w:szCs w:val="21"/>
              </w:rPr>
              <w:t>501,590</w:t>
            </w:r>
          </w:p>
        </w:tc>
        <w:tc>
          <w:tcPr>
            <w:tcW w:w="1842" w:type="dxa"/>
            <w:vAlign w:val="center"/>
          </w:tcPr>
          <w:p w:rsidR="00321937" w:rsidRDefault="006426B9">
            <w:pPr>
              <w:jc w:val="right"/>
            </w:pPr>
            <w:r>
              <w:rPr>
                <w:rFonts w:eastAsiaTheme="minorEastAsia"/>
                <w:kern w:val="0"/>
                <w:szCs w:val="21"/>
              </w:rPr>
              <w:t>20,916,303.00</w:t>
            </w:r>
          </w:p>
        </w:tc>
        <w:tc>
          <w:tcPr>
            <w:tcW w:w="1616" w:type="dxa"/>
            <w:vAlign w:val="center"/>
          </w:tcPr>
          <w:p w:rsidR="00321937" w:rsidRDefault="006426B9">
            <w:pPr>
              <w:jc w:val="right"/>
            </w:pPr>
            <w:r>
              <w:rPr>
                <w:rFonts w:eastAsiaTheme="minorEastAsia"/>
                <w:kern w:val="0"/>
                <w:szCs w:val="21"/>
              </w:rPr>
              <w:t>3.09</w:t>
            </w:r>
          </w:p>
        </w:tc>
      </w:tr>
      <w:tr w:rsidR="00321937">
        <w:tc>
          <w:tcPr>
            <w:tcW w:w="817" w:type="dxa"/>
            <w:vAlign w:val="center"/>
          </w:tcPr>
          <w:p w:rsidR="00321937" w:rsidRDefault="006426B9">
            <w:pPr>
              <w:jc w:val="center"/>
            </w:pPr>
            <w:r>
              <w:rPr>
                <w:rFonts w:eastAsiaTheme="minorEastAsia"/>
                <w:kern w:val="0"/>
                <w:szCs w:val="21"/>
              </w:rPr>
              <w:t>5</w:t>
            </w:r>
          </w:p>
        </w:tc>
        <w:tc>
          <w:tcPr>
            <w:tcW w:w="1276" w:type="dxa"/>
            <w:vAlign w:val="center"/>
          </w:tcPr>
          <w:p w:rsidR="00321937" w:rsidRDefault="006426B9">
            <w:pPr>
              <w:jc w:val="center"/>
            </w:pPr>
            <w:r>
              <w:rPr>
                <w:rFonts w:eastAsiaTheme="minorEastAsia"/>
                <w:kern w:val="0"/>
                <w:szCs w:val="21"/>
              </w:rPr>
              <w:t>688100</w:t>
            </w:r>
          </w:p>
        </w:tc>
        <w:tc>
          <w:tcPr>
            <w:tcW w:w="1701" w:type="dxa"/>
            <w:vAlign w:val="center"/>
          </w:tcPr>
          <w:p w:rsidR="00321937" w:rsidRDefault="006426B9">
            <w:pPr>
              <w:jc w:val="center"/>
            </w:pPr>
            <w:r>
              <w:rPr>
                <w:rFonts w:eastAsiaTheme="minorEastAsia"/>
                <w:kern w:val="0"/>
                <w:szCs w:val="21"/>
              </w:rPr>
              <w:t>威胜信息</w:t>
            </w:r>
          </w:p>
        </w:tc>
        <w:tc>
          <w:tcPr>
            <w:tcW w:w="1276" w:type="dxa"/>
            <w:vAlign w:val="center"/>
          </w:tcPr>
          <w:p w:rsidR="00321937" w:rsidRDefault="006426B9">
            <w:pPr>
              <w:jc w:val="right"/>
            </w:pPr>
            <w:r>
              <w:rPr>
                <w:rFonts w:eastAsiaTheme="minorEastAsia"/>
                <w:kern w:val="0"/>
                <w:szCs w:val="21"/>
              </w:rPr>
              <w:t>697,674</w:t>
            </w:r>
          </w:p>
        </w:tc>
        <w:tc>
          <w:tcPr>
            <w:tcW w:w="1842" w:type="dxa"/>
            <w:vAlign w:val="center"/>
          </w:tcPr>
          <w:p w:rsidR="00321937" w:rsidRDefault="006426B9">
            <w:pPr>
              <w:jc w:val="right"/>
            </w:pPr>
            <w:r>
              <w:rPr>
                <w:rFonts w:eastAsiaTheme="minorEastAsia"/>
                <w:kern w:val="0"/>
                <w:szCs w:val="21"/>
              </w:rPr>
              <w:t>20,797,661.94</w:t>
            </w:r>
          </w:p>
        </w:tc>
        <w:tc>
          <w:tcPr>
            <w:tcW w:w="1616" w:type="dxa"/>
            <w:vAlign w:val="center"/>
          </w:tcPr>
          <w:p w:rsidR="00321937" w:rsidRDefault="006426B9">
            <w:pPr>
              <w:jc w:val="right"/>
            </w:pPr>
            <w:r>
              <w:rPr>
                <w:rFonts w:eastAsiaTheme="minorEastAsia"/>
                <w:kern w:val="0"/>
                <w:szCs w:val="21"/>
              </w:rPr>
              <w:t>3.07</w:t>
            </w:r>
          </w:p>
        </w:tc>
      </w:tr>
      <w:tr w:rsidR="00321937">
        <w:tc>
          <w:tcPr>
            <w:tcW w:w="817" w:type="dxa"/>
            <w:vAlign w:val="center"/>
          </w:tcPr>
          <w:p w:rsidR="00321937" w:rsidRDefault="006426B9">
            <w:pPr>
              <w:jc w:val="center"/>
            </w:pPr>
            <w:r>
              <w:rPr>
                <w:rFonts w:eastAsiaTheme="minorEastAsia"/>
                <w:kern w:val="0"/>
                <w:szCs w:val="21"/>
              </w:rPr>
              <w:t>6</w:t>
            </w:r>
          </w:p>
        </w:tc>
        <w:tc>
          <w:tcPr>
            <w:tcW w:w="1276" w:type="dxa"/>
            <w:vAlign w:val="center"/>
          </w:tcPr>
          <w:p w:rsidR="00321937" w:rsidRDefault="006426B9">
            <w:pPr>
              <w:jc w:val="center"/>
            </w:pPr>
            <w:r>
              <w:rPr>
                <w:rFonts w:eastAsiaTheme="minorEastAsia"/>
                <w:kern w:val="0"/>
                <w:szCs w:val="21"/>
              </w:rPr>
              <w:t>603477</w:t>
            </w:r>
          </w:p>
        </w:tc>
        <w:tc>
          <w:tcPr>
            <w:tcW w:w="1701" w:type="dxa"/>
            <w:vAlign w:val="center"/>
          </w:tcPr>
          <w:p w:rsidR="00321937" w:rsidRDefault="006426B9">
            <w:pPr>
              <w:jc w:val="center"/>
            </w:pPr>
            <w:r>
              <w:rPr>
                <w:rFonts w:eastAsiaTheme="minorEastAsia"/>
                <w:kern w:val="0"/>
                <w:szCs w:val="21"/>
              </w:rPr>
              <w:t>巨星农牧</w:t>
            </w:r>
          </w:p>
        </w:tc>
        <w:tc>
          <w:tcPr>
            <w:tcW w:w="1276" w:type="dxa"/>
            <w:vAlign w:val="center"/>
          </w:tcPr>
          <w:p w:rsidR="00321937" w:rsidRDefault="006426B9">
            <w:pPr>
              <w:jc w:val="right"/>
            </w:pPr>
            <w:r>
              <w:rPr>
                <w:rFonts w:eastAsiaTheme="minorEastAsia"/>
                <w:kern w:val="0"/>
                <w:szCs w:val="21"/>
              </w:rPr>
              <w:t>572,936</w:t>
            </w:r>
          </w:p>
        </w:tc>
        <w:tc>
          <w:tcPr>
            <w:tcW w:w="1842" w:type="dxa"/>
            <w:vAlign w:val="center"/>
          </w:tcPr>
          <w:p w:rsidR="00321937" w:rsidRDefault="006426B9">
            <w:pPr>
              <w:jc w:val="right"/>
            </w:pPr>
            <w:r>
              <w:rPr>
                <w:rFonts w:eastAsiaTheme="minorEastAsia"/>
                <w:kern w:val="0"/>
                <w:szCs w:val="21"/>
              </w:rPr>
              <w:t>19,107,415.60</w:t>
            </w:r>
          </w:p>
        </w:tc>
        <w:tc>
          <w:tcPr>
            <w:tcW w:w="1616" w:type="dxa"/>
            <w:vAlign w:val="center"/>
          </w:tcPr>
          <w:p w:rsidR="00321937" w:rsidRDefault="006426B9">
            <w:pPr>
              <w:jc w:val="right"/>
            </w:pPr>
            <w:r>
              <w:rPr>
                <w:rFonts w:eastAsiaTheme="minorEastAsia"/>
                <w:kern w:val="0"/>
                <w:szCs w:val="21"/>
              </w:rPr>
              <w:t>2.82</w:t>
            </w:r>
          </w:p>
        </w:tc>
      </w:tr>
      <w:tr w:rsidR="00321937">
        <w:tc>
          <w:tcPr>
            <w:tcW w:w="817" w:type="dxa"/>
            <w:vAlign w:val="center"/>
          </w:tcPr>
          <w:p w:rsidR="00321937" w:rsidRDefault="006426B9">
            <w:pPr>
              <w:jc w:val="center"/>
            </w:pPr>
            <w:r>
              <w:rPr>
                <w:rFonts w:eastAsiaTheme="minorEastAsia"/>
                <w:kern w:val="0"/>
                <w:szCs w:val="21"/>
              </w:rPr>
              <w:t>7</w:t>
            </w:r>
          </w:p>
        </w:tc>
        <w:tc>
          <w:tcPr>
            <w:tcW w:w="1276" w:type="dxa"/>
            <w:vAlign w:val="center"/>
          </w:tcPr>
          <w:p w:rsidR="00321937" w:rsidRDefault="006426B9">
            <w:pPr>
              <w:jc w:val="center"/>
            </w:pPr>
            <w:r>
              <w:rPr>
                <w:rFonts w:eastAsiaTheme="minorEastAsia"/>
                <w:kern w:val="0"/>
                <w:szCs w:val="21"/>
              </w:rPr>
              <w:t>603345</w:t>
            </w:r>
          </w:p>
        </w:tc>
        <w:tc>
          <w:tcPr>
            <w:tcW w:w="1701" w:type="dxa"/>
            <w:vAlign w:val="center"/>
          </w:tcPr>
          <w:p w:rsidR="00321937" w:rsidRDefault="006426B9">
            <w:pPr>
              <w:jc w:val="center"/>
            </w:pPr>
            <w:r>
              <w:rPr>
                <w:rFonts w:eastAsiaTheme="minorEastAsia"/>
                <w:kern w:val="0"/>
                <w:szCs w:val="21"/>
              </w:rPr>
              <w:t>安井食品</w:t>
            </w:r>
          </w:p>
        </w:tc>
        <w:tc>
          <w:tcPr>
            <w:tcW w:w="1276" w:type="dxa"/>
            <w:vAlign w:val="center"/>
          </w:tcPr>
          <w:p w:rsidR="00321937" w:rsidRDefault="006426B9">
            <w:pPr>
              <w:jc w:val="right"/>
            </w:pPr>
            <w:r>
              <w:rPr>
                <w:rFonts w:eastAsiaTheme="minorEastAsia"/>
                <w:kern w:val="0"/>
                <w:szCs w:val="21"/>
              </w:rPr>
              <w:t>125,778</w:t>
            </w:r>
          </w:p>
        </w:tc>
        <w:tc>
          <w:tcPr>
            <w:tcW w:w="1842" w:type="dxa"/>
            <w:vAlign w:val="center"/>
          </w:tcPr>
          <w:p w:rsidR="00321937" w:rsidRDefault="006426B9">
            <w:pPr>
              <w:jc w:val="right"/>
            </w:pPr>
            <w:r>
              <w:rPr>
                <w:rFonts w:eastAsiaTheme="minorEastAsia"/>
                <w:kern w:val="0"/>
                <w:szCs w:val="21"/>
              </w:rPr>
              <w:t>18,464,210.40</w:t>
            </w:r>
          </w:p>
        </w:tc>
        <w:tc>
          <w:tcPr>
            <w:tcW w:w="1616" w:type="dxa"/>
            <w:vAlign w:val="center"/>
          </w:tcPr>
          <w:p w:rsidR="00321937" w:rsidRDefault="006426B9">
            <w:pPr>
              <w:jc w:val="right"/>
            </w:pPr>
            <w:r>
              <w:rPr>
                <w:rFonts w:eastAsiaTheme="minorEastAsia"/>
                <w:kern w:val="0"/>
                <w:szCs w:val="21"/>
              </w:rPr>
              <w:t>2.73</w:t>
            </w:r>
          </w:p>
        </w:tc>
      </w:tr>
      <w:tr w:rsidR="00321937">
        <w:tc>
          <w:tcPr>
            <w:tcW w:w="817" w:type="dxa"/>
            <w:vAlign w:val="center"/>
          </w:tcPr>
          <w:p w:rsidR="00321937" w:rsidRDefault="006426B9">
            <w:pPr>
              <w:jc w:val="center"/>
            </w:pPr>
            <w:r>
              <w:rPr>
                <w:rFonts w:eastAsiaTheme="minorEastAsia"/>
                <w:kern w:val="0"/>
                <w:szCs w:val="21"/>
              </w:rPr>
              <w:t>8</w:t>
            </w:r>
          </w:p>
        </w:tc>
        <w:tc>
          <w:tcPr>
            <w:tcW w:w="1276" w:type="dxa"/>
            <w:vAlign w:val="center"/>
          </w:tcPr>
          <w:p w:rsidR="00321937" w:rsidRDefault="006426B9">
            <w:pPr>
              <w:jc w:val="center"/>
            </w:pPr>
            <w:r>
              <w:rPr>
                <w:rFonts w:eastAsiaTheme="minorEastAsia"/>
                <w:kern w:val="0"/>
                <w:szCs w:val="21"/>
              </w:rPr>
              <w:t>688472</w:t>
            </w:r>
          </w:p>
        </w:tc>
        <w:tc>
          <w:tcPr>
            <w:tcW w:w="1701" w:type="dxa"/>
            <w:vAlign w:val="center"/>
          </w:tcPr>
          <w:p w:rsidR="00321937" w:rsidRDefault="006426B9">
            <w:pPr>
              <w:jc w:val="center"/>
            </w:pPr>
            <w:r>
              <w:rPr>
                <w:rFonts w:eastAsiaTheme="minorEastAsia"/>
                <w:kern w:val="0"/>
                <w:szCs w:val="21"/>
              </w:rPr>
              <w:t>阿特斯</w:t>
            </w:r>
          </w:p>
        </w:tc>
        <w:tc>
          <w:tcPr>
            <w:tcW w:w="1276" w:type="dxa"/>
            <w:vAlign w:val="center"/>
          </w:tcPr>
          <w:p w:rsidR="00321937" w:rsidRDefault="006426B9">
            <w:pPr>
              <w:jc w:val="right"/>
            </w:pPr>
            <w:r>
              <w:rPr>
                <w:rFonts w:eastAsiaTheme="minorEastAsia"/>
                <w:kern w:val="0"/>
                <w:szCs w:val="21"/>
              </w:rPr>
              <w:t>988,668</w:t>
            </w:r>
          </w:p>
        </w:tc>
        <w:tc>
          <w:tcPr>
            <w:tcW w:w="1842" w:type="dxa"/>
            <w:vAlign w:val="center"/>
          </w:tcPr>
          <w:p w:rsidR="00321937" w:rsidRDefault="006426B9">
            <w:pPr>
              <w:jc w:val="right"/>
            </w:pPr>
            <w:r>
              <w:rPr>
                <w:rFonts w:eastAsiaTheme="minorEastAsia"/>
                <w:kern w:val="0"/>
                <w:szCs w:val="21"/>
              </w:rPr>
              <w:t>18,151,944.48</w:t>
            </w:r>
          </w:p>
        </w:tc>
        <w:tc>
          <w:tcPr>
            <w:tcW w:w="1616" w:type="dxa"/>
            <w:vAlign w:val="center"/>
          </w:tcPr>
          <w:p w:rsidR="00321937" w:rsidRDefault="006426B9">
            <w:pPr>
              <w:jc w:val="right"/>
            </w:pPr>
            <w:r>
              <w:rPr>
                <w:rFonts w:eastAsiaTheme="minorEastAsia"/>
                <w:kern w:val="0"/>
                <w:szCs w:val="21"/>
              </w:rPr>
              <w:t>2.68</w:t>
            </w:r>
          </w:p>
        </w:tc>
      </w:tr>
      <w:tr w:rsidR="00321937">
        <w:tc>
          <w:tcPr>
            <w:tcW w:w="817" w:type="dxa"/>
            <w:vAlign w:val="center"/>
          </w:tcPr>
          <w:p w:rsidR="00321937" w:rsidRDefault="006426B9">
            <w:pPr>
              <w:jc w:val="center"/>
            </w:pPr>
            <w:r>
              <w:rPr>
                <w:rFonts w:eastAsiaTheme="minorEastAsia"/>
                <w:kern w:val="0"/>
                <w:szCs w:val="21"/>
              </w:rPr>
              <w:t>9</w:t>
            </w:r>
          </w:p>
        </w:tc>
        <w:tc>
          <w:tcPr>
            <w:tcW w:w="1276" w:type="dxa"/>
            <w:vAlign w:val="center"/>
          </w:tcPr>
          <w:p w:rsidR="00321937" w:rsidRDefault="006426B9">
            <w:pPr>
              <w:jc w:val="center"/>
            </w:pPr>
            <w:r>
              <w:rPr>
                <w:rFonts w:eastAsiaTheme="minorEastAsia"/>
                <w:kern w:val="0"/>
                <w:szCs w:val="21"/>
              </w:rPr>
              <w:t>002063</w:t>
            </w:r>
          </w:p>
        </w:tc>
        <w:tc>
          <w:tcPr>
            <w:tcW w:w="1701" w:type="dxa"/>
            <w:vAlign w:val="center"/>
          </w:tcPr>
          <w:p w:rsidR="00321937" w:rsidRDefault="006426B9">
            <w:pPr>
              <w:jc w:val="center"/>
            </w:pPr>
            <w:r>
              <w:rPr>
                <w:rFonts w:eastAsiaTheme="minorEastAsia"/>
                <w:kern w:val="0"/>
                <w:szCs w:val="21"/>
              </w:rPr>
              <w:t>远光软件</w:t>
            </w:r>
          </w:p>
        </w:tc>
        <w:tc>
          <w:tcPr>
            <w:tcW w:w="1276" w:type="dxa"/>
            <w:vAlign w:val="center"/>
          </w:tcPr>
          <w:p w:rsidR="00321937" w:rsidRDefault="006426B9">
            <w:pPr>
              <w:jc w:val="right"/>
            </w:pPr>
            <w:r>
              <w:rPr>
                <w:rFonts w:eastAsiaTheme="minorEastAsia"/>
                <w:kern w:val="0"/>
                <w:szCs w:val="21"/>
              </w:rPr>
              <w:t>2,079,915</w:t>
            </w:r>
          </w:p>
        </w:tc>
        <w:tc>
          <w:tcPr>
            <w:tcW w:w="1842" w:type="dxa"/>
            <w:vAlign w:val="center"/>
          </w:tcPr>
          <w:p w:rsidR="00321937" w:rsidRDefault="006426B9">
            <w:pPr>
              <w:jc w:val="right"/>
            </w:pPr>
            <w:r>
              <w:rPr>
                <w:rFonts w:eastAsiaTheme="minorEastAsia"/>
                <w:kern w:val="0"/>
                <w:szCs w:val="21"/>
              </w:rPr>
              <w:t>18,053,662.20</w:t>
            </w:r>
          </w:p>
        </w:tc>
        <w:tc>
          <w:tcPr>
            <w:tcW w:w="1616" w:type="dxa"/>
            <w:vAlign w:val="center"/>
          </w:tcPr>
          <w:p w:rsidR="00321937" w:rsidRDefault="006426B9">
            <w:pPr>
              <w:jc w:val="right"/>
            </w:pPr>
            <w:r>
              <w:rPr>
                <w:rFonts w:eastAsiaTheme="minorEastAsia"/>
                <w:kern w:val="0"/>
                <w:szCs w:val="21"/>
              </w:rPr>
              <w:t>2.67</w:t>
            </w:r>
          </w:p>
        </w:tc>
      </w:tr>
      <w:tr w:rsidR="00321937">
        <w:tc>
          <w:tcPr>
            <w:tcW w:w="817" w:type="dxa"/>
            <w:vAlign w:val="center"/>
          </w:tcPr>
          <w:p w:rsidR="00321937" w:rsidRDefault="006426B9">
            <w:pPr>
              <w:jc w:val="center"/>
            </w:pPr>
            <w:r>
              <w:rPr>
                <w:rFonts w:eastAsiaTheme="minorEastAsia"/>
                <w:kern w:val="0"/>
                <w:szCs w:val="21"/>
              </w:rPr>
              <w:t>10</w:t>
            </w:r>
          </w:p>
        </w:tc>
        <w:tc>
          <w:tcPr>
            <w:tcW w:w="1276" w:type="dxa"/>
            <w:vAlign w:val="center"/>
          </w:tcPr>
          <w:p w:rsidR="00321937" w:rsidRDefault="006426B9">
            <w:pPr>
              <w:jc w:val="center"/>
            </w:pPr>
            <w:r>
              <w:rPr>
                <w:rFonts w:eastAsiaTheme="minorEastAsia"/>
                <w:kern w:val="0"/>
                <w:szCs w:val="21"/>
              </w:rPr>
              <w:t>601138</w:t>
            </w:r>
          </w:p>
        </w:tc>
        <w:tc>
          <w:tcPr>
            <w:tcW w:w="1701" w:type="dxa"/>
            <w:vAlign w:val="center"/>
          </w:tcPr>
          <w:p w:rsidR="00321937" w:rsidRDefault="006426B9">
            <w:pPr>
              <w:jc w:val="center"/>
            </w:pPr>
            <w:r>
              <w:rPr>
                <w:rFonts w:eastAsiaTheme="minorEastAsia"/>
                <w:kern w:val="0"/>
                <w:szCs w:val="21"/>
              </w:rPr>
              <w:t>工业富联</w:t>
            </w:r>
          </w:p>
        </w:tc>
        <w:tc>
          <w:tcPr>
            <w:tcW w:w="1276" w:type="dxa"/>
            <w:vAlign w:val="center"/>
          </w:tcPr>
          <w:p w:rsidR="00321937" w:rsidRDefault="006426B9">
            <w:pPr>
              <w:jc w:val="right"/>
            </w:pPr>
            <w:r>
              <w:rPr>
                <w:rFonts w:eastAsiaTheme="minorEastAsia"/>
                <w:kern w:val="0"/>
                <w:szCs w:val="21"/>
              </w:rPr>
              <w:t>648,700</w:t>
            </w:r>
          </w:p>
        </w:tc>
        <w:tc>
          <w:tcPr>
            <w:tcW w:w="1842" w:type="dxa"/>
            <w:vAlign w:val="center"/>
          </w:tcPr>
          <w:p w:rsidR="00321937" w:rsidRDefault="006426B9">
            <w:pPr>
              <w:jc w:val="right"/>
            </w:pPr>
            <w:r>
              <w:rPr>
                <w:rFonts w:eastAsiaTheme="minorEastAsia"/>
                <w:kern w:val="0"/>
                <w:szCs w:val="21"/>
              </w:rPr>
              <w:t>16,347,240.00</w:t>
            </w:r>
          </w:p>
        </w:tc>
        <w:tc>
          <w:tcPr>
            <w:tcW w:w="1616" w:type="dxa"/>
            <w:vAlign w:val="center"/>
          </w:tcPr>
          <w:p w:rsidR="00321937" w:rsidRDefault="006426B9">
            <w:pPr>
              <w:jc w:val="right"/>
            </w:pPr>
            <w:r>
              <w:rPr>
                <w:rFonts w:eastAsiaTheme="minorEastAsia"/>
                <w:kern w:val="0"/>
                <w:szCs w:val="21"/>
              </w:rPr>
              <w:t>2.41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本基金投资的前十名证券的发行主体中，人福医药集团股份公司（股票代码</w:t>
      </w:r>
      <w:r w:rsidRPr="00B27A29">
        <w:rPr>
          <w:rFonts w:eastAsiaTheme="minorEastAsia"/>
          <w:color w:val="000000" w:themeColor="text1"/>
          <w:szCs w:val="21"/>
        </w:rPr>
        <w:t>600079</w:t>
      </w:r>
      <w:r w:rsidRPr="00B27A29">
        <w:rPr>
          <w:rFonts w:eastAsiaTheme="minorEastAsia"/>
          <w:color w:val="000000" w:themeColor="text1"/>
          <w:szCs w:val="21"/>
        </w:rPr>
        <w:t>）在报告编制日前一年内曾受到上海证券交易所的处罚。</w:t>
      </w:r>
    </w:p>
    <w:p w:rsidR="00321937" w:rsidRDefault="006426B9">
      <w:pPr>
        <w:widowControl/>
        <w:spacing w:line="360" w:lineRule="auto"/>
        <w:rPr>
          <w:rFonts w:eastAsiaTheme="minorEastAsia"/>
          <w:color w:val="000000" w:themeColor="text1"/>
          <w:szCs w:val="21"/>
        </w:rPr>
      </w:pPr>
      <w:r>
        <w:rPr>
          <w:rFonts w:eastAsiaTheme="minorEastAsia"/>
          <w:color w:val="000000" w:themeColor="text1"/>
          <w:szCs w:val="21"/>
        </w:rPr>
        <w:t>本基金对上述主体所发行证券的投资决策程序符合相关法律法规、基金合同及公司投资制度的要求。</w:t>
      </w:r>
    </w:p>
    <w:p w:rsidR="00321937" w:rsidRDefault="006426B9">
      <w:pPr>
        <w:widowControl/>
        <w:spacing w:line="360" w:lineRule="auto"/>
        <w:rPr>
          <w:rFonts w:eastAsiaTheme="minorEastAsia"/>
          <w:color w:val="000000" w:themeColor="text1"/>
          <w:szCs w:val="21"/>
        </w:rPr>
      </w:pPr>
      <w:r>
        <w:rPr>
          <w:rFonts w:eastAsiaTheme="minorEastAsia"/>
          <w:color w:val="000000" w:themeColor="text1"/>
          <w:szCs w:val="21"/>
        </w:rPr>
        <w:t>除上述股票外，本基金投资的其余前十名证券的发行主体本期未出现被监管部门立案调查，或在报告编制日前一年内受到公开谴责、处罚的情形。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236,109.27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146,220.52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382,329.79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173,715,567.78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110,891.65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3,093,330.24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38,702.53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7,218,828.46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29,307.36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169,590,069.56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120,286.82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摩根核心优选混合型证券投资基金基金合同</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摩根核心优选混合型证券投资基金托管协议</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321937" w:rsidRDefault="006426B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26B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26B9">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26B9">
      <w:rPr>
        <w:rStyle w:val="af6"/>
        <w:noProof/>
      </w:rPr>
      <w:t>10</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摩根核心优选混合型证券投资基金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1937"/>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6B9"/>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F4DE8-6A56-4006-98E1-79B71A1C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13</Pages>
  <Words>1152</Words>
  <Characters>6568</Characters>
  <Application>Microsoft Office Word</Application>
  <DocSecurity>0</DocSecurity>
  <Lines>54</Lines>
  <Paragraphs>15</Paragraphs>
  <ScaleCrop>false</ScaleCrop>
  <Company>TRT. Ltd. Co.</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219</cp:revision>
  <cp:lastPrinted>2007-07-19T00:46:00Z</cp:lastPrinted>
  <dcterms:created xsi:type="dcterms:W3CDTF">2013-06-21T06:56:00Z</dcterms:created>
  <dcterms:modified xsi:type="dcterms:W3CDTF">2023-07-20T05:25:00Z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