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上投摩根核心优选混合型证券投资基金</w:t>
      </w: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2021年第1季度报告</w:t>
      </w:r>
    </w:p>
    <w:p w:rsidR="00D06738" w:rsidRDefault="00454D20">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2021年3月31日</w:t>
      </w: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rPr>
          <w:rFonts w:asciiTheme="minorEastAsia" w:eastAsiaTheme="minorEastAsia" w:hAnsiTheme="minorEastAsia"/>
          <w:b/>
          <w:bCs/>
          <w:color w:val="000000" w:themeColor="text1"/>
          <w:sz w:val="24"/>
          <w:szCs w:val="24"/>
        </w:rPr>
      </w:pP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中国建设银行股份有限公司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sectPr w:rsidR="00D06738">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二〇二一年四月二十二日</w:t>
      </w:r>
    </w:p>
    <w:p w:rsidR="00D06738" w:rsidRDefault="00454D20">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F42924" w:rsidRDefault="007651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基金管理人的董事会及董事保证本报告所载资料不存在虚假记载、误导性陈述或重大遗漏，并对其内容的真实性、准确性和完整性承担个别及连带责任。 </w:t>
      </w:r>
    </w:p>
    <w:p w:rsidR="00F42924" w:rsidRDefault="007651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基金托管人中国建设银行股份有限公司根据本基金合同规定，于2021年4月21日复核了本报告中的财务指标、净值表现和投资组合报告等内容，保证复核内容不存在虚假记载、误导性陈述或者重大遗漏。 </w:t>
      </w:r>
    </w:p>
    <w:p w:rsidR="00F42924" w:rsidRDefault="007651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基金管理人承诺以诚实信用、勤勉尽责的原则管理和运用基金资产，但不保证基金一定盈利。 </w:t>
      </w:r>
    </w:p>
    <w:p w:rsidR="00F42924" w:rsidRDefault="007651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基金的过往业绩并不代表其未来表现。投资有风险，投资者在作出投资决策前应仔细阅读本基金的招募说明书。 </w:t>
      </w:r>
    </w:p>
    <w:p w:rsidR="00F42924" w:rsidRDefault="007651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本报告期自2021年1月1日起至3月31日止。</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上投摩根核心优选混合</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370024</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370024</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2012年11月28日</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165,159,661.56</w:t>
            </w:r>
            <w:r>
              <w:rPr>
                <w:rFonts w:asciiTheme="minorEastAsia" w:eastAsiaTheme="minorEastAsia" w:hAnsiTheme="minorEastAsia" w:hint="eastAsia"/>
                <w:color w:val="000000" w:themeColor="text1"/>
                <w:kern w:val="0"/>
              </w:rPr>
              <w:t>份</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本基金将充分利用基金管理人研究团队的集体智慧，以内部研究组合作为核心股票，从中优选出具有良好基本面和较高成长性的公司进行投资，力争实现基金资产的长期稳定增值。</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F42924" w:rsidRDefault="007651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1、资产配置策略</w:t>
            </w:r>
          </w:p>
          <w:p w:rsidR="00F42924" w:rsidRDefault="007651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本基金将从宏观层面出发，采用定量分析和定性分析相结合的手段，对宏观经济、国家政策、资金面和市场情绪等</w:t>
            </w:r>
            <w:r>
              <w:rPr>
                <w:rFonts w:asciiTheme="minorEastAsia" w:eastAsiaTheme="minorEastAsia" w:hAnsiTheme="minorEastAsia"/>
                <w:color w:val="000000" w:themeColor="text1"/>
                <w:kern w:val="0"/>
              </w:rPr>
              <w:lastRenderedPageBreak/>
              <w:t>影响证券市场的重要因素进行综合分析，结合股票、债券等各类资产风险收益特征，确定合适的资产配置比例。</w:t>
            </w:r>
          </w:p>
          <w:p w:rsidR="00F42924" w:rsidRDefault="007651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2、股票投资策略</w:t>
            </w:r>
          </w:p>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本基金将依托本基金管理人的研究平台，采用“自下而上”的个股精选策略， 基于公司内部研究团队对于个股的基本面的深入研究和细致的实地调研，选择具有良好基本面和成长空间的个股。本基金的股票投资包含核心股票和优选股票两个层面。核心股票由公司内部研究组合构成，主要包含了研究部推荐股票，是研究员在对个股进行深度研究和实地调研基础上提出的投资建议。优选股票是指基金经理基于对宏观经济、政策、行业以及个股的深入研究与把握，从核心股票中优选具有良好投资价值的股票，构建股票投资组合。本基金明确提出将不低于80%的股票资产投资于公司内部研究组合中的股票。</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沪深300指数收益率×85%+上证国债指数收益率×15%</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F42924" w:rsidRDefault="007651F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本基金是一只主动投资的混合型基金，其预期风险和预期收益低于股票型基金，高于债券型基金和货币市场基金，属于较高风险、较高预期收益的基金产品。</w:t>
            </w:r>
          </w:p>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中国建设银行股份有限公司</w:t>
            </w:r>
          </w:p>
        </w:tc>
      </w:tr>
    </w:tbl>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5C383C" w:rsidTr="005C383C">
        <w:tc>
          <w:tcPr>
            <w:tcW w:w="3402" w:type="dxa"/>
            <w:vAlign w:val="center"/>
          </w:tcPr>
          <w:p w:rsidR="00D06738" w:rsidRDefault="00454D20">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D06738" w:rsidRDefault="00454D20">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D06738" w:rsidRDefault="00454D20">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2021年1月1日-2021年3月31日</w:t>
            </w:r>
            <w:r>
              <w:rPr>
                <w:rFonts w:asciiTheme="minorEastAsia" w:eastAsiaTheme="minorEastAsia" w:hAnsiTheme="minorEastAsia" w:cs="宋体" w:hint="eastAsia"/>
                <w:color w:val="000000" w:themeColor="text1"/>
              </w:rPr>
              <w:t>)</w:t>
            </w:r>
          </w:p>
        </w:tc>
      </w:tr>
      <w:tr w:rsidR="005C383C" w:rsidTr="005C383C">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59,912,932.99</w:t>
            </w:r>
          </w:p>
        </w:tc>
      </w:tr>
      <w:tr w:rsidR="005C383C" w:rsidTr="005C383C">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-3,989,848.75</w:t>
            </w:r>
          </w:p>
        </w:tc>
      </w:tr>
      <w:tr w:rsidR="005C383C" w:rsidTr="005C383C">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-0.0241</w:t>
            </w:r>
          </w:p>
        </w:tc>
      </w:tr>
      <w:tr w:rsidR="005C383C" w:rsidTr="005C383C">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857,462,183.21</w:t>
            </w:r>
          </w:p>
        </w:tc>
      </w:tr>
      <w:tr w:rsidR="005C383C" w:rsidTr="005C383C">
        <w:trPr>
          <w:trHeight w:val="158"/>
        </w:trPr>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5.1917</w:t>
            </w:r>
          </w:p>
        </w:tc>
      </w:tr>
    </w:tbl>
    <w:p w:rsidR="00F42924" w:rsidRDefault="007651F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注：本期已实现收益指基金本期利息收入、投资收益、其他收入(不含公允价值变动收益)扣除相关费用后的余额，本期利润为本期已实现收益加上本期公允价值变动收益。 </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D06738" w:rsidRDefault="00454D20">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tc>
          <w:tcPr>
            <w:tcW w:w="139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F42924">
        <w:tc>
          <w:tcPr>
            <w:tcW w:w="1395" w:type="dxa"/>
            <w:vAlign w:val="center"/>
          </w:tcPr>
          <w:p w:rsidR="00F42924" w:rsidRDefault="007651F9">
            <w:pPr>
              <w:jc w:val="left"/>
            </w:pPr>
            <w:r>
              <w:rPr>
                <w:rFonts w:asciiTheme="minorEastAsia" w:eastAsiaTheme="minorEastAsia" w:hAnsiTheme="minorEastAsia"/>
                <w:color w:val="000000" w:themeColor="text1"/>
                <w:kern w:val="0"/>
              </w:rPr>
              <w:t>过去三个月</w:t>
            </w:r>
          </w:p>
        </w:tc>
        <w:tc>
          <w:tcPr>
            <w:tcW w:w="1092" w:type="dxa"/>
            <w:vAlign w:val="center"/>
          </w:tcPr>
          <w:p w:rsidR="00F42924" w:rsidRDefault="007651F9">
            <w:pPr>
              <w:jc w:val="center"/>
            </w:pPr>
            <w:r>
              <w:rPr>
                <w:rFonts w:asciiTheme="minorEastAsia" w:eastAsiaTheme="minorEastAsia" w:hAnsiTheme="minorEastAsia"/>
                <w:color w:val="000000" w:themeColor="text1"/>
                <w:kern w:val="0"/>
              </w:rPr>
              <w:t>-0.60%</w:t>
            </w:r>
          </w:p>
        </w:tc>
        <w:tc>
          <w:tcPr>
            <w:tcW w:w="1161" w:type="dxa"/>
            <w:vAlign w:val="center"/>
          </w:tcPr>
          <w:p w:rsidR="00F42924" w:rsidRDefault="007651F9">
            <w:pPr>
              <w:jc w:val="center"/>
            </w:pPr>
            <w:r>
              <w:rPr>
                <w:rFonts w:asciiTheme="minorEastAsia" w:eastAsiaTheme="minorEastAsia" w:hAnsiTheme="minorEastAsia"/>
                <w:color w:val="000000" w:themeColor="text1"/>
                <w:kern w:val="0"/>
              </w:rPr>
              <w:t>2.27%</w:t>
            </w:r>
          </w:p>
        </w:tc>
        <w:tc>
          <w:tcPr>
            <w:tcW w:w="1181" w:type="dxa"/>
            <w:vAlign w:val="center"/>
          </w:tcPr>
          <w:p w:rsidR="00F42924" w:rsidRDefault="007651F9">
            <w:pPr>
              <w:jc w:val="center"/>
            </w:pPr>
            <w:r>
              <w:rPr>
                <w:rFonts w:asciiTheme="minorEastAsia" w:eastAsiaTheme="minorEastAsia" w:hAnsiTheme="minorEastAsia"/>
                <w:color w:val="000000" w:themeColor="text1"/>
                <w:kern w:val="0"/>
              </w:rPr>
              <w:t>-2.54%</w:t>
            </w:r>
          </w:p>
        </w:tc>
        <w:tc>
          <w:tcPr>
            <w:tcW w:w="1188" w:type="dxa"/>
            <w:vAlign w:val="center"/>
          </w:tcPr>
          <w:p w:rsidR="00F42924" w:rsidRDefault="007651F9">
            <w:pPr>
              <w:jc w:val="center"/>
            </w:pPr>
            <w:r>
              <w:rPr>
                <w:rFonts w:asciiTheme="minorEastAsia" w:eastAsiaTheme="minorEastAsia" w:hAnsiTheme="minorEastAsia"/>
                <w:color w:val="000000" w:themeColor="text1"/>
                <w:kern w:val="0"/>
              </w:rPr>
              <w:t>1.36%</w:t>
            </w:r>
          </w:p>
        </w:tc>
        <w:tc>
          <w:tcPr>
            <w:tcW w:w="1199" w:type="dxa"/>
            <w:vAlign w:val="center"/>
          </w:tcPr>
          <w:p w:rsidR="00F42924" w:rsidRDefault="007651F9">
            <w:pPr>
              <w:jc w:val="center"/>
            </w:pPr>
            <w:r>
              <w:rPr>
                <w:rFonts w:asciiTheme="minorEastAsia" w:eastAsiaTheme="minorEastAsia" w:hAnsiTheme="minorEastAsia"/>
                <w:color w:val="000000" w:themeColor="text1"/>
                <w:kern w:val="0"/>
              </w:rPr>
              <w:t>1.94%</w:t>
            </w:r>
          </w:p>
        </w:tc>
        <w:tc>
          <w:tcPr>
            <w:tcW w:w="1204" w:type="dxa"/>
            <w:vAlign w:val="center"/>
          </w:tcPr>
          <w:p w:rsidR="00F42924" w:rsidRDefault="007651F9">
            <w:pPr>
              <w:jc w:val="center"/>
            </w:pPr>
            <w:r>
              <w:rPr>
                <w:rFonts w:asciiTheme="minorEastAsia" w:eastAsiaTheme="minorEastAsia" w:hAnsiTheme="minorEastAsia"/>
                <w:color w:val="000000" w:themeColor="text1"/>
                <w:kern w:val="0"/>
              </w:rPr>
              <w:t>0.91%</w:t>
            </w:r>
          </w:p>
        </w:tc>
      </w:tr>
      <w:tr w:rsidR="00F42924">
        <w:tc>
          <w:tcPr>
            <w:tcW w:w="1395" w:type="dxa"/>
            <w:vAlign w:val="center"/>
          </w:tcPr>
          <w:p w:rsidR="00F42924" w:rsidRDefault="007651F9">
            <w:pPr>
              <w:jc w:val="left"/>
            </w:pPr>
            <w:r>
              <w:rPr>
                <w:rFonts w:asciiTheme="minorEastAsia" w:eastAsiaTheme="minorEastAsia" w:hAnsiTheme="minorEastAsia"/>
                <w:color w:val="000000" w:themeColor="text1"/>
                <w:kern w:val="0"/>
              </w:rPr>
              <w:t>过去六个月</w:t>
            </w:r>
          </w:p>
        </w:tc>
        <w:tc>
          <w:tcPr>
            <w:tcW w:w="1092" w:type="dxa"/>
            <w:vAlign w:val="center"/>
          </w:tcPr>
          <w:p w:rsidR="00F42924" w:rsidRDefault="007651F9">
            <w:pPr>
              <w:jc w:val="center"/>
            </w:pPr>
            <w:r>
              <w:rPr>
                <w:rFonts w:asciiTheme="minorEastAsia" w:eastAsiaTheme="minorEastAsia" w:hAnsiTheme="minorEastAsia"/>
                <w:color w:val="000000" w:themeColor="text1"/>
                <w:kern w:val="0"/>
              </w:rPr>
              <w:t>15.73%</w:t>
            </w:r>
          </w:p>
        </w:tc>
        <w:tc>
          <w:tcPr>
            <w:tcW w:w="1161" w:type="dxa"/>
            <w:vAlign w:val="center"/>
          </w:tcPr>
          <w:p w:rsidR="00F42924" w:rsidRDefault="007651F9">
            <w:pPr>
              <w:jc w:val="center"/>
            </w:pPr>
            <w:r>
              <w:rPr>
                <w:rFonts w:asciiTheme="minorEastAsia" w:eastAsiaTheme="minorEastAsia" w:hAnsiTheme="minorEastAsia"/>
                <w:color w:val="000000" w:themeColor="text1"/>
                <w:kern w:val="0"/>
              </w:rPr>
              <w:t>1.91%</w:t>
            </w:r>
          </w:p>
        </w:tc>
        <w:tc>
          <w:tcPr>
            <w:tcW w:w="1181" w:type="dxa"/>
            <w:vAlign w:val="center"/>
          </w:tcPr>
          <w:p w:rsidR="00F42924" w:rsidRDefault="007651F9">
            <w:pPr>
              <w:jc w:val="center"/>
            </w:pPr>
            <w:r>
              <w:rPr>
                <w:rFonts w:asciiTheme="minorEastAsia" w:eastAsiaTheme="minorEastAsia" w:hAnsiTheme="minorEastAsia"/>
                <w:color w:val="000000" w:themeColor="text1"/>
                <w:kern w:val="0"/>
              </w:rPr>
              <w:t>8.72%</w:t>
            </w:r>
          </w:p>
        </w:tc>
        <w:tc>
          <w:tcPr>
            <w:tcW w:w="1188" w:type="dxa"/>
            <w:vAlign w:val="center"/>
          </w:tcPr>
          <w:p w:rsidR="00F42924" w:rsidRDefault="007651F9">
            <w:pPr>
              <w:jc w:val="center"/>
            </w:pPr>
            <w:r>
              <w:rPr>
                <w:rFonts w:asciiTheme="minorEastAsia" w:eastAsiaTheme="minorEastAsia" w:hAnsiTheme="minorEastAsia"/>
                <w:color w:val="000000" w:themeColor="text1"/>
                <w:kern w:val="0"/>
              </w:rPr>
              <w:t>1.13%</w:t>
            </w:r>
          </w:p>
        </w:tc>
        <w:tc>
          <w:tcPr>
            <w:tcW w:w="1199" w:type="dxa"/>
            <w:vAlign w:val="center"/>
          </w:tcPr>
          <w:p w:rsidR="00F42924" w:rsidRDefault="007651F9">
            <w:pPr>
              <w:jc w:val="center"/>
            </w:pPr>
            <w:r>
              <w:rPr>
                <w:rFonts w:asciiTheme="minorEastAsia" w:eastAsiaTheme="minorEastAsia" w:hAnsiTheme="minorEastAsia"/>
                <w:color w:val="000000" w:themeColor="text1"/>
                <w:kern w:val="0"/>
              </w:rPr>
              <w:t>7.01%</w:t>
            </w:r>
          </w:p>
        </w:tc>
        <w:tc>
          <w:tcPr>
            <w:tcW w:w="1204" w:type="dxa"/>
            <w:vAlign w:val="center"/>
          </w:tcPr>
          <w:p w:rsidR="00F42924" w:rsidRDefault="007651F9">
            <w:pPr>
              <w:jc w:val="center"/>
            </w:pPr>
            <w:r>
              <w:rPr>
                <w:rFonts w:asciiTheme="minorEastAsia" w:eastAsiaTheme="minorEastAsia" w:hAnsiTheme="minorEastAsia"/>
                <w:color w:val="000000" w:themeColor="text1"/>
                <w:kern w:val="0"/>
              </w:rPr>
              <w:t>0.78%</w:t>
            </w:r>
          </w:p>
        </w:tc>
      </w:tr>
      <w:tr w:rsidR="00F42924">
        <w:tc>
          <w:tcPr>
            <w:tcW w:w="1395" w:type="dxa"/>
            <w:vAlign w:val="center"/>
          </w:tcPr>
          <w:p w:rsidR="00F42924" w:rsidRDefault="007651F9">
            <w:pPr>
              <w:jc w:val="left"/>
            </w:pPr>
            <w:r>
              <w:rPr>
                <w:rFonts w:asciiTheme="minorEastAsia" w:eastAsiaTheme="minorEastAsia" w:hAnsiTheme="minorEastAsia"/>
                <w:color w:val="000000" w:themeColor="text1"/>
                <w:kern w:val="0"/>
              </w:rPr>
              <w:t>过去一年</w:t>
            </w:r>
          </w:p>
        </w:tc>
        <w:tc>
          <w:tcPr>
            <w:tcW w:w="1092" w:type="dxa"/>
            <w:vAlign w:val="center"/>
          </w:tcPr>
          <w:p w:rsidR="00F42924" w:rsidRDefault="007651F9">
            <w:pPr>
              <w:jc w:val="center"/>
            </w:pPr>
            <w:r>
              <w:rPr>
                <w:rFonts w:asciiTheme="minorEastAsia" w:eastAsiaTheme="minorEastAsia" w:hAnsiTheme="minorEastAsia"/>
                <w:color w:val="000000" w:themeColor="text1"/>
                <w:kern w:val="0"/>
              </w:rPr>
              <w:t>67.58%</w:t>
            </w:r>
          </w:p>
        </w:tc>
        <w:tc>
          <w:tcPr>
            <w:tcW w:w="1161" w:type="dxa"/>
            <w:vAlign w:val="center"/>
          </w:tcPr>
          <w:p w:rsidR="00F42924" w:rsidRDefault="007651F9">
            <w:pPr>
              <w:jc w:val="center"/>
            </w:pPr>
            <w:r>
              <w:rPr>
                <w:rFonts w:asciiTheme="minorEastAsia" w:eastAsiaTheme="minorEastAsia" w:hAnsiTheme="minorEastAsia"/>
                <w:color w:val="000000" w:themeColor="text1"/>
                <w:kern w:val="0"/>
              </w:rPr>
              <w:t>1.82%</w:t>
            </w:r>
          </w:p>
        </w:tc>
        <w:tc>
          <w:tcPr>
            <w:tcW w:w="1181" w:type="dxa"/>
            <w:vAlign w:val="center"/>
          </w:tcPr>
          <w:p w:rsidR="00F42924" w:rsidRDefault="007651F9">
            <w:pPr>
              <w:jc w:val="center"/>
            </w:pPr>
            <w:r>
              <w:rPr>
                <w:rFonts w:asciiTheme="minorEastAsia" w:eastAsiaTheme="minorEastAsia" w:hAnsiTheme="minorEastAsia"/>
                <w:color w:val="000000" w:themeColor="text1"/>
                <w:kern w:val="0"/>
              </w:rPr>
              <w:t>31.74%</w:t>
            </w:r>
          </w:p>
        </w:tc>
        <w:tc>
          <w:tcPr>
            <w:tcW w:w="1188" w:type="dxa"/>
            <w:vAlign w:val="center"/>
          </w:tcPr>
          <w:p w:rsidR="00F42924" w:rsidRDefault="007651F9">
            <w:pPr>
              <w:jc w:val="center"/>
            </w:pPr>
            <w:r>
              <w:rPr>
                <w:rFonts w:asciiTheme="minorEastAsia" w:eastAsiaTheme="minorEastAsia" w:hAnsiTheme="minorEastAsia"/>
                <w:color w:val="000000" w:themeColor="text1"/>
                <w:kern w:val="0"/>
              </w:rPr>
              <w:t>1.12%</w:t>
            </w:r>
          </w:p>
        </w:tc>
        <w:tc>
          <w:tcPr>
            <w:tcW w:w="1199" w:type="dxa"/>
            <w:vAlign w:val="center"/>
          </w:tcPr>
          <w:p w:rsidR="00F42924" w:rsidRDefault="007651F9">
            <w:pPr>
              <w:jc w:val="center"/>
            </w:pPr>
            <w:r>
              <w:rPr>
                <w:rFonts w:asciiTheme="minorEastAsia" w:eastAsiaTheme="minorEastAsia" w:hAnsiTheme="minorEastAsia"/>
                <w:color w:val="000000" w:themeColor="text1"/>
                <w:kern w:val="0"/>
              </w:rPr>
              <w:t>35.84%</w:t>
            </w:r>
          </w:p>
        </w:tc>
        <w:tc>
          <w:tcPr>
            <w:tcW w:w="1204" w:type="dxa"/>
            <w:vAlign w:val="center"/>
          </w:tcPr>
          <w:p w:rsidR="00F42924" w:rsidRDefault="007651F9">
            <w:pPr>
              <w:jc w:val="center"/>
            </w:pPr>
            <w:r>
              <w:rPr>
                <w:rFonts w:asciiTheme="minorEastAsia" w:eastAsiaTheme="minorEastAsia" w:hAnsiTheme="minorEastAsia"/>
                <w:color w:val="000000" w:themeColor="text1"/>
                <w:kern w:val="0"/>
              </w:rPr>
              <w:t>0.70%</w:t>
            </w:r>
          </w:p>
        </w:tc>
      </w:tr>
      <w:tr w:rsidR="00F42924">
        <w:tc>
          <w:tcPr>
            <w:tcW w:w="1395" w:type="dxa"/>
            <w:vAlign w:val="center"/>
          </w:tcPr>
          <w:p w:rsidR="00F42924" w:rsidRDefault="007651F9">
            <w:pPr>
              <w:jc w:val="left"/>
            </w:pPr>
            <w:r>
              <w:rPr>
                <w:rFonts w:asciiTheme="minorEastAsia" w:eastAsiaTheme="minorEastAsia" w:hAnsiTheme="minorEastAsia"/>
                <w:color w:val="000000" w:themeColor="text1"/>
                <w:kern w:val="0"/>
              </w:rPr>
              <w:t>过去三年</w:t>
            </w:r>
          </w:p>
        </w:tc>
        <w:tc>
          <w:tcPr>
            <w:tcW w:w="1092" w:type="dxa"/>
            <w:vAlign w:val="center"/>
          </w:tcPr>
          <w:p w:rsidR="00F42924" w:rsidRDefault="007651F9">
            <w:pPr>
              <w:jc w:val="center"/>
            </w:pPr>
            <w:r>
              <w:rPr>
                <w:rFonts w:asciiTheme="minorEastAsia" w:eastAsiaTheme="minorEastAsia" w:hAnsiTheme="minorEastAsia"/>
                <w:color w:val="000000" w:themeColor="text1"/>
                <w:kern w:val="0"/>
              </w:rPr>
              <w:t>95.59%</w:t>
            </w:r>
          </w:p>
        </w:tc>
        <w:tc>
          <w:tcPr>
            <w:tcW w:w="1161" w:type="dxa"/>
            <w:vAlign w:val="center"/>
          </w:tcPr>
          <w:p w:rsidR="00F42924" w:rsidRDefault="007651F9">
            <w:pPr>
              <w:jc w:val="center"/>
            </w:pPr>
            <w:r>
              <w:rPr>
                <w:rFonts w:asciiTheme="minorEastAsia" w:eastAsiaTheme="minorEastAsia" w:hAnsiTheme="minorEastAsia"/>
                <w:color w:val="000000" w:themeColor="text1"/>
                <w:kern w:val="0"/>
              </w:rPr>
              <w:t>1.70%</w:t>
            </w:r>
          </w:p>
        </w:tc>
        <w:tc>
          <w:tcPr>
            <w:tcW w:w="1181" w:type="dxa"/>
            <w:vAlign w:val="center"/>
          </w:tcPr>
          <w:p w:rsidR="00F42924" w:rsidRDefault="007651F9">
            <w:pPr>
              <w:jc w:val="center"/>
            </w:pPr>
            <w:r>
              <w:rPr>
                <w:rFonts w:asciiTheme="minorEastAsia" w:eastAsiaTheme="minorEastAsia" w:hAnsiTheme="minorEastAsia"/>
                <w:color w:val="000000" w:themeColor="text1"/>
                <w:kern w:val="0"/>
              </w:rPr>
              <w:t>27.12%</w:t>
            </w:r>
          </w:p>
        </w:tc>
        <w:tc>
          <w:tcPr>
            <w:tcW w:w="1188" w:type="dxa"/>
            <w:vAlign w:val="center"/>
          </w:tcPr>
          <w:p w:rsidR="00F42924" w:rsidRDefault="007651F9">
            <w:pPr>
              <w:jc w:val="center"/>
            </w:pPr>
            <w:r>
              <w:rPr>
                <w:rFonts w:asciiTheme="minorEastAsia" w:eastAsiaTheme="minorEastAsia" w:hAnsiTheme="minorEastAsia"/>
                <w:color w:val="000000" w:themeColor="text1"/>
                <w:kern w:val="0"/>
              </w:rPr>
              <w:t>1.17%</w:t>
            </w:r>
          </w:p>
        </w:tc>
        <w:tc>
          <w:tcPr>
            <w:tcW w:w="1199" w:type="dxa"/>
            <w:vAlign w:val="center"/>
          </w:tcPr>
          <w:p w:rsidR="00F42924" w:rsidRDefault="007651F9">
            <w:pPr>
              <w:jc w:val="center"/>
            </w:pPr>
            <w:r>
              <w:rPr>
                <w:rFonts w:asciiTheme="minorEastAsia" w:eastAsiaTheme="minorEastAsia" w:hAnsiTheme="minorEastAsia"/>
                <w:color w:val="000000" w:themeColor="text1"/>
                <w:kern w:val="0"/>
              </w:rPr>
              <w:t>68.47%</w:t>
            </w:r>
          </w:p>
        </w:tc>
        <w:tc>
          <w:tcPr>
            <w:tcW w:w="1204" w:type="dxa"/>
            <w:vAlign w:val="center"/>
          </w:tcPr>
          <w:p w:rsidR="00F42924" w:rsidRDefault="007651F9">
            <w:pPr>
              <w:jc w:val="center"/>
            </w:pPr>
            <w:r>
              <w:rPr>
                <w:rFonts w:asciiTheme="minorEastAsia" w:eastAsiaTheme="minorEastAsia" w:hAnsiTheme="minorEastAsia"/>
                <w:color w:val="000000" w:themeColor="text1"/>
                <w:kern w:val="0"/>
              </w:rPr>
              <w:t>0.53%</w:t>
            </w:r>
          </w:p>
        </w:tc>
      </w:tr>
      <w:tr w:rsidR="00F42924">
        <w:tc>
          <w:tcPr>
            <w:tcW w:w="1395" w:type="dxa"/>
            <w:vAlign w:val="center"/>
          </w:tcPr>
          <w:p w:rsidR="00F42924" w:rsidRDefault="007651F9">
            <w:pPr>
              <w:jc w:val="left"/>
            </w:pPr>
            <w:r>
              <w:rPr>
                <w:rFonts w:asciiTheme="minorEastAsia" w:eastAsiaTheme="minorEastAsia" w:hAnsiTheme="minorEastAsia"/>
                <w:color w:val="000000" w:themeColor="text1"/>
                <w:kern w:val="0"/>
              </w:rPr>
              <w:t>过去五年</w:t>
            </w:r>
          </w:p>
        </w:tc>
        <w:tc>
          <w:tcPr>
            <w:tcW w:w="1092" w:type="dxa"/>
            <w:vAlign w:val="center"/>
          </w:tcPr>
          <w:p w:rsidR="00F42924" w:rsidRDefault="007651F9">
            <w:pPr>
              <w:jc w:val="center"/>
            </w:pPr>
            <w:r>
              <w:rPr>
                <w:rFonts w:asciiTheme="minorEastAsia" w:eastAsiaTheme="minorEastAsia" w:hAnsiTheme="minorEastAsia"/>
                <w:color w:val="000000" w:themeColor="text1"/>
                <w:kern w:val="0"/>
              </w:rPr>
              <w:t>147.64%</w:t>
            </w:r>
          </w:p>
        </w:tc>
        <w:tc>
          <w:tcPr>
            <w:tcW w:w="1161" w:type="dxa"/>
            <w:vAlign w:val="center"/>
          </w:tcPr>
          <w:p w:rsidR="00F42924" w:rsidRDefault="007651F9">
            <w:pPr>
              <w:jc w:val="center"/>
            </w:pPr>
            <w:r>
              <w:rPr>
                <w:rFonts w:asciiTheme="minorEastAsia" w:eastAsiaTheme="minorEastAsia" w:hAnsiTheme="minorEastAsia"/>
                <w:color w:val="000000" w:themeColor="text1"/>
                <w:kern w:val="0"/>
              </w:rPr>
              <w:t>1.54%</w:t>
            </w:r>
          </w:p>
        </w:tc>
        <w:tc>
          <w:tcPr>
            <w:tcW w:w="1181" w:type="dxa"/>
            <w:vAlign w:val="center"/>
          </w:tcPr>
          <w:p w:rsidR="00F42924" w:rsidRDefault="007651F9">
            <w:pPr>
              <w:jc w:val="center"/>
            </w:pPr>
            <w:r>
              <w:rPr>
                <w:rFonts w:asciiTheme="minorEastAsia" w:eastAsiaTheme="minorEastAsia" w:hAnsiTheme="minorEastAsia"/>
                <w:color w:val="000000" w:themeColor="text1"/>
                <w:kern w:val="0"/>
              </w:rPr>
              <w:t>51.09%</w:t>
            </w:r>
          </w:p>
        </w:tc>
        <w:tc>
          <w:tcPr>
            <w:tcW w:w="1188" w:type="dxa"/>
            <w:vAlign w:val="center"/>
          </w:tcPr>
          <w:p w:rsidR="00F42924" w:rsidRDefault="007651F9">
            <w:pPr>
              <w:jc w:val="center"/>
            </w:pPr>
            <w:r>
              <w:rPr>
                <w:rFonts w:asciiTheme="minorEastAsia" w:eastAsiaTheme="minorEastAsia" w:hAnsiTheme="minorEastAsia"/>
                <w:color w:val="000000" w:themeColor="text1"/>
                <w:kern w:val="0"/>
              </w:rPr>
              <w:t>1.00%</w:t>
            </w:r>
          </w:p>
        </w:tc>
        <w:tc>
          <w:tcPr>
            <w:tcW w:w="1199" w:type="dxa"/>
            <w:vAlign w:val="center"/>
          </w:tcPr>
          <w:p w:rsidR="00F42924" w:rsidRDefault="007651F9">
            <w:pPr>
              <w:jc w:val="center"/>
            </w:pPr>
            <w:r>
              <w:rPr>
                <w:rFonts w:asciiTheme="minorEastAsia" w:eastAsiaTheme="minorEastAsia" w:hAnsiTheme="minorEastAsia"/>
                <w:color w:val="000000" w:themeColor="text1"/>
                <w:kern w:val="0"/>
              </w:rPr>
              <w:t>96.55%</w:t>
            </w:r>
          </w:p>
        </w:tc>
        <w:tc>
          <w:tcPr>
            <w:tcW w:w="1204" w:type="dxa"/>
            <w:vAlign w:val="center"/>
          </w:tcPr>
          <w:p w:rsidR="00F42924" w:rsidRDefault="007651F9">
            <w:pPr>
              <w:jc w:val="center"/>
            </w:pPr>
            <w:r>
              <w:rPr>
                <w:rFonts w:asciiTheme="minorEastAsia" w:eastAsiaTheme="minorEastAsia" w:hAnsiTheme="minorEastAsia"/>
                <w:color w:val="000000" w:themeColor="text1"/>
                <w:kern w:val="0"/>
              </w:rPr>
              <w:t>0.54%</w:t>
            </w:r>
          </w:p>
        </w:tc>
      </w:tr>
      <w:tr w:rsidR="00F42924">
        <w:tc>
          <w:tcPr>
            <w:tcW w:w="1395" w:type="dxa"/>
            <w:vAlign w:val="center"/>
          </w:tcPr>
          <w:p w:rsidR="00F42924" w:rsidRDefault="007651F9">
            <w:pPr>
              <w:jc w:val="left"/>
            </w:pPr>
            <w:r>
              <w:rPr>
                <w:rFonts w:asciiTheme="minorEastAsia" w:eastAsiaTheme="minorEastAsia" w:hAnsiTheme="minorEastAsia"/>
                <w:color w:val="000000" w:themeColor="text1"/>
                <w:kern w:val="0"/>
              </w:rPr>
              <w:t>自基金合同生效起至今</w:t>
            </w:r>
          </w:p>
        </w:tc>
        <w:tc>
          <w:tcPr>
            <w:tcW w:w="1092" w:type="dxa"/>
            <w:vAlign w:val="center"/>
          </w:tcPr>
          <w:p w:rsidR="00F42924" w:rsidRDefault="007651F9">
            <w:pPr>
              <w:jc w:val="center"/>
            </w:pPr>
            <w:r>
              <w:rPr>
                <w:rFonts w:asciiTheme="minorEastAsia" w:eastAsiaTheme="minorEastAsia" w:hAnsiTheme="minorEastAsia"/>
                <w:color w:val="000000" w:themeColor="text1"/>
                <w:kern w:val="0"/>
              </w:rPr>
              <w:t>479.74%</w:t>
            </w:r>
          </w:p>
        </w:tc>
        <w:tc>
          <w:tcPr>
            <w:tcW w:w="1161" w:type="dxa"/>
            <w:vAlign w:val="center"/>
          </w:tcPr>
          <w:p w:rsidR="00F42924" w:rsidRDefault="007651F9">
            <w:pPr>
              <w:jc w:val="center"/>
            </w:pPr>
            <w:r>
              <w:rPr>
                <w:rFonts w:asciiTheme="minorEastAsia" w:eastAsiaTheme="minorEastAsia" w:hAnsiTheme="minorEastAsia"/>
                <w:color w:val="000000" w:themeColor="text1"/>
                <w:kern w:val="0"/>
              </w:rPr>
              <w:t>1.86%</w:t>
            </w:r>
          </w:p>
        </w:tc>
        <w:tc>
          <w:tcPr>
            <w:tcW w:w="1181" w:type="dxa"/>
            <w:vAlign w:val="center"/>
          </w:tcPr>
          <w:p w:rsidR="00F42924" w:rsidRDefault="007651F9">
            <w:pPr>
              <w:jc w:val="center"/>
            </w:pPr>
            <w:r>
              <w:rPr>
                <w:rFonts w:asciiTheme="minorEastAsia" w:eastAsiaTheme="minorEastAsia" w:hAnsiTheme="minorEastAsia"/>
                <w:color w:val="000000" w:themeColor="text1"/>
                <w:kern w:val="0"/>
              </w:rPr>
              <w:t>120.03%</w:t>
            </w:r>
          </w:p>
        </w:tc>
        <w:tc>
          <w:tcPr>
            <w:tcW w:w="1188" w:type="dxa"/>
            <w:vAlign w:val="center"/>
          </w:tcPr>
          <w:p w:rsidR="00F42924" w:rsidRDefault="007651F9">
            <w:pPr>
              <w:jc w:val="center"/>
            </w:pPr>
            <w:r>
              <w:rPr>
                <w:rFonts w:asciiTheme="minorEastAsia" w:eastAsiaTheme="minorEastAsia" w:hAnsiTheme="minorEastAsia"/>
                <w:color w:val="000000" w:themeColor="text1"/>
                <w:kern w:val="0"/>
              </w:rPr>
              <w:t>1.26%</w:t>
            </w:r>
          </w:p>
        </w:tc>
        <w:tc>
          <w:tcPr>
            <w:tcW w:w="1199" w:type="dxa"/>
            <w:vAlign w:val="center"/>
          </w:tcPr>
          <w:p w:rsidR="00F42924" w:rsidRDefault="007651F9">
            <w:pPr>
              <w:jc w:val="center"/>
            </w:pPr>
            <w:r>
              <w:rPr>
                <w:rFonts w:asciiTheme="minorEastAsia" w:eastAsiaTheme="minorEastAsia" w:hAnsiTheme="minorEastAsia"/>
                <w:color w:val="000000" w:themeColor="text1"/>
                <w:kern w:val="0"/>
              </w:rPr>
              <w:t>359.71%</w:t>
            </w:r>
          </w:p>
        </w:tc>
        <w:tc>
          <w:tcPr>
            <w:tcW w:w="1204" w:type="dxa"/>
            <w:vAlign w:val="center"/>
          </w:tcPr>
          <w:p w:rsidR="00F42924" w:rsidRDefault="007651F9">
            <w:pPr>
              <w:jc w:val="center"/>
            </w:pPr>
            <w:r>
              <w:rPr>
                <w:rFonts w:asciiTheme="minorEastAsia" w:eastAsiaTheme="minorEastAsia" w:hAnsiTheme="minorEastAsia"/>
                <w:color w:val="000000" w:themeColor="text1"/>
                <w:kern w:val="0"/>
              </w:rPr>
              <w:t>0.60%</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e"/>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D06738" w:rsidRDefault="00454D20">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上投摩根核心优选混合型证券投资基金</w:t>
      </w:r>
    </w:p>
    <w:p w:rsidR="00D06738" w:rsidRDefault="00454D20">
      <w:pPr>
        <w:pStyle w:val="ae"/>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D06738" w:rsidRDefault="00454D20">
      <w:pPr>
        <w:pStyle w:val="ae"/>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lastRenderedPageBreak/>
        <w:t>(</w:t>
      </w:r>
      <w:r>
        <w:rPr>
          <w:rFonts w:asciiTheme="minorEastAsia" w:eastAsiaTheme="minorEastAsia" w:hAnsiTheme="minorEastAsia"/>
          <w:color w:val="000000" w:themeColor="text1"/>
        </w:rPr>
        <w:t>2012年11月28日</w:t>
      </w:r>
      <w:r>
        <w:rPr>
          <w:rFonts w:asciiTheme="minorEastAsia" w:eastAsiaTheme="minorEastAsia" w:hAnsiTheme="minorEastAsia" w:hint="eastAsia"/>
          <w:color w:val="000000" w:themeColor="text1"/>
        </w:rPr>
        <w:t>至2021年3月31日)</w:t>
      </w:r>
    </w:p>
    <w:p w:rsidR="00D06738" w:rsidRDefault="00454D20">
      <w:pPr>
        <w:pStyle w:val="ae"/>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F42924" w:rsidRDefault="007651F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注：本基金合同生效日为2012年11月28日，图示的时间段为合同生效日至本报告期末。</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本基金建仓期为本基金合同生效日起6个月，建仓期结束时资产配置比例符合本基金基金合同规定。</w:t>
      </w:r>
    </w:p>
    <w:p w:rsidR="00D06738" w:rsidRDefault="00D06738">
      <w:pPr>
        <w:tabs>
          <w:tab w:val="left" w:pos="1800"/>
        </w:tabs>
        <w:spacing w:line="360" w:lineRule="auto"/>
        <w:rPr>
          <w:rFonts w:asciiTheme="minorEastAsia" w:eastAsiaTheme="minorEastAsia" w:hAnsiTheme="minorEastAsia"/>
          <w:color w:val="000000" w:themeColor="text1"/>
          <w:sz w:val="24"/>
          <w:szCs w:val="24"/>
        </w:rPr>
      </w:pPr>
    </w:p>
    <w:p w:rsidR="00D06738" w:rsidRDefault="00D06738">
      <w:pPr>
        <w:tabs>
          <w:tab w:val="left" w:pos="1800"/>
        </w:tabs>
        <w:spacing w:line="288" w:lineRule="auto"/>
        <w:rPr>
          <w:rFonts w:asciiTheme="minorEastAsia" w:eastAsiaTheme="minorEastAsia" w:hAnsiTheme="minorEastAsia"/>
          <w:color w:val="000000" w:themeColor="text1"/>
          <w:sz w:val="24"/>
          <w:szCs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trPr>
          <w:cantSplit/>
          <w:trHeight w:val="292"/>
        </w:trPr>
        <w:tc>
          <w:tcPr>
            <w:tcW w:w="851"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D06738">
        <w:trPr>
          <w:cantSplit/>
        </w:trPr>
        <w:tc>
          <w:tcPr>
            <w:tcW w:w="851"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r>
      <w:tr w:rsidR="00F42924">
        <w:tc>
          <w:tcPr>
            <w:tcW w:w="851" w:type="dxa"/>
            <w:vAlign w:val="center"/>
          </w:tcPr>
          <w:p w:rsidR="00F42924" w:rsidRDefault="007651F9">
            <w:pPr>
              <w:jc w:val="center"/>
            </w:pPr>
            <w:r>
              <w:rPr>
                <w:rFonts w:asciiTheme="minorEastAsia" w:eastAsiaTheme="minorEastAsia" w:hAnsiTheme="minorEastAsia"/>
                <w:color w:val="000000" w:themeColor="text1"/>
              </w:rPr>
              <w:t>孙芳</w:t>
            </w:r>
          </w:p>
        </w:tc>
        <w:tc>
          <w:tcPr>
            <w:tcW w:w="850" w:type="dxa"/>
            <w:vAlign w:val="center"/>
          </w:tcPr>
          <w:p w:rsidR="00F42924" w:rsidRDefault="007651F9">
            <w:pPr>
              <w:jc w:val="center"/>
            </w:pPr>
            <w:r>
              <w:rPr>
                <w:rFonts w:asciiTheme="minorEastAsia" w:eastAsiaTheme="minorEastAsia" w:hAnsiTheme="minorEastAsia"/>
                <w:color w:val="000000" w:themeColor="text1"/>
              </w:rPr>
              <w:t>本基金基金经理、副总经理兼投资副总监</w:t>
            </w:r>
          </w:p>
        </w:tc>
        <w:tc>
          <w:tcPr>
            <w:tcW w:w="1560" w:type="dxa"/>
            <w:vAlign w:val="center"/>
          </w:tcPr>
          <w:p w:rsidR="00F42924" w:rsidRDefault="007651F9">
            <w:pPr>
              <w:jc w:val="center"/>
            </w:pPr>
            <w:r>
              <w:rPr>
                <w:rFonts w:asciiTheme="minorEastAsia" w:eastAsiaTheme="minorEastAsia" w:hAnsiTheme="minorEastAsia"/>
                <w:color w:val="000000" w:themeColor="text1"/>
              </w:rPr>
              <w:t>2012-11-28</w:t>
            </w:r>
          </w:p>
        </w:tc>
        <w:tc>
          <w:tcPr>
            <w:tcW w:w="1559" w:type="dxa"/>
            <w:vAlign w:val="center"/>
          </w:tcPr>
          <w:p w:rsidR="00F42924" w:rsidRDefault="007651F9">
            <w:pPr>
              <w:jc w:val="center"/>
            </w:pPr>
            <w:r>
              <w:rPr>
                <w:rFonts w:asciiTheme="minorEastAsia" w:eastAsiaTheme="minorEastAsia" w:hAnsiTheme="minorEastAsia"/>
                <w:color w:val="000000" w:themeColor="text1"/>
              </w:rPr>
              <w:t>-</w:t>
            </w:r>
          </w:p>
        </w:tc>
        <w:tc>
          <w:tcPr>
            <w:tcW w:w="1417" w:type="dxa"/>
            <w:vAlign w:val="center"/>
          </w:tcPr>
          <w:p w:rsidR="00F42924" w:rsidRDefault="007651F9">
            <w:pPr>
              <w:jc w:val="center"/>
            </w:pPr>
            <w:r>
              <w:rPr>
                <w:rFonts w:asciiTheme="minorEastAsia" w:eastAsiaTheme="minorEastAsia" w:hAnsiTheme="minorEastAsia"/>
                <w:color w:val="000000" w:themeColor="text1"/>
              </w:rPr>
              <w:t>18年</w:t>
            </w:r>
          </w:p>
        </w:tc>
        <w:tc>
          <w:tcPr>
            <w:tcW w:w="2694" w:type="dxa"/>
            <w:vAlign w:val="center"/>
          </w:tcPr>
          <w:p w:rsidR="00F42924" w:rsidRDefault="007651F9">
            <w:r>
              <w:rPr>
                <w:rFonts w:asciiTheme="minorEastAsia" w:eastAsiaTheme="minorEastAsia" w:hAnsiTheme="minorEastAsia"/>
                <w:color w:val="000000" w:themeColor="text1"/>
              </w:rPr>
              <w:t>孙芳女士，华东师范大学经济学硕士，2003年7月至2006年10月任华宝兴业基金行业研究员。2006年12月起加入上投摩根基金管理有限公司，先后担任行业专家、基金经理助理、研究部副总监、基金经理、总经理助理/国内权益投资二部总监兼资深基金经理、副总经理兼投资副总监。自2011</w:t>
            </w:r>
            <w:r>
              <w:rPr>
                <w:rFonts w:asciiTheme="minorEastAsia" w:eastAsiaTheme="minorEastAsia" w:hAnsiTheme="minorEastAsia"/>
                <w:color w:val="000000" w:themeColor="text1"/>
              </w:rPr>
              <w:lastRenderedPageBreak/>
              <w:t>年12月起担任上投摩根双息平衡混合型证券投资基金基金经理，自2012年11月起同时担任上投摩根核心优选混合型证券投资基金基金经理，2014年2月至2015年7月同时担任上投摩根核心成长股票型证券投资基金基金经理，自2014年12月起同时担任上投摩根行业轮动混合型证券投资基金基金经理，自2021年2月起同时担任上投摩根行业睿选股票型证券投资基金基金经理。</w:t>
            </w:r>
          </w:p>
        </w:tc>
      </w:tr>
    </w:tbl>
    <w:p w:rsidR="00F42924" w:rsidRDefault="007651F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注：1.任职日期和离任日期均指根据公司决定确定的聘任日期和解聘日期。</w:t>
      </w:r>
    </w:p>
    <w:p w:rsidR="00F42924" w:rsidRDefault="007651F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2.孙芳女士为本基金首任基金经理，其任职日期指本基金基金合同生效之日。</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3.证券从业的含义遵从行业协会《证券业从业人员资格管理办法》的相关规定。</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核心优选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F42924" w:rsidRDefault="007651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42924" w:rsidRDefault="007651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w:t>
      </w:r>
      <w:r>
        <w:rPr>
          <w:rFonts w:asciiTheme="minorEastAsia" w:eastAsiaTheme="minorEastAsia" w:hAnsiTheme="minorEastAsia"/>
          <w:color w:val="000000" w:themeColor="text1"/>
        </w:rPr>
        <w:lastRenderedPageBreak/>
        <w:t>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F42924" w:rsidRDefault="007651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F42924" w:rsidRDefault="007651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2021年一季度市场经历了较大波动。在年初经历快速上涨后，二月中旬各个主要指数均出现明显回调。一季度上证综指微跌0.90%，沪深300收跌3.13%，创业板指数收跌7.00%。同时，市场风格出现了明显变化，2020年涨幅滞后、估值偏低的钢铁、公用事业、轻工、银行等板块，进入2021年以来涨幅领先，而过往的“核心资产”如医药、食品饮料等行业，一季度期间从高点明显回落。导致市场出现转变的直接因素是对于流动性收缩的担忧，美债十年期收益率、通胀水平等成为投资者非常关注的指标，这直接带来了对市场估值的压制，高估值的板块受损严重，而低估值的板块相对优势凸显。</w:t>
      </w:r>
    </w:p>
    <w:p w:rsidR="00F42924" w:rsidRDefault="007651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此我们的看法是今年货币政策回归常态化，货币投放量将与经济增长相匹配，无须过度担忧。经济过热和过冷都属于小概率事件，宏观经济整体稳定。市场表现亦将同步于经济基本面，主要取决于利润增长，估值则应调整到合理水平。</w:t>
      </w:r>
    </w:p>
    <w:p w:rsidR="00F42924" w:rsidRDefault="007651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在一季度维持了较高仓位，未基于前述原因做仓位的大幅增减，但在结构上进行了调整。对于核心资产，着重分析了后续的盈利相关因素，减持了医药、电子、食品饮料、电力设备等行业的配置比重，保留了其中具备核心竞争力、行业景气度改善、并且估值相对合理的个股。同时增加了有色、家电、建材、钢铁、银行等行业的权重。</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从2020年下半年以来，全球进入一轮较为明显的经济复苏期。展望后市，中国经济在全球依然处于优势位置，宏观经济继续改善，A股整体盈利增速提升，企业基本面向好，这</w:t>
      </w:r>
      <w:r>
        <w:rPr>
          <w:rFonts w:asciiTheme="minorEastAsia" w:eastAsiaTheme="minorEastAsia" w:hAnsiTheme="minorEastAsia"/>
          <w:color w:val="000000" w:themeColor="text1"/>
        </w:rPr>
        <w:lastRenderedPageBreak/>
        <w:t>给市场奠定了稳定的基础。对于政策取向在后续可以持续观察，但我们认为最大的变化已经被市场所反映，此后影响将越来越小。本基金将化整为零，基于个股基本面来争取收益；着重关注企业盈利向好、估值具有安全边际的企业，进行长期投资。投资方向上，我们长期看好大消费、科技、先进制造、医药等行业，这些行业将长期受益于中国国内国际双循环的新发展格局和国内的人口素质红利。在中期，我们认为顺周期产业中亦有部分公司可以持续占领行业高位，获得稳定利润。在个股选择上，我们优选具有广阔行业前景、拥有核心竞争力、具备企业家精神的公司，我们相信优秀公司不断进化的能力，希望通过投资优秀的公司获得长期稳定的超额收益，使基金投资人分享中国经济增长的红利。</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本报告期上投摩根核心优选混合份额净值增长率为:-0.60%，同期业绩比较基准收益率为:-2.54%。</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795,676,997.47</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91.75</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795,676,997.47</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91.75</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129,000.00</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0.01</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129,000.00</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0.01</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D06738" w:rsidRDefault="00454D20">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w:t>
            </w:r>
            <w:r>
              <w:rPr>
                <w:rFonts w:asciiTheme="minorEastAsia" w:eastAsiaTheme="minorEastAsia" w:hAnsiTheme="minorEastAsia" w:cs="宋体" w:hint="eastAsia"/>
                <w:color w:val="000000" w:themeColor="text1"/>
                <w:kern w:val="0"/>
              </w:rPr>
              <w:lastRenderedPageBreak/>
              <w:t>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lastRenderedPageBreak/>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69,749,093.87</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8.04</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1,661,197.84</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0.19</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867,216,289.18</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D06738" w:rsidRDefault="00454D20">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16,746,836.41</w:t>
            </w:r>
          </w:p>
          <w:p w:rsidR="00D06738" w:rsidRDefault="00D06738">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1.95</w:t>
            </w:r>
          </w:p>
          <w:p w:rsidR="00D06738" w:rsidRDefault="00D06738">
            <w:pPr>
              <w:jc w:val="right"/>
              <w:rPr>
                <w:rFonts w:asciiTheme="minorEastAsia" w:eastAsiaTheme="minorEastAsia" w:hAnsiTheme="minorEastAsia" w:cs="宋体"/>
                <w:color w:val="000000" w:themeColor="text1"/>
                <w:kern w:val="0"/>
              </w:rPr>
            </w:pP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686,225,267.84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80.03</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7,674,348.72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0.90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12,580.00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118,938.20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0.01</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31,542,059.08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3.68</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20,421,384.40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2.38</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19,711,552.00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2.30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13,034,964.40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1.52</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189,066.42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0.02</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D06738">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795,676,997.47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92.79</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f4"/>
        <w:tblW w:w="8528" w:type="dxa"/>
        <w:tblLayout w:type="fixed"/>
        <w:tblLook w:val="04A0" w:firstRow="1" w:lastRow="0" w:firstColumn="1" w:lastColumn="0" w:noHBand="0" w:noVBand="1"/>
      </w:tblPr>
      <w:tblGrid>
        <w:gridCol w:w="817"/>
        <w:gridCol w:w="1276"/>
        <w:gridCol w:w="1701"/>
        <w:gridCol w:w="1276"/>
        <w:gridCol w:w="1842"/>
        <w:gridCol w:w="1616"/>
      </w:tblGrid>
      <w:tr w:rsidR="00D06738">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lastRenderedPageBreak/>
              <w:t>序号</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F42924">
        <w:tc>
          <w:tcPr>
            <w:tcW w:w="817" w:type="dxa"/>
            <w:vAlign w:val="center"/>
          </w:tcPr>
          <w:p w:rsidR="00F42924" w:rsidRDefault="007651F9">
            <w:pPr>
              <w:jc w:val="center"/>
            </w:pPr>
            <w:r>
              <w:rPr>
                <w:rFonts w:asciiTheme="minorEastAsia" w:eastAsiaTheme="minorEastAsia" w:hAnsiTheme="minorEastAsia" w:cs="宋体"/>
                <w:color w:val="000000" w:themeColor="text1"/>
                <w:kern w:val="0"/>
              </w:rPr>
              <w:t>1</w:t>
            </w:r>
          </w:p>
        </w:tc>
        <w:tc>
          <w:tcPr>
            <w:tcW w:w="1276" w:type="dxa"/>
            <w:vAlign w:val="center"/>
          </w:tcPr>
          <w:p w:rsidR="00F42924" w:rsidRDefault="007651F9">
            <w:pPr>
              <w:jc w:val="center"/>
            </w:pPr>
            <w:r>
              <w:rPr>
                <w:rFonts w:asciiTheme="minorEastAsia" w:eastAsiaTheme="minorEastAsia" w:hAnsiTheme="minorEastAsia" w:cs="宋体"/>
                <w:color w:val="000000" w:themeColor="text1"/>
                <w:kern w:val="0"/>
              </w:rPr>
              <w:t>603486</w:t>
            </w:r>
          </w:p>
        </w:tc>
        <w:tc>
          <w:tcPr>
            <w:tcW w:w="1701" w:type="dxa"/>
            <w:vAlign w:val="center"/>
          </w:tcPr>
          <w:p w:rsidR="00F42924" w:rsidRDefault="007651F9">
            <w:pPr>
              <w:jc w:val="center"/>
            </w:pPr>
            <w:r>
              <w:rPr>
                <w:rFonts w:asciiTheme="minorEastAsia" w:eastAsiaTheme="minorEastAsia" w:hAnsiTheme="minorEastAsia" w:cs="宋体"/>
                <w:color w:val="000000" w:themeColor="text1"/>
                <w:kern w:val="0"/>
              </w:rPr>
              <w:t>科沃斯</w:t>
            </w:r>
          </w:p>
        </w:tc>
        <w:tc>
          <w:tcPr>
            <w:tcW w:w="1276" w:type="dxa"/>
            <w:vAlign w:val="center"/>
          </w:tcPr>
          <w:p w:rsidR="00F42924" w:rsidRDefault="007651F9">
            <w:pPr>
              <w:jc w:val="right"/>
            </w:pPr>
            <w:r>
              <w:rPr>
                <w:rFonts w:asciiTheme="minorEastAsia" w:eastAsiaTheme="minorEastAsia" w:hAnsiTheme="minorEastAsia" w:cs="宋体"/>
                <w:color w:val="000000" w:themeColor="text1"/>
                <w:kern w:val="0"/>
              </w:rPr>
              <w:t>596,334</w:t>
            </w:r>
          </w:p>
        </w:tc>
        <w:tc>
          <w:tcPr>
            <w:tcW w:w="1842" w:type="dxa"/>
            <w:vAlign w:val="center"/>
          </w:tcPr>
          <w:p w:rsidR="00F42924" w:rsidRDefault="007651F9">
            <w:pPr>
              <w:jc w:val="right"/>
            </w:pPr>
            <w:r>
              <w:rPr>
                <w:rFonts w:asciiTheme="minorEastAsia" w:eastAsiaTheme="minorEastAsia" w:hAnsiTheme="minorEastAsia" w:cs="宋体"/>
                <w:color w:val="000000" w:themeColor="text1"/>
                <w:kern w:val="0"/>
              </w:rPr>
              <w:t>81,399,591.00</w:t>
            </w:r>
          </w:p>
        </w:tc>
        <w:tc>
          <w:tcPr>
            <w:tcW w:w="1616" w:type="dxa"/>
            <w:vAlign w:val="center"/>
          </w:tcPr>
          <w:p w:rsidR="00F42924" w:rsidRDefault="007651F9">
            <w:pPr>
              <w:jc w:val="right"/>
            </w:pPr>
            <w:r>
              <w:rPr>
                <w:rFonts w:asciiTheme="minorEastAsia" w:eastAsiaTheme="minorEastAsia" w:hAnsiTheme="minorEastAsia" w:cs="宋体"/>
                <w:color w:val="000000" w:themeColor="text1"/>
                <w:kern w:val="0"/>
              </w:rPr>
              <w:t>9.49</w:t>
            </w:r>
          </w:p>
        </w:tc>
      </w:tr>
      <w:tr w:rsidR="00F42924">
        <w:tc>
          <w:tcPr>
            <w:tcW w:w="817" w:type="dxa"/>
            <w:vAlign w:val="center"/>
          </w:tcPr>
          <w:p w:rsidR="00F42924" w:rsidRDefault="007651F9">
            <w:pPr>
              <w:jc w:val="center"/>
            </w:pPr>
            <w:r>
              <w:rPr>
                <w:rFonts w:asciiTheme="minorEastAsia" w:eastAsiaTheme="minorEastAsia" w:hAnsiTheme="minorEastAsia" w:cs="宋体"/>
                <w:color w:val="000000" w:themeColor="text1"/>
                <w:kern w:val="0"/>
              </w:rPr>
              <w:t>2</w:t>
            </w:r>
          </w:p>
        </w:tc>
        <w:tc>
          <w:tcPr>
            <w:tcW w:w="1276" w:type="dxa"/>
            <w:vAlign w:val="center"/>
          </w:tcPr>
          <w:p w:rsidR="00F42924" w:rsidRDefault="007651F9">
            <w:pPr>
              <w:jc w:val="center"/>
            </w:pPr>
            <w:r>
              <w:rPr>
                <w:rFonts w:asciiTheme="minorEastAsia" w:eastAsiaTheme="minorEastAsia" w:hAnsiTheme="minorEastAsia" w:cs="宋体"/>
                <w:color w:val="000000" w:themeColor="text1"/>
                <w:kern w:val="0"/>
              </w:rPr>
              <w:t>688169</w:t>
            </w:r>
          </w:p>
        </w:tc>
        <w:tc>
          <w:tcPr>
            <w:tcW w:w="1701" w:type="dxa"/>
            <w:vAlign w:val="center"/>
          </w:tcPr>
          <w:p w:rsidR="00F42924" w:rsidRDefault="007651F9">
            <w:pPr>
              <w:jc w:val="center"/>
            </w:pPr>
            <w:r>
              <w:rPr>
                <w:rFonts w:asciiTheme="minorEastAsia" w:eastAsiaTheme="minorEastAsia" w:hAnsiTheme="minorEastAsia" w:cs="宋体"/>
                <w:color w:val="000000" w:themeColor="text1"/>
                <w:kern w:val="0"/>
              </w:rPr>
              <w:t>石头科技</w:t>
            </w:r>
          </w:p>
        </w:tc>
        <w:tc>
          <w:tcPr>
            <w:tcW w:w="1276" w:type="dxa"/>
            <w:vAlign w:val="center"/>
          </w:tcPr>
          <w:p w:rsidR="00F42924" w:rsidRDefault="007651F9">
            <w:pPr>
              <w:jc w:val="right"/>
            </w:pPr>
            <w:r>
              <w:rPr>
                <w:rFonts w:asciiTheme="minorEastAsia" w:eastAsiaTheme="minorEastAsia" w:hAnsiTheme="minorEastAsia" w:cs="宋体"/>
                <w:color w:val="000000" w:themeColor="text1"/>
                <w:kern w:val="0"/>
              </w:rPr>
              <w:t>58,564</w:t>
            </w:r>
          </w:p>
        </w:tc>
        <w:tc>
          <w:tcPr>
            <w:tcW w:w="1842" w:type="dxa"/>
            <w:vAlign w:val="center"/>
          </w:tcPr>
          <w:p w:rsidR="00F42924" w:rsidRDefault="007651F9">
            <w:pPr>
              <w:jc w:val="right"/>
            </w:pPr>
            <w:r>
              <w:rPr>
                <w:rFonts w:asciiTheme="minorEastAsia" w:eastAsiaTheme="minorEastAsia" w:hAnsiTheme="minorEastAsia" w:cs="宋体"/>
                <w:color w:val="000000" w:themeColor="text1"/>
                <w:kern w:val="0"/>
              </w:rPr>
              <w:t>68,344,188.00</w:t>
            </w:r>
          </w:p>
        </w:tc>
        <w:tc>
          <w:tcPr>
            <w:tcW w:w="1616" w:type="dxa"/>
            <w:vAlign w:val="center"/>
          </w:tcPr>
          <w:p w:rsidR="00F42924" w:rsidRDefault="007651F9">
            <w:pPr>
              <w:jc w:val="right"/>
            </w:pPr>
            <w:r>
              <w:rPr>
                <w:rFonts w:asciiTheme="minorEastAsia" w:eastAsiaTheme="minorEastAsia" w:hAnsiTheme="minorEastAsia" w:cs="宋体"/>
                <w:color w:val="000000" w:themeColor="text1"/>
                <w:kern w:val="0"/>
              </w:rPr>
              <w:t>7.97</w:t>
            </w:r>
          </w:p>
        </w:tc>
      </w:tr>
      <w:tr w:rsidR="00F42924">
        <w:tc>
          <w:tcPr>
            <w:tcW w:w="817" w:type="dxa"/>
            <w:vAlign w:val="center"/>
          </w:tcPr>
          <w:p w:rsidR="00F42924" w:rsidRDefault="007651F9">
            <w:pPr>
              <w:jc w:val="center"/>
            </w:pPr>
            <w:r>
              <w:rPr>
                <w:rFonts w:asciiTheme="minorEastAsia" w:eastAsiaTheme="minorEastAsia" w:hAnsiTheme="minorEastAsia" w:cs="宋体"/>
                <w:color w:val="000000" w:themeColor="text1"/>
                <w:kern w:val="0"/>
              </w:rPr>
              <w:t>3</w:t>
            </w:r>
          </w:p>
        </w:tc>
        <w:tc>
          <w:tcPr>
            <w:tcW w:w="1276" w:type="dxa"/>
            <w:vAlign w:val="center"/>
          </w:tcPr>
          <w:p w:rsidR="00F42924" w:rsidRDefault="007651F9">
            <w:pPr>
              <w:jc w:val="center"/>
            </w:pPr>
            <w:r>
              <w:rPr>
                <w:rFonts w:asciiTheme="minorEastAsia" w:eastAsiaTheme="minorEastAsia" w:hAnsiTheme="minorEastAsia" w:cs="宋体"/>
                <w:color w:val="000000" w:themeColor="text1"/>
                <w:kern w:val="0"/>
              </w:rPr>
              <w:t>000661</w:t>
            </w:r>
          </w:p>
        </w:tc>
        <w:tc>
          <w:tcPr>
            <w:tcW w:w="1701" w:type="dxa"/>
            <w:vAlign w:val="center"/>
          </w:tcPr>
          <w:p w:rsidR="00F42924" w:rsidRDefault="007651F9">
            <w:pPr>
              <w:jc w:val="center"/>
            </w:pPr>
            <w:r>
              <w:rPr>
                <w:rFonts w:asciiTheme="minorEastAsia" w:eastAsiaTheme="minorEastAsia" w:hAnsiTheme="minorEastAsia" w:cs="宋体"/>
                <w:color w:val="000000" w:themeColor="text1"/>
                <w:kern w:val="0"/>
              </w:rPr>
              <w:t>长春高新</w:t>
            </w:r>
          </w:p>
        </w:tc>
        <w:tc>
          <w:tcPr>
            <w:tcW w:w="1276" w:type="dxa"/>
            <w:vAlign w:val="center"/>
          </w:tcPr>
          <w:p w:rsidR="00F42924" w:rsidRDefault="007651F9">
            <w:pPr>
              <w:jc w:val="right"/>
            </w:pPr>
            <w:r>
              <w:rPr>
                <w:rFonts w:asciiTheme="minorEastAsia" w:eastAsiaTheme="minorEastAsia" w:hAnsiTheme="minorEastAsia" w:cs="宋体"/>
                <w:color w:val="000000" w:themeColor="text1"/>
                <w:kern w:val="0"/>
              </w:rPr>
              <w:t>111,121</w:t>
            </w:r>
          </w:p>
        </w:tc>
        <w:tc>
          <w:tcPr>
            <w:tcW w:w="1842" w:type="dxa"/>
            <w:vAlign w:val="center"/>
          </w:tcPr>
          <w:p w:rsidR="00F42924" w:rsidRDefault="007651F9">
            <w:pPr>
              <w:jc w:val="right"/>
            </w:pPr>
            <w:r>
              <w:rPr>
                <w:rFonts w:asciiTheme="minorEastAsia" w:eastAsiaTheme="minorEastAsia" w:hAnsiTheme="minorEastAsia" w:cs="宋体"/>
                <w:color w:val="000000" w:themeColor="text1"/>
                <w:kern w:val="0"/>
              </w:rPr>
              <w:t>50,307,810.33</w:t>
            </w:r>
          </w:p>
        </w:tc>
        <w:tc>
          <w:tcPr>
            <w:tcW w:w="1616" w:type="dxa"/>
            <w:vAlign w:val="center"/>
          </w:tcPr>
          <w:p w:rsidR="00F42924" w:rsidRDefault="007651F9">
            <w:pPr>
              <w:jc w:val="right"/>
            </w:pPr>
            <w:r>
              <w:rPr>
                <w:rFonts w:asciiTheme="minorEastAsia" w:eastAsiaTheme="minorEastAsia" w:hAnsiTheme="minorEastAsia" w:cs="宋体"/>
                <w:color w:val="000000" w:themeColor="text1"/>
                <w:kern w:val="0"/>
              </w:rPr>
              <w:t>5.87</w:t>
            </w:r>
          </w:p>
        </w:tc>
      </w:tr>
      <w:tr w:rsidR="00F42924">
        <w:tc>
          <w:tcPr>
            <w:tcW w:w="817" w:type="dxa"/>
            <w:vAlign w:val="center"/>
          </w:tcPr>
          <w:p w:rsidR="00F42924" w:rsidRDefault="007651F9">
            <w:pPr>
              <w:jc w:val="center"/>
            </w:pPr>
            <w:r>
              <w:rPr>
                <w:rFonts w:asciiTheme="minorEastAsia" w:eastAsiaTheme="minorEastAsia" w:hAnsiTheme="minorEastAsia" w:cs="宋体"/>
                <w:color w:val="000000" w:themeColor="text1"/>
                <w:kern w:val="0"/>
              </w:rPr>
              <w:t>4</w:t>
            </w:r>
          </w:p>
        </w:tc>
        <w:tc>
          <w:tcPr>
            <w:tcW w:w="1276" w:type="dxa"/>
            <w:vAlign w:val="center"/>
          </w:tcPr>
          <w:p w:rsidR="00F42924" w:rsidRDefault="007651F9">
            <w:pPr>
              <w:jc w:val="center"/>
            </w:pPr>
            <w:r>
              <w:rPr>
                <w:rFonts w:asciiTheme="minorEastAsia" w:eastAsiaTheme="minorEastAsia" w:hAnsiTheme="minorEastAsia" w:cs="宋体"/>
                <w:color w:val="000000" w:themeColor="text1"/>
                <w:kern w:val="0"/>
              </w:rPr>
              <w:t>600438</w:t>
            </w:r>
          </w:p>
        </w:tc>
        <w:tc>
          <w:tcPr>
            <w:tcW w:w="1701" w:type="dxa"/>
            <w:vAlign w:val="center"/>
          </w:tcPr>
          <w:p w:rsidR="00F42924" w:rsidRDefault="007651F9">
            <w:pPr>
              <w:jc w:val="center"/>
            </w:pPr>
            <w:r>
              <w:rPr>
                <w:rFonts w:asciiTheme="minorEastAsia" w:eastAsiaTheme="minorEastAsia" w:hAnsiTheme="minorEastAsia" w:cs="宋体"/>
                <w:color w:val="000000" w:themeColor="text1"/>
                <w:kern w:val="0"/>
              </w:rPr>
              <w:t>通威股份</w:t>
            </w:r>
          </w:p>
        </w:tc>
        <w:tc>
          <w:tcPr>
            <w:tcW w:w="1276" w:type="dxa"/>
            <w:vAlign w:val="center"/>
          </w:tcPr>
          <w:p w:rsidR="00F42924" w:rsidRDefault="007651F9">
            <w:pPr>
              <w:jc w:val="right"/>
            </w:pPr>
            <w:r>
              <w:rPr>
                <w:rFonts w:asciiTheme="minorEastAsia" w:eastAsiaTheme="minorEastAsia" w:hAnsiTheme="minorEastAsia" w:cs="宋体"/>
                <w:color w:val="000000" w:themeColor="text1"/>
                <w:kern w:val="0"/>
              </w:rPr>
              <w:t>1,529,845</w:t>
            </w:r>
          </w:p>
        </w:tc>
        <w:tc>
          <w:tcPr>
            <w:tcW w:w="1842" w:type="dxa"/>
            <w:vAlign w:val="center"/>
          </w:tcPr>
          <w:p w:rsidR="00F42924" w:rsidRDefault="007651F9">
            <w:pPr>
              <w:jc w:val="right"/>
            </w:pPr>
            <w:r>
              <w:rPr>
                <w:rFonts w:asciiTheme="minorEastAsia" w:eastAsiaTheme="minorEastAsia" w:hAnsiTheme="minorEastAsia" w:cs="宋体"/>
                <w:color w:val="000000" w:themeColor="text1"/>
                <w:kern w:val="0"/>
              </w:rPr>
              <w:t>50,087,125.30</w:t>
            </w:r>
          </w:p>
        </w:tc>
        <w:tc>
          <w:tcPr>
            <w:tcW w:w="1616" w:type="dxa"/>
            <w:vAlign w:val="center"/>
          </w:tcPr>
          <w:p w:rsidR="00F42924" w:rsidRDefault="007651F9">
            <w:pPr>
              <w:jc w:val="right"/>
            </w:pPr>
            <w:r>
              <w:rPr>
                <w:rFonts w:asciiTheme="minorEastAsia" w:eastAsiaTheme="minorEastAsia" w:hAnsiTheme="minorEastAsia" w:cs="宋体"/>
                <w:color w:val="000000" w:themeColor="text1"/>
                <w:kern w:val="0"/>
              </w:rPr>
              <w:t>5.84</w:t>
            </w:r>
          </w:p>
        </w:tc>
      </w:tr>
      <w:tr w:rsidR="00F42924">
        <w:tc>
          <w:tcPr>
            <w:tcW w:w="817" w:type="dxa"/>
            <w:vAlign w:val="center"/>
          </w:tcPr>
          <w:p w:rsidR="00F42924" w:rsidRDefault="007651F9">
            <w:pPr>
              <w:jc w:val="center"/>
            </w:pPr>
            <w:r>
              <w:rPr>
                <w:rFonts w:asciiTheme="minorEastAsia" w:eastAsiaTheme="minorEastAsia" w:hAnsiTheme="minorEastAsia" w:cs="宋体"/>
                <w:color w:val="000000" w:themeColor="text1"/>
                <w:kern w:val="0"/>
              </w:rPr>
              <w:t>5</w:t>
            </w:r>
          </w:p>
        </w:tc>
        <w:tc>
          <w:tcPr>
            <w:tcW w:w="1276" w:type="dxa"/>
            <w:vAlign w:val="center"/>
          </w:tcPr>
          <w:p w:rsidR="00F42924" w:rsidRDefault="007651F9">
            <w:pPr>
              <w:jc w:val="center"/>
            </w:pPr>
            <w:r>
              <w:rPr>
                <w:rFonts w:asciiTheme="minorEastAsia" w:eastAsiaTheme="minorEastAsia" w:hAnsiTheme="minorEastAsia" w:cs="宋体"/>
                <w:color w:val="000000" w:themeColor="text1"/>
                <w:kern w:val="0"/>
              </w:rPr>
              <w:t>300750</w:t>
            </w:r>
          </w:p>
        </w:tc>
        <w:tc>
          <w:tcPr>
            <w:tcW w:w="1701" w:type="dxa"/>
            <w:vAlign w:val="center"/>
          </w:tcPr>
          <w:p w:rsidR="00F42924" w:rsidRDefault="007651F9">
            <w:pPr>
              <w:jc w:val="center"/>
            </w:pPr>
            <w:r>
              <w:rPr>
                <w:rFonts w:asciiTheme="minorEastAsia" w:eastAsiaTheme="minorEastAsia" w:hAnsiTheme="minorEastAsia" w:cs="宋体"/>
                <w:color w:val="000000" w:themeColor="text1"/>
                <w:kern w:val="0"/>
              </w:rPr>
              <w:t>宁德时代</w:t>
            </w:r>
          </w:p>
        </w:tc>
        <w:tc>
          <w:tcPr>
            <w:tcW w:w="1276" w:type="dxa"/>
            <w:vAlign w:val="center"/>
          </w:tcPr>
          <w:p w:rsidR="00F42924" w:rsidRDefault="007651F9">
            <w:pPr>
              <w:jc w:val="right"/>
            </w:pPr>
            <w:r>
              <w:rPr>
                <w:rFonts w:asciiTheme="minorEastAsia" w:eastAsiaTheme="minorEastAsia" w:hAnsiTheme="minorEastAsia" w:cs="宋体"/>
                <w:color w:val="000000" w:themeColor="text1"/>
                <w:kern w:val="0"/>
              </w:rPr>
              <w:t>154,232</w:t>
            </w:r>
          </w:p>
        </w:tc>
        <w:tc>
          <w:tcPr>
            <w:tcW w:w="1842" w:type="dxa"/>
            <w:vAlign w:val="center"/>
          </w:tcPr>
          <w:p w:rsidR="00F42924" w:rsidRDefault="007651F9">
            <w:pPr>
              <w:jc w:val="right"/>
            </w:pPr>
            <w:r>
              <w:rPr>
                <w:rFonts w:asciiTheme="minorEastAsia" w:eastAsiaTheme="minorEastAsia" w:hAnsiTheme="minorEastAsia" w:cs="宋体"/>
                <w:color w:val="000000" w:themeColor="text1"/>
                <w:kern w:val="0"/>
              </w:rPr>
              <w:t>49,688,923.44</w:t>
            </w:r>
          </w:p>
        </w:tc>
        <w:tc>
          <w:tcPr>
            <w:tcW w:w="1616" w:type="dxa"/>
            <w:vAlign w:val="center"/>
          </w:tcPr>
          <w:p w:rsidR="00F42924" w:rsidRDefault="007651F9">
            <w:pPr>
              <w:jc w:val="right"/>
            </w:pPr>
            <w:r>
              <w:rPr>
                <w:rFonts w:asciiTheme="minorEastAsia" w:eastAsiaTheme="minorEastAsia" w:hAnsiTheme="minorEastAsia" w:cs="宋体"/>
                <w:color w:val="000000" w:themeColor="text1"/>
                <w:kern w:val="0"/>
              </w:rPr>
              <w:t>5.79</w:t>
            </w:r>
          </w:p>
        </w:tc>
      </w:tr>
      <w:tr w:rsidR="00F42924">
        <w:tc>
          <w:tcPr>
            <w:tcW w:w="817" w:type="dxa"/>
            <w:vAlign w:val="center"/>
          </w:tcPr>
          <w:p w:rsidR="00F42924" w:rsidRDefault="007651F9">
            <w:pPr>
              <w:jc w:val="center"/>
            </w:pPr>
            <w:r>
              <w:rPr>
                <w:rFonts w:asciiTheme="minorEastAsia" w:eastAsiaTheme="minorEastAsia" w:hAnsiTheme="minorEastAsia" w:cs="宋体"/>
                <w:color w:val="000000" w:themeColor="text1"/>
                <w:kern w:val="0"/>
              </w:rPr>
              <w:t>6</w:t>
            </w:r>
          </w:p>
        </w:tc>
        <w:tc>
          <w:tcPr>
            <w:tcW w:w="1276" w:type="dxa"/>
            <w:vAlign w:val="center"/>
          </w:tcPr>
          <w:p w:rsidR="00F42924" w:rsidRDefault="007651F9">
            <w:pPr>
              <w:jc w:val="center"/>
            </w:pPr>
            <w:r>
              <w:rPr>
                <w:rFonts w:asciiTheme="minorEastAsia" w:eastAsiaTheme="minorEastAsia" w:hAnsiTheme="minorEastAsia" w:cs="宋体"/>
                <w:color w:val="000000" w:themeColor="text1"/>
                <w:kern w:val="0"/>
              </w:rPr>
              <w:t>600031</w:t>
            </w:r>
          </w:p>
        </w:tc>
        <w:tc>
          <w:tcPr>
            <w:tcW w:w="1701" w:type="dxa"/>
            <w:vAlign w:val="center"/>
          </w:tcPr>
          <w:p w:rsidR="00F42924" w:rsidRDefault="007651F9">
            <w:pPr>
              <w:jc w:val="center"/>
            </w:pPr>
            <w:r>
              <w:rPr>
                <w:rFonts w:asciiTheme="minorEastAsia" w:eastAsiaTheme="minorEastAsia" w:hAnsiTheme="minorEastAsia" w:cs="宋体"/>
                <w:color w:val="000000" w:themeColor="text1"/>
                <w:kern w:val="0"/>
              </w:rPr>
              <w:t>三一重工</w:t>
            </w:r>
          </w:p>
        </w:tc>
        <w:tc>
          <w:tcPr>
            <w:tcW w:w="1276" w:type="dxa"/>
            <w:vAlign w:val="center"/>
          </w:tcPr>
          <w:p w:rsidR="00F42924" w:rsidRDefault="007651F9">
            <w:pPr>
              <w:jc w:val="right"/>
            </w:pPr>
            <w:r>
              <w:rPr>
                <w:rFonts w:asciiTheme="minorEastAsia" w:eastAsiaTheme="minorEastAsia" w:hAnsiTheme="minorEastAsia" w:cs="宋体"/>
                <w:color w:val="000000" w:themeColor="text1"/>
                <w:kern w:val="0"/>
              </w:rPr>
              <w:t>1,134,170</w:t>
            </w:r>
          </w:p>
        </w:tc>
        <w:tc>
          <w:tcPr>
            <w:tcW w:w="1842" w:type="dxa"/>
            <w:vAlign w:val="center"/>
          </w:tcPr>
          <w:p w:rsidR="00F42924" w:rsidRDefault="007651F9">
            <w:pPr>
              <w:jc w:val="right"/>
            </w:pPr>
            <w:r>
              <w:rPr>
                <w:rFonts w:asciiTheme="minorEastAsia" w:eastAsiaTheme="minorEastAsia" w:hAnsiTheme="minorEastAsia" w:cs="宋体"/>
                <w:color w:val="000000" w:themeColor="text1"/>
                <w:kern w:val="0"/>
              </w:rPr>
              <w:t>38,731,905.50</w:t>
            </w:r>
          </w:p>
        </w:tc>
        <w:tc>
          <w:tcPr>
            <w:tcW w:w="1616" w:type="dxa"/>
            <w:vAlign w:val="center"/>
          </w:tcPr>
          <w:p w:rsidR="00F42924" w:rsidRDefault="007651F9">
            <w:pPr>
              <w:jc w:val="right"/>
            </w:pPr>
            <w:r>
              <w:rPr>
                <w:rFonts w:asciiTheme="minorEastAsia" w:eastAsiaTheme="minorEastAsia" w:hAnsiTheme="minorEastAsia" w:cs="宋体"/>
                <w:color w:val="000000" w:themeColor="text1"/>
                <w:kern w:val="0"/>
              </w:rPr>
              <w:t>4.52</w:t>
            </w:r>
          </w:p>
        </w:tc>
      </w:tr>
      <w:tr w:rsidR="00F42924">
        <w:tc>
          <w:tcPr>
            <w:tcW w:w="817" w:type="dxa"/>
            <w:vAlign w:val="center"/>
          </w:tcPr>
          <w:p w:rsidR="00F42924" w:rsidRDefault="007651F9">
            <w:pPr>
              <w:jc w:val="center"/>
            </w:pPr>
            <w:r>
              <w:rPr>
                <w:rFonts w:asciiTheme="minorEastAsia" w:eastAsiaTheme="minorEastAsia" w:hAnsiTheme="minorEastAsia" w:cs="宋体"/>
                <w:color w:val="000000" w:themeColor="text1"/>
                <w:kern w:val="0"/>
              </w:rPr>
              <w:t>7</w:t>
            </w:r>
          </w:p>
        </w:tc>
        <w:tc>
          <w:tcPr>
            <w:tcW w:w="1276" w:type="dxa"/>
            <w:vAlign w:val="center"/>
          </w:tcPr>
          <w:p w:rsidR="00F42924" w:rsidRDefault="007651F9">
            <w:pPr>
              <w:jc w:val="center"/>
            </w:pPr>
            <w:r>
              <w:rPr>
                <w:rFonts w:asciiTheme="minorEastAsia" w:eastAsiaTheme="minorEastAsia" w:hAnsiTheme="minorEastAsia" w:cs="宋体"/>
                <w:color w:val="000000" w:themeColor="text1"/>
                <w:kern w:val="0"/>
              </w:rPr>
              <w:t>002271</w:t>
            </w:r>
          </w:p>
        </w:tc>
        <w:tc>
          <w:tcPr>
            <w:tcW w:w="1701" w:type="dxa"/>
            <w:vAlign w:val="center"/>
          </w:tcPr>
          <w:p w:rsidR="00F42924" w:rsidRDefault="007651F9">
            <w:pPr>
              <w:jc w:val="center"/>
            </w:pPr>
            <w:r>
              <w:rPr>
                <w:rFonts w:asciiTheme="minorEastAsia" w:eastAsiaTheme="minorEastAsia" w:hAnsiTheme="minorEastAsia" w:cs="宋体"/>
                <w:color w:val="000000" w:themeColor="text1"/>
                <w:kern w:val="0"/>
              </w:rPr>
              <w:t>东方雨虹</w:t>
            </w:r>
          </w:p>
        </w:tc>
        <w:tc>
          <w:tcPr>
            <w:tcW w:w="1276" w:type="dxa"/>
            <w:vAlign w:val="center"/>
          </w:tcPr>
          <w:p w:rsidR="00F42924" w:rsidRDefault="007651F9">
            <w:pPr>
              <w:jc w:val="right"/>
            </w:pPr>
            <w:r>
              <w:rPr>
                <w:rFonts w:asciiTheme="minorEastAsia" w:eastAsiaTheme="minorEastAsia" w:hAnsiTheme="minorEastAsia" w:cs="宋体"/>
                <w:color w:val="000000" w:themeColor="text1"/>
                <w:kern w:val="0"/>
              </w:rPr>
              <w:t>413,437</w:t>
            </w:r>
          </w:p>
        </w:tc>
        <w:tc>
          <w:tcPr>
            <w:tcW w:w="1842" w:type="dxa"/>
            <w:vAlign w:val="center"/>
          </w:tcPr>
          <w:p w:rsidR="00F42924" w:rsidRDefault="007651F9">
            <w:pPr>
              <w:jc w:val="right"/>
            </w:pPr>
            <w:r>
              <w:rPr>
                <w:rFonts w:asciiTheme="minorEastAsia" w:eastAsiaTheme="minorEastAsia" w:hAnsiTheme="minorEastAsia" w:cs="宋体"/>
                <w:color w:val="000000" w:themeColor="text1"/>
                <w:kern w:val="0"/>
              </w:rPr>
              <w:t>21,151,436.92</w:t>
            </w:r>
          </w:p>
        </w:tc>
        <w:tc>
          <w:tcPr>
            <w:tcW w:w="1616" w:type="dxa"/>
            <w:vAlign w:val="center"/>
          </w:tcPr>
          <w:p w:rsidR="00F42924" w:rsidRDefault="007651F9">
            <w:pPr>
              <w:jc w:val="right"/>
            </w:pPr>
            <w:r>
              <w:rPr>
                <w:rFonts w:asciiTheme="minorEastAsia" w:eastAsiaTheme="minorEastAsia" w:hAnsiTheme="minorEastAsia" w:cs="宋体"/>
                <w:color w:val="000000" w:themeColor="text1"/>
                <w:kern w:val="0"/>
              </w:rPr>
              <w:t>2.47</w:t>
            </w:r>
          </w:p>
        </w:tc>
      </w:tr>
      <w:tr w:rsidR="00F42924">
        <w:tc>
          <w:tcPr>
            <w:tcW w:w="817" w:type="dxa"/>
            <w:vAlign w:val="center"/>
          </w:tcPr>
          <w:p w:rsidR="00F42924" w:rsidRDefault="007651F9">
            <w:pPr>
              <w:jc w:val="center"/>
            </w:pPr>
            <w:r>
              <w:rPr>
                <w:rFonts w:asciiTheme="minorEastAsia" w:eastAsiaTheme="minorEastAsia" w:hAnsiTheme="minorEastAsia" w:cs="宋体"/>
                <w:color w:val="000000" w:themeColor="text1"/>
                <w:kern w:val="0"/>
              </w:rPr>
              <w:t>8</w:t>
            </w:r>
          </w:p>
        </w:tc>
        <w:tc>
          <w:tcPr>
            <w:tcW w:w="1276" w:type="dxa"/>
            <w:vAlign w:val="center"/>
          </w:tcPr>
          <w:p w:rsidR="00F42924" w:rsidRDefault="007651F9">
            <w:pPr>
              <w:jc w:val="center"/>
            </w:pPr>
            <w:r>
              <w:rPr>
                <w:rFonts w:asciiTheme="minorEastAsia" w:eastAsiaTheme="minorEastAsia" w:hAnsiTheme="minorEastAsia" w:cs="宋体"/>
                <w:color w:val="000000" w:themeColor="text1"/>
                <w:kern w:val="0"/>
              </w:rPr>
              <w:t>600519</w:t>
            </w:r>
          </w:p>
        </w:tc>
        <w:tc>
          <w:tcPr>
            <w:tcW w:w="1701" w:type="dxa"/>
            <w:vAlign w:val="center"/>
          </w:tcPr>
          <w:p w:rsidR="00F42924" w:rsidRDefault="007651F9">
            <w:pPr>
              <w:jc w:val="center"/>
            </w:pPr>
            <w:r>
              <w:rPr>
                <w:rFonts w:asciiTheme="minorEastAsia" w:eastAsiaTheme="minorEastAsia" w:hAnsiTheme="minorEastAsia" w:cs="宋体"/>
                <w:color w:val="000000" w:themeColor="text1"/>
                <w:kern w:val="0"/>
              </w:rPr>
              <w:t>贵州茅台</w:t>
            </w:r>
          </w:p>
        </w:tc>
        <w:tc>
          <w:tcPr>
            <w:tcW w:w="1276" w:type="dxa"/>
            <w:vAlign w:val="center"/>
          </w:tcPr>
          <w:p w:rsidR="00F42924" w:rsidRDefault="007651F9">
            <w:pPr>
              <w:jc w:val="right"/>
            </w:pPr>
            <w:r>
              <w:rPr>
                <w:rFonts w:asciiTheme="minorEastAsia" w:eastAsiaTheme="minorEastAsia" w:hAnsiTheme="minorEastAsia" w:cs="宋体"/>
                <w:color w:val="000000" w:themeColor="text1"/>
                <w:kern w:val="0"/>
              </w:rPr>
              <w:t>10,383</w:t>
            </w:r>
          </w:p>
        </w:tc>
        <w:tc>
          <w:tcPr>
            <w:tcW w:w="1842" w:type="dxa"/>
            <w:vAlign w:val="center"/>
          </w:tcPr>
          <w:p w:rsidR="00F42924" w:rsidRDefault="007651F9">
            <w:pPr>
              <w:jc w:val="right"/>
            </w:pPr>
            <w:r>
              <w:rPr>
                <w:rFonts w:asciiTheme="minorEastAsia" w:eastAsiaTheme="minorEastAsia" w:hAnsiTheme="minorEastAsia" w:cs="宋体"/>
                <w:color w:val="000000" w:themeColor="text1"/>
                <w:kern w:val="0"/>
              </w:rPr>
              <w:t>20,859,447.00</w:t>
            </w:r>
          </w:p>
        </w:tc>
        <w:tc>
          <w:tcPr>
            <w:tcW w:w="1616" w:type="dxa"/>
            <w:vAlign w:val="center"/>
          </w:tcPr>
          <w:p w:rsidR="00F42924" w:rsidRDefault="007651F9">
            <w:pPr>
              <w:jc w:val="right"/>
            </w:pPr>
            <w:r>
              <w:rPr>
                <w:rFonts w:asciiTheme="minorEastAsia" w:eastAsiaTheme="minorEastAsia" w:hAnsiTheme="minorEastAsia" w:cs="宋体"/>
                <w:color w:val="000000" w:themeColor="text1"/>
                <w:kern w:val="0"/>
              </w:rPr>
              <w:t>2.43</w:t>
            </w:r>
          </w:p>
        </w:tc>
      </w:tr>
      <w:tr w:rsidR="00F42924">
        <w:tc>
          <w:tcPr>
            <w:tcW w:w="817" w:type="dxa"/>
            <w:vAlign w:val="center"/>
          </w:tcPr>
          <w:p w:rsidR="00F42924" w:rsidRDefault="007651F9">
            <w:pPr>
              <w:jc w:val="center"/>
            </w:pPr>
            <w:r>
              <w:rPr>
                <w:rFonts w:asciiTheme="minorEastAsia" w:eastAsiaTheme="minorEastAsia" w:hAnsiTheme="minorEastAsia" w:cs="宋体"/>
                <w:color w:val="000000" w:themeColor="text1"/>
                <w:kern w:val="0"/>
              </w:rPr>
              <w:t>9</w:t>
            </w:r>
          </w:p>
        </w:tc>
        <w:tc>
          <w:tcPr>
            <w:tcW w:w="1276" w:type="dxa"/>
            <w:vAlign w:val="center"/>
          </w:tcPr>
          <w:p w:rsidR="00F42924" w:rsidRDefault="007651F9">
            <w:pPr>
              <w:jc w:val="center"/>
            </w:pPr>
            <w:r>
              <w:rPr>
                <w:rFonts w:asciiTheme="minorEastAsia" w:eastAsiaTheme="minorEastAsia" w:hAnsiTheme="minorEastAsia" w:cs="宋体"/>
                <w:color w:val="000000" w:themeColor="text1"/>
                <w:kern w:val="0"/>
              </w:rPr>
              <w:t>601888</w:t>
            </w:r>
          </w:p>
        </w:tc>
        <w:tc>
          <w:tcPr>
            <w:tcW w:w="1701" w:type="dxa"/>
            <w:vAlign w:val="center"/>
          </w:tcPr>
          <w:p w:rsidR="00F42924" w:rsidRDefault="007651F9">
            <w:pPr>
              <w:jc w:val="center"/>
            </w:pPr>
            <w:r>
              <w:rPr>
                <w:rFonts w:asciiTheme="minorEastAsia" w:eastAsiaTheme="minorEastAsia" w:hAnsiTheme="minorEastAsia" w:cs="宋体"/>
                <w:color w:val="000000" w:themeColor="text1"/>
                <w:kern w:val="0"/>
              </w:rPr>
              <w:t>中国中免</w:t>
            </w:r>
          </w:p>
        </w:tc>
        <w:tc>
          <w:tcPr>
            <w:tcW w:w="1276" w:type="dxa"/>
            <w:vAlign w:val="center"/>
          </w:tcPr>
          <w:p w:rsidR="00F42924" w:rsidRDefault="007651F9">
            <w:pPr>
              <w:jc w:val="right"/>
            </w:pPr>
            <w:r>
              <w:rPr>
                <w:rFonts w:asciiTheme="minorEastAsia" w:eastAsiaTheme="minorEastAsia" w:hAnsiTheme="minorEastAsia" w:cs="宋体"/>
                <w:color w:val="000000" w:themeColor="text1"/>
                <w:kern w:val="0"/>
              </w:rPr>
              <w:t>64,400</w:t>
            </w:r>
          </w:p>
        </w:tc>
        <w:tc>
          <w:tcPr>
            <w:tcW w:w="1842" w:type="dxa"/>
            <w:vAlign w:val="center"/>
          </w:tcPr>
          <w:p w:rsidR="00F42924" w:rsidRDefault="007651F9">
            <w:pPr>
              <w:jc w:val="right"/>
            </w:pPr>
            <w:r>
              <w:rPr>
                <w:rFonts w:asciiTheme="minorEastAsia" w:eastAsiaTheme="minorEastAsia" w:hAnsiTheme="minorEastAsia" w:cs="宋体"/>
                <w:color w:val="000000" w:themeColor="text1"/>
                <w:kern w:val="0"/>
              </w:rPr>
              <w:t>19,711,552.00</w:t>
            </w:r>
          </w:p>
        </w:tc>
        <w:tc>
          <w:tcPr>
            <w:tcW w:w="1616" w:type="dxa"/>
            <w:vAlign w:val="center"/>
          </w:tcPr>
          <w:p w:rsidR="00F42924" w:rsidRDefault="007651F9">
            <w:pPr>
              <w:jc w:val="right"/>
            </w:pPr>
            <w:r>
              <w:rPr>
                <w:rFonts w:asciiTheme="minorEastAsia" w:eastAsiaTheme="minorEastAsia" w:hAnsiTheme="minorEastAsia" w:cs="宋体"/>
                <w:color w:val="000000" w:themeColor="text1"/>
                <w:kern w:val="0"/>
              </w:rPr>
              <w:t>2.30</w:t>
            </w:r>
          </w:p>
        </w:tc>
      </w:tr>
      <w:tr w:rsidR="00F42924">
        <w:tc>
          <w:tcPr>
            <w:tcW w:w="817" w:type="dxa"/>
            <w:vAlign w:val="center"/>
          </w:tcPr>
          <w:p w:rsidR="00F42924" w:rsidRDefault="007651F9">
            <w:pPr>
              <w:jc w:val="center"/>
            </w:pPr>
            <w:r>
              <w:rPr>
                <w:rFonts w:asciiTheme="minorEastAsia" w:eastAsiaTheme="minorEastAsia" w:hAnsiTheme="minorEastAsia" w:cs="宋体"/>
                <w:color w:val="000000" w:themeColor="text1"/>
                <w:kern w:val="0"/>
              </w:rPr>
              <w:t>10</w:t>
            </w:r>
          </w:p>
        </w:tc>
        <w:tc>
          <w:tcPr>
            <w:tcW w:w="1276" w:type="dxa"/>
            <w:vAlign w:val="center"/>
          </w:tcPr>
          <w:p w:rsidR="00F42924" w:rsidRDefault="007651F9">
            <w:pPr>
              <w:jc w:val="center"/>
            </w:pPr>
            <w:r>
              <w:rPr>
                <w:rFonts w:asciiTheme="minorEastAsia" w:eastAsiaTheme="minorEastAsia" w:hAnsiTheme="minorEastAsia" w:cs="宋体"/>
                <w:color w:val="000000" w:themeColor="text1"/>
                <w:kern w:val="0"/>
              </w:rPr>
              <w:t>000933</w:t>
            </w:r>
          </w:p>
        </w:tc>
        <w:tc>
          <w:tcPr>
            <w:tcW w:w="1701" w:type="dxa"/>
            <w:vAlign w:val="center"/>
          </w:tcPr>
          <w:p w:rsidR="00F42924" w:rsidRDefault="007651F9">
            <w:pPr>
              <w:jc w:val="center"/>
            </w:pPr>
            <w:r>
              <w:rPr>
                <w:rFonts w:asciiTheme="minorEastAsia" w:eastAsiaTheme="minorEastAsia" w:hAnsiTheme="minorEastAsia" w:cs="宋体"/>
                <w:color w:val="000000" w:themeColor="text1"/>
                <w:kern w:val="0"/>
              </w:rPr>
              <w:t>神火股份</w:t>
            </w:r>
          </w:p>
        </w:tc>
        <w:tc>
          <w:tcPr>
            <w:tcW w:w="1276" w:type="dxa"/>
            <w:vAlign w:val="center"/>
          </w:tcPr>
          <w:p w:rsidR="00F42924" w:rsidRDefault="007651F9">
            <w:pPr>
              <w:jc w:val="right"/>
            </w:pPr>
            <w:r>
              <w:rPr>
                <w:rFonts w:asciiTheme="minorEastAsia" w:eastAsiaTheme="minorEastAsia" w:hAnsiTheme="minorEastAsia" w:cs="宋体"/>
                <w:color w:val="000000" w:themeColor="text1"/>
                <w:kern w:val="0"/>
              </w:rPr>
              <w:t>2,156,805</w:t>
            </w:r>
          </w:p>
        </w:tc>
        <w:tc>
          <w:tcPr>
            <w:tcW w:w="1842" w:type="dxa"/>
            <w:vAlign w:val="center"/>
          </w:tcPr>
          <w:p w:rsidR="00F42924" w:rsidRDefault="007651F9">
            <w:pPr>
              <w:jc w:val="right"/>
            </w:pPr>
            <w:r>
              <w:rPr>
                <w:rFonts w:asciiTheme="minorEastAsia" w:eastAsiaTheme="minorEastAsia" w:hAnsiTheme="minorEastAsia" w:cs="宋体"/>
                <w:color w:val="000000" w:themeColor="text1"/>
                <w:kern w:val="0"/>
              </w:rPr>
              <w:t>18,996,917.58</w:t>
            </w:r>
          </w:p>
        </w:tc>
        <w:tc>
          <w:tcPr>
            <w:tcW w:w="1616" w:type="dxa"/>
            <w:vAlign w:val="center"/>
          </w:tcPr>
          <w:p w:rsidR="00F42924" w:rsidRDefault="007651F9">
            <w:pPr>
              <w:jc w:val="right"/>
            </w:pPr>
            <w:r>
              <w:rPr>
                <w:rFonts w:asciiTheme="minorEastAsia" w:eastAsiaTheme="minorEastAsia" w:hAnsiTheme="minorEastAsia" w:cs="宋体"/>
                <w:color w:val="000000" w:themeColor="text1"/>
                <w:kern w:val="0"/>
              </w:rPr>
              <w:t>2.22</w:t>
            </w:r>
          </w:p>
        </w:tc>
      </w:tr>
    </w:tbl>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326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债券品种</w:t>
            </w:r>
          </w:p>
        </w:tc>
        <w:tc>
          <w:tcPr>
            <w:tcW w:w="2949"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公允价值(元)</w:t>
            </w:r>
          </w:p>
        </w:tc>
        <w:tc>
          <w:tcPr>
            <w:tcW w:w="1729"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国家债券</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央行票据</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金融债券</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D06738">
            <w:pPr>
              <w:spacing w:before="29" w:line="360" w:lineRule="auto"/>
              <w:ind w:left="17"/>
              <w:jc w:val="center"/>
              <w:rPr>
                <w:rFonts w:asciiTheme="minorEastAsia" w:eastAsiaTheme="minorEastAsia" w:hAnsiTheme="minorEastAsia" w:cs="宋体"/>
                <w:color w:val="000000" w:themeColor="text1"/>
                <w:kern w:val="0"/>
              </w:rPr>
            </w:pP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其中：政策性金融债</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企业债券</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企业短期融资券</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中期票据</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可转债（可交换债）</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129,000.00</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0.02</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同业存单</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其他</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合计</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129,000.00</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0.02</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tc>
          <w:tcPr>
            <w:tcW w:w="1252"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31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282"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42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数量(张)</w:t>
            </w:r>
          </w:p>
        </w:tc>
        <w:tc>
          <w:tcPr>
            <w:tcW w:w="164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2"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F42924">
        <w:tc>
          <w:tcPr>
            <w:tcW w:w="1252" w:type="dxa"/>
            <w:vAlign w:val="center"/>
          </w:tcPr>
          <w:p w:rsidR="00F42924" w:rsidRDefault="007651F9">
            <w:pPr>
              <w:jc w:val="center"/>
            </w:pPr>
            <w:r>
              <w:rPr>
                <w:rFonts w:asciiTheme="minorEastAsia" w:eastAsiaTheme="minorEastAsia" w:hAnsiTheme="minorEastAsia" w:cs="宋体"/>
                <w:color w:val="000000" w:themeColor="text1"/>
                <w:kern w:val="0"/>
              </w:rPr>
              <w:t>1</w:t>
            </w:r>
          </w:p>
        </w:tc>
        <w:tc>
          <w:tcPr>
            <w:tcW w:w="1310" w:type="dxa"/>
            <w:vAlign w:val="center"/>
          </w:tcPr>
          <w:p w:rsidR="00F42924" w:rsidRDefault="007651F9">
            <w:pPr>
              <w:jc w:val="center"/>
            </w:pPr>
            <w:r>
              <w:rPr>
                <w:rFonts w:asciiTheme="minorEastAsia" w:eastAsiaTheme="minorEastAsia" w:hAnsiTheme="minorEastAsia" w:cs="宋体"/>
                <w:color w:val="000000" w:themeColor="text1"/>
                <w:kern w:val="0"/>
              </w:rPr>
              <w:t>110079</w:t>
            </w:r>
          </w:p>
        </w:tc>
        <w:tc>
          <w:tcPr>
            <w:tcW w:w="1282" w:type="dxa"/>
            <w:vAlign w:val="center"/>
          </w:tcPr>
          <w:p w:rsidR="00F42924" w:rsidRDefault="007651F9">
            <w:pPr>
              <w:jc w:val="center"/>
            </w:pPr>
            <w:r>
              <w:rPr>
                <w:rFonts w:asciiTheme="minorEastAsia" w:eastAsiaTheme="minorEastAsia" w:hAnsiTheme="minorEastAsia" w:cs="宋体"/>
                <w:color w:val="000000" w:themeColor="text1"/>
                <w:kern w:val="0"/>
              </w:rPr>
              <w:t>杭银转债</w:t>
            </w:r>
          </w:p>
        </w:tc>
        <w:tc>
          <w:tcPr>
            <w:tcW w:w="1426" w:type="dxa"/>
            <w:vAlign w:val="center"/>
          </w:tcPr>
          <w:p w:rsidR="00F42924" w:rsidRDefault="007651F9">
            <w:pPr>
              <w:jc w:val="right"/>
            </w:pPr>
            <w:r>
              <w:rPr>
                <w:rFonts w:asciiTheme="minorEastAsia" w:eastAsiaTheme="minorEastAsia" w:hAnsiTheme="minorEastAsia" w:cs="宋体"/>
                <w:color w:val="000000" w:themeColor="text1"/>
                <w:kern w:val="0"/>
              </w:rPr>
              <w:t>1,020</w:t>
            </w:r>
          </w:p>
        </w:tc>
        <w:tc>
          <w:tcPr>
            <w:tcW w:w="1646" w:type="dxa"/>
            <w:vAlign w:val="center"/>
          </w:tcPr>
          <w:p w:rsidR="00F42924" w:rsidRDefault="007651F9">
            <w:pPr>
              <w:jc w:val="right"/>
            </w:pPr>
            <w:r>
              <w:rPr>
                <w:rFonts w:asciiTheme="minorEastAsia" w:eastAsiaTheme="minorEastAsia" w:hAnsiTheme="minorEastAsia" w:cs="宋体"/>
                <w:color w:val="000000" w:themeColor="text1"/>
                <w:kern w:val="0"/>
              </w:rPr>
              <w:t>102,000.00</w:t>
            </w:r>
          </w:p>
        </w:tc>
        <w:tc>
          <w:tcPr>
            <w:tcW w:w="1612" w:type="dxa"/>
            <w:vAlign w:val="center"/>
          </w:tcPr>
          <w:p w:rsidR="00F42924" w:rsidRDefault="007651F9">
            <w:pPr>
              <w:jc w:val="right"/>
            </w:pPr>
            <w:r>
              <w:rPr>
                <w:rFonts w:asciiTheme="minorEastAsia" w:eastAsiaTheme="minorEastAsia" w:hAnsiTheme="minorEastAsia" w:cs="宋体"/>
                <w:color w:val="000000" w:themeColor="text1"/>
                <w:kern w:val="0"/>
              </w:rPr>
              <w:t>0.01</w:t>
            </w:r>
          </w:p>
        </w:tc>
      </w:tr>
      <w:tr w:rsidR="00F42924">
        <w:tc>
          <w:tcPr>
            <w:tcW w:w="1252" w:type="dxa"/>
            <w:vAlign w:val="center"/>
          </w:tcPr>
          <w:p w:rsidR="00F42924" w:rsidRDefault="007651F9">
            <w:pPr>
              <w:jc w:val="center"/>
            </w:pPr>
            <w:r>
              <w:rPr>
                <w:rFonts w:asciiTheme="minorEastAsia" w:eastAsiaTheme="minorEastAsia" w:hAnsiTheme="minorEastAsia" w:cs="宋体"/>
                <w:color w:val="000000" w:themeColor="text1"/>
                <w:kern w:val="0"/>
              </w:rPr>
              <w:lastRenderedPageBreak/>
              <w:t>2</w:t>
            </w:r>
          </w:p>
        </w:tc>
        <w:tc>
          <w:tcPr>
            <w:tcW w:w="1310" w:type="dxa"/>
            <w:vAlign w:val="center"/>
          </w:tcPr>
          <w:p w:rsidR="00F42924" w:rsidRDefault="007651F9">
            <w:pPr>
              <w:jc w:val="center"/>
            </w:pPr>
            <w:r>
              <w:rPr>
                <w:rFonts w:asciiTheme="minorEastAsia" w:eastAsiaTheme="minorEastAsia" w:hAnsiTheme="minorEastAsia" w:cs="宋体"/>
                <w:color w:val="000000" w:themeColor="text1"/>
                <w:kern w:val="0"/>
              </w:rPr>
              <w:t>123107</w:t>
            </w:r>
          </w:p>
        </w:tc>
        <w:tc>
          <w:tcPr>
            <w:tcW w:w="1282" w:type="dxa"/>
            <w:vAlign w:val="center"/>
          </w:tcPr>
          <w:p w:rsidR="00F42924" w:rsidRDefault="007651F9">
            <w:pPr>
              <w:jc w:val="center"/>
            </w:pPr>
            <w:r>
              <w:rPr>
                <w:rFonts w:asciiTheme="minorEastAsia" w:eastAsiaTheme="minorEastAsia" w:hAnsiTheme="minorEastAsia" w:cs="宋体"/>
                <w:color w:val="000000" w:themeColor="text1"/>
                <w:kern w:val="0"/>
              </w:rPr>
              <w:t>温氏转债</w:t>
            </w:r>
          </w:p>
        </w:tc>
        <w:tc>
          <w:tcPr>
            <w:tcW w:w="1426" w:type="dxa"/>
            <w:vAlign w:val="center"/>
          </w:tcPr>
          <w:p w:rsidR="00F42924" w:rsidRDefault="007651F9">
            <w:pPr>
              <w:jc w:val="right"/>
            </w:pPr>
            <w:r>
              <w:rPr>
                <w:rFonts w:asciiTheme="minorEastAsia" w:eastAsiaTheme="minorEastAsia" w:hAnsiTheme="minorEastAsia" w:cs="宋体"/>
                <w:color w:val="000000" w:themeColor="text1"/>
                <w:kern w:val="0"/>
              </w:rPr>
              <w:t>270</w:t>
            </w:r>
          </w:p>
        </w:tc>
        <w:tc>
          <w:tcPr>
            <w:tcW w:w="1646" w:type="dxa"/>
            <w:vAlign w:val="center"/>
          </w:tcPr>
          <w:p w:rsidR="00F42924" w:rsidRDefault="007651F9">
            <w:pPr>
              <w:jc w:val="right"/>
            </w:pPr>
            <w:r>
              <w:rPr>
                <w:rFonts w:asciiTheme="minorEastAsia" w:eastAsiaTheme="minorEastAsia" w:hAnsiTheme="minorEastAsia" w:cs="宋体"/>
                <w:color w:val="000000" w:themeColor="text1"/>
                <w:kern w:val="0"/>
              </w:rPr>
              <w:t>27,000.00</w:t>
            </w:r>
          </w:p>
        </w:tc>
        <w:tc>
          <w:tcPr>
            <w:tcW w:w="1612" w:type="dxa"/>
            <w:vAlign w:val="center"/>
          </w:tcPr>
          <w:p w:rsidR="00F42924" w:rsidRDefault="007651F9">
            <w:pPr>
              <w:jc w:val="right"/>
            </w:pPr>
            <w:r>
              <w:rPr>
                <w:rFonts w:asciiTheme="minorEastAsia" w:eastAsiaTheme="minorEastAsia" w:hAnsiTheme="minorEastAsia" w:cs="宋体"/>
                <w:color w:val="000000" w:themeColor="text1"/>
                <w:kern w:val="0"/>
              </w:rPr>
              <w:t>0.00</w:t>
            </w:r>
          </w:p>
        </w:tc>
      </w:tr>
    </w:tbl>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D06738" w:rsidRDefault="00454D20">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D06738" w:rsidRDefault="00D06738">
      <w:pPr>
        <w:adjustRightInd w:val="0"/>
        <w:snapToGrid w:val="0"/>
        <w:spacing w:line="360" w:lineRule="exac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tc>
          <w:tcPr>
            <w:tcW w:w="123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175,378.39</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871,000.00</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11,325.26</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lastRenderedPageBreak/>
              <w:t>5</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603,494.19</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1,661,197.84</w:t>
            </w:r>
          </w:p>
        </w:tc>
      </w:tr>
    </w:tbl>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tbl>
      <w:tblPr>
        <w:tblStyle w:val="aff4"/>
        <w:tblW w:w="8513" w:type="dxa"/>
        <w:tblInd w:w="15" w:type="dxa"/>
        <w:tblLayout w:type="fixed"/>
        <w:tblLook w:val="04A0" w:firstRow="1" w:lastRow="0" w:firstColumn="1" w:lastColumn="0" w:noHBand="0" w:noVBand="1"/>
      </w:tblPr>
      <w:tblGrid>
        <w:gridCol w:w="802"/>
        <w:gridCol w:w="1134"/>
        <w:gridCol w:w="1418"/>
        <w:gridCol w:w="1842"/>
        <w:gridCol w:w="1560"/>
        <w:gridCol w:w="1757"/>
      </w:tblGrid>
      <w:tr w:rsidR="00D06738" w:rsidTr="007651F9">
        <w:tc>
          <w:tcPr>
            <w:tcW w:w="802"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134"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418"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842"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流通受限部分的公允价值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56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color w:val="000000" w:themeColor="text1"/>
                <w:kern w:val="0"/>
              </w:rPr>
              <w:t>(%)</w:t>
            </w:r>
          </w:p>
        </w:tc>
        <w:tc>
          <w:tcPr>
            <w:tcW w:w="175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流通受限情况说明</w:t>
            </w:r>
          </w:p>
        </w:tc>
      </w:tr>
      <w:tr w:rsidR="005C383C" w:rsidTr="007651F9">
        <w:tc>
          <w:tcPr>
            <w:tcW w:w="802" w:type="dxa"/>
            <w:vAlign w:val="center"/>
          </w:tcPr>
          <w:p w:rsidR="005C383C" w:rsidRDefault="005C383C" w:rsidP="005C383C">
            <w:pPr>
              <w:jc w:val="center"/>
            </w:pPr>
            <w:r>
              <w:rPr>
                <w:rFonts w:asciiTheme="minorEastAsia" w:eastAsiaTheme="minorEastAsia" w:hAnsiTheme="minorEastAsia" w:cs="宋体"/>
                <w:color w:val="000000" w:themeColor="text1"/>
                <w:kern w:val="0"/>
              </w:rPr>
              <w:t>1</w:t>
            </w:r>
          </w:p>
        </w:tc>
        <w:tc>
          <w:tcPr>
            <w:tcW w:w="1134" w:type="dxa"/>
            <w:vAlign w:val="center"/>
          </w:tcPr>
          <w:p w:rsidR="005C383C" w:rsidRDefault="005C383C" w:rsidP="005C383C">
            <w:pPr>
              <w:jc w:val="center"/>
            </w:pPr>
            <w:r>
              <w:rPr>
                <w:rFonts w:asciiTheme="minorEastAsia" w:eastAsiaTheme="minorEastAsia" w:hAnsiTheme="minorEastAsia" w:cs="宋体"/>
                <w:color w:val="000000" w:themeColor="text1"/>
                <w:kern w:val="0"/>
              </w:rPr>
              <w:t>000933</w:t>
            </w:r>
          </w:p>
        </w:tc>
        <w:tc>
          <w:tcPr>
            <w:tcW w:w="1418" w:type="dxa"/>
            <w:vAlign w:val="center"/>
          </w:tcPr>
          <w:p w:rsidR="005C383C" w:rsidRDefault="005C383C" w:rsidP="005C383C">
            <w:pPr>
              <w:jc w:val="center"/>
            </w:pPr>
            <w:r>
              <w:rPr>
                <w:rFonts w:asciiTheme="minorEastAsia" w:eastAsiaTheme="minorEastAsia" w:hAnsiTheme="minorEastAsia" w:cs="宋体"/>
                <w:color w:val="000000" w:themeColor="text1"/>
                <w:kern w:val="0"/>
              </w:rPr>
              <w:t>神火股份</w:t>
            </w:r>
          </w:p>
        </w:tc>
        <w:tc>
          <w:tcPr>
            <w:tcW w:w="1842" w:type="dxa"/>
            <w:vAlign w:val="center"/>
          </w:tcPr>
          <w:p w:rsidR="005C383C" w:rsidRDefault="005C383C" w:rsidP="005C383C">
            <w:pPr>
              <w:jc w:val="right"/>
            </w:pPr>
            <w:r>
              <w:rPr>
                <w:rFonts w:asciiTheme="minorEastAsia" w:eastAsiaTheme="minorEastAsia" w:hAnsiTheme="minorEastAsia" w:cs="宋体"/>
                <w:color w:val="000000" w:themeColor="text1"/>
                <w:kern w:val="0"/>
              </w:rPr>
              <w:t>14,621,968.08</w:t>
            </w:r>
          </w:p>
        </w:tc>
        <w:tc>
          <w:tcPr>
            <w:tcW w:w="1560" w:type="dxa"/>
            <w:vAlign w:val="center"/>
          </w:tcPr>
          <w:p w:rsidR="005C383C" w:rsidRDefault="005C383C" w:rsidP="005C383C">
            <w:pPr>
              <w:jc w:val="right"/>
            </w:pPr>
            <w:r>
              <w:rPr>
                <w:rFonts w:asciiTheme="minorEastAsia" w:eastAsiaTheme="minorEastAsia" w:hAnsiTheme="minorEastAsia" w:cs="宋体"/>
                <w:color w:val="000000" w:themeColor="text1"/>
                <w:kern w:val="0"/>
              </w:rPr>
              <w:t>1.71</w:t>
            </w:r>
          </w:p>
        </w:tc>
        <w:tc>
          <w:tcPr>
            <w:tcW w:w="1757" w:type="dxa"/>
            <w:vAlign w:val="center"/>
          </w:tcPr>
          <w:p w:rsidR="005C383C" w:rsidRDefault="005C383C" w:rsidP="005C383C">
            <w:pPr>
              <w:jc w:val="right"/>
            </w:pPr>
            <w:r>
              <w:rPr>
                <w:rFonts w:asciiTheme="minorEastAsia" w:eastAsiaTheme="minorEastAsia" w:hAnsiTheme="minorEastAsia" w:cs="宋体"/>
                <w:color w:val="000000" w:themeColor="text1"/>
                <w:kern w:val="0"/>
              </w:rPr>
              <w:t>非公开发行限售</w:t>
            </w:r>
          </w:p>
        </w:tc>
      </w:tr>
    </w:tbl>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因四舍五入原因,投资组合报告中分项之和与合计可能存在尾差。</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174,261,099.43</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报告期期间</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29,250,380.02</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报告期期间</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38,351,817.89</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报告期期间</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165,159,661.56</w:t>
            </w:r>
          </w:p>
        </w:tc>
      </w:tr>
    </w:tbl>
    <w:p w:rsidR="00D06738" w:rsidRDefault="00454D20">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D06738" w:rsidRDefault="00454D20">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F42924" w:rsidRDefault="007651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 中国证监会批准上投摩根核心优选混合型证券投资基金设立的文件；</w:t>
      </w:r>
    </w:p>
    <w:p w:rsidR="00F42924" w:rsidRDefault="007651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 《上投摩根核心优选混合型证券投资基金基金合同》；</w:t>
      </w:r>
    </w:p>
    <w:p w:rsidR="00F42924" w:rsidRDefault="007651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 《上投摩根核心优选混合型证券投资基金托管协议》；</w:t>
      </w:r>
    </w:p>
    <w:p w:rsidR="00F42924" w:rsidRDefault="007651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 《上投摩根开放式基金业务规则》；</w:t>
      </w:r>
    </w:p>
    <w:p w:rsidR="00F42924" w:rsidRDefault="007651F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 基金管理人业务资格批件、营业执照；</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 基金托管人业务资格批件和营业执照。</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二〇二一年四月二十二日</w:t>
      </w:r>
    </w:p>
    <w:p w:rsidR="00D06738" w:rsidRDefault="00D06738">
      <w:pPr>
        <w:spacing w:line="360" w:lineRule="auto"/>
        <w:ind w:left="840"/>
        <w:jc w:val="right"/>
        <w:rPr>
          <w:rFonts w:asciiTheme="minorEastAsia" w:eastAsiaTheme="minorEastAsia" w:hAnsiTheme="minorEastAsia"/>
          <w:b/>
          <w:bCs/>
          <w:color w:val="000000" w:themeColor="text1"/>
          <w:sz w:val="24"/>
          <w:szCs w:val="24"/>
        </w:rPr>
      </w:pPr>
    </w:p>
    <w:p w:rsidR="00D06738" w:rsidRDefault="00D06738">
      <w:pPr>
        <w:rPr>
          <w:rFonts w:asciiTheme="minorEastAsia" w:eastAsiaTheme="minorEastAsia" w:hAnsiTheme="minorEastAsia"/>
          <w:color w:val="000000" w:themeColor="text1"/>
          <w:sz w:val="24"/>
          <w:szCs w:val="24"/>
        </w:rPr>
      </w:pPr>
    </w:p>
    <w:sectPr w:rsidR="00D06738">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FDA" w:rsidRDefault="003A7FDA">
      <w:r>
        <w:separator/>
      </w:r>
    </w:p>
  </w:endnote>
  <w:endnote w:type="continuationSeparator" w:id="0">
    <w:p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AE7746" w:rsidRPr="00AE7746">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AE7746">
      <w:rPr>
        <w:rStyle w:val="aff"/>
        <w:noProof/>
      </w:rPr>
      <w:t>3</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FDA" w:rsidRDefault="003A7FDA">
      <w:r>
        <w:separator/>
      </w:r>
    </w:p>
  </w:footnote>
  <w:footnote w:type="continuationSeparator" w:id="0">
    <w:p w:rsidR="003A7FDA" w:rsidRDefault="003A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上投摩根核心优选混合型证券投资基金</w:t>
    </w:r>
    <w:r>
      <w:rPr>
        <w:rFonts w:hint="eastAsia"/>
      </w:rPr>
      <w:t>2021</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383C"/>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51F9"/>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746"/>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42924"/>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uiPriority w:val="9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60C1E-4A20-4BB0-90D8-58037B64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1142</Words>
  <Characters>6512</Characters>
  <Application>Microsoft Office Word</Application>
  <DocSecurity>0</DocSecurity>
  <Lines>54</Lines>
  <Paragraphs>15</Paragraphs>
  <ScaleCrop>false</ScaleCrop>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269</cp:revision>
  <dcterms:created xsi:type="dcterms:W3CDTF">2012-10-16T06:07:00Z</dcterms:created>
  <dcterms:modified xsi:type="dcterms:W3CDTF">2021-04-21T02:44:00Z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