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EF" w:rsidRDefault="00F111EF">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F111EF" w:rsidRDefault="00F111EF">
      <w:pPr>
        <w:autoSpaceDE w:val="0"/>
        <w:autoSpaceDN w:val="0"/>
        <w:adjustRightInd w:val="0"/>
        <w:spacing w:line="360" w:lineRule="auto"/>
        <w:jc w:val="left"/>
        <w:rPr>
          <w:rFonts w:eastAsiaTheme="minorEastAsia"/>
          <w:color w:val="000000" w:themeColor="text1"/>
          <w:kern w:val="0"/>
          <w:szCs w:val="21"/>
        </w:rPr>
      </w:pPr>
    </w:p>
    <w:p w:rsidR="00F111EF" w:rsidRDefault="00F111EF">
      <w:pPr>
        <w:autoSpaceDE w:val="0"/>
        <w:autoSpaceDN w:val="0"/>
        <w:adjustRightInd w:val="0"/>
        <w:spacing w:line="360" w:lineRule="auto"/>
        <w:jc w:val="left"/>
        <w:rPr>
          <w:rFonts w:eastAsiaTheme="minorEastAsia"/>
          <w:color w:val="000000" w:themeColor="text1"/>
          <w:kern w:val="0"/>
          <w:szCs w:val="21"/>
        </w:rPr>
      </w:pPr>
    </w:p>
    <w:p w:rsidR="00F111EF" w:rsidRDefault="00F111EF">
      <w:pPr>
        <w:autoSpaceDE w:val="0"/>
        <w:autoSpaceDN w:val="0"/>
        <w:adjustRightInd w:val="0"/>
        <w:spacing w:line="360" w:lineRule="auto"/>
        <w:jc w:val="left"/>
        <w:rPr>
          <w:rFonts w:eastAsiaTheme="minorEastAsia"/>
          <w:color w:val="000000" w:themeColor="text1"/>
          <w:kern w:val="0"/>
          <w:szCs w:val="21"/>
        </w:rPr>
      </w:pPr>
    </w:p>
    <w:p w:rsidR="00F111EF" w:rsidRDefault="00F111EF">
      <w:pPr>
        <w:autoSpaceDE w:val="0"/>
        <w:autoSpaceDN w:val="0"/>
        <w:adjustRightInd w:val="0"/>
        <w:spacing w:line="360" w:lineRule="auto"/>
        <w:jc w:val="left"/>
        <w:rPr>
          <w:rFonts w:eastAsiaTheme="minorEastAsia"/>
          <w:color w:val="000000" w:themeColor="text1"/>
          <w:kern w:val="0"/>
          <w:szCs w:val="21"/>
        </w:rPr>
      </w:pPr>
    </w:p>
    <w:p w:rsidR="00F111EF" w:rsidRDefault="0051085C">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上投摩根分红添利债券型证券投资基金</w:t>
      </w:r>
    </w:p>
    <w:p w:rsidR="00F111EF" w:rsidRDefault="0051085C">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3</w:t>
      </w:r>
      <w:r>
        <w:rPr>
          <w:rFonts w:eastAsiaTheme="minorEastAsia"/>
          <w:b/>
          <w:color w:val="000000" w:themeColor="text1"/>
          <w:sz w:val="36"/>
          <w:szCs w:val="36"/>
        </w:rPr>
        <w:t>季度报告</w:t>
      </w:r>
    </w:p>
    <w:p w:rsidR="00F111EF" w:rsidRDefault="0051085C">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9</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jc w:val="center"/>
        <w:rPr>
          <w:rFonts w:eastAsiaTheme="minorEastAsia"/>
          <w:b/>
          <w:color w:val="000000" w:themeColor="text1"/>
          <w:szCs w:val="21"/>
        </w:rPr>
      </w:pPr>
    </w:p>
    <w:p w:rsidR="00F111EF" w:rsidRDefault="00F111EF">
      <w:pPr>
        <w:spacing w:line="360" w:lineRule="auto"/>
        <w:rPr>
          <w:rFonts w:eastAsiaTheme="minorEastAsia"/>
          <w:b/>
          <w:color w:val="000000" w:themeColor="text1"/>
          <w:szCs w:val="21"/>
        </w:rPr>
      </w:pPr>
    </w:p>
    <w:p w:rsidR="00F111EF" w:rsidRDefault="0051085C">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F111EF" w:rsidRDefault="0051085C">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F111EF" w:rsidRDefault="0051085C">
      <w:pPr>
        <w:spacing w:line="360" w:lineRule="auto"/>
        <w:ind w:firstLineChars="900" w:firstLine="2168"/>
        <w:rPr>
          <w:rFonts w:eastAsiaTheme="minorEastAsia"/>
          <w:color w:val="000000" w:themeColor="text1"/>
          <w:szCs w:val="21"/>
        </w:rPr>
        <w:sectPr w:rsidR="00F111EF">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报告送出日期：二〇一九年十月二十五日</w:t>
      </w:r>
    </w:p>
    <w:p w:rsidR="00F111EF" w:rsidRDefault="0051085C">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w:t>
      </w:r>
      <w:r>
        <w:rPr>
          <w:rFonts w:eastAsiaTheme="minorEastAsia"/>
          <w:color w:val="000000" w:themeColor="text1"/>
          <w:szCs w:val="21"/>
        </w:rPr>
        <w:t>投资者在作出投资决策前应仔细阅读本基金的招募说明书。</w:t>
      </w:r>
      <w:r>
        <w:rPr>
          <w:rFonts w:eastAsiaTheme="minorEastAsia"/>
          <w:color w:val="000000" w:themeColor="text1"/>
          <w:szCs w:val="21"/>
        </w:rPr>
        <w:t xml:space="preserve"> </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F111EF" w:rsidRDefault="0051085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F111EF">
        <w:tc>
          <w:tcPr>
            <w:tcW w:w="2835" w:type="dxa"/>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上投摩根分红添利债券</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370021</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32,182,177.71</w:t>
            </w:r>
            <w:r>
              <w:rPr>
                <w:rFonts w:eastAsiaTheme="minorEastAsia"/>
                <w:color w:val="000000" w:themeColor="text1"/>
                <w:kern w:val="0"/>
                <w:szCs w:val="21"/>
              </w:rPr>
              <w:t>份</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在有效控制风险和保持资产流动性的前提下，通过积极主动的投资管理，力争为投资者创造稳定的当期收益和长期回报。</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自上而下的方法确定组合久期，结合自下而上的个券选择方法构建债券投资组合。通过对固定收益资产的投资，获取稳定的投资收益；在此基础上，适当参与新股发行申购及增发新股申购，在严格控制基金资产运作风险的基础上，实现基金资产的长期增值。</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业绩比较基准</w:t>
            </w:r>
          </w:p>
        </w:tc>
        <w:tc>
          <w:tcPr>
            <w:tcW w:w="5479" w:type="dxa"/>
            <w:gridSpan w:val="2"/>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中证综合债券指数</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本基金为债券型基金，属于证券投资基金中的较低风险品种，预期风险和预期收益高于货币市场基金，低于混合型基金和股票型基金。本基金风险收益特征会定期评估并在公司网站发布，请投资者关注。</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w:t>
            </w:r>
            <w:r>
              <w:rPr>
                <w:rFonts w:eastAsiaTheme="minorEastAsia"/>
                <w:color w:val="000000" w:themeColor="text1"/>
                <w:kern w:val="0"/>
                <w:szCs w:val="21"/>
              </w:rPr>
              <w:t>金托管人</w:t>
            </w:r>
          </w:p>
        </w:tc>
        <w:tc>
          <w:tcPr>
            <w:tcW w:w="5479" w:type="dxa"/>
            <w:gridSpan w:val="2"/>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中国银行股份有限公司</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F111EF" w:rsidRDefault="0051085C">
            <w:pP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A</w:t>
            </w:r>
          </w:p>
        </w:tc>
        <w:tc>
          <w:tcPr>
            <w:tcW w:w="2740" w:type="dxa"/>
            <w:vAlign w:val="center"/>
          </w:tcPr>
          <w:p w:rsidR="00F111EF" w:rsidRDefault="0051085C">
            <w:pP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F111EF" w:rsidRDefault="0051085C">
            <w:pPr>
              <w:rPr>
                <w:rFonts w:eastAsiaTheme="minorEastAsia"/>
                <w:color w:val="000000" w:themeColor="text1"/>
                <w:szCs w:val="21"/>
              </w:rPr>
            </w:pPr>
            <w:r>
              <w:rPr>
                <w:rFonts w:eastAsiaTheme="minorEastAsia"/>
                <w:color w:val="000000" w:themeColor="text1"/>
                <w:szCs w:val="21"/>
              </w:rPr>
              <w:t>370021</w:t>
            </w:r>
          </w:p>
        </w:tc>
        <w:tc>
          <w:tcPr>
            <w:tcW w:w="2740" w:type="dxa"/>
            <w:vAlign w:val="center"/>
          </w:tcPr>
          <w:p w:rsidR="00F111EF" w:rsidRDefault="0051085C">
            <w:pPr>
              <w:rPr>
                <w:rFonts w:eastAsiaTheme="minorEastAsia"/>
                <w:color w:val="000000" w:themeColor="text1"/>
                <w:szCs w:val="21"/>
              </w:rPr>
            </w:pPr>
            <w:r>
              <w:rPr>
                <w:rFonts w:eastAsiaTheme="minorEastAsia"/>
                <w:color w:val="000000" w:themeColor="text1"/>
                <w:szCs w:val="21"/>
              </w:rPr>
              <w:t>370022</w:t>
            </w:r>
          </w:p>
        </w:tc>
      </w:tr>
      <w:tr w:rsidR="00F111EF">
        <w:tc>
          <w:tcPr>
            <w:tcW w:w="2835" w:type="dxa"/>
            <w:vAlign w:val="center"/>
          </w:tcPr>
          <w:p w:rsidR="00F111EF" w:rsidRDefault="0051085C">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F111EF" w:rsidRDefault="0051085C">
            <w:pPr>
              <w:rPr>
                <w:rFonts w:eastAsiaTheme="minorEastAsia"/>
                <w:color w:val="000000" w:themeColor="text1"/>
                <w:szCs w:val="21"/>
              </w:rPr>
            </w:pPr>
            <w:r>
              <w:rPr>
                <w:rFonts w:eastAsiaTheme="minorEastAsia"/>
                <w:color w:val="000000" w:themeColor="text1"/>
                <w:szCs w:val="21"/>
              </w:rPr>
              <w:t>28,490,766.35</w:t>
            </w:r>
            <w:r>
              <w:rPr>
                <w:rFonts w:eastAsiaTheme="minorEastAsia"/>
                <w:color w:val="000000" w:themeColor="text1"/>
                <w:kern w:val="0"/>
                <w:szCs w:val="21"/>
              </w:rPr>
              <w:t>份</w:t>
            </w:r>
          </w:p>
        </w:tc>
        <w:tc>
          <w:tcPr>
            <w:tcW w:w="2740" w:type="dxa"/>
            <w:vAlign w:val="center"/>
          </w:tcPr>
          <w:p w:rsidR="00F111EF" w:rsidRDefault="0051085C">
            <w:pPr>
              <w:rPr>
                <w:rFonts w:eastAsiaTheme="minorEastAsia"/>
                <w:color w:val="000000" w:themeColor="text1"/>
                <w:szCs w:val="21"/>
              </w:rPr>
            </w:pPr>
            <w:r>
              <w:rPr>
                <w:rFonts w:eastAsiaTheme="minorEastAsia"/>
                <w:color w:val="000000" w:themeColor="text1"/>
                <w:szCs w:val="21"/>
              </w:rPr>
              <w:t>3,691,411.36</w:t>
            </w:r>
            <w:r>
              <w:rPr>
                <w:rFonts w:eastAsiaTheme="minorEastAsia"/>
                <w:color w:val="000000" w:themeColor="text1"/>
                <w:kern w:val="0"/>
                <w:szCs w:val="21"/>
              </w:rPr>
              <w:t>份</w:t>
            </w:r>
          </w:p>
        </w:tc>
      </w:tr>
    </w:tbl>
    <w:p w:rsidR="00F111EF" w:rsidRDefault="0051085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F111EF" w:rsidRDefault="0051085C">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F111EF" w:rsidRDefault="0051085C">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F111EF">
        <w:tc>
          <w:tcPr>
            <w:tcW w:w="3402" w:type="dxa"/>
            <w:vMerge w:val="restart"/>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F111EF" w:rsidRDefault="0051085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F111EF" w:rsidRDefault="0051085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F111EF">
        <w:tc>
          <w:tcPr>
            <w:tcW w:w="3402" w:type="dxa"/>
            <w:vMerge/>
            <w:vAlign w:val="center"/>
          </w:tcPr>
          <w:p w:rsidR="00F111EF" w:rsidRDefault="00F111EF">
            <w:pPr>
              <w:adjustRightInd w:val="0"/>
              <w:spacing w:before="29" w:line="360" w:lineRule="auto"/>
              <w:ind w:left="17"/>
              <w:rPr>
                <w:rFonts w:eastAsiaTheme="minorEastAsia"/>
                <w:color w:val="000000" w:themeColor="text1"/>
                <w:kern w:val="0"/>
                <w:szCs w:val="21"/>
              </w:rPr>
            </w:pPr>
          </w:p>
        </w:tc>
        <w:tc>
          <w:tcPr>
            <w:tcW w:w="2481" w:type="dxa"/>
            <w:vAlign w:val="center"/>
          </w:tcPr>
          <w:p w:rsidR="00F111EF" w:rsidRDefault="0051085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A</w:t>
            </w:r>
          </w:p>
        </w:tc>
        <w:tc>
          <w:tcPr>
            <w:tcW w:w="2481" w:type="dxa"/>
            <w:vAlign w:val="center"/>
          </w:tcPr>
          <w:p w:rsidR="00F111EF" w:rsidRDefault="0051085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p>
        </w:tc>
      </w:tr>
      <w:tr w:rsidR="00F111EF">
        <w:tc>
          <w:tcPr>
            <w:tcW w:w="3402" w:type="dxa"/>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314,081.80</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38,823.24</w:t>
            </w:r>
          </w:p>
        </w:tc>
      </w:tr>
      <w:tr w:rsidR="00F111EF">
        <w:tc>
          <w:tcPr>
            <w:tcW w:w="3402" w:type="dxa"/>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260,589.97</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31,608.84</w:t>
            </w:r>
          </w:p>
        </w:tc>
      </w:tr>
      <w:tr w:rsidR="00F111EF">
        <w:tc>
          <w:tcPr>
            <w:tcW w:w="3402" w:type="dxa"/>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0.0094</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0.0083</w:t>
            </w:r>
          </w:p>
        </w:tc>
      </w:tr>
      <w:tr w:rsidR="00F111EF">
        <w:tc>
          <w:tcPr>
            <w:tcW w:w="3402" w:type="dxa"/>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31,197,929.69</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4,027,943.40</w:t>
            </w:r>
          </w:p>
        </w:tc>
      </w:tr>
      <w:tr w:rsidR="00F111EF">
        <w:trPr>
          <w:trHeight w:val="158"/>
        </w:trPr>
        <w:tc>
          <w:tcPr>
            <w:tcW w:w="3402" w:type="dxa"/>
            <w:vAlign w:val="center"/>
          </w:tcPr>
          <w:p w:rsidR="00F111EF" w:rsidRDefault="0051085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1.095</w:t>
            </w:r>
          </w:p>
        </w:tc>
        <w:tc>
          <w:tcPr>
            <w:tcW w:w="2481" w:type="dxa"/>
            <w:vAlign w:val="center"/>
          </w:tcPr>
          <w:p w:rsidR="00F111EF" w:rsidRDefault="0051085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1.091</w:t>
            </w:r>
          </w:p>
        </w:tc>
      </w:tr>
    </w:tbl>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F111EF" w:rsidRDefault="0051085C">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F111EF" w:rsidRDefault="0051085C">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上投摩根分红添利债券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F111EF">
        <w:tc>
          <w:tcPr>
            <w:tcW w:w="1290" w:type="dxa"/>
            <w:vAlign w:val="center"/>
          </w:tcPr>
          <w:p w:rsidR="00F111EF" w:rsidRDefault="0051085C">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F111EF">
        <w:tc>
          <w:tcPr>
            <w:tcW w:w="1290" w:type="dxa"/>
            <w:vAlign w:val="center"/>
          </w:tcPr>
          <w:p w:rsidR="00F111EF" w:rsidRDefault="0051085C">
            <w:pPr>
              <w:jc w:val="left"/>
            </w:pPr>
            <w:r>
              <w:rPr>
                <w:rFonts w:eastAsiaTheme="minorEastAsia"/>
                <w:color w:val="000000" w:themeColor="text1"/>
                <w:szCs w:val="21"/>
              </w:rPr>
              <w:t>过去三个月</w:t>
            </w:r>
          </w:p>
        </w:tc>
        <w:tc>
          <w:tcPr>
            <w:tcW w:w="1291" w:type="dxa"/>
            <w:vAlign w:val="center"/>
          </w:tcPr>
          <w:p w:rsidR="00F111EF" w:rsidRDefault="0051085C">
            <w:pPr>
              <w:jc w:val="right"/>
            </w:pPr>
            <w:r>
              <w:rPr>
                <w:rFonts w:eastAsiaTheme="minorEastAsia"/>
                <w:color w:val="000000" w:themeColor="text1"/>
                <w:szCs w:val="21"/>
              </w:rPr>
              <w:t>0.83%</w:t>
            </w:r>
          </w:p>
        </w:tc>
        <w:tc>
          <w:tcPr>
            <w:tcW w:w="1291" w:type="dxa"/>
            <w:vAlign w:val="center"/>
          </w:tcPr>
          <w:p w:rsidR="00F111EF" w:rsidRDefault="0051085C">
            <w:pPr>
              <w:jc w:val="right"/>
            </w:pPr>
            <w:r>
              <w:rPr>
                <w:rFonts w:eastAsiaTheme="minorEastAsia"/>
                <w:color w:val="000000" w:themeColor="text1"/>
                <w:szCs w:val="21"/>
              </w:rPr>
              <w:t>0.03%</w:t>
            </w:r>
          </w:p>
        </w:tc>
        <w:tc>
          <w:tcPr>
            <w:tcW w:w="1291" w:type="dxa"/>
            <w:vAlign w:val="center"/>
          </w:tcPr>
          <w:p w:rsidR="00F111EF" w:rsidRDefault="0051085C">
            <w:pPr>
              <w:jc w:val="right"/>
            </w:pPr>
            <w:r>
              <w:rPr>
                <w:rFonts w:eastAsiaTheme="minorEastAsia"/>
                <w:color w:val="000000" w:themeColor="text1"/>
                <w:szCs w:val="21"/>
              </w:rPr>
              <w:t>1.39%</w:t>
            </w:r>
          </w:p>
        </w:tc>
        <w:tc>
          <w:tcPr>
            <w:tcW w:w="1291" w:type="dxa"/>
            <w:vAlign w:val="center"/>
          </w:tcPr>
          <w:p w:rsidR="00F111EF" w:rsidRDefault="0051085C">
            <w:pPr>
              <w:jc w:val="right"/>
            </w:pPr>
            <w:r>
              <w:rPr>
                <w:rFonts w:eastAsiaTheme="minorEastAsia"/>
                <w:color w:val="000000" w:themeColor="text1"/>
                <w:szCs w:val="21"/>
              </w:rPr>
              <w:t>0.04%</w:t>
            </w:r>
          </w:p>
        </w:tc>
        <w:tc>
          <w:tcPr>
            <w:tcW w:w="1291" w:type="dxa"/>
            <w:vAlign w:val="center"/>
          </w:tcPr>
          <w:p w:rsidR="00F111EF" w:rsidRDefault="0051085C">
            <w:pPr>
              <w:jc w:val="right"/>
            </w:pPr>
            <w:r>
              <w:rPr>
                <w:rFonts w:eastAsiaTheme="minorEastAsia"/>
                <w:color w:val="000000" w:themeColor="text1"/>
                <w:szCs w:val="21"/>
              </w:rPr>
              <w:t>-0.56%</w:t>
            </w:r>
          </w:p>
        </w:tc>
        <w:tc>
          <w:tcPr>
            <w:tcW w:w="1291" w:type="dxa"/>
            <w:vAlign w:val="center"/>
          </w:tcPr>
          <w:p w:rsidR="00F111EF" w:rsidRDefault="0051085C">
            <w:pPr>
              <w:jc w:val="right"/>
            </w:pPr>
            <w:r>
              <w:rPr>
                <w:rFonts w:eastAsiaTheme="minorEastAsia"/>
                <w:color w:val="000000" w:themeColor="text1"/>
                <w:szCs w:val="21"/>
              </w:rPr>
              <w:t>-0.01%</w:t>
            </w:r>
          </w:p>
        </w:tc>
      </w:tr>
    </w:tbl>
    <w:p w:rsidR="00F111EF" w:rsidRDefault="0051085C">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上投摩根分红添利债券</w:t>
      </w:r>
      <w:r>
        <w:rPr>
          <w:rFonts w:eastAsiaTheme="minorEastAsia"/>
          <w:b/>
          <w:color w:val="000000" w:themeColor="text1"/>
          <w:kern w:val="0"/>
          <w:szCs w:val="21"/>
        </w:rPr>
        <w:t>B</w:t>
      </w:r>
      <w:r>
        <w:rPr>
          <w:rFonts w:eastAsiaTheme="minorEastAsia"/>
          <w:b/>
          <w:color w:val="000000" w:themeColor="text1"/>
          <w:kern w:val="0"/>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F111EF">
        <w:tc>
          <w:tcPr>
            <w:tcW w:w="1290" w:type="dxa"/>
            <w:vAlign w:val="center"/>
          </w:tcPr>
          <w:p w:rsidR="00F111EF" w:rsidRDefault="0051085C">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F111EF" w:rsidRDefault="0051085C">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F111EF" w:rsidRDefault="0051085C">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F111EF" w:rsidRDefault="0051085C">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F111EF">
        <w:tc>
          <w:tcPr>
            <w:tcW w:w="1290" w:type="dxa"/>
            <w:vAlign w:val="center"/>
          </w:tcPr>
          <w:p w:rsidR="00F111EF" w:rsidRDefault="0051085C">
            <w:pPr>
              <w:jc w:val="left"/>
            </w:pPr>
            <w:r>
              <w:rPr>
                <w:rFonts w:eastAsiaTheme="minorEastAsia"/>
                <w:color w:val="000000" w:themeColor="text1"/>
                <w:szCs w:val="21"/>
              </w:rPr>
              <w:t>过去三个月</w:t>
            </w:r>
          </w:p>
        </w:tc>
        <w:tc>
          <w:tcPr>
            <w:tcW w:w="1291" w:type="dxa"/>
            <w:vAlign w:val="center"/>
          </w:tcPr>
          <w:p w:rsidR="00F111EF" w:rsidRDefault="0051085C">
            <w:pPr>
              <w:jc w:val="right"/>
            </w:pPr>
            <w:r>
              <w:rPr>
                <w:rFonts w:eastAsiaTheme="minorEastAsia"/>
                <w:color w:val="000000" w:themeColor="text1"/>
                <w:szCs w:val="21"/>
              </w:rPr>
              <w:t>0.74%</w:t>
            </w:r>
          </w:p>
        </w:tc>
        <w:tc>
          <w:tcPr>
            <w:tcW w:w="1291" w:type="dxa"/>
            <w:vAlign w:val="center"/>
          </w:tcPr>
          <w:p w:rsidR="00F111EF" w:rsidRDefault="0051085C">
            <w:pPr>
              <w:jc w:val="right"/>
            </w:pPr>
            <w:r>
              <w:rPr>
                <w:rFonts w:eastAsiaTheme="minorEastAsia"/>
                <w:color w:val="000000" w:themeColor="text1"/>
                <w:szCs w:val="21"/>
              </w:rPr>
              <w:t>0.03%</w:t>
            </w:r>
          </w:p>
        </w:tc>
        <w:tc>
          <w:tcPr>
            <w:tcW w:w="1291" w:type="dxa"/>
            <w:vAlign w:val="center"/>
          </w:tcPr>
          <w:p w:rsidR="00F111EF" w:rsidRDefault="0051085C">
            <w:pPr>
              <w:jc w:val="right"/>
            </w:pPr>
            <w:r>
              <w:rPr>
                <w:rFonts w:eastAsiaTheme="minorEastAsia"/>
                <w:color w:val="000000" w:themeColor="text1"/>
                <w:szCs w:val="21"/>
              </w:rPr>
              <w:t>1.39%</w:t>
            </w:r>
          </w:p>
        </w:tc>
        <w:tc>
          <w:tcPr>
            <w:tcW w:w="1291" w:type="dxa"/>
            <w:vAlign w:val="center"/>
          </w:tcPr>
          <w:p w:rsidR="00F111EF" w:rsidRDefault="0051085C">
            <w:pPr>
              <w:jc w:val="right"/>
            </w:pPr>
            <w:r>
              <w:rPr>
                <w:rFonts w:eastAsiaTheme="minorEastAsia"/>
                <w:color w:val="000000" w:themeColor="text1"/>
                <w:szCs w:val="21"/>
              </w:rPr>
              <w:t>0.04%</w:t>
            </w:r>
          </w:p>
        </w:tc>
        <w:tc>
          <w:tcPr>
            <w:tcW w:w="1291" w:type="dxa"/>
            <w:vAlign w:val="center"/>
          </w:tcPr>
          <w:p w:rsidR="00F111EF" w:rsidRDefault="0051085C">
            <w:pPr>
              <w:jc w:val="right"/>
            </w:pPr>
            <w:r>
              <w:rPr>
                <w:rFonts w:eastAsiaTheme="minorEastAsia"/>
                <w:color w:val="000000" w:themeColor="text1"/>
                <w:szCs w:val="21"/>
              </w:rPr>
              <w:t>-0.65%</w:t>
            </w:r>
          </w:p>
        </w:tc>
        <w:tc>
          <w:tcPr>
            <w:tcW w:w="1291" w:type="dxa"/>
            <w:vAlign w:val="center"/>
          </w:tcPr>
          <w:p w:rsidR="00F111EF" w:rsidRDefault="0051085C">
            <w:pPr>
              <w:jc w:val="right"/>
            </w:pPr>
            <w:r>
              <w:rPr>
                <w:rFonts w:eastAsiaTheme="minorEastAsia"/>
                <w:color w:val="000000" w:themeColor="text1"/>
                <w:szCs w:val="21"/>
              </w:rPr>
              <w:t>-0.01%</w:t>
            </w:r>
          </w:p>
        </w:tc>
      </w:tr>
    </w:tbl>
    <w:p w:rsidR="00F111EF" w:rsidRDefault="0051085C">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F111EF" w:rsidRDefault="0051085C">
      <w:pPr>
        <w:spacing w:line="360" w:lineRule="auto"/>
        <w:jc w:val="center"/>
        <w:rPr>
          <w:rFonts w:eastAsiaTheme="minorEastAsia"/>
          <w:color w:val="000000" w:themeColor="text1"/>
          <w:szCs w:val="21"/>
        </w:rPr>
      </w:pPr>
      <w:r>
        <w:rPr>
          <w:rFonts w:eastAsiaTheme="minorEastAsia"/>
          <w:color w:val="000000" w:themeColor="text1"/>
          <w:szCs w:val="21"/>
        </w:rPr>
        <w:t>上投摩根分红添利债券型证券投资基金</w:t>
      </w:r>
    </w:p>
    <w:p w:rsidR="00F111EF" w:rsidRDefault="0051085C">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F111EF" w:rsidRDefault="0051085C">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(2012</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25</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F111EF" w:rsidRDefault="0051085C">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．上投摩根分红添利债券</w:t>
      </w:r>
      <w:r>
        <w:rPr>
          <w:rFonts w:eastAsiaTheme="minorEastAsia"/>
          <w:color w:val="000000" w:themeColor="text1"/>
          <w:szCs w:val="21"/>
        </w:rPr>
        <w:t>A</w:t>
      </w:r>
      <w:r>
        <w:rPr>
          <w:rFonts w:eastAsiaTheme="minorEastAsia"/>
          <w:color w:val="000000" w:themeColor="text1"/>
          <w:szCs w:val="21"/>
        </w:rPr>
        <w:t>：</w:t>
      </w:r>
    </w:p>
    <w:p w:rsidR="00F111EF" w:rsidRDefault="0051085C">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日，图示时间段为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日。本基金建仓期自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日。建仓期结束时资产配置比例符合本基金基金合同规定。</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F111EF" w:rsidRDefault="0051085C">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．上投摩根分红添利债券</w:t>
      </w:r>
      <w:r>
        <w:rPr>
          <w:rFonts w:eastAsiaTheme="minorEastAsia"/>
          <w:color w:val="000000" w:themeColor="text1"/>
          <w:szCs w:val="21"/>
        </w:rPr>
        <w:t>B</w:t>
      </w:r>
      <w:r>
        <w:rPr>
          <w:rFonts w:eastAsiaTheme="minorEastAsia"/>
          <w:color w:val="000000" w:themeColor="text1"/>
          <w:szCs w:val="21"/>
        </w:rPr>
        <w:t>：</w:t>
      </w:r>
    </w:p>
    <w:p w:rsidR="00F111EF" w:rsidRDefault="0051085C">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日，图示时间段为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本基金建仓期自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日。建仓期结束时资产配置比例符合本基金基金合同规定。</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F111EF" w:rsidRDefault="00F111EF">
      <w:pPr>
        <w:spacing w:line="360" w:lineRule="auto"/>
        <w:ind w:firstLineChars="200" w:firstLine="420"/>
        <w:rPr>
          <w:rFonts w:eastAsiaTheme="minorEastAsia"/>
          <w:color w:val="000000" w:themeColor="text1"/>
          <w:szCs w:val="21"/>
        </w:rPr>
      </w:pPr>
    </w:p>
    <w:p w:rsidR="00F111EF" w:rsidRDefault="0051085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F111EF" w:rsidRDefault="0051085C">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F111EF">
        <w:tc>
          <w:tcPr>
            <w:tcW w:w="952" w:type="dxa"/>
            <w:vMerge w:val="restart"/>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F111EF">
        <w:tc>
          <w:tcPr>
            <w:tcW w:w="952" w:type="dxa"/>
            <w:vMerge/>
            <w:vAlign w:val="center"/>
          </w:tcPr>
          <w:p w:rsidR="00F111EF" w:rsidRDefault="00F111EF">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F111EF" w:rsidRDefault="00F111EF">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F111EF" w:rsidRDefault="00F111EF">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F111EF" w:rsidRDefault="00F111EF">
            <w:pPr>
              <w:autoSpaceDE w:val="0"/>
              <w:autoSpaceDN w:val="0"/>
              <w:adjustRightInd w:val="0"/>
              <w:spacing w:before="29" w:line="288" w:lineRule="auto"/>
              <w:ind w:left="15"/>
              <w:jc w:val="center"/>
              <w:rPr>
                <w:rFonts w:eastAsiaTheme="minorEastAsia"/>
                <w:color w:val="000000" w:themeColor="text1"/>
                <w:kern w:val="0"/>
                <w:szCs w:val="21"/>
              </w:rPr>
            </w:pPr>
          </w:p>
        </w:tc>
      </w:tr>
      <w:tr w:rsidR="00F111EF">
        <w:tc>
          <w:tcPr>
            <w:tcW w:w="952" w:type="dxa"/>
            <w:vAlign w:val="center"/>
          </w:tcPr>
          <w:p w:rsidR="00F111EF" w:rsidRDefault="0051085C">
            <w:pPr>
              <w:jc w:val="center"/>
            </w:pPr>
            <w:r>
              <w:rPr>
                <w:rFonts w:eastAsiaTheme="minorEastAsia"/>
                <w:color w:val="000000" w:themeColor="text1"/>
                <w:szCs w:val="21"/>
              </w:rPr>
              <w:t>唐瑭</w:t>
            </w:r>
          </w:p>
        </w:tc>
        <w:tc>
          <w:tcPr>
            <w:tcW w:w="930" w:type="dxa"/>
            <w:vAlign w:val="center"/>
          </w:tcPr>
          <w:p w:rsidR="00F111EF" w:rsidRDefault="0051085C">
            <w:pPr>
              <w:jc w:val="center"/>
            </w:pPr>
            <w:r>
              <w:rPr>
                <w:rFonts w:eastAsiaTheme="minorEastAsia"/>
                <w:color w:val="000000" w:themeColor="text1"/>
                <w:szCs w:val="21"/>
              </w:rPr>
              <w:t>本基金基金经理</w:t>
            </w:r>
          </w:p>
        </w:tc>
        <w:tc>
          <w:tcPr>
            <w:tcW w:w="1210" w:type="dxa"/>
            <w:vAlign w:val="center"/>
          </w:tcPr>
          <w:p w:rsidR="00F111EF" w:rsidRDefault="0051085C">
            <w:pPr>
              <w:jc w:val="center"/>
            </w:pPr>
            <w:r>
              <w:rPr>
                <w:rFonts w:eastAsiaTheme="minorEastAsia"/>
                <w:color w:val="000000" w:themeColor="text1"/>
                <w:szCs w:val="21"/>
              </w:rPr>
              <w:t>2016-06-03</w:t>
            </w:r>
          </w:p>
        </w:tc>
        <w:tc>
          <w:tcPr>
            <w:tcW w:w="1309" w:type="dxa"/>
            <w:vAlign w:val="center"/>
          </w:tcPr>
          <w:p w:rsidR="00F111EF" w:rsidRDefault="0051085C">
            <w:pPr>
              <w:jc w:val="center"/>
            </w:pPr>
            <w:r>
              <w:rPr>
                <w:rFonts w:eastAsiaTheme="minorEastAsia"/>
                <w:color w:val="000000" w:themeColor="text1"/>
                <w:szCs w:val="21"/>
              </w:rPr>
              <w:t>-</w:t>
            </w:r>
          </w:p>
        </w:tc>
        <w:tc>
          <w:tcPr>
            <w:tcW w:w="1254" w:type="dxa"/>
            <w:vAlign w:val="center"/>
          </w:tcPr>
          <w:p w:rsidR="00F111EF" w:rsidRDefault="0051085C">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F111EF" w:rsidRDefault="0051085C">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月起担任上投摩根强化回报债券型证券投资基金基金经理，自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w:t>
            </w:r>
            <w:r>
              <w:rPr>
                <w:rFonts w:eastAsiaTheme="minorEastAsia"/>
                <w:color w:val="000000" w:themeColor="text1"/>
                <w:szCs w:val="21"/>
              </w:rPr>
              <w:t>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月担任上投摩根安腾回报混合型证券投资基金基金经理，自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月起同时担任上投摩根优信增利债券型证券投资</w:t>
            </w:r>
            <w:r>
              <w:rPr>
                <w:rFonts w:eastAsiaTheme="minorEastAsia"/>
                <w:color w:val="000000" w:themeColor="text1"/>
                <w:szCs w:val="21"/>
              </w:rPr>
              <w:t>基金和上投摩根安鑫回报混合型证券投资基金基金经理，自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月起同时担任上投摩根瑞利纯债债券型证券投资基金基金经理。</w:t>
            </w:r>
          </w:p>
        </w:tc>
      </w:tr>
    </w:tbl>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分红添利债券型证券投资基金基金合同》的规定。基金经理对个股和投资组合的比例遵循了投资决策委员会的授权限制，基金投资比例符合基金合同和法律法规的要求。</w:t>
      </w:r>
    </w:p>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F111EF" w:rsidRDefault="0051085C">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w:t>
      </w:r>
      <w:r>
        <w:rPr>
          <w:rFonts w:eastAsiaTheme="minorEastAsia"/>
          <w:color w:val="000000" w:themeColor="text1"/>
          <w:szCs w:val="21"/>
        </w:rPr>
        <w:t>、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w:t>
      </w:r>
      <w:r>
        <w:rPr>
          <w:rFonts w:eastAsiaTheme="minorEastAsia"/>
          <w:color w:val="000000" w:themeColor="text1"/>
          <w:szCs w:val="21"/>
        </w:rPr>
        <w:t>申报的价格和数量对交易结果进行公平分配。</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F111EF" w:rsidRDefault="0051085C">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F111EF" w:rsidRDefault="0051085C">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w:t>
      </w:r>
      <w:r>
        <w:rPr>
          <w:rFonts w:eastAsiaTheme="minorEastAsia"/>
          <w:color w:val="000000" w:themeColor="text1"/>
          <w:szCs w:val="21"/>
        </w:rPr>
        <w:t>分析</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年三季度，宏观经济继续承压。</w:t>
      </w:r>
      <w:r>
        <w:rPr>
          <w:rFonts w:eastAsiaTheme="minorEastAsia"/>
          <w:color w:val="000000" w:themeColor="text1"/>
          <w:szCs w:val="21"/>
        </w:rPr>
        <w:t>PMI</w:t>
      </w:r>
      <w:r>
        <w:rPr>
          <w:rFonts w:eastAsiaTheme="minorEastAsia"/>
          <w:color w:val="000000" w:themeColor="text1"/>
          <w:szCs w:val="21"/>
        </w:rPr>
        <w:t>持续处于收缩区间，工业增加值、固定资产投资、消费数据均不及预期。中美贸易摩擦、全球经济疲弱下外需承压的影响逐步显现。当前经济存在下行压力，逆周期调节政策支持也在随之调整，包括央行降准与明年专项债预算额度的提前下达等方面。海外市场方面，美联储开启降息周期，美债收益率大幅下行后宽幅震荡。美对华关税增加幅度超预期。债券市场，利率债窄幅震荡，信用债收益率小幅下行。</w:t>
      </w:r>
      <w:r>
        <w:rPr>
          <w:rFonts w:eastAsiaTheme="minorEastAsia"/>
          <w:color w:val="000000" w:themeColor="text1"/>
          <w:szCs w:val="21"/>
        </w:rPr>
        <w:t>10</w:t>
      </w:r>
      <w:r>
        <w:rPr>
          <w:rFonts w:eastAsiaTheme="minorEastAsia"/>
          <w:color w:val="000000" w:themeColor="text1"/>
          <w:szCs w:val="21"/>
        </w:rPr>
        <w:t>年期国开债收益率维持在</w:t>
      </w:r>
      <w:r>
        <w:rPr>
          <w:rFonts w:eastAsiaTheme="minorEastAsia"/>
          <w:color w:val="000000" w:themeColor="text1"/>
          <w:szCs w:val="21"/>
        </w:rPr>
        <w:t>3.5-3.6%</w:t>
      </w:r>
      <w:r>
        <w:rPr>
          <w:rFonts w:eastAsiaTheme="minorEastAsia"/>
          <w:color w:val="000000" w:themeColor="text1"/>
          <w:szCs w:val="21"/>
        </w:rPr>
        <w:t>，</w:t>
      </w:r>
      <w:r>
        <w:rPr>
          <w:rFonts w:eastAsiaTheme="minorEastAsia"/>
          <w:color w:val="000000" w:themeColor="text1"/>
          <w:szCs w:val="21"/>
        </w:rPr>
        <w:t>10</w:t>
      </w:r>
      <w:r>
        <w:rPr>
          <w:rFonts w:eastAsiaTheme="minorEastAsia"/>
          <w:color w:val="000000" w:themeColor="text1"/>
          <w:szCs w:val="21"/>
        </w:rPr>
        <w:t>年期国债收益率维持在</w:t>
      </w:r>
      <w:r>
        <w:rPr>
          <w:rFonts w:eastAsiaTheme="minorEastAsia"/>
          <w:color w:val="000000" w:themeColor="text1"/>
          <w:szCs w:val="21"/>
        </w:rPr>
        <w:t>3.15%</w:t>
      </w:r>
      <w:r>
        <w:rPr>
          <w:rFonts w:eastAsiaTheme="minorEastAsia"/>
          <w:color w:val="000000" w:themeColor="text1"/>
          <w:szCs w:val="21"/>
        </w:rPr>
        <w:t>左右。</w:t>
      </w:r>
      <w:r>
        <w:rPr>
          <w:rFonts w:eastAsiaTheme="minorEastAsia"/>
          <w:color w:val="000000" w:themeColor="text1"/>
          <w:szCs w:val="21"/>
        </w:rPr>
        <w:t>3</w:t>
      </w:r>
      <w:r>
        <w:rPr>
          <w:rFonts w:eastAsiaTheme="minorEastAsia"/>
          <w:color w:val="000000" w:themeColor="text1"/>
          <w:szCs w:val="21"/>
        </w:rPr>
        <w:t>年期</w:t>
      </w:r>
      <w:r>
        <w:rPr>
          <w:rFonts w:eastAsiaTheme="minorEastAsia"/>
          <w:color w:val="000000" w:themeColor="text1"/>
          <w:szCs w:val="21"/>
        </w:rPr>
        <w:t>AAA/AA+</w:t>
      </w:r>
      <w:r>
        <w:rPr>
          <w:rFonts w:eastAsiaTheme="minorEastAsia"/>
          <w:color w:val="000000" w:themeColor="text1"/>
          <w:szCs w:val="21"/>
        </w:rPr>
        <w:t>中票收益</w:t>
      </w:r>
      <w:r>
        <w:rPr>
          <w:rFonts w:eastAsiaTheme="minorEastAsia"/>
          <w:color w:val="000000" w:themeColor="text1"/>
          <w:szCs w:val="21"/>
        </w:rPr>
        <w:t>率下</w:t>
      </w:r>
      <w:r>
        <w:rPr>
          <w:rFonts w:eastAsiaTheme="minorEastAsia"/>
          <w:color w:val="000000" w:themeColor="text1"/>
          <w:szCs w:val="21"/>
        </w:rPr>
        <w:t>15bps</w:t>
      </w:r>
      <w:r>
        <w:rPr>
          <w:rFonts w:eastAsiaTheme="minorEastAsia"/>
          <w:color w:val="000000" w:themeColor="text1"/>
          <w:szCs w:val="21"/>
        </w:rPr>
        <w:t>，信用利差处于历史低位，并进一步压缩。运作期内，本基金以中短久期的好资质品种的投资为主，力争为组合提供稳定的收益回报。</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展望四季度，信用和经济的恢复进程将有所反复。财政政策、货币政策等政策工具的组合拳，对经济仍将起到托底的重要作用，但是猪肉价格的快速上涨，预计将导致</w:t>
      </w:r>
      <w:r>
        <w:rPr>
          <w:rFonts w:eastAsiaTheme="minorEastAsia"/>
          <w:color w:val="000000" w:themeColor="text1"/>
          <w:szCs w:val="21"/>
        </w:rPr>
        <w:t>CPI</w:t>
      </w:r>
      <w:r>
        <w:rPr>
          <w:rFonts w:eastAsiaTheme="minorEastAsia"/>
          <w:color w:val="000000" w:themeColor="text1"/>
          <w:szCs w:val="21"/>
        </w:rPr>
        <w:t>上行至</w:t>
      </w:r>
      <w:r>
        <w:rPr>
          <w:rFonts w:eastAsiaTheme="minorEastAsia"/>
          <w:color w:val="000000" w:themeColor="text1"/>
          <w:szCs w:val="21"/>
        </w:rPr>
        <w:t>3-3.5%</w:t>
      </w:r>
      <w:r>
        <w:rPr>
          <w:rFonts w:eastAsiaTheme="minorEastAsia"/>
          <w:color w:val="000000" w:themeColor="text1"/>
          <w:szCs w:val="21"/>
        </w:rPr>
        <w:t>，约束政策空间。库存周期有望在四季度见底，然而向上的弹性有限。整体来看，通胀上行和经济下行的组合，对于非现金资产都是不利的。本基金的债券组合仍将关注中短久期优质债券策略。</w:t>
      </w:r>
    </w:p>
    <w:p w:rsidR="00F111EF" w:rsidRDefault="0051085C">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本报告期上投摩根分红添利债券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:0.83%</w:t>
      </w:r>
      <w:r>
        <w:rPr>
          <w:rFonts w:eastAsiaTheme="minorEastAsia"/>
          <w:color w:val="000000" w:themeColor="text1"/>
          <w:szCs w:val="21"/>
        </w:rPr>
        <w:t>，同期业绩比较基准收益率为</w:t>
      </w:r>
      <w:r>
        <w:rPr>
          <w:rFonts w:eastAsiaTheme="minorEastAsia"/>
          <w:color w:val="000000" w:themeColor="text1"/>
          <w:szCs w:val="21"/>
        </w:rPr>
        <w:t>:1.39%,</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r>
        <w:rPr>
          <w:rFonts w:eastAsiaTheme="minorEastAsia"/>
          <w:color w:val="000000" w:themeColor="text1"/>
          <w:szCs w:val="21"/>
        </w:rPr>
        <w:t>份额净值增长率为</w:t>
      </w:r>
      <w:r>
        <w:rPr>
          <w:rFonts w:eastAsiaTheme="minorEastAsia"/>
          <w:color w:val="000000" w:themeColor="text1"/>
          <w:szCs w:val="21"/>
        </w:rPr>
        <w:t>:0.74%</w:t>
      </w:r>
      <w:r>
        <w:rPr>
          <w:rFonts w:eastAsiaTheme="minorEastAsia"/>
          <w:color w:val="000000" w:themeColor="text1"/>
          <w:szCs w:val="21"/>
        </w:rPr>
        <w:t>，同期业绩比较基准收益率为</w:t>
      </w:r>
      <w:r>
        <w:rPr>
          <w:rFonts w:eastAsiaTheme="minorEastAsia"/>
          <w:color w:val="000000" w:themeColor="text1"/>
          <w:szCs w:val="21"/>
        </w:rPr>
        <w:t>:1.39%</w:t>
      </w:r>
      <w:r>
        <w:rPr>
          <w:rFonts w:eastAsiaTheme="minorEastAsia"/>
          <w:color w:val="000000" w:themeColor="text1"/>
          <w:szCs w:val="21"/>
        </w:rPr>
        <w:t>。</w:t>
      </w:r>
    </w:p>
    <w:p w:rsidR="00F111EF" w:rsidRDefault="00F111EF">
      <w:pPr>
        <w:spacing w:line="360" w:lineRule="auto"/>
        <w:ind w:firstLineChars="200" w:firstLine="420"/>
        <w:rPr>
          <w:rFonts w:eastAsiaTheme="minorEastAsia"/>
          <w:color w:val="000000" w:themeColor="text1"/>
          <w:szCs w:val="21"/>
        </w:rPr>
      </w:pPr>
    </w:p>
    <w:p w:rsidR="00F111EF" w:rsidRDefault="0051085C">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F111EF" w:rsidRDefault="0051085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05</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日至</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09</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F111EF" w:rsidRDefault="0051085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基金管理人拟调整本基金运作方式，加大营销力度，提升基金规模，方案已报监管机关。</w:t>
      </w:r>
    </w:p>
    <w:p w:rsidR="00F111EF" w:rsidRDefault="00F111EF">
      <w:pPr>
        <w:spacing w:line="360" w:lineRule="auto"/>
        <w:ind w:firstLineChars="200" w:firstLine="420"/>
        <w:rPr>
          <w:rFonts w:asciiTheme="minorEastAsia" w:eastAsiaTheme="minorEastAsia" w:hAnsiTheme="minorEastAsia"/>
          <w:color w:val="000000" w:themeColor="text1"/>
          <w:szCs w:val="21"/>
        </w:rPr>
      </w:pPr>
    </w:p>
    <w:p w:rsidR="00F111EF" w:rsidRDefault="0051085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F111EF" w:rsidRDefault="0051085C">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w:t>
      </w:r>
      <w:r>
        <w:rPr>
          <w:rFonts w:eastAsiaTheme="minorEastAsia"/>
          <w:b/>
          <w:color w:val="000000" w:themeColor="text1"/>
          <w:kern w:val="0"/>
          <w:szCs w:val="21"/>
        </w:rPr>
        <w:t>组合情况</w:t>
      </w:r>
    </w:p>
    <w:tbl>
      <w:tblPr>
        <w:tblStyle w:val="af6"/>
        <w:tblW w:w="8897" w:type="dxa"/>
        <w:tblInd w:w="108" w:type="dxa"/>
        <w:tblLayout w:type="fixed"/>
        <w:tblLook w:val="04A0" w:firstRow="1" w:lastRow="0" w:firstColumn="1" w:lastColumn="0" w:noHBand="0" w:noVBand="1"/>
      </w:tblPr>
      <w:tblGrid>
        <w:gridCol w:w="720"/>
        <w:gridCol w:w="3357"/>
        <w:gridCol w:w="2977"/>
        <w:gridCol w:w="1843"/>
      </w:tblGrid>
      <w:tr w:rsidR="00F111EF">
        <w:tc>
          <w:tcPr>
            <w:tcW w:w="720"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F111EF">
        <w:tc>
          <w:tcPr>
            <w:tcW w:w="720"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720" w:type="dxa"/>
            <w:vAlign w:val="center"/>
          </w:tcPr>
          <w:p w:rsidR="00F111EF" w:rsidRDefault="00F111EF">
            <w:pPr>
              <w:spacing w:before="29" w:line="360" w:lineRule="auto"/>
              <w:ind w:left="17"/>
              <w:jc w:val="center"/>
              <w:rPr>
                <w:rFonts w:eastAsiaTheme="minorEastAsia"/>
                <w:color w:val="000000" w:themeColor="text1"/>
                <w:szCs w:val="21"/>
              </w:rPr>
            </w:pPr>
          </w:p>
        </w:tc>
        <w:tc>
          <w:tcPr>
            <w:tcW w:w="3357"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720"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33,914,824.40</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91.26</w:t>
            </w:r>
          </w:p>
        </w:tc>
      </w:tr>
      <w:tr w:rsidR="00F111EF">
        <w:tc>
          <w:tcPr>
            <w:tcW w:w="720" w:type="dxa"/>
            <w:vAlign w:val="center"/>
          </w:tcPr>
          <w:p w:rsidR="00F111EF" w:rsidRDefault="00F111EF">
            <w:pPr>
              <w:spacing w:before="29" w:line="360" w:lineRule="auto"/>
              <w:ind w:left="17"/>
              <w:jc w:val="center"/>
              <w:rPr>
                <w:rFonts w:eastAsiaTheme="minorEastAsia"/>
                <w:color w:val="000000" w:themeColor="text1"/>
                <w:szCs w:val="21"/>
              </w:rPr>
            </w:pPr>
          </w:p>
        </w:tc>
        <w:tc>
          <w:tcPr>
            <w:tcW w:w="3357"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33,914,824.40</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91.26</w:t>
            </w:r>
          </w:p>
        </w:tc>
      </w:tr>
      <w:tr w:rsidR="00F111EF">
        <w:tc>
          <w:tcPr>
            <w:tcW w:w="720" w:type="dxa"/>
            <w:vAlign w:val="center"/>
          </w:tcPr>
          <w:p w:rsidR="00F111EF" w:rsidRDefault="00F111EF">
            <w:pPr>
              <w:spacing w:before="29" w:line="360" w:lineRule="auto"/>
              <w:ind w:left="17"/>
              <w:jc w:val="center"/>
              <w:rPr>
                <w:rFonts w:eastAsiaTheme="minorEastAsia"/>
                <w:color w:val="000000" w:themeColor="text1"/>
                <w:szCs w:val="21"/>
              </w:rPr>
            </w:pPr>
          </w:p>
        </w:tc>
        <w:tc>
          <w:tcPr>
            <w:tcW w:w="3357" w:type="dxa"/>
            <w:vAlign w:val="center"/>
          </w:tcPr>
          <w:p w:rsidR="00F111EF" w:rsidRDefault="0051085C">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720" w:type="dxa"/>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F111EF" w:rsidRDefault="0051085C">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720"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720"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720" w:type="dxa"/>
            <w:vAlign w:val="center"/>
          </w:tcPr>
          <w:p w:rsidR="00F111EF" w:rsidRDefault="00F111EF">
            <w:pPr>
              <w:spacing w:before="29" w:line="360" w:lineRule="auto"/>
              <w:ind w:left="17"/>
              <w:jc w:val="center"/>
              <w:rPr>
                <w:rFonts w:eastAsiaTheme="minorEastAsia"/>
                <w:color w:val="000000" w:themeColor="text1"/>
                <w:szCs w:val="21"/>
              </w:rPr>
            </w:pPr>
          </w:p>
        </w:tc>
        <w:tc>
          <w:tcPr>
            <w:tcW w:w="3357"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720"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2,002,027.21</w:t>
            </w:r>
          </w:p>
        </w:tc>
        <w:tc>
          <w:tcPr>
            <w:tcW w:w="1843"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5.39</w:t>
            </w:r>
          </w:p>
        </w:tc>
      </w:tr>
      <w:tr w:rsidR="00F111EF">
        <w:tc>
          <w:tcPr>
            <w:tcW w:w="720"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F111EF" w:rsidRDefault="0051085C">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F111EF" w:rsidRDefault="0051085C">
            <w:pPr>
              <w:jc w:val="right"/>
              <w:rPr>
                <w:rFonts w:eastAsiaTheme="minorEastAsia"/>
                <w:color w:val="000000" w:themeColor="text1"/>
                <w:szCs w:val="21"/>
              </w:rPr>
            </w:pPr>
            <w:r>
              <w:rPr>
                <w:rFonts w:eastAsiaTheme="minorEastAsia"/>
                <w:color w:val="000000" w:themeColor="text1"/>
                <w:szCs w:val="21"/>
              </w:rPr>
              <w:t>1,247,294.76</w:t>
            </w:r>
          </w:p>
        </w:tc>
        <w:tc>
          <w:tcPr>
            <w:tcW w:w="1843" w:type="dxa"/>
            <w:vAlign w:val="center"/>
          </w:tcPr>
          <w:p w:rsidR="00F111EF" w:rsidRDefault="0051085C">
            <w:pPr>
              <w:jc w:val="right"/>
              <w:rPr>
                <w:rFonts w:eastAsiaTheme="minorEastAsia"/>
                <w:color w:val="000000" w:themeColor="text1"/>
                <w:szCs w:val="21"/>
              </w:rPr>
            </w:pPr>
            <w:r>
              <w:rPr>
                <w:rFonts w:eastAsiaTheme="minorEastAsia"/>
                <w:color w:val="000000" w:themeColor="text1"/>
                <w:szCs w:val="21"/>
              </w:rPr>
              <w:t>3.36</w:t>
            </w:r>
          </w:p>
        </w:tc>
      </w:tr>
      <w:tr w:rsidR="00F111EF">
        <w:tc>
          <w:tcPr>
            <w:tcW w:w="720"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F111EF" w:rsidRDefault="0051085C">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F111EF" w:rsidRDefault="0051085C">
            <w:pPr>
              <w:jc w:val="right"/>
              <w:rPr>
                <w:rFonts w:eastAsiaTheme="minorEastAsia"/>
                <w:color w:val="000000" w:themeColor="text1"/>
                <w:szCs w:val="21"/>
              </w:rPr>
            </w:pPr>
            <w:r>
              <w:rPr>
                <w:rFonts w:eastAsiaTheme="minorEastAsia"/>
                <w:color w:val="000000" w:themeColor="text1"/>
                <w:szCs w:val="21"/>
              </w:rPr>
              <w:t>37,164,146.37</w:t>
            </w:r>
          </w:p>
        </w:tc>
        <w:tc>
          <w:tcPr>
            <w:tcW w:w="1843" w:type="dxa"/>
            <w:vAlign w:val="center"/>
          </w:tcPr>
          <w:p w:rsidR="00F111EF" w:rsidRDefault="0051085C">
            <w:pPr>
              <w:jc w:val="right"/>
              <w:rPr>
                <w:rFonts w:eastAsiaTheme="minorEastAsia"/>
                <w:color w:val="000000" w:themeColor="text1"/>
                <w:szCs w:val="21"/>
              </w:rPr>
            </w:pPr>
            <w:r>
              <w:rPr>
                <w:rFonts w:eastAsiaTheme="minorEastAsia"/>
                <w:color w:val="000000" w:themeColor="text1"/>
                <w:szCs w:val="21"/>
              </w:rPr>
              <w:t>100.00</w:t>
            </w:r>
          </w:p>
        </w:tc>
      </w:tr>
    </w:tbl>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F111EF" w:rsidRDefault="0051085C">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399,960.00</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1.14</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1,510,650.00</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4.29</w:t>
            </w:r>
          </w:p>
        </w:tc>
      </w:tr>
      <w:tr w:rsidR="00F111EF">
        <w:tc>
          <w:tcPr>
            <w:tcW w:w="817" w:type="dxa"/>
            <w:vAlign w:val="center"/>
          </w:tcPr>
          <w:p w:rsidR="00F111EF" w:rsidRDefault="00F111EF">
            <w:pPr>
              <w:spacing w:before="29" w:line="360" w:lineRule="auto"/>
              <w:ind w:left="17"/>
              <w:jc w:val="center"/>
              <w:rPr>
                <w:rFonts w:eastAsiaTheme="minorEastAsia"/>
                <w:color w:val="000000" w:themeColor="text1"/>
                <w:szCs w:val="21"/>
              </w:rPr>
            </w:pP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1,510,650.00</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4.29</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32,004,214.40</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90.85</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817" w:type="dxa"/>
            <w:vAlign w:val="center"/>
          </w:tcPr>
          <w:p w:rsidR="00F111EF" w:rsidRDefault="0051085C">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F111EF" w:rsidRDefault="0051085C">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33,914,824.40</w:t>
            </w:r>
          </w:p>
        </w:tc>
        <w:tc>
          <w:tcPr>
            <w:tcW w:w="1616" w:type="dxa"/>
            <w:vAlign w:val="center"/>
          </w:tcPr>
          <w:p w:rsidR="00F111EF" w:rsidRDefault="0051085C">
            <w:pPr>
              <w:spacing w:before="29" w:line="360" w:lineRule="auto"/>
              <w:ind w:left="17"/>
              <w:jc w:val="right"/>
              <w:rPr>
                <w:rFonts w:eastAsiaTheme="minorEastAsia"/>
                <w:color w:val="000000" w:themeColor="text1"/>
                <w:szCs w:val="21"/>
              </w:rPr>
            </w:pPr>
            <w:r>
              <w:rPr>
                <w:rFonts w:eastAsiaTheme="minorEastAsia"/>
                <w:color w:val="000000" w:themeColor="text1"/>
                <w:szCs w:val="21"/>
              </w:rPr>
              <w:t>96.28</w:t>
            </w:r>
          </w:p>
        </w:tc>
      </w:tr>
    </w:tbl>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F111EF">
        <w:tc>
          <w:tcPr>
            <w:tcW w:w="1504" w:type="dxa"/>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F111EF" w:rsidRDefault="0051085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F111EF">
        <w:tc>
          <w:tcPr>
            <w:tcW w:w="1504" w:type="dxa"/>
            <w:vAlign w:val="center"/>
          </w:tcPr>
          <w:p w:rsidR="00F111EF" w:rsidRDefault="0051085C">
            <w:pPr>
              <w:jc w:val="center"/>
            </w:pPr>
            <w:r>
              <w:rPr>
                <w:rFonts w:eastAsiaTheme="minorEastAsia"/>
                <w:color w:val="000000" w:themeColor="text1"/>
                <w:szCs w:val="21"/>
              </w:rPr>
              <w:t>1</w:t>
            </w:r>
          </w:p>
        </w:tc>
        <w:tc>
          <w:tcPr>
            <w:tcW w:w="1504" w:type="dxa"/>
            <w:vAlign w:val="center"/>
          </w:tcPr>
          <w:p w:rsidR="00F111EF" w:rsidRDefault="0051085C">
            <w:pPr>
              <w:jc w:val="center"/>
            </w:pPr>
            <w:r>
              <w:rPr>
                <w:rFonts w:eastAsiaTheme="minorEastAsia"/>
                <w:color w:val="000000" w:themeColor="text1"/>
                <w:szCs w:val="21"/>
              </w:rPr>
              <w:t>108602</w:t>
            </w:r>
          </w:p>
        </w:tc>
        <w:tc>
          <w:tcPr>
            <w:tcW w:w="1504" w:type="dxa"/>
            <w:vAlign w:val="center"/>
          </w:tcPr>
          <w:p w:rsidR="00F111EF" w:rsidRDefault="0051085C">
            <w:pPr>
              <w:jc w:val="center"/>
            </w:pPr>
            <w:r>
              <w:rPr>
                <w:rFonts w:eastAsiaTheme="minorEastAsia"/>
                <w:color w:val="000000" w:themeColor="text1"/>
                <w:szCs w:val="21"/>
              </w:rPr>
              <w:t>国开</w:t>
            </w:r>
            <w:r>
              <w:rPr>
                <w:rFonts w:eastAsiaTheme="minorEastAsia"/>
                <w:color w:val="000000" w:themeColor="text1"/>
                <w:szCs w:val="21"/>
              </w:rPr>
              <w:t>1704</w:t>
            </w:r>
          </w:p>
        </w:tc>
        <w:tc>
          <w:tcPr>
            <w:tcW w:w="1503" w:type="dxa"/>
            <w:vAlign w:val="center"/>
          </w:tcPr>
          <w:p w:rsidR="00F111EF" w:rsidRDefault="0051085C">
            <w:pPr>
              <w:jc w:val="right"/>
            </w:pPr>
            <w:r>
              <w:rPr>
                <w:rFonts w:eastAsiaTheme="minorEastAsia"/>
                <w:color w:val="000000" w:themeColor="text1"/>
                <w:szCs w:val="21"/>
              </w:rPr>
              <w:t>15,000</w:t>
            </w:r>
          </w:p>
        </w:tc>
        <w:tc>
          <w:tcPr>
            <w:tcW w:w="1503" w:type="dxa"/>
            <w:vAlign w:val="center"/>
          </w:tcPr>
          <w:p w:rsidR="00F111EF" w:rsidRDefault="0051085C">
            <w:pPr>
              <w:jc w:val="right"/>
            </w:pPr>
            <w:r>
              <w:rPr>
                <w:rFonts w:eastAsiaTheme="minorEastAsia"/>
                <w:color w:val="000000" w:themeColor="text1"/>
                <w:szCs w:val="21"/>
              </w:rPr>
              <w:t>1,510,650.00</w:t>
            </w:r>
          </w:p>
        </w:tc>
        <w:tc>
          <w:tcPr>
            <w:tcW w:w="1503" w:type="dxa"/>
            <w:vAlign w:val="center"/>
          </w:tcPr>
          <w:p w:rsidR="00F111EF" w:rsidRDefault="0051085C">
            <w:pPr>
              <w:jc w:val="right"/>
            </w:pPr>
            <w:r>
              <w:rPr>
                <w:rFonts w:eastAsiaTheme="minorEastAsia"/>
                <w:color w:val="000000" w:themeColor="text1"/>
                <w:szCs w:val="21"/>
              </w:rPr>
              <w:t>4.29</w:t>
            </w:r>
          </w:p>
        </w:tc>
      </w:tr>
      <w:tr w:rsidR="00F111EF">
        <w:tc>
          <w:tcPr>
            <w:tcW w:w="1504" w:type="dxa"/>
            <w:vAlign w:val="center"/>
          </w:tcPr>
          <w:p w:rsidR="00F111EF" w:rsidRDefault="0051085C">
            <w:pPr>
              <w:jc w:val="center"/>
            </w:pPr>
            <w:r>
              <w:rPr>
                <w:rFonts w:eastAsiaTheme="minorEastAsia"/>
                <w:color w:val="000000" w:themeColor="text1"/>
                <w:szCs w:val="21"/>
              </w:rPr>
              <w:t>2</w:t>
            </w:r>
          </w:p>
        </w:tc>
        <w:tc>
          <w:tcPr>
            <w:tcW w:w="1504" w:type="dxa"/>
            <w:vAlign w:val="center"/>
          </w:tcPr>
          <w:p w:rsidR="00F111EF" w:rsidRDefault="0051085C">
            <w:pPr>
              <w:jc w:val="center"/>
            </w:pPr>
            <w:r>
              <w:rPr>
                <w:rFonts w:eastAsiaTheme="minorEastAsia"/>
                <w:color w:val="000000" w:themeColor="text1"/>
                <w:szCs w:val="21"/>
              </w:rPr>
              <w:t>143452</w:t>
            </w:r>
          </w:p>
        </w:tc>
        <w:tc>
          <w:tcPr>
            <w:tcW w:w="1504" w:type="dxa"/>
            <w:vAlign w:val="center"/>
          </w:tcPr>
          <w:p w:rsidR="00F111EF" w:rsidRDefault="0051085C">
            <w:pPr>
              <w:jc w:val="center"/>
            </w:pPr>
            <w:r>
              <w:rPr>
                <w:rFonts w:eastAsiaTheme="minorEastAsia"/>
                <w:color w:val="000000" w:themeColor="text1"/>
                <w:szCs w:val="21"/>
              </w:rPr>
              <w:t>18</w:t>
            </w:r>
            <w:r>
              <w:rPr>
                <w:rFonts w:eastAsiaTheme="minorEastAsia"/>
                <w:color w:val="000000" w:themeColor="text1"/>
                <w:szCs w:val="21"/>
              </w:rPr>
              <w:t>国都</w:t>
            </w:r>
            <w:r>
              <w:rPr>
                <w:rFonts w:eastAsiaTheme="minorEastAsia"/>
                <w:color w:val="000000" w:themeColor="text1"/>
                <w:szCs w:val="21"/>
              </w:rPr>
              <w:t>G1</w:t>
            </w:r>
          </w:p>
        </w:tc>
        <w:tc>
          <w:tcPr>
            <w:tcW w:w="1503" w:type="dxa"/>
            <w:vAlign w:val="center"/>
          </w:tcPr>
          <w:p w:rsidR="00F111EF" w:rsidRDefault="0051085C">
            <w:pPr>
              <w:jc w:val="right"/>
            </w:pPr>
            <w:r>
              <w:rPr>
                <w:rFonts w:eastAsiaTheme="minorEastAsia"/>
                <w:color w:val="000000" w:themeColor="text1"/>
                <w:szCs w:val="21"/>
              </w:rPr>
              <w:t>13,000</w:t>
            </w:r>
          </w:p>
        </w:tc>
        <w:tc>
          <w:tcPr>
            <w:tcW w:w="1503" w:type="dxa"/>
            <w:vAlign w:val="center"/>
          </w:tcPr>
          <w:p w:rsidR="00F111EF" w:rsidRDefault="0051085C">
            <w:pPr>
              <w:jc w:val="right"/>
            </w:pPr>
            <w:r>
              <w:rPr>
                <w:rFonts w:eastAsiaTheme="minorEastAsia"/>
                <w:color w:val="000000" w:themeColor="text1"/>
                <w:szCs w:val="21"/>
              </w:rPr>
              <w:t>1,304,680.00</w:t>
            </w:r>
          </w:p>
        </w:tc>
        <w:tc>
          <w:tcPr>
            <w:tcW w:w="1503" w:type="dxa"/>
            <w:vAlign w:val="center"/>
          </w:tcPr>
          <w:p w:rsidR="00F111EF" w:rsidRDefault="0051085C">
            <w:pPr>
              <w:jc w:val="right"/>
            </w:pPr>
            <w:r>
              <w:rPr>
                <w:rFonts w:eastAsiaTheme="minorEastAsia"/>
                <w:color w:val="000000" w:themeColor="text1"/>
                <w:szCs w:val="21"/>
              </w:rPr>
              <w:t>3.70</w:t>
            </w:r>
          </w:p>
        </w:tc>
      </w:tr>
      <w:tr w:rsidR="00F111EF">
        <w:tc>
          <w:tcPr>
            <w:tcW w:w="1504" w:type="dxa"/>
            <w:vAlign w:val="center"/>
          </w:tcPr>
          <w:p w:rsidR="00F111EF" w:rsidRDefault="0051085C">
            <w:pPr>
              <w:jc w:val="center"/>
            </w:pPr>
            <w:r>
              <w:rPr>
                <w:rFonts w:eastAsiaTheme="minorEastAsia"/>
                <w:color w:val="000000" w:themeColor="text1"/>
                <w:szCs w:val="21"/>
              </w:rPr>
              <w:t>3</w:t>
            </w:r>
          </w:p>
        </w:tc>
        <w:tc>
          <w:tcPr>
            <w:tcW w:w="1504" w:type="dxa"/>
            <w:vAlign w:val="center"/>
          </w:tcPr>
          <w:p w:rsidR="00F111EF" w:rsidRDefault="0051085C">
            <w:pPr>
              <w:jc w:val="center"/>
            </w:pPr>
            <w:r>
              <w:rPr>
                <w:rFonts w:eastAsiaTheme="minorEastAsia"/>
                <w:color w:val="000000" w:themeColor="text1"/>
                <w:szCs w:val="21"/>
              </w:rPr>
              <w:t>136865</w:t>
            </w:r>
          </w:p>
        </w:tc>
        <w:tc>
          <w:tcPr>
            <w:tcW w:w="1504" w:type="dxa"/>
            <w:vAlign w:val="center"/>
          </w:tcPr>
          <w:p w:rsidR="00F111EF" w:rsidRDefault="0051085C">
            <w:pPr>
              <w:jc w:val="center"/>
            </w:pPr>
            <w:r>
              <w:rPr>
                <w:rFonts w:eastAsiaTheme="minorEastAsia"/>
                <w:color w:val="000000" w:themeColor="text1"/>
                <w:szCs w:val="21"/>
              </w:rPr>
              <w:t>16</w:t>
            </w:r>
            <w:r>
              <w:rPr>
                <w:rFonts w:eastAsiaTheme="minorEastAsia"/>
                <w:color w:val="000000" w:themeColor="text1"/>
                <w:szCs w:val="21"/>
              </w:rPr>
              <w:t>新燃</w:t>
            </w:r>
            <w:r>
              <w:rPr>
                <w:rFonts w:eastAsiaTheme="minorEastAsia"/>
                <w:color w:val="000000" w:themeColor="text1"/>
                <w:szCs w:val="21"/>
              </w:rPr>
              <w:t>01</w:t>
            </w:r>
          </w:p>
        </w:tc>
        <w:tc>
          <w:tcPr>
            <w:tcW w:w="1503" w:type="dxa"/>
            <w:vAlign w:val="center"/>
          </w:tcPr>
          <w:p w:rsidR="00F111EF" w:rsidRDefault="0051085C">
            <w:pPr>
              <w:jc w:val="right"/>
            </w:pPr>
            <w:r>
              <w:rPr>
                <w:rFonts w:eastAsiaTheme="minorEastAsia"/>
                <w:color w:val="000000" w:themeColor="text1"/>
                <w:szCs w:val="21"/>
              </w:rPr>
              <w:t>13,000</w:t>
            </w:r>
          </w:p>
        </w:tc>
        <w:tc>
          <w:tcPr>
            <w:tcW w:w="1503" w:type="dxa"/>
            <w:vAlign w:val="center"/>
          </w:tcPr>
          <w:p w:rsidR="00F111EF" w:rsidRDefault="0051085C">
            <w:pPr>
              <w:jc w:val="right"/>
            </w:pPr>
            <w:r>
              <w:rPr>
                <w:rFonts w:eastAsiaTheme="minorEastAsia"/>
                <w:color w:val="000000" w:themeColor="text1"/>
                <w:szCs w:val="21"/>
              </w:rPr>
              <w:t>1,300,130.00</w:t>
            </w:r>
          </w:p>
        </w:tc>
        <w:tc>
          <w:tcPr>
            <w:tcW w:w="1503" w:type="dxa"/>
            <w:vAlign w:val="center"/>
          </w:tcPr>
          <w:p w:rsidR="00F111EF" w:rsidRDefault="0051085C">
            <w:pPr>
              <w:jc w:val="right"/>
            </w:pPr>
            <w:r>
              <w:rPr>
                <w:rFonts w:eastAsiaTheme="minorEastAsia"/>
                <w:color w:val="000000" w:themeColor="text1"/>
                <w:szCs w:val="21"/>
              </w:rPr>
              <w:t>3.69</w:t>
            </w:r>
          </w:p>
        </w:tc>
      </w:tr>
      <w:tr w:rsidR="00F111EF">
        <w:tc>
          <w:tcPr>
            <w:tcW w:w="1504" w:type="dxa"/>
            <w:vAlign w:val="center"/>
          </w:tcPr>
          <w:p w:rsidR="00F111EF" w:rsidRDefault="0051085C">
            <w:pPr>
              <w:jc w:val="center"/>
            </w:pPr>
            <w:r>
              <w:rPr>
                <w:rFonts w:eastAsiaTheme="minorEastAsia"/>
                <w:color w:val="000000" w:themeColor="text1"/>
                <w:szCs w:val="21"/>
              </w:rPr>
              <w:t>4</w:t>
            </w:r>
          </w:p>
        </w:tc>
        <w:tc>
          <w:tcPr>
            <w:tcW w:w="1504" w:type="dxa"/>
            <w:vAlign w:val="center"/>
          </w:tcPr>
          <w:p w:rsidR="00F111EF" w:rsidRDefault="0051085C">
            <w:pPr>
              <w:jc w:val="center"/>
            </w:pPr>
            <w:r>
              <w:rPr>
                <w:rFonts w:eastAsiaTheme="minorEastAsia"/>
                <w:color w:val="000000" w:themeColor="text1"/>
                <w:szCs w:val="21"/>
              </w:rPr>
              <w:t>122361</w:t>
            </w:r>
          </w:p>
        </w:tc>
        <w:tc>
          <w:tcPr>
            <w:tcW w:w="1504" w:type="dxa"/>
            <w:vAlign w:val="center"/>
          </w:tcPr>
          <w:p w:rsidR="00F111EF" w:rsidRDefault="0051085C">
            <w:pPr>
              <w:jc w:val="center"/>
            </w:pPr>
            <w:r>
              <w:rPr>
                <w:rFonts w:eastAsiaTheme="minorEastAsia"/>
                <w:color w:val="000000" w:themeColor="text1"/>
                <w:szCs w:val="21"/>
              </w:rPr>
              <w:t>14</w:t>
            </w:r>
            <w:r>
              <w:rPr>
                <w:rFonts w:eastAsiaTheme="minorEastAsia"/>
                <w:color w:val="000000" w:themeColor="text1"/>
                <w:szCs w:val="21"/>
              </w:rPr>
              <w:t>福田债</w:t>
            </w:r>
          </w:p>
        </w:tc>
        <w:tc>
          <w:tcPr>
            <w:tcW w:w="1503" w:type="dxa"/>
            <w:vAlign w:val="center"/>
          </w:tcPr>
          <w:p w:rsidR="00F111EF" w:rsidRDefault="0051085C">
            <w:pPr>
              <w:jc w:val="right"/>
            </w:pPr>
            <w:r>
              <w:rPr>
                <w:rFonts w:eastAsiaTheme="minorEastAsia"/>
                <w:color w:val="000000" w:themeColor="text1"/>
                <w:szCs w:val="21"/>
              </w:rPr>
              <w:t>12,000</w:t>
            </w:r>
          </w:p>
        </w:tc>
        <w:tc>
          <w:tcPr>
            <w:tcW w:w="1503" w:type="dxa"/>
            <w:vAlign w:val="center"/>
          </w:tcPr>
          <w:p w:rsidR="00F111EF" w:rsidRDefault="0051085C">
            <w:pPr>
              <w:jc w:val="right"/>
            </w:pPr>
            <w:r>
              <w:rPr>
                <w:rFonts w:eastAsiaTheme="minorEastAsia"/>
                <w:color w:val="000000" w:themeColor="text1"/>
                <w:szCs w:val="21"/>
              </w:rPr>
              <w:t>1,209,360.00</w:t>
            </w:r>
          </w:p>
        </w:tc>
        <w:tc>
          <w:tcPr>
            <w:tcW w:w="1503" w:type="dxa"/>
            <w:vAlign w:val="center"/>
          </w:tcPr>
          <w:p w:rsidR="00F111EF" w:rsidRDefault="0051085C">
            <w:pPr>
              <w:jc w:val="right"/>
            </w:pPr>
            <w:r>
              <w:rPr>
                <w:rFonts w:eastAsiaTheme="minorEastAsia"/>
                <w:color w:val="000000" w:themeColor="text1"/>
                <w:szCs w:val="21"/>
              </w:rPr>
              <w:t>3.43</w:t>
            </w:r>
          </w:p>
        </w:tc>
      </w:tr>
      <w:tr w:rsidR="00F111EF">
        <w:tc>
          <w:tcPr>
            <w:tcW w:w="1504" w:type="dxa"/>
            <w:vAlign w:val="center"/>
          </w:tcPr>
          <w:p w:rsidR="00F111EF" w:rsidRDefault="0051085C">
            <w:pPr>
              <w:jc w:val="center"/>
            </w:pPr>
            <w:r>
              <w:rPr>
                <w:rFonts w:eastAsiaTheme="minorEastAsia"/>
                <w:color w:val="000000" w:themeColor="text1"/>
                <w:szCs w:val="21"/>
              </w:rPr>
              <w:t>5</w:t>
            </w:r>
          </w:p>
        </w:tc>
        <w:tc>
          <w:tcPr>
            <w:tcW w:w="1504" w:type="dxa"/>
            <w:vAlign w:val="center"/>
          </w:tcPr>
          <w:p w:rsidR="00F111EF" w:rsidRDefault="0051085C">
            <w:pPr>
              <w:jc w:val="center"/>
            </w:pPr>
            <w:r>
              <w:rPr>
                <w:rFonts w:eastAsiaTheme="minorEastAsia"/>
                <w:color w:val="000000" w:themeColor="text1"/>
                <w:szCs w:val="21"/>
              </w:rPr>
              <w:t>124141</w:t>
            </w:r>
          </w:p>
        </w:tc>
        <w:tc>
          <w:tcPr>
            <w:tcW w:w="1504" w:type="dxa"/>
            <w:vAlign w:val="center"/>
          </w:tcPr>
          <w:p w:rsidR="00F111EF" w:rsidRDefault="0051085C">
            <w:pPr>
              <w:jc w:val="center"/>
            </w:pPr>
            <w:r>
              <w:rPr>
                <w:rFonts w:eastAsiaTheme="minorEastAsia"/>
                <w:color w:val="000000" w:themeColor="text1"/>
                <w:szCs w:val="21"/>
              </w:rPr>
              <w:t>13</w:t>
            </w:r>
            <w:r>
              <w:rPr>
                <w:rFonts w:eastAsiaTheme="minorEastAsia"/>
                <w:color w:val="000000" w:themeColor="text1"/>
                <w:szCs w:val="21"/>
              </w:rPr>
              <w:t>浙吉利</w:t>
            </w:r>
          </w:p>
        </w:tc>
        <w:tc>
          <w:tcPr>
            <w:tcW w:w="1503" w:type="dxa"/>
            <w:vAlign w:val="center"/>
          </w:tcPr>
          <w:p w:rsidR="00F111EF" w:rsidRDefault="0051085C">
            <w:pPr>
              <w:jc w:val="right"/>
            </w:pPr>
            <w:r>
              <w:rPr>
                <w:rFonts w:eastAsiaTheme="minorEastAsia"/>
                <w:color w:val="000000" w:themeColor="text1"/>
                <w:szCs w:val="21"/>
              </w:rPr>
              <w:t>12,000</w:t>
            </w:r>
          </w:p>
        </w:tc>
        <w:tc>
          <w:tcPr>
            <w:tcW w:w="1503" w:type="dxa"/>
            <w:vAlign w:val="center"/>
          </w:tcPr>
          <w:p w:rsidR="00F111EF" w:rsidRDefault="0051085C">
            <w:pPr>
              <w:jc w:val="right"/>
            </w:pPr>
            <w:r>
              <w:rPr>
                <w:rFonts w:eastAsiaTheme="minorEastAsia"/>
                <w:color w:val="000000" w:themeColor="text1"/>
                <w:szCs w:val="21"/>
              </w:rPr>
              <w:t>1,208,400.00</w:t>
            </w:r>
          </w:p>
        </w:tc>
        <w:tc>
          <w:tcPr>
            <w:tcW w:w="1503" w:type="dxa"/>
            <w:vAlign w:val="center"/>
          </w:tcPr>
          <w:p w:rsidR="00F111EF" w:rsidRDefault="0051085C">
            <w:pPr>
              <w:jc w:val="right"/>
            </w:pPr>
            <w:r>
              <w:rPr>
                <w:rFonts w:eastAsiaTheme="minorEastAsia"/>
                <w:color w:val="000000" w:themeColor="text1"/>
                <w:szCs w:val="21"/>
              </w:rPr>
              <w:t>3.43</w:t>
            </w:r>
          </w:p>
        </w:tc>
      </w:tr>
    </w:tbl>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F111EF" w:rsidRDefault="0051085C">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F111EF" w:rsidRDefault="0051085C">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F111EF" w:rsidRDefault="0051085C">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F111EF" w:rsidRDefault="0051085C">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F111EF" w:rsidRDefault="0051085C">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F111EF" w:rsidRDefault="0051085C">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F111EF" w:rsidRDefault="0051085C">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firstRow="1" w:lastRow="0" w:firstColumn="1" w:lastColumn="0" w:noHBand="0" w:noVBand="1"/>
      </w:tblPr>
      <w:tblGrid>
        <w:gridCol w:w="1110"/>
        <w:gridCol w:w="2761"/>
        <w:gridCol w:w="4808"/>
      </w:tblGrid>
      <w:tr w:rsidR="00F111EF">
        <w:tc>
          <w:tcPr>
            <w:tcW w:w="1110" w:type="dxa"/>
            <w:vAlign w:val="center"/>
          </w:tcPr>
          <w:p w:rsidR="00F111EF" w:rsidRDefault="0051085C">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F111EF" w:rsidRDefault="0051085C">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F111EF" w:rsidRDefault="0051085C">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F111EF">
        <w:tc>
          <w:tcPr>
            <w:tcW w:w="1110" w:type="dxa"/>
            <w:vAlign w:val="center"/>
          </w:tcPr>
          <w:p w:rsidR="00F111EF" w:rsidRDefault="0051085C">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F111EF" w:rsidRDefault="0051085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F111EF" w:rsidRDefault="0051085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3,940.01</w:t>
            </w:r>
          </w:p>
        </w:tc>
      </w:tr>
      <w:tr w:rsidR="00F111EF">
        <w:tc>
          <w:tcPr>
            <w:tcW w:w="1110" w:type="dxa"/>
            <w:vAlign w:val="center"/>
          </w:tcPr>
          <w:p w:rsidR="00F111EF" w:rsidRDefault="0051085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F111EF" w:rsidRDefault="0051085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F111EF" w:rsidRDefault="0051085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111EF">
        <w:tc>
          <w:tcPr>
            <w:tcW w:w="1110" w:type="dxa"/>
            <w:vAlign w:val="center"/>
          </w:tcPr>
          <w:p w:rsidR="00F111EF" w:rsidRDefault="0051085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F111EF" w:rsidRDefault="0051085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F111EF" w:rsidRDefault="0051085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111EF">
        <w:tc>
          <w:tcPr>
            <w:tcW w:w="1110" w:type="dxa"/>
            <w:vAlign w:val="center"/>
          </w:tcPr>
          <w:p w:rsidR="00F111EF" w:rsidRDefault="0051085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F111EF" w:rsidRDefault="0051085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F111EF" w:rsidRDefault="0051085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739,720.68</w:t>
            </w:r>
          </w:p>
        </w:tc>
      </w:tr>
      <w:tr w:rsidR="00F111EF">
        <w:tc>
          <w:tcPr>
            <w:tcW w:w="1110" w:type="dxa"/>
            <w:vAlign w:val="center"/>
          </w:tcPr>
          <w:p w:rsidR="00F111EF" w:rsidRDefault="0051085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F111EF" w:rsidRDefault="0051085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F111EF" w:rsidRDefault="0051085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503,634.07</w:t>
            </w:r>
          </w:p>
        </w:tc>
      </w:tr>
      <w:tr w:rsidR="00F111EF">
        <w:tc>
          <w:tcPr>
            <w:tcW w:w="1110" w:type="dxa"/>
            <w:vAlign w:val="center"/>
          </w:tcPr>
          <w:p w:rsidR="00F111EF" w:rsidRDefault="0051085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F111EF" w:rsidRDefault="0051085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F111EF" w:rsidRDefault="0051085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111EF">
        <w:tc>
          <w:tcPr>
            <w:tcW w:w="1110" w:type="dxa"/>
            <w:vAlign w:val="center"/>
          </w:tcPr>
          <w:p w:rsidR="00F111EF" w:rsidRDefault="0051085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F111EF" w:rsidRDefault="0051085C">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F111EF" w:rsidRDefault="0051085C">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F111EF">
        <w:tc>
          <w:tcPr>
            <w:tcW w:w="1110" w:type="dxa"/>
            <w:vAlign w:val="center"/>
          </w:tcPr>
          <w:p w:rsidR="00F111EF" w:rsidRDefault="0051085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F111EF" w:rsidRDefault="0051085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F111EF" w:rsidRDefault="0051085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F111EF">
        <w:tc>
          <w:tcPr>
            <w:tcW w:w="1110" w:type="dxa"/>
            <w:vAlign w:val="center"/>
          </w:tcPr>
          <w:p w:rsidR="00F111EF" w:rsidRDefault="0051085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F111EF" w:rsidRDefault="0051085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F111EF" w:rsidRDefault="0051085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1,247,294.76</w:t>
            </w:r>
          </w:p>
        </w:tc>
      </w:tr>
    </w:tbl>
    <w:p w:rsidR="00F111EF" w:rsidRDefault="0051085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F111EF" w:rsidRDefault="0051085C">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F111EF" w:rsidRDefault="0051085C">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F111EF" w:rsidRDefault="0051085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F111EF" w:rsidRDefault="0051085C">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F111EF">
        <w:tc>
          <w:tcPr>
            <w:tcW w:w="3900"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p>
        </w:tc>
      </w:tr>
      <w:tr w:rsidR="00F111EF">
        <w:tc>
          <w:tcPr>
            <w:tcW w:w="3900"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28,332,154.82</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3,898,132.55</w:t>
            </w:r>
          </w:p>
        </w:tc>
      </w:tr>
      <w:tr w:rsidR="00F111EF">
        <w:tc>
          <w:tcPr>
            <w:tcW w:w="3900"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2,148,748.93</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105,366.01</w:t>
            </w:r>
          </w:p>
        </w:tc>
      </w:tr>
      <w:tr w:rsidR="00F111EF">
        <w:tc>
          <w:tcPr>
            <w:tcW w:w="3900"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1,990,137.40</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312,087.20</w:t>
            </w:r>
          </w:p>
        </w:tc>
      </w:tr>
      <w:tr w:rsidR="00F111EF">
        <w:tc>
          <w:tcPr>
            <w:tcW w:w="3900"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F111EF">
        <w:tc>
          <w:tcPr>
            <w:tcW w:w="3900"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28,490,766.35</w:t>
            </w:r>
          </w:p>
        </w:tc>
        <w:tc>
          <w:tcPr>
            <w:tcW w:w="2367" w:type="dxa"/>
            <w:tcBorders>
              <w:top w:val="single" w:sz="8" w:space="0" w:color="000000"/>
              <w:left w:val="single" w:sz="8" w:space="0" w:color="000000"/>
              <w:bottom w:val="single" w:sz="8" w:space="0" w:color="000000"/>
              <w:right w:val="single" w:sz="8" w:space="0" w:color="000000"/>
            </w:tcBorders>
            <w:vAlign w:val="center"/>
          </w:tcPr>
          <w:p w:rsidR="00F111EF" w:rsidRDefault="0051085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3,691,411.36</w:t>
            </w:r>
          </w:p>
        </w:tc>
      </w:tr>
    </w:tbl>
    <w:p w:rsidR="00F111EF" w:rsidRDefault="0051085C">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F111EF" w:rsidRDefault="0051085C">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F111EF" w:rsidRDefault="0051085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F111EF" w:rsidRDefault="0051085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备查文件目录</w:t>
      </w:r>
    </w:p>
    <w:p w:rsidR="00F111EF" w:rsidRDefault="0051085C">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8.1</w:t>
      </w:r>
      <w:r>
        <w:rPr>
          <w:rFonts w:eastAsiaTheme="minorEastAsia"/>
          <w:b/>
          <w:bCs/>
          <w:color w:val="000000" w:themeColor="text1"/>
          <w:kern w:val="0"/>
          <w:szCs w:val="21"/>
        </w:rPr>
        <w:t>备查文件目录</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、中国证监会批准上投摩根分红添利债券型证券投资基金设立的文件；</w:t>
      </w:r>
      <w:r>
        <w:rPr>
          <w:rFonts w:eastAsiaTheme="minorEastAsia"/>
          <w:color w:val="000000" w:themeColor="text1"/>
          <w:szCs w:val="21"/>
        </w:rPr>
        <w:t xml:space="preserve"> </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、《上投摩根分红添利债券型证券投资基金基金合同》；</w:t>
      </w:r>
      <w:r>
        <w:rPr>
          <w:rFonts w:eastAsiaTheme="minorEastAsia"/>
          <w:color w:val="000000" w:themeColor="text1"/>
          <w:szCs w:val="21"/>
        </w:rPr>
        <w:t xml:space="preserve"> </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、《上投摩根分红添利债券型证券投资基金托管协议》；</w:t>
      </w:r>
      <w:r>
        <w:rPr>
          <w:rFonts w:eastAsiaTheme="minorEastAsia"/>
          <w:color w:val="000000" w:themeColor="text1"/>
          <w:szCs w:val="21"/>
        </w:rPr>
        <w:t xml:space="preserve"> </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F111EF" w:rsidRDefault="0051085C">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8.2</w:t>
      </w:r>
      <w:r>
        <w:rPr>
          <w:rFonts w:eastAsiaTheme="minorEastAsia"/>
          <w:b/>
          <w:bCs/>
          <w:color w:val="000000" w:themeColor="text1"/>
          <w:kern w:val="0"/>
          <w:szCs w:val="21"/>
        </w:rPr>
        <w:t>存放地点</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F111EF" w:rsidRDefault="0051085C">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8.3</w:t>
      </w:r>
      <w:r>
        <w:rPr>
          <w:rFonts w:eastAsiaTheme="minorEastAsia"/>
          <w:b/>
          <w:bCs/>
          <w:color w:val="000000" w:themeColor="text1"/>
          <w:kern w:val="0"/>
          <w:szCs w:val="21"/>
        </w:rPr>
        <w:t>查阅方式</w:t>
      </w:r>
    </w:p>
    <w:p w:rsidR="00F111EF" w:rsidRDefault="0051085C">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F111EF" w:rsidRDefault="00F111EF">
      <w:pPr>
        <w:spacing w:line="360" w:lineRule="auto"/>
        <w:ind w:left="840"/>
        <w:jc w:val="right"/>
        <w:rPr>
          <w:rFonts w:eastAsiaTheme="minorEastAsia"/>
          <w:color w:val="000000" w:themeColor="text1"/>
          <w:szCs w:val="21"/>
        </w:rPr>
      </w:pPr>
    </w:p>
    <w:p w:rsidR="00F111EF" w:rsidRDefault="00F111EF">
      <w:pPr>
        <w:spacing w:line="360" w:lineRule="auto"/>
        <w:ind w:left="840"/>
        <w:jc w:val="center"/>
        <w:rPr>
          <w:rFonts w:eastAsiaTheme="minorEastAsia"/>
          <w:b/>
          <w:color w:val="000000" w:themeColor="text1"/>
          <w:szCs w:val="21"/>
        </w:rPr>
      </w:pPr>
    </w:p>
    <w:p w:rsidR="00F111EF" w:rsidRDefault="0051085C">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F111EF" w:rsidRDefault="0051085C">
      <w:pPr>
        <w:spacing w:line="360" w:lineRule="auto"/>
        <w:jc w:val="right"/>
        <w:rPr>
          <w:rFonts w:eastAsiaTheme="minorEastAsia"/>
          <w:b/>
          <w:bCs/>
          <w:color w:val="000000" w:themeColor="text1"/>
          <w:szCs w:val="21"/>
        </w:rPr>
      </w:pPr>
      <w:r>
        <w:rPr>
          <w:rFonts w:eastAsiaTheme="minorEastAsia"/>
          <w:b/>
          <w:bCs/>
          <w:color w:val="000000" w:themeColor="text1"/>
          <w:szCs w:val="21"/>
        </w:rPr>
        <w:t>二〇一九年十月二十五日</w:t>
      </w:r>
    </w:p>
    <w:sectPr w:rsidR="00F111E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085C">
      <w:r>
        <w:separator/>
      </w:r>
    </w:p>
  </w:endnote>
  <w:endnote w:type="continuationSeparator" w:id="0">
    <w:p w:rsidR="00000000" w:rsidRDefault="0051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EF" w:rsidRDefault="0051085C">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12</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EF" w:rsidRDefault="0051085C">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111EF" w:rsidRDefault="00F111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EF" w:rsidRDefault="0051085C">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12</w:t>
    </w:r>
    <w:r>
      <w:rPr>
        <w:rStyle w:val="af2"/>
      </w:rPr>
      <w:fldChar w:fldCharType="end"/>
    </w:r>
  </w:p>
  <w:p w:rsidR="00F111EF" w:rsidRDefault="00F111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085C">
      <w:r>
        <w:separator/>
      </w:r>
    </w:p>
  </w:footnote>
  <w:footnote w:type="continuationSeparator" w:id="0">
    <w:p w:rsidR="00000000" w:rsidRDefault="0051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EF" w:rsidRDefault="0051085C">
    <w:pPr>
      <w:pStyle w:val="ad"/>
      <w:pBdr>
        <w:bottom w:val="single" w:sz="6" w:space="0" w:color="auto"/>
      </w:pBdr>
      <w:jc w:val="right"/>
    </w:pPr>
    <w:r>
      <w:t>上投摩根分红添利债券型证券投资基金</w:t>
    </w:r>
    <w:r>
      <w:t>2019</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39B"/>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085C"/>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1EF"/>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60DD40-750A-4692-9BD8-73902A19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Pr>
      <w:rFonts w:ascii="宋体" w:hAnsi="Courier New"/>
      <w:szCs w:val="21"/>
    </w:rPr>
  </w:style>
  <w:style w:type="paragraph" w:styleId="aa">
    <w:name w:val="Date"/>
    <w:basedOn w:val="a"/>
    <w:next w:val="a"/>
    <w:link w:val="Char0"/>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7"/>
    <w:qFormat/>
    <w:pPr>
      <w:spacing w:after="220" w:line="220" w:lineRule="atLeast"/>
      <w:ind w:left="1440" w:hanging="360"/>
    </w:pPr>
    <w:rPr>
      <w:szCs w:val="20"/>
    </w:rPr>
  </w:style>
  <w:style w:type="paragraph" w:styleId="af">
    <w:name w:val="footnote text"/>
    <w:basedOn w:val="a"/>
    <w:link w:val="Char2"/>
    <w:qFormat/>
    <w:pPr>
      <w:snapToGrid w:val="0"/>
      <w:jc w:val="left"/>
    </w:pPr>
    <w:rPr>
      <w:sz w:val="18"/>
      <w:szCs w:val="18"/>
    </w:rPr>
  </w:style>
  <w:style w:type="paragraph" w:styleId="30">
    <w:name w:val="Body Text Indent 3"/>
    <w:basedOn w:val="a"/>
    <w:qFormat/>
    <w:pPr>
      <w:spacing w:line="560" w:lineRule="exact"/>
      <w:ind w:firstLineChars="200" w:firstLine="420"/>
    </w:pPr>
    <w:rPr>
      <w:rFonts w:ascii="Arial" w:hAnsi="Arial" w:cs="Arial"/>
      <w:color w:val="FF000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pPr>
      <w:jc w:val="right"/>
    </w:pPr>
    <w:rPr>
      <w:color w:val="008000"/>
    </w:rPr>
  </w:style>
  <w:style w:type="character" w:styleId="af1">
    <w:name w:val="Strong"/>
    <w:basedOn w:val="a1"/>
    <w:uiPriority w:val="22"/>
    <w:qFormat/>
    <w:rPr>
      <w:b/>
      <w:bCs/>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semiHidden/>
    <w:qFormat/>
    <w:rPr>
      <w:sz w:val="21"/>
      <w:szCs w:val="21"/>
    </w:rPr>
  </w:style>
  <w:style w:type="character" w:styleId="af5">
    <w:name w:val="footnote reference"/>
    <w:basedOn w:val="a1"/>
    <w:qFormat/>
    <w:rPr>
      <w:vertAlign w:val="superscript"/>
    </w:rPr>
  </w:style>
  <w:style w:type="table" w:styleId="af6">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style>
  <w:style w:type="paragraph" w:customStyle="1" w:styleId="Char10">
    <w:name w:val="Char1"/>
    <w:basedOn w:val="a"/>
    <w:qFormat/>
  </w:style>
  <w:style w:type="character" w:customStyle="1" w:styleId="t1">
    <w:name w:val="t1"/>
    <w:basedOn w:val="a1"/>
    <w:rPr>
      <w:color w:val="990000"/>
    </w:rPr>
  </w:style>
  <w:style w:type="character" w:customStyle="1" w:styleId="Char">
    <w:name w:val="纯文本 Char"/>
    <w:basedOn w:val="a1"/>
    <w:link w:val="a9"/>
    <w:uiPriority w:val="99"/>
    <w:rPr>
      <w:rFonts w:ascii="宋体" w:hAnsi="Courier New"/>
      <w:kern w:val="2"/>
      <w:sz w:val="21"/>
      <w:szCs w:val="21"/>
    </w:rPr>
  </w:style>
  <w:style w:type="character" w:customStyle="1" w:styleId="Char2">
    <w:name w:val="脚注文本 Char"/>
    <w:basedOn w:val="a1"/>
    <w:link w:val="af"/>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Pr>
      <w:kern w:val="2"/>
      <w:sz w:val="18"/>
      <w:szCs w:val="18"/>
    </w:rPr>
  </w:style>
  <w:style w:type="character" w:customStyle="1" w:styleId="1Char">
    <w:name w:val="标题 1 Char"/>
    <w:basedOn w:val="a1"/>
    <w:link w:val="1"/>
    <w:rPr>
      <w:b/>
      <w:bCs/>
      <w:kern w:val="44"/>
      <w:sz w:val="44"/>
      <w:szCs w:val="44"/>
    </w:rPr>
  </w:style>
  <w:style w:type="character" w:customStyle="1" w:styleId="Char0">
    <w:name w:val="日期 Char"/>
    <w:basedOn w:val="a1"/>
    <w:link w:val="aa"/>
    <w:rPr>
      <w:kern w:val="2"/>
      <w:sz w:val="24"/>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D70D01-D0F0-4BF4-928C-7CBEBC1B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12</Pages>
  <Words>983</Words>
  <Characters>5605</Characters>
  <Application>Microsoft Office Word</Application>
  <DocSecurity>0</DocSecurity>
  <Lines>46</Lines>
  <Paragraphs>13</Paragraphs>
  <ScaleCrop>false</ScaleCrop>
  <Company>TRT. Ltd. Co.</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Ersong Zhu</cp:lastModifiedBy>
  <cp:revision>216</cp:revision>
  <cp:lastPrinted>2019-10-23T07:18:00Z</cp:lastPrinted>
  <dcterms:created xsi:type="dcterms:W3CDTF">2013-06-21T06:56:00Z</dcterms:created>
  <dcterms:modified xsi:type="dcterms:W3CDTF">2019-10-23T07:18:00Z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