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上投摩根分红添利债券型证券投资基金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2019</w:t>
      </w:r>
      <w:r w:rsidRPr="00D46E57">
        <w:rPr>
          <w:rFonts w:eastAsiaTheme="minorEastAsia"/>
          <w:b/>
          <w:sz w:val="36"/>
          <w:szCs w:val="36"/>
        </w:rPr>
        <w:t>年半年度报告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2019</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基金托管人：中国银行股份有限公司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报告送出日期：二〇一九年八月二十四日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17385656"/>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0"/>
      <w:bookmarkEnd w:id="1"/>
    </w:p>
    <w:p w:rsidR="001548F9" w:rsidRPr="00D46E57" w:rsidRDefault="001548F9" w:rsidP="003D089F">
      <w:pPr>
        <w:pStyle w:val="20"/>
        <w:spacing w:before="0" w:after="0"/>
        <w:rPr>
          <w:rFonts w:ascii="Times New Roman" w:eastAsiaTheme="minorEastAsia" w:hAnsi="Times New Roman"/>
          <w:kern w:val="0"/>
          <w:sz w:val="21"/>
          <w:szCs w:val="21"/>
        </w:rPr>
      </w:pPr>
      <w:bookmarkStart w:id="2" w:name="_Toc17385657"/>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2"/>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bookmarkStart w:id="3" w:name="_GoBack"/>
    <w:bookmarkEnd w:id="3"/>
    <w:p w:rsidR="003311C4" w:rsidRDefault="00B032C7">
      <w:pPr>
        <w:pStyle w:val="11"/>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17385656" w:history="1">
        <w:r w:rsidR="003311C4" w:rsidRPr="001E71CF">
          <w:rPr>
            <w:rStyle w:val="a8"/>
            <w:b/>
            <w:bCs/>
            <w:noProof/>
          </w:rPr>
          <w:t xml:space="preserve">1  </w:t>
        </w:r>
        <w:r w:rsidR="003311C4" w:rsidRPr="001E71CF">
          <w:rPr>
            <w:rStyle w:val="a8"/>
            <w:rFonts w:hint="eastAsia"/>
            <w:b/>
            <w:bCs/>
            <w:noProof/>
          </w:rPr>
          <w:t>重要提示及目录</w:t>
        </w:r>
        <w:r w:rsidR="003311C4">
          <w:rPr>
            <w:noProof/>
            <w:webHidden/>
          </w:rPr>
          <w:tab/>
        </w:r>
        <w:r w:rsidR="003311C4">
          <w:rPr>
            <w:noProof/>
            <w:webHidden/>
          </w:rPr>
          <w:fldChar w:fldCharType="begin"/>
        </w:r>
        <w:r w:rsidR="003311C4">
          <w:rPr>
            <w:noProof/>
            <w:webHidden/>
          </w:rPr>
          <w:instrText xml:space="preserve"> PAGEREF _Toc17385656 \h </w:instrText>
        </w:r>
        <w:r w:rsidR="003311C4">
          <w:rPr>
            <w:noProof/>
            <w:webHidden/>
          </w:rPr>
        </w:r>
        <w:r w:rsidR="003311C4">
          <w:rPr>
            <w:noProof/>
            <w:webHidden/>
          </w:rPr>
          <w:fldChar w:fldCharType="separate"/>
        </w:r>
        <w:r w:rsidR="003311C4">
          <w:rPr>
            <w:noProof/>
            <w:webHidden/>
          </w:rPr>
          <w:t>2</w:t>
        </w:r>
        <w:r w:rsidR="003311C4">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57" w:history="1">
        <w:r w:rsidRPr="001E71CF">
          <w:rPr>
            <w:rStyle w:val="a8"/>
            <w:noProof/>
          </w:rPr>
          <w:t xml:space="preserve">1.1 </w:t>
        </w:r>
        <w:r w:rsidRPr="001E71CF">
          <w:rPr>
            <w:rStyle w:val="a8"/>
            <w:rFonts w:hint="eastAsia"/>
            <w:noProof/>
          </w:rPr>
          <w:t>重要提示</w:t>
        </w:r>
        <w:r>
          <w:rPr>
            <w:noProof/>
            <w:webHidden/>
          </w:rPr>
          <w:tab/>
        </w:r>
        <w:r>
          <w:rPr>
            <w:noProof/>
            <w:webHidden/>
          </w:rPr>
          <w:fldChar w:fldCharType="begin"/>
        </w:r>
        <w:r>
          <w:rPr>
            <w:noProof/>
            <w:webHidden/>
          </w:rPr>
          <w:instrText xml:space="preserve"> PAGEREF _Toc17385657 \h </w:instrText>
        </w:r>
        <w:r>
          <w:rPr>
            <w:noProof/>
            <w:webHidden/>
          </w:rPr>
        </w:r>
        <w:r>
          <w:rPr>
            <w:noProof/>
            <w:webHidden/>
          </w:rPr>
          <w:fldChar w:fldCharType="separate"/>
        </w:r>
        <w:r>
          <w:rPr>
            <w:noProof/>
            <w:webHidden/>
          </w:rPr>
          <w:t>2</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58" w:history="1">
        <w:r w:rsidRPr="001E71CF">
          <w:rPr>
            <w:rStyle w:val="a8"/>
            <w:b/>
            <w:bCs/>
            <w:noProof/>
          </w:rPr>
          <w:t xml:space="preserve">2  </w:t>
        </w:r>
        <w:r w:rsidRPr="001E71CF">
          <w:rPr>
            <w:rStyle w:val="a8"/>
            <w:rFonts w:hint="eastAsia"/>
            <w:b/>
            <w:bCs/>
            <w:noProof/>
          </w:rPr>
          <w:t>基金简介</w:t>
        </w:r>
        <w:r>
          <w:rPr>
            <w:noProof/>
            <w:webHidden/>
          </w:rPr>
          <w:tab/>
        </w:r>
        <w:r>
          <w:rPr>
            <w:noProof/>
            <w:webHidden/>
          </w:rPr>
          <w:fldChar w:fldCharType="begin"/>
        </w:r>
        <w:r>
          <w:rPr>
            <w:noProof/>
            <w:webHidden/>
          </w:rPr>
          <w:instrText xml:space="preserve"> PAGEREF _Toc17385658 \h </w:instrText>
        </w:r>
        <w:r>
          <w:rPr>
            <w:noProof/>
            <w:webHidden/>
          </w:rPr>
        </w:r>
        <w:r>
          <w:rPr>
            <w:noProof/>
            <w:webHidden/>
          </w:rPr>
          <w:fldChar w:fldCharType="separate"/>
        </w:r>
        <w:r>
          <w:rPr>
            <w:noProof/>
            <w:webHidden/>
          </w:rPr>
          <w:t>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59" w:history="1">
        <w:r w:rsidRPr="001E71CF">
          <w:rPr>
            <w:rStyle w:val="a8"/>
            <w:noProof/>
          </w:rPr>
          <w:t xml:space="preserve">2.1 </w:t>
        </w:r>
        <w:r w:rsidRPr="001E71CF">
          <w:rPr>
            <w:rStyle w:val="a8"/>
            <w:rFonts w:hint="eastAsia"/>
            <w:noProof/>
          </w:rPr>
          <w:t>基金基本情况</w:t>
        </w:r>
        <w:r>
          <w:rPr>
            <w:noProof/>
            <w:webHidden/>
          </w:rPr>
          <w:tab/>
        </w:r>
        <w:r>
          <w:rPr>
            <w:noProof/>
            <w:webHidden/>
          </w:rPr>
          <w:fldChar w:fldCharType="begin"/>
        </w:r>
        <w:r>
          <w:rPr>
            <w:noProof/>
            <w:webHidden/>
          </w:rPr>
          <w:instrText xml:space="preserve"> PAGEREF _Toc17385659 \h </w:instrText>
        </w:r>
        <w:r>
          <w:rPr>
            <w:noProof/>
            <w:webHidden/>
          </w:rPr>
        </w:r>
        <w:r>
          <w:rPr>
            <w:noProof/>
            <w:webHidden/>
          </w:rPr>
          <w:fldChar w:fldCharType="separate"/>
        </w:r>
        <w:r>
          <w:rPr>
            <w:noProof/>
            <w:webHidden/>
          </w:rPr>
          <w:t>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0" w:history="1">
        <w:r w:rsidRPr="001E71CF">
          <w:rPr>
            <w:rStyle w:val="a8"/>
            <w:noProof/>
          </w:rPr>
          <w:t xml:space="preserve">2.2 </w:t>
        </w:r>
        <w:r w:rsidRPr="001E71CF">
          <w:rPr>
            <w:rStyle w:val="a8"/>
            <w:rFonts w:hint="eastAsia"/>
            <w:noProof/>
          </w:rPr>
          <w:t>基金产品说明</w:t>
        </w:r>
        <w:r>
          <w:rPr>
            <w:noProof/>
            <w:webHidden/>
          </w:rPr>
          <w:tab/>
        </w:r>
        <w:r>
          <w:rPr>
            <w:noProof/>
            <w:webHidden/>
          </w:rPr>
          <w:fldChar w:fldCharType="begin"/>
        </w:r>
        <w:r>
          <w:rPr>
            <w:noProof/>
            <w:webHidden/>
          </w:rPr>
          <w:instrText xml:space="preserve"> PAGEREF _Toc17385660 \h </w:instrText>
        </w:r>
        <w:r>
          <w:rPr>
            <w:noProof/>
            <w:webHidden/>
          </w:rPr>
        </w:r>
        <w:r>
          <w:rPr>
            <w:noProof/>
            <w:webHidden/>
          </w:rPr>
          <w:fldChar w:fldCharType="separate"/>
        </w:r>
        <w:r>
          <w:rPr>
            <w:noProof/>
            <w:webHidden/>
          </w:rPr>
          <w:t>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1" w:history="1">
        <w:r w:rsidRPr="001E71CF">
          <w:rPr>
            <w:rStyle w:val="a8"/>
            <w:noProof/>
          </w:rPr>
          <w:t xml:space="preserve">2.3 </w:t>
        </w:r>
        <w:r w:rsidRPr="001E71CF">
          <w:rPr>
            <w:rStyle w:val="a8"/>
            <w:rFonts w:hint="eastAsia"/>
            <w:noProof/>
          </w:rPr>
          <w:t>基金管理人和基金托管人</w:t>
        </w:r>
        <w:r>
          <w:rPr>
            <w:noProof/>
            <w:webHidden/>
          </w:rPr>
          <w:tab/>
        </w:r>
        <w:r>
          <w:rPr>
            <w:noProof/>
            <w:webHidden/>
          </w:rPr>
          <w:fldChar w:fldCharType="begin"/>
        </w:r>
        <w:r>
          <w:rPr>
            <w:noProof/>
            <w:webHidden/>
          </w:rPr>
          <w:instrText xml:space="preserve"> PAGEREF _Toc17385661 \h </w:instrText>
        </w:r>
        <w:r>
          <w:rPr>
            <w:noProof/>
            <w:webHidden/>
          </w:rPr>
        </w:r>
        <w:r>
          <w:rPr>
            <w:noProof/>
            <w:webHidden/>
          </w:rPr>
          <w:fldChar w:fldCharType="separate"/>
        </w:r>
        <w:r>
          <w:rPr>
            <w:noProof/>
            <w:webHidden/>
          </w:rPr>
          <w:t>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2" w:history="1">
        <w:r w:rsidRPr="001E71CF">
          <w:rPr>
            <w:rStyle w:val="a8"/>
            <w:noProof/>
          </w:rPr>
          <w:t xml:space="preserve">2.4 </w:t>
        </w:r>
        <w:r w:rsidRPr="001E71CF">
          <w:rPr>
            <w:rStyle w:val="a8"/>
            <w:rFonts w:hint="eastAsia"/>
            <w:noProof/>
          </w:rPr>
          <w:t>信息披露方式</w:t>
        </w:r>
        <w:r>
          <w:rPr>
            <w:noProof/>
            <w:webHidden/>
          </w:rPr>
          <w:tab/>
        </w:r>
        <w:r>
          <w:rPr>
            <w:noProof/>
            <w:webHidden/>
          </w:rPr>
          <w:fldChar w:fldCharType="begin"/>
        </w:r>
        <w:r>
          <w:rPr>
            <w:noProof/>
            <w:webHidden/>
          </w:rPr>
          <w:instrText xml:space="preserve"> PAGEREF _Toc17385662 \h </w:instrText>
        </w:r>
        <w:r>
          <w:rPr>
            <w:noProof/>
            <w:webHidden/>
          </w:rPr>
        </w:r>
        <w:r>
          <w:rPr>
            <w:noProof/>
            <w:webHidden/>
          </w:rPr>
          <w:fldChar w:fldCharType="separate"/>
        </w:r>
        <w:r>
          <w:rPr>
            <w:noProof/>
            <w:webHidden/>
          </w:rPr>
          <w:t>6</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3" w:history="1">
        <w:r w:rsidRPr="001E71CF">
          <w:rPr>
            <w:rStyle w:val="a8"/>
            <w:noProof/>
          </w:rPr>
          <w:t xml:space="preserve">2.5 </w:t>
        </w:r>
        <w:r w:rsidRPr="001E71CF">
          <w:rPr>
            <w:rStyle w:val="a8"/>
            <w:rFonts w:hint="eastAsia"/>
            <w:noProof/>
          </w:rPr>
          <w:t>其他相关资料</w:t>
        </w:r>
        <w:r>
          <w:rPr>
            <w:noProof/>
            <w:webHidden/>
          </w:rPr>
          <w:tab/>
        </w:r>
        <w:r>
          <w:rPr>
            <w:noProof/>
            <w:webHidden/>
          </w:rPr>
          <w:fldChar w:fldCharType="begin"/>
        </w:r>
        <w:r>
          <w:rPr>
            <w:noProof/>
            <w:webHidden/>
          </w:rPr>
          <w:instrText xml:space="preserve"> PAGEREF _Toc17385663 \h </w:instrText>
        </w:r>
        <w:r>
          <w:rPr>
            <w:noProof/>
            <w:webHidden/>
          </w:rPr>
        </w:r>
        <w:r>
          <w:rPr>
            <w:noProof/>
            <w:webHidden/>
          </w:rPr>
          <w:fldChar w:fldCharType="separate"/>
        </w:r>
        <w:r>
          <w:rPr>
            <w:noProof/>
            <w:webHidden/>
          </w:rPr>
          <w:t>6</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64" w:history="1">
        <w:r w:rsidRPr="001E71CF">
          <w:rPr>
            <w:rStyle w:val="a8"/>
            <w:b/>
            <w:bCs/>
            <w:noProof/>
          </w:rPr>
          <w:t xml:space="preserve">3  </w:t>
        </w:r>
        <w:r w:rsidRPr="001E71C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_Toc17385664 \h </w:instrText>
        </w:r>
        <w:r>
          <w:rPr>
            <w:noProof/>
            <w:webHidden/>
          </w:rPr>
        </w:r>
        <w:r>
          <w:rPr>
            <w:noProof/>
            <w:webHidden/>
          </w:rPr>
          <w:fldChar w:fldCharType="separate"/>
        </w:r>
        <w:r>
          <w:rPr>
            <w:noProof/>
            <w:webHidden/>
          </w:rPr>
          <w:t>6</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5" w:history="1">
        <w:r w:rsidRPr="001E71CF">
          <w:rPr>
            <w:rStyle w:val="a8"/>
            <w:noProof/>
          </w:rPr>
          <w:t xml:space="preserve">3.1 </w:t>
        </w:r>
        <w:r w:rsidRPr="001E71CF">
          <w:rPr>
            <w:rStyle w:val="a8"/>
            <w:rFonts w:hint="eastAsia"/>
            <w:noProof/>
          </w:rPr>
          <w:t>主要会计数据和财务指标</w:t>
        </w:r>
        <w:r>
          <w:rPr>
            <w:noProof/>
            <w:webHidden/>
          </w:rPr>
          <w:tab/>
        </w:r>
        <w:r>
          <w:rPr>
            <w:noProof/>
            <w:webHidden/>
          </w:rPr>
          <w:fldChar w:fldCharType="begin"/>
        </w:r>
        <w:r>
          <w:rPr>
            <w:noProof/>
            <w:webHidden/>
          </w:rPr>
          <w:instrText xml:space="preserve"> PAGEREF _Toc17385665 \h </w:instrText>
        </w:r>
        <w:r>
          <w:rPr>
            <w:noProof/>
            <w:webHidden/>
          </w:rPr>
        </w:r>
        <w:r>
          <w:rPr>
            <w:noProof/>
            <w:webHidden/>
          </w:rPr>
          <w:fldChar w:fldCharType="separate"/>
        </w:r>
        <w:r>
          <w:rPr>
            <w:noProof/>
            <w:webHidden/>
          </w:rPr>
          <w:t>6</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6" w:history="1">
        <w:r w:rsidRPr="001E71CF">
          <w:rPr>
            <w:rStyle w:val="a8"/>
            <w:noProof/>
          </w:rPr>
          <w:t xml:space="preserve">3.2 </w:t>
        </w:r>
        <w:r w:rsidRPr="001E71CF">
          <w:rPr>
            <w:rStyle w:val="a8"/>
            <w:rFonts w:hint="eastAsia"/>
            <w:noProof/>
          </w:rPr>
          <w:t>基金净值表现</w:t>
        </w:r>
        <w:r>
          <w:rPr>
            <w:noProof/>
            <w:webHidden/>
          </w:rPr>
          <w:tab/>
        </w:r>
        <w:r>
          <w:rPr>
            <w:noProof/>
            <w:webHidden/>
          </w:rPr>
          <w:fldChar w:fldCharType="begin"/>
        </w:r>
        <w:r>
          <w:rPr>
            <w:noProof/>
            <w:webHidden/>
          </w:rPr>
          <w:instrText xml:space="preserve"> PAGEREF _Toc17385666 \h </w:instrText>
        </w:r>
        <w:r>
          <w:rPr>
            <w:noProof/>
            <w:webHidden/>
          </w:rPr>
        </w:r>
        <w:r>
          <w:rPr>
            <w:noProof/>
            <w:webHidden/>
          </w:rPr>
          <w:fldChar w:fldCharType="separate"/>
        </w:r>
        <w:r>
          <w:rPr>
            <w:noProof/>
            <w:webHidden/>
          </w:rPr>
          <w:t>7</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67" w:history="1">
        <w:r w:rsidRPr="001E71CF">
          <w:rPr>
            <w:rStyle w:val="a8"/>
            <w:b/>
            <w:bCs/>
            <w:noProof/>
          </w:rPr>
          <w:t xml:space="preserve">4  </w:t>
        </w:r>
        <w:r w:rsidRPr="001E71CF">
          <w:rPr>
            <w:rStyle w:val="a8"/>
            <w:rFonts w:hint="eastAsia"/>
            <w:b/>
            <w:bCs/>
            <w:noProof/>
          </w:rPr>
          <w:t>管理人报告</w:t>
        </w:r>
        <w:r>
          <w:rPr>
            <w:noProof/>
            <w:webHidden/>
          </w:rPr>
          <w:tab/>
        </w:r>
        <w:r>
          <w:rPr>
            <w:noProof/>
            <w:webHidden/>
          </w:rPr>
          <w:fldChar w:fldCharType="begin"/>
        </w:r>
        <w:r>
          <w:rPr>
            <w:noProof/>
            <w:webHidden/>
          </w:rPr>
          <w:instrText xml:space="preserve"> PAGEREF _Toc17385667 \h </w:instrText>
        </w:r>
        <w:r>
          <w:rPr>
            <w:noProof/>
            <w:webHidden/>
          </w:rPr>
        </w:r>
        <w:r>
          <w:rPr>
            <w:noProof/>
            <w:webHidden/>
          </w:rPr>
          <w:fldChar w:fldCharType="separate"/>
        </w:r>
        <w:r>
          <w:rPr>
            <w:noProof/>
            <w:webHidden/>
          </w:rPr>
          <w:t>9</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8" w:history="1">
        <w:r w:rsidRPr="001E71CF">
          <w:rPr>
            <w:rStyle w:val="a8"/>
            <w:noProof/>
          </w:rPr>
          <w:t xml:space="preserve">4.1 </w:t>
        </w:r>
        <w:r w:rsidRPr="001E71CF">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_Toc17385668 \h </w:instrText>
        </w:r>
        <w:r>
          <w:rPr>
            <w:noProof/>
            <w:webHidden/>
          </w:rPr>
        </w:r>
        <w:r>
          <w:rPr>
            <w:noProof/>
            <w:webHidden/>
          </w:rPr>
          <w:fldChar w:fldCharType="separate"/>
        </w:r>
        <w:r>
          <w:rPr>
            <w:noProof/>
            <w:webHidden/>
          </w:rPr>
          <w:t>9</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69" w:history="1">
        <w:r w:rsidRPr="001E71CF">
          <w:rPr>
            <w:rStyle w:val="a8"/>
            <w:noProof/>
          </w:rPr>
          <w:t xml:space="preserve">4.2 </w:t>
        </w:r>
        <w:r w:rsidRPr="001E71C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_Toc17385669 \h </w:instrText>
        </w:r>
        <w:r>
          <w:rPr>
            <w:noProof/>
            <w:webHidden/>
          </w:rPr>
        </w:r>
        <w:r>
          <w:rPr>
            <w:noProof/>
            <w:webHidden/>
          </w:rPr>
          <w:fldChar w:fldCharType="separate"/>
        </w:r>
        <w:r>
          <w:rPr>
            <w:noProof/>
            <w:webHidden/>
          </w:rPr>
          <w:t>11</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0" w:history="1">
        <w:r w:rsidRPr="001E71CF">
          <w:rPr>
            <w:rStyle w:val="a8"/>
            <w:noProof/>
          </w:rPr>
          <w:t xml:space="preserve">4.3 </w:t>
        </w:r>
        <w:r w:rsidRPr="001E71C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_Toc17385670 \h </w:instrText>
        </w:r>
        <w:r>
          <w:rPr>
            <w:noProof/>
            <w:webHidden/>
          </w:rPr>
        </w:r>
        <w:r>
          <w:rPr>
            <w:noProof/>
            <w:webHidden/>
          </w:rPr>
          <w:fldChar w:fldCharType="separate"/>
        </w:r>
        <w:r>
          <w:rPr>
            <w:noProof/>
            <w:webHidden/>
          </w:rPr>
          <w:t>12</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1" w:history="1">
        <w:r w:rsidRPr="001E71CF">
          <w:rPr>
            <w:rStyle w:val="a8"/>
            <w:noProof/>
          </w:rPr>
          <w:t xml:space="preserve">4.4 </w:t>
        </w:r>
        <w:r w:rsidRPr="001E71C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_Toc17385671 \h </w:instrText>
        </w:r>
        <w:r>
          <w:rPr>
            <w:noProof/>
            <w:webHidden/>
          </w:rPr>
        </w:r>
        <w:r>
          <w:rPr>
            <w:noProof/>
            <w:webHidden/>
          </w:rPr>
          <w:fldChar w:fldCharType="separate"/>
        </w:r>
        <w:r>
          <w:rPr>
            <w:noProof/>
            <w:webHidden/>
          </w:rPr>
          <w:t>12</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2" w:history="1">
        <w:r w:rsidRPr="001E71CF">
          <w:rPr>
            <w:rStyle w:val="a8"/>
            <w:noProof/>
          </w:rPr>
          <w:t xml:space="preserve">4.5 </w:t>
        </w:r>
        <w:r w:rsidRPr="001E71C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_Toc17385672 \h </w:instrText>
        </w:r>
        <w:r>
          <w:rPr>
            <w:noProof/>
            <w:webHidden/>
          </w:rPr>
        </w:r>
        <w:r>
          <w:rPr>
            <w:noProof/>
            <w:webHidden/>
          </w:rPr>
          <w:fldChar w:fldCharType="separate"/>
        </w:r>
        <w:r>
          <w:rPr>
            <w:noProof/>
            <w:webHidden/>
          </w:rPr>
          <w:t>13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3" w:history="1">
        <w:r w:rsidRPr="001E71CF">
          <w:rPr>
            <w:rStyle w:val="a8"/>
            <w:noProof/>
          </w:rPr>
          <w:t xml:space="preserve">4.6 </w:t>
        </w:r>
        <w:r w:rsidRPr="001E71C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_Toc17385673 \h </w:instrText>
        </w:r>
        <w:r>
          <w:rPr>
            <w:noProof/>
            <w:webHidden/>
          </w:rPr>
        </w:r>
        <w:r>
          <w:rPr>
            <w:noProof/>
            <w:webHidden/>
          </w:rPr>
          <w:fldChar w:fldCharType="separate"/>
        </w:r>
        <w:r>
          <w:rPr>
            <w:noProof/>
            <w:webHidden/>
          </w:rPr>
          <w:t>13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4" w:history="1">
        <w:r w:rsidRPr="001E71CF">
          <w:rPr>
            <w:rStyle w:val="a8"/>
            <w:noProof/>
          </w:rPr>
          <w:t xml:space="preserve">4.7 </w:t>
        </w:r>
        <w:r w:rsidRPr="001E71C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_Toc17385674 \h </w:instrText>
        </w:r>
        <w:r>
          <w:rPr>
            <w:noProof/>
            <w:webHidden/>
          </w:rPr>
        </w:r>
        <w:r>
          <w:rPr>
            <w:noProof/>
            <w:webHidden/>
          </w:rPr>
          <w:fldChar w:fldCharType="separate"/>
        </w:r>
        <w:r>
          <w:rPr>
            <w:noProof/>
            <w:webHidden/>
          </w:rPr>
          <w:t>13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5" w:history="1">
        <w:r w:rsidRPr="001E71CF">
          <w:rPr>
            <w:rStyle w:val="a8"/>
            <w:noProof/>
          </w:rPr>
          <w:t xml:space="preserve">4.8 </w:t>
        </w:r>
        <w:r w:rsidRPr="001E71C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_Toc17385675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76" w:history="1">
        <w:r w:rsidRPr="001E71CF">
          <w:rPr>
            <w:rStyle w:val="a8"/>
            <w:b/>
            <w:bCs/>
            <w:noProof/>
          </w:rPr>
          <w:t xml:space="preserve">5  </w:t>
        </w:r>
        <w:r w:rsidRPr="001E71CF">
          <w:rPr>
            <w:rStyle w:val="a8"/>
            <w:rFonts w:hint="eastAsia"/>
            <w:b/>
            <w:bCs/>
            <w:noProof/>
          </w:rPr>
          <w:t>托管人报告</w:t>
        </w:r>
        <w:r>
          <w:rPr>
            <w:noProof/>
            <w:webHidden/>
          </w:rPr>
          <w:tab/>
        </w:r>
        <w:r>
          <w:rPr>
            <w:noProof/>
            <w:webHidden/>
          </w:rPr>
          <w:fldChar w:fldCharType="begin"/>
        </w:r>
        <w:r>
          <w:rPr>
            <w:noProof/>
            <w:webHidden/>
          </w:rPr>
          <w:instrText xml:space="preserve"> PAGEREF _Toc17385676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7" w:history="1">
        <w:r w:rsidRPr="001E71CF">
          <w:rPr>
            <w:rStyle w:val="a8"/>
            <w:noProof/>
          </w:rPr>
          <w:t xml:space="preserve">5.1 </w:t>
        </w:r>
        <w:r w:rsidRPr="001E71C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_Toc17385677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8" w:history="1">
        <w:r w:rsidRPr="001E71CF">
          <w:rPr>
            <w:rStyle w:val="a8"/>
            <w:noProof/>
          </w:rPr>
          <w:t xml:space="preserve">5.2 </w:t>
        </w:r>
        <w:r w:rsidRPr="001E71C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_Toc17385678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79" w:history="1">
        <w:r w:rsidRPr="001E71CF">
          <w:rPr>
            <w:rStyle w:val="a8"/>
            <w:noProof/>
          </w:rPr>
          <w:t xml:space="preserve">5.3 </w:t>
        </w:r>
        <w:r w:rsidRPr="001E71C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_Toc17385679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80" w:history="1">
        <w:r w:rsidRPr="001E71CF">
          <w:rPr>
            <w:rStyle w:val="a8"/>
            <w:b/>
            <w:bCs/>
            <w:noProof/>
          </w:rPr>
          <w:t xml:space="preserve">6  </w:t>
        </w:r>
        <w:r w:rsidRPr="001E71C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_Toc17385680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1" w:history="1">
        <w:r w:rsidRPr="001E71CF">
          <w:rPr>
            <w:rStyle w:val="a8"/>
            <w:noProof/>
          </w:rPr>
          <w:t xml:space="preserve">6.1 </w:t>
        </w:r>
        <w:r w:rsidRPr="001E71CF">
          <w:rPr>
            <w:rStyle w:val="a8"/>
            <w:rFonts w:hint="eastAsia"/>
            <w:noProof/>
          </w:rPr>
          <w:t>资产负债表</w:t>
        </w:r>
        <w:r>
          <w:rPr>
            <w:noProof/>
            <w:webHidden/>
          </w:rPr>
          <w:tab/>
        </w:r>
        <w:r>
          <w:rPr>
            <w:noProof/>
            <w:webHidden/>
          </w:rPr>
          <w:fldChar w:fldCharType="begin"/>
        </w:r>
        <w:r>
          <w:rPr>
            <w:noProof/>
            <w:webHidden/>
          </w:rPr>
          <w:instrText xml:space="preserve"> PAGEREF _Toc17385681 \h </w:instrText>
        </w:r>
        <w:r>
          <w:rPr>
            <w:noProof/>
            <w:webHidden/>
          </w:rPr>
        </w:r>
        <w:r>
          <w:rPr>
            <w:noProof/>
            <w:webHidden/>
          </w:rPr>
          <w:fldChar w:fldCharType="separate"/>
        </w:r>
        <w:r>
          <w:rPr>
            <w:noProof/>
            <w:webHidden/>
          </w:rPr>
          <w:t>14</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2" w:history="1">
        <w:r w:rsidRPr="001E71CF">
          <w:rPr>
            <w:rStyle w:val="a8"/>
            <w:noProof/>
          </w:rPr>
          <w:t xml:space="preserve">6.2 </w:t>
        </w:r>
        <w:r w:rsidRPr="001E71CF">
          <w:rPr>
            <w:rStyle w:val="a8"/>
            <w:rFonts w:hint="eastAsia"/>
            <w:noProof/>
          </w:rPr>
          <w:t>利润表</w:t>
        </w:r>
        <w:r>
          <w:rPr>
            <w:noProof/>
            <w:webHidden/>
          </w:rPr>
          <w:tab/>
        </w:r>
        <w:r>
          <w:rPr>
            <w:noProof/>
            <w:webHidden/>
          </w:rPr>
          <w:fldChar w:fldCharType="begin"/>
        </w:r>
        <w:r>
          <w:rPr>
            <w:noProof/>
            <w:webHidden/>
          </w:rPr>
          <w:instrText xml:space="preserve"> PAGEREF _Toc17385682 \h </w:instrText>
        </w:r>
        <w:r>
          <w:rPr>
            <w:noProof/>
            <w:webHidden/>
          </w:rPr>
        </w:r>
        <w:r>
          <w:rPr>
            <w:noProof/>
            <w:webHidden/>
          </w:rPr>
          <w:fldChar w:fldCharType="separate"/>
        </w:r>
        <w:r>
          <w:rPr>
            <w:noProof/>
            <w:webHidden/>
          </w:rPr>
          <w:t>16</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3" w:history="1">
        <w:r w:rsidRPr="001E71CF">
          <w:rPr>
            <w:rStyle w:val="a8"/>
            <w:noProof/>
          </w:rPr>
          <w:t xml:space="preserve">6.3 </w:t>
        </w:r>
        <w:r w:rsidRPr="001E71CF">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_Toc17385683 \h </w:instrText>
        </w:r>
        <w:r>
          <w:rPr>
            <w:noProof/>
            <w:webHidden/>
          </w:rPr>
        </w:r>
        <w:r>
          <w:rPr>
            <w:noProof/>
            <w:webHidden/>
          </w:rPr>
          <w:fldChar w:fldCharType="separate"/>
        </w:r>
        <w:r>
          <w:rPr>
            <w:noProof/>
            <w:webHidden/>
          </w:rPr>
          <w:t>17</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4" w:history="1">
        <w:r w:rsidRPr="001E71CF">
          <w:rPr>
            <w:rStyle w:val="a8"/>
            <w:noProof/>
          </w:rPr>
          <w:t xml:space="preserve">6.4 </w:t>
        </w:r>
        <w:r w:rsidRPr="001E71CF">
          <w:rPr>
            <w:rStyle w:val="a8"/>
            <w:rFonts w:hint="eastAsia"/>
            <w:noProof/>
          </w:rPr>
          <w:t>报表附注</w:t>
        </w:r>
        <w:r>
          <w:rPr>
            <w:noProof/>
            <w:webHidden/>
          </w:rPr>
          <w:tab/>
        </w:r>
        <w:r>
          <w:rPr>
            <w:noProof/>
            <w:webHidden/>
          </w:rPr>
          <w:fldChar w:fldCharType="begin"/>
        </w:r>
        <w:r>
          <w:rPr>
            <w:noProof/>
            <w:webHidden/>
          </w:rPr>
          <w:instrText xml:space="preserve"> PAGEREF _Toc17385684 \h </w:instrText>
        </w:r>
        <w:r>
          <w:rPr>
            <w:noProof/>
            <w:webHidden/>
          </w:rPr>
        </w:r>
        <w:r>
          <w:rPr>
            <w:noProof/>
            <w:webHidden/>
          </w:rPr>
          <w:fldChar w:fldCharType="separate"/>
        </w:r>
        <w:r>
          <w:rPr>
            <w:noProof/>
            <w:webHidden/>
          </w:rPr>
          <w:t>18</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85" w:history="1">
        <w:r w:rsidRPr="001E71CF">
          <w:rPr>
            <w:rStyle w:val="a8"/>
            <w:b/>
            <w:bCs/>
            <w:noProof/>
          </w:rPr>
          <w:t xml:space="preserve">7  </w:t>
        </w:r>
        <w:r w:rsidRPr="001E71CF">
          <w:rPr>
            <w:rStyle w:val="a8"/>
            <w:rFonts w:hint="eastAsia"/>
            <w:b/>
            <w:bCs/>
            <w:noProof/>
          </w:rPr>
          <w:t>投资组合报告</w:t>
        </w:r>
        <w:r>
          <w:rPr>
            <w:noProof/>
            <w:webHidden/>
          </w:rPr>
          <w:tab/>
        </w:r>
        <w:r>
          <w:rPr>
            <w:noProof/>
            <w:webHidden/>
          </w:rPr>
          <w:fldChar w:fldCharType="begin"/>
        </w:r>
        <w:r>
          <w:rPr>
            <w:noProof/>
            <w:webHidden/>
          </w:rPr>
          <w:instrText xml:space="preserve"> PAGEREF _Toc17385685 \h </w:instrText>
        </w:r>
        <w:r>
          <w:rPr>
            <w:noProof/>
            <w:webHidden/>
          </w:rPr>
        </w:r>
        <w:r>
          <w:rPr>
            <w:noProof/>
            <w:webHidden/>
          </w:rPr>
          <w:fldChar w:fldCharType="separate"/>
        </w:r>
        <w:r>
          <w:rPr>
            <w:noProof/>
            <w:webHidden/>
          </w:rPr>
          <w:t>38</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6" w:history="1">
        <w:r w:rsidRPr="001E71CF">
          <w:rPr>
            <w:rStyle w:val="a8"/>
            <w:noProof/>
          </w:rPr>
          <w:t xml:space="preserve">7.1 </w:t>
        </w:r>
        <w:r w:rsidRPr="001E71CF">
          <w:rPr>
            <w:rStyle w:val="a8"/>
            <w:rFonts w:hint="eastAsia"/>
            <w:noProof/>
          </w:rPr>
          <w:t>期末基金资产组合情况</w:t>
        </w:r>
        <w:r>
          <w:rPr>
            <w:noProof/>
            <w:webHidden/>
          </w:rPr>
          <w:tab/>
        </w:r>
        <w:r>
          <w:rPr>
            <w:noProof/>
            <w:webHidden/>
          </w:rPr>
          <w:fldChar w:fldCharType="begin"/>
        </w:r>
        <w:r>
          <w:rPr>
            <w:noProof/>
            <w:webHidden/>
          </w:rPr>
          <w:instrText xml:space="preserve"> PAGEREF _Toc17385686 \h </w:instrText>
        </w:r>
        <w:r>
          <w:rPr>
            <w:noProof/>
            <w:webHidden/>
          </w:rPr>
        </w:r>
        <w:r>
          <w:rPr>
            <w:noProof/>
            <w:webHidden/>
          </w:rPr>
          <w:fldChar w:fldCharType="separate"/>
        </w:r>
        <w:r>
          <w:rPr>
            <w:noProof/>
            <w:webHidden/>
          </w:rPr>
          <w:t>38</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7" w:history="1">
        <w:r w:rsidRPr="001E71CF">
          <w:rPr>
            <w:rStyle w:val="a8"/>
            <w:noProof/>
          </w:rPr>
          <w:t xml:space="preserve">7.2 </w:t>
        </w:r>
        <w:r w:rsidRPr="001E71CF">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_Toc17385687 \h </w:instrText>
        </w:r>
        <w:r>
          <w:rPr>
            <w:noProof/>
            <w:webHidden/>
          </w:rPr>
        </w:r>
        <w:r>
          <w:rPr>
            <w:noProof/>
            <w:webHidden/>
          </w:rPr>
          <w:fldChar w:fldCharType="separate"/>
        </w:r>
        <w:r>
          <w:rPr>
            <w:noProof/>
            <w:webHidden/>
          </w:rPr>
          <w:t>39</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8" w:history="1">
        <w:r w:rsidRPr="001E71CF">
          <w:rPr>
            <w:rStyle w:val="a8"/>
            <w:noProof/>
          </w:rPr>
          <w:t xml:space="preserve">7.3 </w:t>
        </w:r>
        <w:r w:rsidRPr="001E71C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_Toc17385688 \h </w:instrText>
        </w:r>
        <w:r>
          <w:rPr>
            <w:noProof/>
            <w:webHidden/>
          </w:rPr>
        </w:r>
        <w:r>
          <w:rPr>
            <w:noProof/>
            <w:webHidden/>
          </w:rPr>
          <w:fldChar w:fldCharType="separate"/>
        </w:r>
        <w:r>
          <w:rPr>
            <w:noProof/>
            <w:webHidden/>
          </w:rPr>
          <w:t>39</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89" w:history="1">
        <w:r w:rsidRPr="001E71CF">
          <w:rPr>
            <w:rStyle w:val="a8"/>
            <w:noProof/>
          </w:rPr>
          <w:t xml:space="preserve">7.4 </w:t>
        </w:r>
        <w:r w:rsidRPr="001E71C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_Toc17385689 \h </w:instrText>
        </w:r>
        <w:r>
          <w:rPr>
            <w:noProof/>
            <w:webHidden/>
          </w:rPr>
        </w:r>
        <w:r>
          <w:rPr>
            <w:noProof/>
            <w:webHidden/>
          </w:rPr>
          <w:fldChar w:fldCharType="separate"/>
        </w:r>
        <w:r>
          <w:rPr>
            <w:noProof/>
            <w:webHidden/>
          </w:rPr>
          <w:t>39</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0" w:history="1">
        <w:r w:rsidRPr="001E71CF">
          <w:rPr>
            <w:rStyle w:val="a8"/>
            <w:noProof/>
          </w:rPr>
          <w:t xml:space="preserve">7.5 </w:t>
        </w:r>
        <w:r w:rsidRPr="001E71C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_Toc17385690 \h </w:instrText>
        </w:r>
        <w:r>
          <w:rPr>
            <w:noProof/>
            <w:webHidden/>
          </w:rPr>
        </w:r>
        <w:r>
          <w:rPr>
            <w:noProof/>
            <w:webHidden/>
          </w:rPr>
          <w:fldChar w:fldCharType="separate"/>
        </w:r>
        <w:r>
          <w:rPr>
            <w:noProof/>
            <w:webHidden/>
          </w:rPr>
          <w:t>39</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1" w:history="1">
        <w:r w:rsidRPr="001E71CF">
          <w:rPr>
            <w:rStyle w:val="a8"/>
            <w:noProof/>
          </w:rPr>
          <w:t xml:space="preserve">7.6 </w:t>
        </w:r>
        <w:r w:rsidRPr="001E71C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_Toc17385691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2" w:history="1">
        <w:r w:rsidRPr="001E71CF">
          <w:rPr>
            <w:rStyle w:val="a8"/>
            <w:noProof/>
          </w:rPr>
          <w:t xml:space="preserve">7.7 </w:t>
        </w:r>
        <w:r w:rsidRPr="001E71C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_Toc17385692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3" w:history="1">
        <w:r w:rsidRPr="001E71CF">
          <w:rPr>
            <w:rStyle w:val="a8"/>
            <w:noProof/>
          </w:rPr>
          <w:t xml:space="preserve">7.8 </w:t>
        </w:r>
        <w:r w:rsidRPr="001E71C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_Toc17385693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4" w:history="1">
        <w:r w:rsidRPr="001E71CF">
          <w:rPr>
            <w:rStyle w:val="a8"/>
            <w:noProof/>
          </w:rPr>
          <w:t xml:space="preserve">7.9 </w:t>
        </w:r>
        <w:r w:rsidRPr="001E71C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_Toc17385694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5" w:history="1">
        <w:r w:rsidRPr="001E71CF">
          <w:rPr>
            <w:rStyle w:val="a8"/>
            <w:noProof/>
          </w:rPr>
          <w:t xml:space="preserve">7.10 </w:t>
        </w:r>
        <w:r w:rsidRPr="001E71C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_Toc17385695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6" w:history="1">
        <w:r w:rsidRPr="001E71CF">
          <w:rPr>
            <w:rStyle w:val="a8"/>
            <w:noProof/>
          </w:rPr>
          <w:t xml:space="preserve">7.11 </w:t>
        </w:r>
        <w:r w:rsidRPr="001E71C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_Toc17385696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7" w:history="1">
        <w:r w:rsidRPr="001E71CF">
          <w:rPr>
            <w:rStyle w:val="a8"/>
            <w:noProof/>
          </w:rPr>
          <w:t xml:space="preserve">7.12 </w:t>
        </w:r>
        <w:r w:rsidRPr="001E71CF">
          <w:rPr>
            <w:rStyle w:val="a8"/>
            <w:rFonts w:hint="eastAsia"/>
            <w:noProof/>
          </w:rPr>
          <w:t>投资组合报告附注</w:t>
        </w:r>
        <w:r>
          <w:rPr>
            <w:noProof/>
            <w:webHidden/>
          </w:rPr>
          <w:tab/>
        </w:r>
        <w:r>
          <w:rPr>
            <w:noProof/>
            <w:webHidden/>
          </w:rPr>
          <w:fldChar w:fldCharType="begin"/>
        </w:r>
        <w:r>
          <w:rPr>
            <w:noProof/>
            <w:webHidden/>
          </w:rPr>
          <w:instrText xml:space="preserve"> PAGEREF _Toc17385697 \h </w:instrText>
        </w:r>
        <w:r>
          <w:rPr>
            <w:noProof/>
            <w:webHidden/>
          </w:rPr>
        </w:r>
        <w:r>
          <w:rPr>
            <w:noProof/>
            <w:webHidden/>
          </w:rPr>
          <w:fldChar w:fldCharType="separate"/>
        </w:r>
        <w:r>
          <w:rPr>
            <w:noProof/>
            <w:webHidden/>
          </w:rPr>
          <w:t>40</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698" w:history="1">
        <w:r w:rsidRPr="001E71CF">
          <w:rPr>
            <w:rStyle w:val="a8"/>
            <w:b/>
            <w:bCs/>
            <w:noProof/>
          </w:rPr>
          <w:t xml:space="preserve">8  </w:t>
        </w:r>
        <w:r w:rsidRPr="001E71CF">
          <w:rPr>
            <w:rStyle w:val="a8"/>
            <w:rFonts w:hint="eastAsia"/>
            <w:b/>
            <w:bCs/>
            <w:noProof/>
          </w:rPr>
          <w:t>基金份额持有人信息</w:t>
        </w:r>
        <w:r>
          <w:rPr>
            <w:noProof/>
            <w:webHidden/>
          </w:rPr>
          <w:tab/>
        </w:r>
        <w:r>
          <w:rPr>
            <w:noProof/>
            <w:webHidden/>
          </w:rPr>
          <w:fldChar w:fldCharType="begin"/>
        </w:r>
        <w:r>
          <w:rPr>
            <w:noProof/>
            <w:webHidden/>
          </w:rPr>
          <w:instrText xml:space="preserve"> PAGEREF _Toc17385698 \h </w:instrText>
        </w:r>
        <w:r>
          <w:rPr>
            <w:noProof/>
            <w:webHidden/>
          </w:rPr>
        </w:r>
        <w:r>
          <w:rPr>
            <w:noProof/>
            <w:webHidden/>
          </w:rPr>
          <w:fldChar w:fldCharType="separate"/>
        </w:r>
        <w:r>
          <w:rPr>
            <w:noProof/>
            <w:webHidden/>
          </w:rPr>
          <w:t>41</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699" w:history="1">
        <w:r w:rsidRPr="001E71CF">
          <w:rPr>
            <w:rStyle w:val="a8"/>
            <w:noProof/>
          </w:rPr>
          <w:t xml:space="preserve">8.1 </w:t>
        </w:r>
        <w:r w:rsidRPr="001E71C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_Toc17385699 \h </w:instrText>
        </w:r>
        <w:r>
          <w:rPr>
            <w:noProof/>
            <w:webHidden/>
          </w:rPr>
        </w:r>
        <w:r>
          <w:rPr>
            <w:noProof/>
            <w:webHidden/>
          </w:rPr>
          <w:fldChar w:fldCharType="separate"/>
        </w:r>
        <w:r>
          <w:rPr>
            <w:noProof/>
            <w:webHidden/>
          </w:rPr>
          <w:t>41</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0" w:history="1">
        <w:r w:rsidRPr="001E71CF">
          <w:rPr>
            <w:rStyle w:val="a8"/>
            <w:noProof/>
          </w:rPr>
          <w:t xml:space="preserve">8.2 </w:t>
        </w:r>
        <w:r w:rsidRPr="001E71C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_Toc17385700 \h </w:instrText>
        </w:r>
        <w:r>
          <w:rPr>
            <w:noProof/>
            <w:webHidden/>
          </w:rPr>
        </w:r>
        <w:r>
          <w:rPr>
            <w:noProof/>
            <w:webHidden/>
          </w:rPr>
          <w:fldChar w:fldCharType="separate"/>
        </w:r>
        <w:r>
          <w:rPr>
            <w:noProof/>
            <w:webHidden/>
          </w:rPr>
          <w:t>42</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701" w:history="1">
        <w:r w:rsidRPr="001E71CF">
          <w:rPr>
            <w:rStyle w:val="a8"/>
            <w:b/>
            <w:bCs/>
            <w:noProof/>
          </w:rPr>
          <w:t xml:space="preserve">9  </w:t>
        </w:r>
        <w:r w:rsidRPr="001E71CF">
          <w:rPr>
            <w:rStyle w:val="a8"/>
            <w:rFonts w:hint="eastAsia"/>
            <w:b/>
            <w:bCs/>
            <w:noProof/>
          </w:rPr>
          <w:t>开放式基金份额变动</w:t>
        </w:r>
        <w:r>
          <w:rPr>
            <w:noProof/>
            <w:webHidden/>
          </w:rPr>
          <w:tab/>
        </w:r>
        <w:r>
          <w:rPr>
            <w:noProof/>
            <w:webHidden/>
          </w:rPr>
          <w:fldChar w:fldCharType="begin"/>
        </w:r>
        <w:r>
          <w:rPr>
            <w:noProof/>
            <w:webHidden/>
          </w:rPr>
          <w:instrText xml:space="preserve"> PAGEREF _Toc17385701 \h </w:instrText>
        </w:r>
        <w:r>
          <w:rPr>
            <w:noProof/>
            <w:webHidden/>
          </w:rPr>
        </w:r>
        <w:r>
          <w:rPr>
            <w:noProof/>
            <w:webHidden/>
          </w:rPr>
          <w:fldChar w:fldCharType="separate"/>
        </w:r>
        <w:r>
          <w:rPr>
            <w:noProof/>
            <w:webHidden/>
          </w:rPr>
          <w:t>42</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702" w:history="1">
        <w:r w:rsidRPr="001E71CF">
          <w:rPr>
            <w:rStyle w:val="a8"/>
            <w:b/>
            <w:bCs/>
            <w:noProof/>
          </w:rPr>
          <w:t xml:space="preserve">10  </w:t>
        </w:r>
        <w:r w:rsidRPr="001E71CF">
          <w:rPr>
            <w:rStyle w:val="a8"/>
            <w:rFonts w:hint="eastAsia"/>
            <w:b/>
            <w:bCs/>
            <w:noProof/>
          </w:rPr>
          <w:t>重大事件揭示</w:t>
        </w:r>
        <w:r>
          <w:rPr>
            <w:noProof/>
            <w:webHidden/>
          </w:rPr>
          <w:tab/>
        </w:r>
        <w:r>
          <w:rPr>
            <w:noProof/>
            <w:webHidden/>
          </w:rPr>
          <w:fldChar w:fldCharType="begin"/>
        </w:r>
        <w:r>
          <w:rPr>
            <w:noProof/>
            <w:webHidden/>
          </w:rPr>
          <w:instrText xml:space="preserve"> PAGEREF _Toc17385702 \h </w:instrText>
        </w:r>
        <w:r>
          <w:rPr>
            <w:noProof/>
            <w:webHidden/>
          </w:rPr>
        </w:r>
        <w:r>
          <w:rPr>
            <w:noProof/>
            <w:webHidden/>
          </w:rPr>
          <w:fldChar w:fldCharType="separate"/>
        </w:r>
        <w:r>
          <w:rPr>
            <w:noProof/>
            <w:webHidden/>
          </w:rPr>
          <w:t>42</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3" w:history="1">
        <w:r w:rsidRPr="001E71CF">
          <w:rPr>
            <w:rStyle w:val="a8"/>
            <w:noProof/>
          </w:rPr>
          <w:t xml:space="preserve">10.1 </w:t>
        </w:r>
        <w:r w:rsidRPr="001E71CF">
          <w:rPr>
            <w:rStyle w:val="a8"/>
            <w:rFonts w:hint="eastAsia"/>
            <w:noProof/>
          </w:rPr>
          <w:t>基金份额持有人大会决议</w:t>
        </w:r>
        <w:r>
          <w:rPr>
            <w:noProof/>
            <w:webHidden/>
          </w:rPr>
          <w:tab/>
        </w:r>
        <w:r>
          <w:rPr>
            <w:noProof/>
            <w:webHidden/>
          </w:rPr>
          <w:fldChar w:fldCharType="begin"/>
        </w:r>
        <w:r>
          <w:rPr>
            <w:noProof/>
            <w:webHidden/>
          </w:rPr>
          <w:instrText xml:space="preserve"> PAGEREF _Toc17385703 \h </w:instrText>
        </w:r>
        <w:r>
          <w:rPr>
            <w:noProof/>
            <w:webHidden/>
          </w:rPr>
        </w:r>
        <w:r>
          <w:rPr>
            <w:noProof/>
            <w:webHidden/>
          </w:rPr>
          <w:fldChar w:fldCharType="separate"/>
        </w:r>
        <w:r>
          <w:rPr>
            <w:noProof/>
            <w:webHidden/>
          </w:rPr>
          <w:t>42</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4" w:history="1">
        <w:r w:rsidRPr="001E71CF">
          <w:rPr>
            <w:rStyle w:val="a8"/>
            <w:noProof/>
          </w:rPr>
          <w:t xml:space="preserve">10.2 </w:t>
        </w:r>
        <w:r w:rsidRPr="001E71C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_Toc17385704 \h </w:instrText>
        </w:r>
        <w:r>
          <w:rPr>
            <w:noProof/>
            <w:webHidden/>
          </w:rPr>
        </w:r>
        <w:r>
          <w:rPr>
            <w:noProof/>
            <w:webHidden/>
          </w:rPr>
          <w:fldChar w:fldCharType="separate"/>
        </w:r>
        <w:r>
          <w:rPr>
            <w:noProof/>
            <w:webHidden/>
          </w:rPr>
          <w:t>43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5" w:history="1">
        <w:r w:rsidRPr="001E71CF">
          <w:rPr>
            <w:rStyle w:val="a8"/>
            <w:noProof/>
          </w:rPr>
          <w:t xml:space="preserve">10.3 </w:t>
        </w:r>
        <w:r w:rsidRPr="001E71C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_Toc17385705 \h </w:instrText>
        </w:r>
        <w:r>
          <w:rPr>
            <w:noProof/>
            <w:webHidden/>
          </w:rPr>
        </w:r>
        <w:r>
          <w:rPr>
            <w:noProof/>
            <w:webHidden/>
          </w:rPr>
          <w:fldChar w:fldCharType="separate"/>
        </w:r>
        <w:r>
          <w:rPr>
            <w:noProof/>
            <w:webHidden/>
          </w:rPr>
          <w:t>43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6" w:history="1">
        <w:r w:rsidRPr="001E71CF">
          <w:rPr>
            <w:rStyle w:val="a8"/>
            <w:noProof/>
          </w:rPr>
          <w:t xml:space="preserve">10.4 </w:t>
        </w:r>
        <w:r w:rsidRPr="001E71CF">
          <w:rPr>
            <w:rStyle w:val="a8"/>
            <w:rFonts w:hint="eastAsia"/>
            <w:noProof/>
          </w:rPr>
          <w:t>基金投资策略的改变</w:t>
        </w:r>
        <w:r>
          <w:rPr>
            <w:noProof/>
            <w:webHidden/>
          </w:rPr>
          <w:tab/>
        </w:r>
        <w:r>
          <w:rPr>
            <w:noProof/>
            <w:webHidden/>
          </w:rPr>
          <w:fldChar w:fldCharType="begin"/>
        </w:r>
        <w:r>
          <w:rPr>
            <w:noProof/>
            <w:webHidden/>
          </w:rPr>
          <w:instrText xml:space="preserve"> PAGEREF _Toc17385706 \h </w:instrText>
        </w:r>
        <w:r>
          <w:rPr>
            <w:noProof/>
            <w:webHidden/>
          </w:rPr>
        </w:r>
        <w:r>
          <w:rPr>
            <w:noProof/>
            <w:webHidden/>
          </w:rPr>
          <w:fldChar w:fldCharType="separate"/>
        </w:r>
        <w:r>
          <w:rPr>
            <w:noProof/>
            <w:webHidden/>
          </w:rPr>
          <w:t>43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7" w:history="1">
        <w:r w:rsidRPr="001E71CF">
          <w:rPr>
            <w:rStyle w:val="a8"/>
            <w:noProof/>
          </w:rPr>
          <w:t xml:space="preserve">10.5 </w:t>
        </w:r>
        <w:r w:rsidRPr="001E71C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_Toc17385707 \h </w:instrText>
        </w:r>
        <w:r>
          <w:rPr>
            <w:noProof/>
            <w:webHidden/>
          </w:rPr>
        </w:r>
        <w:r>
          <w:rPr>
            <w:noProof/>
            <w:webHidden/>
          </w:rPr>
          <w:fldChar w:fldCharType="separate"/>
        </w:r>
        <w:r>
          <w:rPr>
            <w:noProof/>
            <w:webHidden/>
          </w:rPr>
          <w:t>43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8" w:history="1">
        <w:r w:rsidRPr="001E71CF">
          <w:rPr>
            <w:rStyle w:val="a8"/>
            <w:noProof/>
          </w:rPr>
          <w:t xml:space="preserve">10.6 </w:t>
        </w:r>
        <w:r w:rsidRPr="001E71C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_Toc17385708 \h </w:instrText>
        </w:r>
        <w:r>
          <w:rPr>
            <w:noProof/>
            <w:webHidden/>
          </w:rPr>
        </w:r>
        <w:r>
          <w:rPr>
            <w:noProof/>
            <w:webHidden/>
          </w:rPr>
          <w:fldChar w:fldCharType="separate"/>
        </w:r>
        <w:r>
          <w:rPr>
            <w:noProof/>
            <w:webHidden/>
          </w:rPr>
          <w:t>43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09" w:history="1">
        <w:r w:rsidRPr="001E71CF">
          <w:rPr>
            <w:rStyle w:val="a8"/>
            <w:noProof/>
          </w:rPr>
          <w:t xml:space="preserve">10.7 </w:t>
        </w:r>
        <w:r w:rsidRPr="001E71C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_Toc17385709 \h </w:instrText>
        </w:r>
        <w:r>
          <w:rPr>
            <w:noProof/>
            <w:webHidden/>
          </w:rPr>
        </w:r>
        <w:r>
          <w:rPr>
            <w:noProof/>
            <w:webHidden/>
          </w:rPr>
          <w:fldChar w:fldCharType="separate"/>
        </w:r>
        <w:r>
          <w:rPr>
            <w:noProof/>
            <w:webHidden/>
          </w:rPr>
          <w:t>43</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10" w:history="1">
        <w:r w:rsidRPr="001E71CF">
          <w:rPr>
            <w:rStyle w:val="a8"/>
            <w:noProof/>
          </w:rPr>
          <w:t xml:space="preserve">10.8 </w:t>
        </w:r>
        <w:r w:rsidRPr="001E71CF">
          <w:rPr>
            <w:rStyle w:val="a8"/>
            <w:rFonts w:hint="eastAsia"/>
            <w:noProof/>
          </w:rPr>
          <w:t>其他重大事件</w:t>
        </w:r>
        <w:r>
          <w:rPr>
            <w:noProof/>
            <w:webHidden/>
          </w:rPr>
          <w:tab/>
        </w:r>
        <w:r>
          <w:rPr>
            <w:noProof/>
            <w:webHidden/>
          </w:rPr>
          <w:fldChar w:fldCharType="begin"/>
        </w:r>
        <w:r>
          <w:rPr>
            <w:noProof/>
            <w:webHidden/>
          </w:rPr>
          <w:instrText xml:space="preserve"> PAGEREF _Toc17385710 \h </w:instrText>
        </w:r>
        <w:r>
          <w:rPr>
            <w:noProof/>
            <w:webHidden/>
          </w:rPr>
        </w:r>
        <w:r>
          <w:rPr>
            <w:noProof/>
            <w:webHidden/>
          </w:rPr>
          <w:fldChar w:fldCharType="separate"/>
        </w:r>
        <w:r>
          <w:rPr>
            <w:noProof/>
            <w:webHidden/>
          </w:rPr>
          <w:t>44</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711" w:history="1">
        <w:r w:rsidRPr="001E71CF">
          <w:rPr>
            <w:rStyle w:val="a8"/>
            <w:b/>
            <w:bCs/>
            <w:noProof/>
          </w:rPr>
          <w:t xml:space="preserve">11  </w:t>
        </w:r>
        <w:r w:rsidRPr="001E71C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_Toc17385711 \h </w:instrText>
        </w:r>
        <w:r>
          <w:rPr>
            <w:noProof/>
            <w:webHidden/>
          </w:rPr>
        </w:r>
        <w:r>
          <w:rPr>
            <w:noProof/>
            <w:webHidden/>
          </w:rPr>
          <w:fldChar w:fldCharType="separate"/>
        </w:r>
        <w:r>
          <w:rPr>
            <w:noProof/>
            <w:webHidden/>
          </w:rPr>
          <w:t>44</w:t>
        </w:r>
        <w:r>
          <w:rPr>
            <w:noProof/>
            <w:webHidden/>
          </w:rPr>
          <w:fldChar w:fldCharType="end"/>
        </w:r>
      </w:hyperlink>
    </w:p>
    <w:p w:rsidR="003311C4" w:rsidRDefault="003311C4">
      <w:pPr>
        <w:pStyle w:val="11"/>
        <w:rPr>
          <w:rFonts w:asciiTheme="minorHAnsi" w:eastAsiaTheme="minorEastAsia" w:hAnsiTheme="minorHAnsi" w:cstheme="minorBidi"/>
          <w:noProof/>
          <w:szCs w:val="22"/>
        </w:rPr>
      </w:pPr>
      <w:hyperlink w:anchor="_Toc17385712" w:history="1">
        <w:r w:rsidRPr="001E71CF">
          <w:rPr>
            <w:rStyle w:val="a8"/>
            <w:b/>
            <w:bCs/>
            <w:noProof/>
          </w:rPr>
          <w:t xml:space="preserve">12  </w:t>
        </w:r>
        <w:r w:rsidRPr="001E71CF">
          <w:rPr>
            <w:rStyle w:val="a8"/>
            <w:rFonts w:hint="eastAsia"/>
            <w:b/>
            <w:bCs/>
            <w:noProof/>
          </w:rPr>
          <w:t>备查文件目录</w:t>
        </w:r>
        <w:r>
          <w:rPr>
            <w:noProof/>
            <w:webHidden/>
          </w:rPr>
          <w:tab/>
        </w:r>
        <w:r>
          <w:rPr>
            <w:noProof/>
            <w:webHidden/>
          </w:rPr>
          <w:fldChar w:fldCharType="begin"/>
        </w:r>
        <w:r>
          <w:rPr>
            <w:noProof/>
            <w:webHidden/>
          </w:rPr>
          <w:instrText xml:space="preserve"> PAGEREF _Toc17385712 \h </w:instrText>
        </w:r>
        <w:r>
          <w:rPr>
            <w:noProof/>
            <w:webHidden/>
          </w:rPr>
        </w:r>
        <w:r>
          <w:rPr>
            <w:noProof/>
            <w:webHidden/>
          </w:rPr>
          <w:fldChar w:fldCharType="separate"/>
        </w:r>
        <w:r>
          <w:rPr>
            <w:noProof/>
            <w:webHidden/>
          </w:rPr>
          <w:t>45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13" w:history="1">
        <w:r w:rsidRPr="001E71CF">
          <w:rPr>
            <w:rStyle w:val="a8"/>
            <w:noProof/>
          </w:rPr>
          <w:t xml:space="preserve">12.1 </w:t>
        </w:r>
        <w:r w:rsidRPr="001E71CF">
          <w:rPr>
            <w:rStyle w:val="a8"/>
            <w:rFonts w:hint="eastAsia"/>
            <w:noProof/>
          </w:rPr>
          <w:t>备查文件目录</w:t>
        </w:r>
        <w:r>
          <w:rPr>
            <w:noProof/>
            <w:webHidden/>
          </w:rPr>
          <w:tab/>
        </w:r>
        <w:r>
          <w:rPr>
            <w:noProof/>
            <w:webHidden/>
          </w:rPr>
          <w:fldChar w:fldCharType="begin"/>
        </w:r>
        <w:r>
          <w:rPr>
            <w:noProof/>
            <w:webHidden/>
          </w:rPr>
          <w:instrText xml:space="preserve"> PAGEREF _Toc17385713 \h </w:instrText>
        </w:r>
        <w:r>
          <w:rPr>
            <w:noProof/>
            <w:webHidden/>
          </w:rPr>
        </w:r>
        <w:r>
          <w:rPr>
            <w:noProof/>
            <w:webHidden/>
          </w:rPr>
          <w:fldChar w:fldCharType="separate"/>
        </w:r>
        <w:r>
          <w:rPr>
            <w:noProof/>
            <w:webHidden/>
          </w:rPr>
          <w:t>45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14" w:history="1">
        <w:r w:rsidRPr="001E71CF">
          <w:rPr>
            <w:rStyle w:val="a8"/>
            <w:noProof/>
          </w:rPr>
          <w:t xml:space="preserve">12.2 </w:t>
        </w:r>
        <w:r w:rsidRPr="001E71CF">
          <w:rPr>
            <w:rStyle w:val="a8"/>
            <w:rFonts w:hint="eastAsia"/>
            <w:noProof/>
          </w:rPr>
          <w:t>存放地点</w:t>
        </w:r>
        <w:r>
          <w:rPr>
            <w:noProof/>
            <w:webHidden/>
          </w:rPr>
          <w:tab/>
        </w:r>
        <w:r>
          <w:rPr>
            <w:noProof/>
            <w:webHidden/>
          </w:rPr>
          <w:fldChar w:fldCharType="begin"/>
        </w:r>
        <w:r>
          <w:rPr>
            <w:noProof/>
            <w:webHidden/>
          </w:rPr>
          <w:instrText xml:space="preserve"> PAGEREF _Toc17385714 \h </w:instrText>
        </w:r>
        <w:r>
          <w:rPr>
            <w:noProof/>
            <w:webHidden/>
          </w:rPr>
        </w:r>
        <w:r>
          <w:rPr>
            <w:noProof/>
            <w:webHidden/>
          </w:rPr>
          <w:fldChar w:fldCharType="separate"/>
        </w:r>
        <w:r>
          <w:rPr>
            <w:noProof/>
            <w:webHidden/>
          </w:rPr>
          <w:t>45</w:t>
        </w:r>
        <w:r>
          <w:rPr>
            <w:noProof/>
            <w:webHidden/>
          </w:rPr>
          <w:fldChar w:fldCharType="end"/>
        </w:r>
      </w:hyperlink>
    </w:p>
    <w:p w:rsidR="003311C4" w:rsidRDefault="003311C4">
      <w:pPr>
        <w:pStyle w:val="22"/>
        <w:rPr>
          <w:rFonts w:asciiTheme="minorHAnsi" w:eastAsiaTheme="minorEastAsia" w:hAnsiTheme="minorHAnsi" w:cstheme="minorBidi"/>
          <w:noProof/>
          <w:kern w:val="2"/>
          <w:szCs w:val="22"/>
        </w:rPr>
      </w:pPr>
      <w:hyperlink w:anchor="_Toc17385715" w:history="1">
        <w:r w:rsidRPr="001E71CF">
          <w:rPr>
            <w:rStyle w:val="a8"/>
            <w:noProof/>
          </w:rPr>
          <w:t xml:space="preserve">12.3 </w:t>
        </w:r>
        <w:r w:rsidRPr="001E71CF">
          <w:rPr>
            <w:rStyle w:val="a8"/>
            <w:rFonts w:hint="eastAsia"/>
            <w:noProof/>
          </w:rPr>
          <w:t>查阅方式</w:t>
        </w:r>
        <w:r>
          <w:rPr>
            <w:noProof/>
            <w:webHidden/>
          </w:rPr>
          <w:tab/>
        </w:r>
        <w:r>
          <w:rPr>
            <w:noProof/>
            <w:webHidden/>
          </w:rPr>
          <w:fldChar w:fldCharType="begin"/>
        </w:r>
        <w:r>
          <w:rPr>
            <w:noProof/>
            <w:webHidden/>
          </w:rPr>
          <w:instrText xml:space="preserve"> PAGEREF _Toc17385715 \h </w:instrText>
        </w:r>
        <w:r>
          <w:rPr>
            <w:noProof/>
            <w:webHidden/>
          </w:rPr>
        </w:r>
        <w:r>
          <w:rPr>
            <w:noProof/>
            <w:webHidden/>
          </w:rPr>
          <w:fldChar w:fldCharType="separate"/>
        </w:r>
        <w:r>
          <w:rPr>
            <w:noProof/>
            <w:webHidden/>
          </w:rPr>
          <w:t>45</w:t>
        </w:r>
        <w:r>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17385658"/>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17385659"/>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上投摩根分红添利债券型证券投资基金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上投摩根分红添利债券</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370021</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370021</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2012</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25</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中国银行股份有限公司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32,230,287.37</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370021</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370022</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28,332,154.82</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3,898,132.55</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17385660"/>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在有效控制风险和保持资产流动性的前提下，通过积极主动的投资管理，力争为投资者创造稳定的当期收益和长期回报。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中证综合债券指数</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17385661"/>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胡迪</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王永民</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010-66594896</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fcid@bankofchina.com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95566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010-66594942</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lastRenderedPageBreak/>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北京市西城区复兴门内大街</w:t>
            </w:r>
            <w:r w:rsidRPr="00D46E57">
              <w:rPr>
                <w:rFonts w:eastAsiaTheme="minorEastAsia"/>
                <w:color w:val="000000"/>
                <w:kern w:val="0"/>
                <w:szCs w:val="21"/>
              </w:rPr>
              <w:t>1</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北京市西城区复兴门内大街</w:t>
            </w:r>
            <w:r w:rsidRPr="00D46E57">
              <w:rPr>
                <w:rFonts w:eastAsiaTheme="minorEastAsia"/>
                <w:color w:val="000000"/>
                <w:kern w:val="0"/>
                <w:szCs w:val="21"/>
              </w:rPr>
              <w:t>1</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100818</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刘连舸</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17385662"/>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《上海证券报》</w:t>
            </w:r>
            <w:r w:rsidRPr="00D46E57">
              <w:rPr>
                <w:rFonts w:eastAsiaTheme="minorEastAsia"/>
                <w:color w:val="000000"/>
                <w:szCs w:val="21"/>
              </w:rPr>
              <w:t xml:space="preserve"> </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106605" w:rsidRPr="00D46E57">
              <w:rPr>
                <w:rFonts w:eastAsiaTheme="minorEastAsia"/>
                <w:color w:val="000000"/>
                <w:szCs w:val="21"/>
              </w:rPr>
              <w:t>半</w:t>
            </w:r>
            <w:r w:rsidRPr="00D46E57">
              <w:rPr>
                <w:rFonts w:eastAsiaTheme="minorEastAsia"/>
                <w:color w:val="000000"/>
                <w:szCs w:val="21"/>
              </w:rPr>
              <w:t>年度报告正文的管理人互联网网址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813F84" w:rsidRPr="00D46E57">
              <w:rPr>
                <w:rFonts w:eastAsiaTheme="minorEastAsia"/>
                <w:color w:val="000000"/>
                <w:szCs w:val="21"/>
              </w:rPr>
              <w:t>半</w:t>
            </w:r>
            <w:r w:rsidRPr="00D46E57">
              <w:rPr>
                <w:rFonts w:eastAsiaTheme="minorEastAsia"/>
                <w:color w:val="000000"/>
                <w:szCs w:val="21"/>
              </w:rPr>
              <w:t>年度报告备置地点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17385663"/>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194312019"/>
      <w:bookmarkStart w:id="16" w:name="_Toc193947512"/>
      <w:bookmarkStart w:id="17" w:name="_Toc17385664"/>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7"/>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17385665"/>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2019</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591,644.12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207,621.62</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369,998.20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84,664.38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0.0126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0.0081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1.15%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0.75%</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0.93%</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上投摩根分红添利债券</w:t>
            </w:r>
            <w:r w:rsidRPr="00D46E57">
              <w:rPr>
                <w:rFonts w:eastAsiaTheme="minorEastAsia"/>
                <w:color w:val="000000"/>
                <w:szCs w:val="21"/>
              </w:rPr>
              <w:t>A</w:t>
            </w:r>
            <w:r w:rsidRPr="00D46E57">
              <w:rPr>
                <w:rFonts w:eastAsiaTheme="minorEastAsia"/>
                <w:color w:val="000000"/>
                <w:szCs w:val="21"/>
              </w:rPr>
              <w:t>类</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上投摩根分红添利债券</w:t>
            </w:r>
            <w:r w:rsidRPr="00D46E57">
              <w:rPr>
                <w:rFonts w:eastAsiaTheme="minorEastAsia"/>
                <w:color w:val="000000"/>
                <w:szCs w:val="21"/>
              </w:rPr>
              <w:t>B</w:t>
            </w:r>
            <w:r w:rsidRPr="00D46E57">
              <w:rPr>
                <w:rFonts w:eastAsiaTheme="minorEastAsia"/>
                <w:color w:val="000000"/>
                <w:szCs w:val="21"/>
              </w:rPr>
              <w:t>类</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756,849.65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87,190.12</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0.0267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0.0224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31,012,602.26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4,248,447.54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1.095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1.090</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lastRenderedPageBreak/>
              <w:t>A</w:t>
            </w:r>
            <w:r w:rsidRPr="00D46E57">
              <w:rPr>
                <w:rFonts w:eastAsiaTheme="minorEastAsia"/>
                <w:szCs w:val="21"/>
              </w:rPr>
              <w:t>类</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lastRenderedPageBreak/>
              <w:t>上投摩根分红添利债券</w:t>
            </w:r>
            <w:r w:rsidRPr="00D46E57">
              <w:rPr>
                <w:rFonts w:eastAsiaTheme="minorEastAsia"/>
                <w:szCs w:val="21"/>
              </w:rPr>
              <w:t>B</w:t>
            </w:r>
            <w:r w:rsidRPr="00D46E57">
              <w:rPr>
                <w:rFonts w:eastAsiaTheme="minorEastAsia"/>
                <w:szCs w:val="21"/>
              </w:rPr>
              <w:lastRenderedPageBreak/>
              <w:t>类</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lastRenderedPageBreak/>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45.72%</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41.38%</w:t>
            </w:r>
          </w:p>
        </w:tc>
      </w:tr>
    </w:tbl>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17385666"/>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1"/>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A</w:t>
      </w:r>
      <w:r w:rsidRPr="00D46E57">
        <w:rPr>
          <w:rFonts w:ascii="Times New Roman" w:eastAsiaTheme="minorEastAsia" w:hAnsi="Times New Roman"/>
          <w:color w:val="auto"/>
          <w:sz w:val="21"/>
          <w:szCs w:val="21"/>
        </w:rPr>
        <w:t>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E4037">
        <w:tc>
          <w:tcPr>
            <w:tcW w:w="1620" w:type="dxa"/>
            <w:vAlign w:val="center"/>
          </w:tcPr>
          <w:p w:rsidR="009E4037" w:rsidRDefault="009768B2">
            <w:pPr>
              <w:jc w:val="left"/>
            </w:pPr>
            <w:r>
              <w:rPr>
                <w:rFonts w:eastAsiaTheme="minorEastAsia"/>
                <w:color w:val="000000"/>
                <w:szCs w:val="21"/>
              </w:rPr>
              <w:t>过去一个月</w:t>
            </w:r>
          </w:p>
        </w:tc>
        <w:tc>
          <w:tcPr>
            <w:tcW w:w="1350" w:type="dxa"/>
            <w:vAlign w:val="center"/>
          </w:tcPr>
          <w:p w:rsidR="009E4037" w:rsidRDefault="009768B2">
            <w:pPr>
              <w:jc w:val="center"/>
            </w:pPr>
            <w:r>
              <w:rPr>
                <w:rFonts w:eastAsiaTheme="minorEastAsia"/>
                <w:color w:val="000000"/>
                <w:szCs w:val="21"/>
              </w:rPr>
              <w:t>0.37%</w:t>
            </w:r>
          </w:p>
        </w:tc>
        <w:tc>
          <w:tcPr>
            <w:tcW w:w="1350" w:type="dxa"/>
            <w:vAlign w:val="center"/>
          </w:tcPr>
          <w:p w:rsidR="009E4037" w:rsidRDefault="009768B2">
            <w:pPr>
              <w:jc w:val="center"/>
            </w:pPr>
            <w:r>
              <w:rPr>
                <w:rFonts w:eastAsiaTheme="minorEastAsia"/>
                <w:color w:val="000000"/>
                <w:szCs w:val="21"/>
              </w:rPr>
              <w:t>0.04%</w:t>
            </w:r>
          </w:p>
        </w:tc>
        <w:tc>
          <w:tcPr>
            <w:tcW w:w="1350" w:type="dxa"/>
            <w:vAlign w:val="center"/>
          </w:tcPr>
          <w:p w:rsidR="009E4037" w:rsidRDefault="009768B2">
            <w:pPr>
              <w:jc w:val="center"/>
            </w:pPr>
            <w:r>
              <w:rPr>
                <w:rFonts w:eastAsiaTheme="minorEastAsia"/>
                <w:color w:val="000000"/>
                <w:szCs w:val="21"/>
              </w:rPr>
              <w:t>0.52%</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-0.15%</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过去三个月</w:t>
            </w:r>
          </w:p>
        </w:tc>
        <w:tc>
          <w:tcPr>
            <w:tcW w:w="1350" w:type="dxa"/>
            <w:vAlign w:val="center"/>
          </w:tcPr>
          <w:p w:rsidR="009E4037" w:rsidRDefault="009768B2">
            <w:pPr>
              <w:jc w:val="center"/>
            </w:pPr>
            <w:r>
              <w:rPr>
                <w:rFonts w:eastAsiaTheme="minorEastAsia"/>
                <w:color w:val="000000"/>
                <w:szCs w:val="21"/>
              </w:rPr>
              <w:t>0.55%</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0.64%</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-0.09%</w:t>
            </w:r>
          </w:p>
        </w:tc>
        <w:tc>
          <w:tcPr>
            <w:tcW w:w="1350" w:type="dxa"/>
            <w:vAlign w:val="center"/>
          </w:tcPr>
          <w:p w:rsidR="009E4037" w:rsidRDefault="009768B2">
            <w:pPr>
              <w:jc w:val="center"/>
            </w:pPr>
            <w:r>
              <w:rPr>
                <w:rFonts w:eastAsiaTheme="minorEastAsia"/>
                <w:color w:val="000000"/>
                <w:szCs w:val="21"/>
              </w:rPr>
              <w:t>-0.03%</w:t>
            </w:r>
          </w:p>
        </w:tc>
      </w:tr>
      <w:tr w:rsidR="009E4037">
        <w:tc>
          <w:tcPr>
            <w:tcW w:w="1620" w:type="dxa"/>
            <w:vAlign w:val="center"/>
          </w:tcPr>
          <w:p w:rsidR="009E4037" w:rsidRDefault="009768B2">
            <w:pPr>
              <w:jc w:val="left"/>
            </w:pPr>
            <w:r>
              <w:rPr>
                <w:rFonts w:eastAsiaTheme="minorEastAsia"/>
                <w:color w:val="000000"/>
                <w:szCs w:val="21"/>
              </w:rPr>
              <w:t>过去六个月</w:t>
            </w:r>
          </w:p>
        </w:tc>
        <w:tc>
          <w:tcPr>
            <w:tcW w:w="1350" w:type="dxa"/>
            <w:vAlign w:val="center"/>
          </w:tcPr>
          <w:p w:rsidR="009E4037" w:rsidRDefault="009768B2">
            <w:pPr>
              <w:jc w:val="center"/>
            </w:pPr>
            <w:r>
              <w:rPr>
                <w:rFonts w:eastAsiaTheme="minorEastAsia"/>
                <w:color w:val="000000"/>
                <w:szCs w:val="21"/>
              </w:rPr>
              <w:t>1.20%</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2.00%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-0.80%</w:t>
            </w:r>
          </w:p>
        </w:tc>
        <w:tc>
          <w:tcPr>
            <w:tcW w:w="1350" w:type="dxa"/>
            <w:vAlign w:val="center"/>
          </w:tcPr>
          <w:p w:rsidR="009E4037" w:rsidRDefault="009768B2">
            <w:pPr>
              <w:jc w:val="center"/>
            </w:pPr>
            <w:r>
              <w:rPr>
                <w:rFonts w:eastAsiaTheme="minorEastAsia"/>
                <w:color w:val="000000"/>
                <w:szCs w:val="21"/>
              </w:rPr>
              <w:t>-0.03%</w:t>
            </w:r>
          </w:p>
        </w:tc>
      </w:tr>
      <w:tr w:rsidR="009E4037">
        <w:tc>
          <w:tcPr>
            <w:tcW w:w="1620" w:type="dxa"/>
            <w:vAlign w:val="center"/>
          </w:tcPr>
          <w:p w:rsidR="009E4037" w:rsidRDefault="009768B2">
            <w:pPr>
              <w:jc w:val="left"/>
            </w:pPr>
            <w:r>
              <w:rPr>
                <w:rFonts w:eastAsiaTheme="minorEastAsia"/>
                <w:color w:val="000000"/>
                <w:szCs w:val="21"/>
              </w:rPr>
              <w:t>过去一年</w:t>
            </w:r>
          </w:p>
        </w:tc>
        <w:tc>
          <w:tcPr>
            <w:tcW w:w="1350" w:type="dxa"/>
            <w:vAlign w:val="center"/>
          </w:tcPr>
          <w:p w:rsidR="009E4037" w:rsidRDefault="009768B2">
            <w:pPr>
              <w:jc w:val="center"/>
            </w:pPr>
            <w:r>
              <w:rPr>
                <w:rFonts w:eastAsiaTheme="minorEastAsia"/>
                <w:color w:val="000000"/>
                <w:szCs w:val="21"/>
              </w:rPr>
              <w:t>2.71%</w:t>
            </w:r>
          </w:p>
        </w:tc>
        <w:tc>
          <w:tcPr>
            <w:tcW w:w="1350" w:type="dxa"/>
            <w:vAlign w:val="center"/>
          </w:tcPr>
          <w:p w:rsidR="009E4037" w:rsidRDefault="009768B2">
            <w:pPr>
              <w:jc w:val="center"/>
            </w:pPr>
            <w:r>
              <w:rPr>
                <w:rFonts w:eastAsiaTheme="minorEastAsia"/>
                <w:color w:val="000000"/>
                <w:szCs w:val="21"/>
              </w:rPr>
              <w:t>0.05%</w:t>
            </w:r>
          </w:p>
        </w:tc>
        <w:tc>
          <w:tcPr>
            <w:tcW w:w="1350" w:type="dxa"/>
            <w:vAlign w:val="center"/>
          </w:tcPr>
          <w:p w:rsidR="009E4037" w:rsidRDefault="009768B2">
            <w:pPr>
              <w:jc w:val="center"/>
            </w:pPr>
            <w:r>
              <w:rPr>
                <w:rFonts w:eastAsiaTheme="minorEastAsia"/>
                <w:color w:val="000000"/>
                <w:szCs w:val="21"/>
              </w:rPr>
              <w:t>6.00%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-3.29%</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过去三年</w:t>
            </w:r>
          </w:p>
        </w:tc>
        <w:tc>
          <w:tcPr>
            <w:tcW w:w="1350" w:type="dxa"/>
            <w:vAlign w:val="center"/>
          </w:tcPr>
          <w:p w:rsidR="009E4037" w:rsidRDefault="009768B2">
            <w:pPr>
              <w:jc w:val="center"/>
            </w:pPr>
            <w:r>
              <w:rPr>
                <w:rFonts w:eastAsiaTheme="minorEastAsia"/>
                <w:color w:val="000000"/>
                <w:szCs w:val="21"/>
              </w:rPr>
              <w:t>6.30%</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11.18%</w:t>
            </w:r>
          </w:p>
        </w:tc>
        <w:tc>
          <w:tcPr>
            <w:tcW w:w="1350" w:type="dxa"/>
            <w:vAlign w:val="center"/>
          </w:tcPr>
          <w:p w:rsidR="009E4037" w:rsidRDefault="009768B2">
            <w:pPr>
              <w:jc w:val="center"/>
            </w:pPr>
            <w:r>
              <w:rPr>
                <w:rFonts w:eastAsiaTheme="minorEastAsia"/>
                <w:color w:val="000000"/>
                <w:szCs w:val="21"/>
              </w:rPr>
              <w:t>0.07%</w:t>
            </w:r>
          </w:p>
        </w:tc>
        <w:tc>
          <w:tcPr>
            <w:tcW w:w="1350" w:type="dxa"/>
            <w:vAlign w:val="center"/>
          </w:tcPr>
          <w:p w:rsidR="009E4037" w:rsidRDefault="009768B2">
            <w:pPr>
              <w:jc w:val="center"/>
            </w:pPr>
            <w:r>
              <w:rPr>
                <w:rFonts w:eastAsiaTheme="minorEastAsia"/>
                <w:color w:val="000000"/>
                <w:szCs w:val="21"/>
              </w:rPr>
              <w:t>-4.88%</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自基金合同生效起至今</w:t>
            </w:r>
          </w:p>
        </w:tc>
        <w:tc>
          <w:tcPr>
            <w:tcW w:w="1350" w:type="dxa"/>
            <w:vAlign w:val="center"/>
          </w:tcPr>
          <w:p w:rsidR="009E4037" w:rsidRDefault="009768B2">
            <w:pPr>
              <w:jc w:val="center"/>
            </w:pPr>
            <w:r>
              <w:rPr>
                <w:rFonts w:eastAsiaTheme="minorEastAsia"/>
                <w:color w:val="000000"/>
                <w:szCs w:val="21"/>
              </w:rPr>
              <w:t>45.72%</w:t>
            </w:r>
          </w:p>
        </w:tc>
        <w:tc>
          <w:tcPr>
            <w:tcW w:w="1350" w:type="dxa"/>
            <w:vAlign w:val="center"/>
          </w:tcPr>
          <w:p w:rsidR="009E4037" w:rsidRDefault="009768B2">
            <w:pPr>
              <w:jc w:val="center"/>
            </w:pPr>
            <w:r>
              <w:rPr>
                <w:rFonts w:eastAsiaTheme="minorEastAsia"/>
                <w:color w:val="000000"/>
                <w:szCs w:val="21"/>
              </w:rPr>
              <w:t>0.20%</w:t>
            </w:r>
          </w:p>
        </w:tc>
        <w:tc>
          <w:tcPr>
            <w:tcW w:w="1350" w:type="dxa"/>
            <w:vAlign w:val="center"/>
          </w:tcPr>
          <w:p w:rsidR="009E4037" w:rsidRDefault="009768B2">
            <w:pPr>
              <w:jc w:val="center"/>
            </w:pPr>
            <w:r>
              <w:rPr>
                <w:rFonts w:eastAsiaTheme="minorEastAsia"/>
                <w:color w:val="000000"/>
                <w:szCs w:val="21"/>
              </w:rPr>
              <w:t>35.13%</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10.59%</w:t>
            </w:r>
          </w:p>
        </w:tc>
        <w:tc>
          <w:tcPr>
            <w:tcW w:w="1350" w:type="dxa"/>
            <w:vAlign w:val="center"/>
          </w:tcPr>
          <w:p w:rsidR="009E4037" w:rsidRDefault="009768B2">
            <w:pPr>
              <w:jc w:val="center"/>
            </w:pPr>
            <w:r>
              <w:rPr>
                <w:rFonts w:eastAsiaTheme="minorEastAsia"/>
                <w:color w:val="000000"/>
                <w:szCs w:val="21"/>
              </w:rPr>
              <w:t>0.12%</w:t>
            </w:r>
          </w:p>
        </w:tc>
      </w:tr>
    </w:tbl>
    <w:p w:rsidR="001548F9" w:rsidRPr="00D46E57" w:rsidRDefault="001548F9" w:rsidP="004F2C82">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B</w:t>
      </w:r>
      <w:r w:rsidRPr="00D46E57">
        <w:rPr>
          <w:rFonts w:ascii="Times New Roman" w:eastAsiaTheme="minorEastAsia" w:hAnsi="Times New Roman"/>
          <w:color w:val="auto"/>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E4037">
        <w:tc>
          <w:tcPr>
            <w:tcW w:w="1620" w:type="dxa"/>
            <w:vAlign w:val="center"/>
          </w:tcPr>
          <w:p w:rsidR="009E4037" w:rsidRDefault="009768B2">
            <w:pPr>
              <w:jc w:val="left"/>
            </w:pPr>
            <w:r>
              <w:rPr>
                <w:rFonts w:eastAsiaTheme="minorEastAsia"/>
                <w:color w:val="000000"/>
                <w:szCs w:val="21"/>
              </w:rPr>
              <w:t>过去一个月</w:t>
            </w:r>
          </w:p>
        </w:tc>
        <w:tc>
          <w:tcPr>
            <w:tcW w:w="1350" w:type="dxa"/>
            <w:vAlign w:val="center"/>
          </w:tcPr>
          <w:p w:rsidR="009E4037" w:rsidRDefault="009768B2">
            <w:pPr>
              <w:jc w:val="center"/>
            </w:pPr>
            <w:r>
              <w:rPr>
                <w:rFonts w:eastAsiaTheme="minorEastAsia"/>
                <w:color w:val="000000"/>
                <w:szCs w:val="21"/>
              </w:rPr>
              <w:t>0.28%</w:t>
            </w:r>
          </w:p>
        </w:tc>
        <w:tc>
          <w:tcPr>
            <w:tcW w:w="1350" w:type="dxa"/>
            <w:vAlign w:val="center"/>
          </w:tcPr>
          <w:p w:rsidR="009E4037" w:rsidRDefault="009768B2">
            <w:pPr>
              <w:jc w:val="center"/>
            </w:pPr>
            <w:r>
              <w:rPr>
                <w:rFonts w:eastAsiaTheme="minorEastAsia"/>
                <w:color w:val="000000"/>
                <w:szCs w:val="21"/>
              </w:rPr>
              <w:t>0.05%</w:t>
            </w:r>
          </w:p>
        </w:tc>
        <w:tc>
          <w:tcPr>
            <w:tcW w:w="1350" w:type="dxa"/>
            <w:vAlign w:val="center"/>
          </w:tcPr>
          <w:p w:rsidR="009E4037" w:rsidRDefault="009768B2">
            <w:pPr>
              <w:jc w:val="center"/>
            </w:pPr>
            <w:r>
              <w:rPr>
                <w:rFonts w:eastAsiaTheme="minorEastAsia"/>
                <w:color w:val="000000"/>
                <w:szCs w:val="21"/>
              </w:rPr>
              <w:t>0.52%</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-0.24%</w:t>
            </w:r>
          </w:p>
        </w:tc>
        <w:tc>
          <w:tcPr>
            <w:tcW w:w="1350" w:type="dxa"/>
            <w:vAlign w:val="center"/>
          </w:tcPr>
          <w:p w:rsidR="009E4037" w:rsidRDefault="009768B2">
            <w:pPr>
              <w:jc w:val="center"/>
            </w:pPr>
            <w:r>
              <w:rPr>
                <w:rFonts w:eastAsiaTheme="minorEastAsia"/>
                <w:color w:val="000000"/>
                <w:szCs w:val="21"/>
              </w:rPr>
              <w:t>0.02%</w:t>
            </w:r>
          </w:p>
        </w:tc>
      </w:tr>
      <w:tr w:rsidR="009E4037">
        <w:tc>
          <w:tcPr>
            <w:tcW w:w="1620" w:type="dxa"/>
            <w:vAlign w:val="center"/>
          </w:tcPr>
          <w:p w:rsidR="009E4037" w:rsidRDefault="009768B2">
            <w:pPr>
              <w:jc w:val="left"/>
            </w:pPr>
            <w:r>
              <w:rPr>
                <w:rFonts w:eastAsiaTheme="minorEastAsia"/>
                <w:color w:val="000000"/>
                <w:szCs w:val="21"/>
              </w:rPr>
              <w:t>过去三个月</w:t>
            </w:r>
          </w:p>
        </w:tc>
        <w:tc>
          <w:tcPr>
            <w:tcW w:w="1350" w:type="dxa"/>
            <w:vAlign w:val="center"/>
          </w:tcPr>
          <w:p w:rsidR="009E4037" w:rsidRDefault="009768B2">
            <w:pPr>
              <w:jc w:val="center"/>
            </w:pPr>
            <w:r>
              <w:rPr>
                <w:rFonts w:eastAsiaTheme="minorEastAsia"/>
                <w:color w:val="000000"/>
                <w:szCs w:val="21"/>
              </w:rPr>
              <w:t>0.46%</w:t>
            </w:r>
          </w:p>
        </w:tc>
        <w:tc>
          <w:tcPr>
            <w:tcW w:w="1350" w:type="dxa"/>
            <w:vAlign w:val="center"/>
          </w:tcPr>
          <w:p w:rsidR="009E4037" w:rsidRDefault="009768B2">
            <w:pPr>
              <w:jc w:val="center"/>
            </w:pPr>
            <w:r>
              <w:rPr>
                <w:rFonts w:eastAsiaTheme="minorEastAsia"/>
                <w:color w:val="000000"/>
                <w:szCs w:val="21"/>
              </w:rPr>
              <w:t>0.04%</w:t>
            </w:r>
          </w:p>
        </w:tc>
        <w:tc>
          <w:tcPr>
            <w:tcW w:w="1350" w:type="dxa"/>
            <w:vAlign w:val="center"/>
          </w:tcPr>
          <w:p w:rsidR="009E4037" w:rsidRDefault="009768B2">
            <w:pPr>
              <w:jc w:val="center"/>
            </w:pPr>
            <w:r>
              <w:rPr>
                <w:rFonts w:eastAsiaTheme="minorEastAsia"/>
                <w:color w:val="000000"/>
                <w:szCs w:val="21"/>
              </w:rPr>
              <w:t>0.64%</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-0.18%</w:t>
            </w:r>
          </w:p>
        </w:tc>
        <w:tc>
          <w:tcPr>
            <w:tcW w:w="1350" w:type="dxa"/>
            <w:vAlign w:val="center"/>
          </w:tcPr>
          <w:p w:rsidR="009E4037" w:rsidRDefault="009768B2">
            <w:pPr>
              <w:jc w:val="center"/>
            </w:pPr>
            <w:r>
              <w:rPr>
                <w:rFonts w:eastAsiaTheme="minorEastAsia"/>
                <w:color w:val="000000"/>
                <w:szCs w:val="21"/>
              </w:rPr>
              <w:t>-0.02%</w:t>
            </w:r>
          </w:p>
        </w:tc>
      </w:tr>
      <w:tr w:rsidR="009E4037">
        <w:tc>
          <w:tcPr>
            <w:tcW w:w="1620" w:type="dxa"/>
            <w:vAlign w:val="center"/>
          </w:tcPr>
          <w:p w:rsidR="009E4037" w:rsidRDefault="009768B2">
            <w:pPr>
              <w:jc w:val="left"/>
            </w:pPr>
            <w:r>
              <w:rPr>
                <w:rFonts w:eastAsiaTheme="minorEastAsia"/>
                <w:color w:val="000000"/>
                <w:szCs w:val="21"/>
              </w:rPr>
              <w:t>过去六个月</w:t>
            </w:r>
          </w:p>
        </w:tc>
        <w:tc>
          <w:tcPr>
            <w:tcW w:w="1350" w:type="dxa"/>
            <w:vAlign w:val="center"/>
          </w:tcPr>
          <w:p w:rsidR="009E4037" w:rsidRDefault="009768B2">
            <w:pPr>
              <w:jc w:val="center"/>
            </w:pPr>
            <w:r>
              <w:rPr>
                <w:rFonts w:eastAsiaTheme="minorEastAsia"/>
                <w:color w:val="000000"/>
                <w:szCs w:val="21"/>
              </w:rPr>
              <w:t>0.93%</w:t>
            </w:r>
          </w:p>
        </w:tc>
        <w:tc>
          <w:tcPr>
            <w:tcW w:w="1350" w:type="dxa"/>
            <w:vAlign w:val="center"/>
          </w:tcPr>
          <w:p w:rsidR="009E4037" w:rsidRDefault="009768B2">
            <w:pPr>
              <w:jc w:val="center"/>
            </w:pPr>
            <w:r>
              <w:rPr>
                <w:rFonts w:eastAsiaTheme="minorEastAsia"/>
                <w:color w:val="000000"/>
                <w:szCs w:val="21"/>
              </w:rPr>
              <w:t>0.04%</w:t>
            </w:r>
          </w:p>
        </w:tc>
        <w:tc>
          <w:tcPr>
            <w:tcW w:w="1350" w:type="dxa"/>
            <w:vAlign w:val="center"/>
          </w:tcPr>
          <w:p w:rsidR="009E4037" w:rsidRDefault="009768B2">
            <w:pPr>
              <w:jc w:val="center"/>
            </w:pPr>
            <w:r>
              <w:rPr>
                <w:rFonts w:eastAsiaTheme="minorEastAsia"/>
                <w:color w:val="000000"/>
                <w:szCs w:val="21"/>
              </w:rPr>
              <w:t>2.00%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-1.07%</w:t>
            </w:r>
          </w:p>
        </w:tc>
        <w:tc>
          <w:tcPr>
            <w:tcW w:w="1350" w:type="dxa"/>
            <w:vAlign w:val="center"/>
          </w:tcPr>
          <w:p w:rsidR="009E4037" w:rsidRDefault="009768B2">
            <w:pPr>
              <w:jc w:val="center"/>
            </w:pPr>
            <w:r>
              <w:rPr>
                <w:rFonts w:eastAsiaTheme="minorEastAsia"/>
                <w:color w:val="000000"/>
                <w:szCs w:val="21"/>
              </w:rPr>
              <w:t>-0.02%</w:t>
            </w:r>
          </w:p>
        </w:tc>
      </w:tr>
      <w:tr w:rsidR="009E4037">
        <w:tc>
          <w:tcPr>
            <w:tcW w:w="1620" w:type="dxa"/>
            <w:vAlign w:val="center"/>
          </w:tcPr>
          <w:p w:rsidR="009E4037" w:rsidRDefault="009768B2">
            <w:pPr>
              <w:jc w:val="left"/>
            </w:pPr>
            <w:r>
              <w:rPr>
                <w:rFonts w:eastAsiaTheme="minorEastAsia"/>
                <w:color w:val="000000"/>
                <w:szCs w:val="21"/>
              </w:rPr>
              <w:t>过去一年</w:t>
            </w:r>
          </w:p>
        </w:tc>
        <w:tc>
          <w:tcPr>
            <w:tcW w:w="1350" w:type="dxa"/>
            <w:vAlign w:val="center"/>
          </w:tcPr>
          <w:p w:rsidR="009E4037" w:rsidRDefault="009768B2">
            <w:pPr>
              <w:jc w:val="center"/>
            </w:pPr>
            <w:r>
              <w:rPr>
                <w:rFonts w:eastAsiaTheme="minorEastAsia"/>
                <w:color w:val="000000"/>
                <w:szCs w:val="21"/>
              </w:rPr>
              <w:t>2.15%</w:t>
            </w:r>
          </w:p>
        </w:tc>
        <w:tc>
          <w:tcPr>
            <w:tcW w:w="1350" w:type="dxa"/>
            <w:vAlign w:val="center"/>
          </w:tcPr>
          <w:p w:rsidR="009E4037" w:rsidRDefault="009768B2">
            <w:pPr>
              <w:jc w:val="center"/>
            </w:pPr>
            <w:r>
              <w:rPr>
                <w:rFonts w:eastAsiaTheme="minorEastAsia"/>
                <w:color w:val="000000"/>
                <w:szCs w:val="21"/>
              </w:rPr>
              <w:t>0.05%</w:t>
            </w:r>
          </w:p>
        </w:tc>
        <w:tc>
          <w:tcPr>
            <w:tcW w:w="1350" w:type="dxa"/>
            <w:vAlign w:val="center"/>
          </w:tcPr>
          <w:p w:rsidR="009E4037" w:rsidRDefault="009768B2">
            <w:pPr>
              <w:jc w:val="center"/>
            </w:pPr>
            <w:r>
              <w:rPr>
                <w:rFonts w:eastAsiaTheme="minorEastAsia"/>
                <w:color w:val="000000"/>
                <w:szCs w:val="21"/>
              </w:rPr>
              <w:t>6.00%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-3.85%</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过去三年</w:t>
            </w:r>
          </w:p>
        </w:tc>
        <w:tc>
          <w:tcPr>
            <w:tcW w:w="1350" w:type="dxa"/>
            <w:vAlign w:val="center"/>
          </w:tcPr>
          <w:p w:rsidR="009E4037" w:rsidRDefault="009768B2">
            <w:pPr>
              <w:jc w:val="center"/>
            </w:pPr>
            <w:r>
              <w:rPr>
                <w:rFonts w:eastAsiaTheme="minorEastAsia"/>
                <w:color w:val="000000"/>
                <w:szCs w:val="21"/>
              </w:rPr>
              <w:t>4.85%</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11.18%</w:t>
            </w:r>
          </w:p>
        </w:tc>
        <w:tc>
          <w:tcPr>
            <w:tcW w:w="1350" w:type="dxa"/>
            <w:vAlign w:val="center"/>
          </w:tcPr>
          <w:p w:rsidR="009E4037" w:rsidRDefault="009768B2">
            <w:pPr>
              <w:jc w:val="center"/>
            </w:pPr>
            <w:r>
              <w:rPr>
                <w:rFonts w:eastAsiaTheme="minorEastAsia"/>
                <w:color w:val="000000"/>
                <w:szCs w:val="21"/>
              </w:rPr>
              <w:t>0.07%</w:t>
            </w:r>
          </w:p>
        </w:tc>
        <w:tc>
          <w:tcPr>
            <w:tcW w:w="1350" w:type="dxa"/>
            <w:vAlign w:val="center"/>
          </w:tcPr>
          <w:p w:rsidR="009E4037" w:rsidRDefault="009768B2">
            <w:pPr>
              <w:jc w:val="center"/>
            </w:pPr>
            <w:r>
              <w:rPr>
                <w:rFonts w:eastAsiaTheme="minorEastAsia"/>
                <w:color w:val="000000"/>
                <w:szCs w:val="21"/>
              </w:rPr>
              <w:t>-6.33%</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自基金合同生效起至今</w:t>
            </w:r>
          </w:p>
        </w:tc>
        <w:tc>
          <w:tcPr>
            <w:tcW w:w="1350" w:type="dxa"/>
            <w:vAlign w:val="center"/>
          </w:tcPr>
          <w:p w:rsidR="009E4037" w:rsidRDefault="009768B2">
            <w:pPr>
              <w:jc w:val="center"/>
            </w:pPr>
            <w:r>
              <w:rPr>
                <w:rFonts w:eastAsiaTheme="minorEastAsia"/>
                <w:color w:val="000000"/>
                <w:szCs w:val="21"/>
              </w:rPr>
              <w:t>41.38%</w:t>
            </w:r>
          </w:p>
        </w:tc>
        <w:tc>
          <w:tcPr>
            <w:tcW w:w="1350" w:type="dxa"/>
            <w:vAlign w:val="center"/>
          </w:tcPr>
          <w:p w:rsidR="009E4037" w:rsidRDefault="009768B2">
            <w:pPr>
              <w:jc w:val="center"/>
            </w:pPr>
            <w:r>
              <w:rPr>
                <w:rFonts w:eastAsiaTheme="minorEastAsia"/>
                <w:color w:val="000000"/>
                <w:szCs w:val="21"/>
              </w:rPr>
              <w:t>0.20%</w:t>
            </w:r>
          </w:p>
        </w:tc>
        <w:tc>
          <w:tcPr>
            <w:tcW w:w="1350" w:type="dxa"/>
            <w:vAlign w:val="center"/>
          </w:tcPr>
          <w:p w:rsidR="009E4037" w:rsidRDefault="009768B2">
            <w:pPr>
              <w:jc w:val="center"/>
            </w:pPr>
            <w:r>
              <w:rPr>
                <w:rFonts w:eastAsiaTheme="minorEastAsia"/>
                <w:color w:val="000000"/>
                <w:szCs w:val="21"/>
              </w:rPr>
              <w:t>35.13%</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6.25%</w:t>
            </w:r>
          </w:p>
        </w:tc>
        <w:tc>
          <w:tcPr>
            <w:tcW w:w="1350" w:type="dxa"/>
            <w:vAlign w:val="center"/>
          </w:tcPr>
          <w:p w:rsidR="009E4037" w:rsidRDefault="009768B2">
            <w:pPr>
              <w:jc w:val="center"/>
            </w:pPr>
            <w:r>
              <w:rPr>
                <w:rFonts w:eastAsiaTheme="minorEastAsia"/>
                <w:color w:val="000000"/>
                <w:szCs w:val="21"/>
              </w:rPr>
              <w:t>0.12%</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注：本基金的业绩比较基准于</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由原</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8"/>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上投摩根分红添利债券型证券投资基金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lastRenderedPageBreak/>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5"/>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2012</w:t>
      </w:r>
      <w:r w:rsidR="001548F9" w:rsidRPr="00D46E57">
        <w:rPr>
          <w:rFonts w:ascii="Times New Roman" w:eastAsiaTheme="minorEastAsia" w:hAnsi="Times New Roman"/>
        </w:rPr>
        <w:t>年</w:t>
      </w:r>
      <w:r w:rsidR="001548F9" w:rsidRPr="00D46E57">
        <w:rPr>
          <w:rFonts w:ascii="Times New Roman" w:eastAsiaTheme="minorEastAsia" w:hAnsi="Times New Roman"/>
        </w:rPr>
        <w:t>6</w:t>
      </w:r>
      <w:r w:rsidR="001548F9" w:rsidRPr="00D46E57">
        <w:rPr>
          <w:rFonts w:ascii="Times New Roman" w:eastAsiaTheme="minorEastAsia" w:hAnsi="Times New Roman"/>
        </w:rPr>
        <w:t>月</w:t>
      </w:r>
      <w:r w:rsidR="001548F9" w:rsidRPr="00D46E57">
        <w:rPr>
          <w:rFonts w:ascii="Times New Roman" w:eastAsiaTheme="minorEastAsia" w:hAnsi="Times New Roman"/>
        </w:rPr>
        <w:t>25</w:t>
      </w:r>
      <w:r w:rsidR="001548F9" w:rsidRPr="00D46E57">
        <w:rPr>
          <w:rFonts w:ascii="Times New Roman" w:eastAsiaTheme="minorEastAsia" w:hAnsi="Times New Roman"/>
        </w:rPr>
        <w:t>日至</w:t>
      </w:r>
      <w:r w:rsidRPr="00D46E57">
        <w:rPr>
          <w:rFonts w:ascii="Times New Roman" w:eastAsiaTheme="minorEastAsia" w:hAnsi="Times New Roman"/>
        </w:rPr>
        <w:t>2019</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A</w:t>
      </w:r>
      <w:r w:rsidRPr="00D46E57">
        <w:rPr>
          <w:rFonts w:ascii="Times New Roman" w:eastAsiaTheme="minorEastAsia" w:hAnsi="Times New Roman"/>
          <w:color w:val="auto"/>
          <w:sz w:val="21"/>
          <w:szCs w:val="21"/>
        </w:rPr>
        <w:t>类</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149AFE" wp14:editId="388ACD2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日。本基金建仓期自</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24</w:t>
      </w:r>
      <w:r>
        <w:rPr>
          <w:rFonts w:eastAsiaTheme="minorEastAsia"/>
          <w:kern w:val="0"/>
          <w:szCs w:val="21"/>
        </w:rPr>
        <w:t>日。建仓期结束时资产配置比例符合本基金基金合同规定。</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本基金自</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日起，将基金业绩比较基准由</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B</w:t>
      </w:r>
      <w:r w:rsidRPr="00D46E57">
        <w:rPr>
          <w:rFonts w:ascii="Times New Roman" w:eastAsiaTheme="minorEastAsia" w:hAnsi="Times New Roman"/>
          <w:color w:val="auto"/>
          <w:sz w:val="21"/>
          <w:szCs w:val="21"/>
        </w:rPr>
        <w:t>类</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3FEC3013" wp14:editId="62FD0E8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日。本基金建仓期自</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24</w:t>
      </w:r>
      <w:r>
        <w:rPr>
          <w:rFonts w:eastAsiaTheme="minorEastAsia"/>
          <w:kern w:val="0"/>
          <w:szCs w:val="21"/>
        </w:rPr>
        <w:t>日。建仓期结束时资产配置比例符合本基金基金合同规定。</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本基金自</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日起，将基金业绩比较基准由</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17385667"/>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17385668"/>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w:t>
      </w:r>
      <w:r w:rsidRPr="00D46E57">
        <w:rPr>
          <w:rFonts w:eastAsiaTheme="minorEastAsia"/>
          <w:kern w:val="0"/>
          <w:szCs w:val="21"/>
        </w:rPr>
        <w:lastRenderedPageBreak/>
        <w:t>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9E4037">
        <w:tc>
          <w:tcPr>
            <w:tcW w:w="1090" w:type="dxa"/>
            <w:vAlign w:val="center"/>
          </w:tcPr>
          <w:p w:rsidR="009E4037" w:rsidRDefault="009768B2">
            <w:pPr>
              <w:jc w:val="center"/>
            </w:pPr>
            <w:r>
              <w:rPr>
                <w:rFonts w:eastAsiaTheme="minorEastAsia"/>
                <w:color w:val="000000"/>
                <w:szCs w:val="21"/>
              </w:rPr>
              <w:t>唐瑭</w:t>
            </w:r>
          </w:p>
        </w:tc>
        <w:tc>
          <w:tcPr>
            <w:tcW w:w="1500" w:type="dxa"/>
            <w:vAlign w:val="center"/>
          </w:tcPr>
          <w:p w:rsidR="009E4037" w:rsidRDefault="009768B2">
            <w:pPr>
              <w:jc w:val="center"/>
            </w:pPr>
            <w:r>
              <w:rPr>
                <w:rFonts w:eastAsiaTheme="minorEastAsia"/>
                <w:color w:val="000000"/>
                <w:szCs w:val="21"/>
              </w:rPr>
              <w:t>本基金基金经理</w:t>
            </w:r>
          </w:p>
        </w:tc>
        <w:tc>
          <w:tcPr>
            <w:tcW w:w="1190" w:type="dxa"/>
            <w:vAlign w:val="center"/>
          </w:tcPr>
          <w:p w:rsidR="009E4037" w:rsidRDefault="009768B2">
            <w:pPr>
              <w:jc w:val="center"/>
            </w:pPr>
            <w:r>
              <w:rPr>
                <w:rFonts w:eastAsiaTheme="minorEastAsia"/>
                <w:color w:val="000000"/>
                <w:szCs w:val="21"/>
              </w:rPr>
              <w:t>2016-06-03</w:t>
            </w:r>
          </w:p>
        </w:tc>
        <w:tc>
          <w:tcPr>
            <w:tcW w:w="1260" w:type="dxa"/>
            <w:vAlign w:val="center"/>
          </w:tcPr>
          <w:p w:rsidR="009E4037" w:rsidRDefault="009768B2">
            <w:pPr>
              <w:jc w:val="center"/>
            </w:pPr>
            <w:r>
              <w:rPr>
                <w:rFonts w:eastAsiaTheme="minorEastAsia"/>
                <w:color w:val="000000"/>
                <w:szCs w:val="21"/>
              </w:rPr>
              <w:t>-</w:t>
            </w:r>
          </w:p>
        </w:tc>
        <w:tc>
          <w:tcPr>
            <w:tcW w:w="1236" w:type="dxa"/>
            <w:vAlign w:val="center"/>
          </w:tcPr>
          <w:p w:rsidR="009E4037" w:rsidRDefault="009768B2">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9E4037" w:rsidRDefault="009768B2">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lastRenderedPageBreak/>
              <w:t>3</w:t>
            </w:r>
            <w:r>
              <w:rPr>
                <w:rFonts w:eastAsiaTheme="minorEastAsia"/>
                <w:color w:val="000000"/>
                <w:szCs w:val="21"/>
              </w:rPr>
              <w:t>月加入上投摩根基金管理有限公司，先后担任研究员、基金经理助理、基金经理，自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月担任上投摩根岁岁盈定期开放债券型证券投资基金基金经理，自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月起担任上投摩根强化回报债券型证券投资基金基金经理，自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月起同时担任上投摩根双债增利债券型证券投资基金基金经理，自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月起同时担任上投摩根分红添利债券型证券投资基金及上投摩根纯债添利债券型证券投资基金基金经理，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月担任上投摩根安泽回报混合型证券投资基金基金经理，自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9</w:t>
            </w:r>
            <w:r>
              <w:rPr>
                <w:rFonts w:eastAsiaTheme="minorEastAsia"/>
                <w:color w:val="000000"/>
                <w:szCs w:val="21"/>
              </w:rPr>
              <w:t>月担任上投摩根安腾回报混合型证券投资基金基金经理，自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月起同时担任上投摩根优信增利债券型证券投资基金和上投摩根安鑫回报混合型证券投资基金基金经理。</w:t>
            </w:r>
          </w:p>
        </w:tc>
      </w:tr>
    </w:tbl>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225498256"/>
      <w:bookmarkStart w:id="26" w:name="_Toc17385669"/>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bookmarkEnd w:id="26"/>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7" w:name="_Toc225498257"/>
      <w:bookmarkStart w:id="28" w:name="_Toc17385670"/>
      <w:r w:rsidRPr="00D46E57">
        <w:rPr>
          <w:rFonts w:ascii="Times New Roman" w:eastAsiaTheme="minorEastAsia" w:hAnsi="Times New Roman"/>
          <w:kern w:val="0"/>
          <w:sz w:val="21"/>
          <w:szCs w:val="21"/>
        </w:rPr>
        <w:lastRenderedPageBreak/>
        <w:t xml:space="preserve">4.3 </w:t>
      </w:r>
      <w:r w:rsidRPr="00D46E57">
        <w:rPr>
          <w:rFonts w:ascii="Times New Roman" w:eastAsiaTheme="minorEastAsia" w:hAnsi="Times New Roman"/>
          <w:kern w:val="0"/>
          <w:sz w:val="21"/>
          <w:szCs w:val="21"/>
        </w:rPr>
        <w:t>管理人对报告期内公平交易情况的专项说明</w:t>
      </w:r>
      <w:bookmarkEnd w:id="27"/>
      <w:bookmarkEnd w:id="28"/>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9E4037" w:rsidRDefault="009768B2">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E4037" w:rsidRDefault="009768B2">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9E4037" w:rsidRDefault="009768B2">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的情形：报告期内，所有投资组合参与的交易所公开竞价同日反向交易成交较少的单边交易量超过该证券当日成交量的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的次数为一次，发生在量化投资组合与主动管理投资组合之间。</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9" w:name="_Toc225498258"/>
      <w:bookmarkStart w:id="30" w:name="_Toc17385671"/>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9"/>
      <w:bookmarkEnd w:id="30"/>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2019</w:t>
      </w:r>
      <w:r w:rsidRPr="00D46E57">
        <w:rPr>
          <w:rFonts w:eastAsiaTheme="minorEastAsia"/>
          <w:kern w:val="0"/>
          <w:szCs w:val="21"/>
        </w:rPr>
        <w:t>年上半年，货币政策保持中性偏宽松的节奏，债券市场以震荡为主，中短期债券票息吸引力明显增加。一季度，</w:t>
      </w:r>
      <w:r w:rsidRPr="00D46E57">
        <w:rPr>
          <w:rFonts w:eastAsiaTheme="minorEastAsia"/>
          <w:kern w:val="0"/>
          <w:szCs w:val="21"/>
        </w:rPr>
        <w:t>TMLF</w:t>
      </w:r>
      <w:r w:rsidRPr="00D46E57">
        <w:rPr>
          <w:rFonts w:eastAsiaTheme="minorEastAsia"/>
          <w:kern w:val="0"/>
          <w:szCs w:val="21"/>
        </w:rPr>
        <w:t>和降准组合拳的使用，使得市场流动性较为宽松，全社会融资成本有所下降。对小微企业和民企的政策倾斜力度使得信用扩张边际呈改善趋势，信用扩张有见底回升的迹象。债券市场步入震荡行情，</w:t>
      </w:r>
      <w:r w:rsidRPr="00D46E57">
        <w:rPr>
          <w:rFonts w:eastAsiaTheme="minorEastAsia"/>
          <w:kern w:val="0"/>
          <w:szCs w:val="21"/>
        </w:rPr>
        <w:t>10</w:t>
      </w:r>
      <w:r w:rsidRPr="00D46E57">
        <w:rPr>
          <w:rFonts w:eastAsiaTheme="minorEastAsia"/>
          <w:kern w:val="0"/>
          <w:szCs w:val="21"/>
        </w:rPr>
        <w:t>年期国开债收益率围绕开年</w:t>
      </w:r>
      <w:r w:rsidRPr="00D46E57">
        <w:rPr>
          <w:rFonts w:eastAsiaTheme="minorEastAsia"/>
          <w:kern w:val="0"/>
          <w:szCs w:val="21"/>
        </w:rPr>
        <w:t>3.65%</w:t>
      </w:r>
      <w:r w:rsidRPr="00D46E57">
        <w:rPr>
          <w:rFonts w:eastAsiaTheme="minorEastAsia"/>
          <w:kern w:val="0"/>
          <w:szCs w:val="21"/>
        </w:rPr>
        <w:t>的中枢，在</w:t>
      </w:r>
      <w:r w:rsidRPr="00D46E57">
        <w:rPr>
          <w:rFonts w:eastAsiaTheme="minorEastAsia"/>
          <w:kern w:val="0"/>
          <w:szCs w:val="21"/>
        </w:rPr>
        <w:t>3.55-3.75%</w:t>
      </w:r>
      <w:r w:rsidRPr="00D46E57">
        <w:rPr>
          <w:rFonts w:eastAsiaTheme="minorEastAsia"/>
          <w:kern w:val="0"/>
          <w:szCs w:val="21"/>
        </w:rPr>
        <w:t>的区间运行；短端收益率受益与宽松流动性，</w:t>
      </w:r>
      <w:r w:rsidRPr="00D46E57">
        <w:rPr>
          <w:rFonts w:eastAsiaTheme="minorEastAsia"/>
          <w:kern w:val="0"/>
          <w:szCs w:val="21"/>
        </w:rPr>
        <w:t>1</w:t>
      </w:r>
      <w:r w:rsidRPr="00D46E57">
        <w:rPr>
          <w:rFonts w:eastAsiaTheme="minorEastAsia"/>
          <w:kern w:val="0"/>
          <w:szCs w:val="21"/>
        </w:rPr>
        <w:t>、</w:t>
      </w:r>
      <w:r w:rsidRPr="00D46E57">
        <w:rPr>
          <w:rFonts w:eastAsiaTheme="minorEastAsia"/>
          <w:kern w:val="0"/>
          <w:szCs w:val="21"/>
        </w:rPr>
        <w:t>2</w:t>
      </w:r>
      <w:r w:rsidRPr="00D46E57">
        <w:rPr>
          <w:rFonts w:eastAsiaTheme="minorEastAsia"/>
          <w:kern w:val="0"/>
          <w:szCs w:val="21"/>
        </w:rPr>
        <w:t>月份整体维持低位，</w:t>
      </w:r>
      <w:r w:rsidRPr="00D46E57">
        <w:rPr>
          <w:rFonts w:eastAsiaTheme="minorEastAsia"/>
          <w:kern w:val="0"/>
          <w:szCs w:val="21"/>
        </w:rPr>
        <w:t>3</w:t>
      </w:r>
      <w:r w:rsidRPr="00D46E57">
        <w:rPr>
          <w:rFonts w:eastAsiaTheme="minorEastAsia"/>
          <w:kern w:val="0"/>
          <w:szCs w:val="21"/>
        </w:rPr>
        <w:t>月份随着资金面略有趋紧，收益率小幅回升。二季度，宏观基本面环境较为复杂。一方面，在中性偏宽松的货币政策的作用下，信用扩张有企稳回升的迹象，全社会融资成本改善明显，经济在金融数据改善影响下也出现了积极的变化。另一方面，中美贸易谈判进程反复，使得市场对于经济增长恢复的预期有所疑虑，而包商银行事件影响使得银行间信用环境出现明显分化。资本市场整体波动也有所增大。债券市场受到社融</w:t>
      </w:r>
      <w:r w:rsidRPr="00D46E57">
        <w:rPr>
          <w:rFonts w:eastAsiaTheme="minorEastAsia"/>
          <w:kern w:val="0"/>
          <w:szCs w:val="21"/>
        </w:rPr>
        <w:lastRenderedPageBreak/>
        <w:t>数据和信贷数据大幅回暖影响，</w:t>
      </w:r>
      <w:r w:rsidRPr="00D46E57">
        <w:rPr>
          <w:rFonts w:eastAsiaTheme="minorEastAsia"/>
          <w:kern w:val="0"/>
          <w:szCs w:val="21"/>
        </w:rPr>
        <w:t>4</w:t>
      </w:r>
      <w:r w:rsidRPr="00D46E57">
        <w:rPr>
          <w:rFonts w:eastAsiaTheme="minorEastAsia"/>
          <w:kern w:val="0"/>
          <w:szCs w:val="21"/>
        </w:rPr>
        <w:t>月初收益率明显上行，以</w:t>
      </w:r>
      <w:r w:rsidRPr="00D46E57">
        <w:rPr>
          <w:rFonts w:eastAsiaTheme="minorEastAsia"/>
          <w:kern w:val="0"/>
          <w:szCs w:val="21"/>
        </w:rPr>
        <w:t>10</w:t>
      </w:r>
      <w:r w:rsidRPr="00D46E57">
        <w:rPr>
          <w:rFonts w:eastAsiaTheme="minorEastAsia"/>
          <w:kern w:val="0"/>
          <w:szCs w:val="21"/>
        </w:rPr>
        <w:t>年期国开债为代表的收益率一度上行</w:t>
      </w:r>
      <w:r w:rsidRPr="00D46E57">
        <w:rPr>
          <w:rFonts w:eastAsiaTheme="minorEastAsia"/>
          <w:kern w:val="0"/>
          <w:szCs w:val="21"/>
        </w:rPr>
        <w:t>20bp</w:t>
      </w:r>
      <w:r w:rsidRPr="00D46E57">
        <w:rPr>
          <w:rFonts w:eastAsiaTheme="minorEastAsia"/>
          <w:kern w:val="0"/>
          <w:szCs w:val="21"/>
        </w:rPr>
        <w:t>。随后随着经济基本面和金融数据的底部反复，债券收益率又持续下行至季度末。整体来看，二季度债券市场收益率基本走平。货币政策保持较为宽松的资金投放以应对复杂的宏观经济环境，短期利率将在较长期限面临稳定的资金环境。本基金在报告期以杠杆策略为主，精选高等级信用债。</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9E4037" w:rsidRDefault="009768B2">
      <w:pPr>
        <w:spacing w:line="360" w:lineRule="auto"/>
        <w:ind w:firstLineChars="200" w:firstLine="420"/>
        <w:rPr>
          <w:rFonts w:eastAsiaTheme="minorEastAsia"/>
          <w:kern w:val="0"/>
          <w:szCs w:val="21"/>
        </w:rPr>
      </w:pPr>
      <w:r>
        <w:rPr>
          <w:rFonts w:eastAsiaTheme="minorEastAsia"/>
          <w:kern w:val="0"/>
          <w:szCs w:val="21"/>
        </w:rPr>
        <w:t>本报告期上投摩根分红添利债券</w:t>
      </w:r>
      <w:r>
        <w:rPr>
          <w:rFonts w:eastAsiaTheme="minorEastAsia"/>
          <w:kern w:val="0"/>
          <w:szCs w:val="21"/>
        </w:rPr>
        <w:t>A</w:t>
      </w:r>
      <w:r>
        <w:rPr>
          <w:rFonts w:eastAsiaTheme="minorEastAsia"/>
          <w:kern w:val="0"/>
          <w:szCs w:val="21"/>
        </w:rPr>
        <w:t>份额净值增长率为</w:t>
      </w:r>
      <w:r>
        <w:rPr>
          <w:rFonts w:eastAsiaTheme="minorEastAsia"/>
          <w:kern w:val="0"/>
          <w:szCs w:val="21"/>
        </w:rPr>
        <w:t>:1.20%</w:t>
      </w:r>
      <w:r>
        <w:rPr>
          <w:rFonts w:eastAsiaTheme="minorEastAsia"/>
          <w:kern w:val="0"/>
          <w:szCs w:val="21"/>
        </w:rPr>
        <w:t>，同期业绩比较基准收益率为</w:t>
      </w:r>
      <w:r>
        <w:rPr>
          <w:rFonts w:eastAsiaTheme="minorEastAsia"/>
          <w:kern w:val="0"/>
          <w:szCs w:val="21"/>
        </w:rPr>
        <w:t>:2.00%,</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B</w:t>
      </w:r>
      <w:r w:rsidRPr="00D46E57">
        <w:rPr>
          <w:rFonts w:eastAsiaTheme="minorEastAsia"/>
          <w:kern w:val="0"/>
          <w:szCs w:val="21"/>
        </w:rPr>
        <w:t>份额净值增长率为</w:t>
      </w:r>
      <w:r w:rsidRPr="00D46E57">
        <w:rPr>
          <w:rFonts w:eastAsiaTheme="minorEastAsia"/>
          <w:kern w:val="0"/>
          <w:szCs w:val="21"/>
        </w:rPr>
        <w:t>:0.93%</w:t>
      </w:r>
      <w:r w:rsidRPr="00D46E57">
        <w:rPr>
          <w:rFonts w:eastAsiaTheme="minorEastAsia"/>
          <w:kern w:val="0"/>
          <w:szCs w:val="21"/>
        </w:rPr>
        <w:t>，同期业绩比较基准收益率为</w:t>
      </w:r>
      <w:r w:rsidRPr="00D46E57">
        <w:rPr>
          <w:rFonts w:eastAsiaTheme="minorEastAsia"/>
          <w:kern w:val="0"/>
          <w:szCs w:val="21"/>
        </w:rPr>
        <w:t>:2.00%</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1" w:name="_Toc225498259"/>
      <w:bookmarkStart w:id="32" w:name="_Toc17385672"/>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1"/>
      <w:bookmarkEnd w:id="3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三季度及下半年，信用和经济的恢复进程将有所反复，但趋势延续概率较大。财政政策、货币政策等政策工具的组合拳，对经济托底和供给侧结构性改革的效果将更加有效而精准。市场分化将有所加大，优质公司的债权将面临较好的投资机会。整体来看，债券票息收益更加确定，本基金将优选中短久期高等级信用债，力争为组合提供稳健的投资收益。</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3" w:name="_Toc247959457"/>
      <w:bookmarkStart w:id="34" w:name="_Toc225570083"/>
      <w:bookmarkStart w:id="35" w:name="_Toc17385673"/>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3"/>
      <w:bookmarkEnd w:id="34"/>
      <w:bookmarkEnd w:id="3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6" w:name="_Toc247959458"/>
      <w:bookmarkStart w:id="37" w:name="_Toc225570084"/>
      <w:bookmarkStart w:id="38" w:name="_Toc17385674"/>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6"/>
      <w:bookmarkEnd w:id="37"/>
      <w:bookmarkEnd w:id="38"/>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根据基金实际运作情况，本基金以</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12</w:t>
      </w:r>
      <w:r w:rsidRPr="00D46E57">
        <w:rPr>
          <w:rFonts w:eastAsiaTheme="minorEastAsia"/>
          <w:kern w:val="0"/>
          <w:szCs w:val="21"/>
        </w:rPr>
        <w:t>月</w:t>
      </w:r>
      <w:r w:rsidRPr="00D46E57">
        <w:rPr>
          <w:rFonts w:eastAsiaTheme="minorEastAsia"/>
          <w:kern w:val="0"/>
          <w:szCs w:val="21"/>
        </w:rPr>
        <w:t>31</w:t>
      </w:r>
      <w:r w:rsidRPr="00D46E57">
        <w:rPr>
          <w:rFonts w:eastAsiaTheme="minorEastAsia"/>
          <w:kern w:val="0"/>
          <w:szCs w:val="21"/>
        </w:rPr>
        <w:t>日为收益分配基准日，于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01</w:t>
      </w:r>
      <w:r w:rsidRPr="00D46E57">
        <w:rPr>
          <w:rFonts w:eastAsiaTheme="minorEastAsia"/>
          <w:kern w:val="0"/>
          <w:szCs w:val="21"/>
        </w:rPr>
        <w:t>月</w:t>
      </w:r>
      <w:r w:rsidRPr="00D46E57">
        <w:rPr>
          <w:rFonts w:eastAsiaTheme="minorEastAsia"/>
          <w:kern w:val="0"/>
          <w:szCs w:val="21"/>
        </w:rPr>
        <w:t>17</w:t>
      </w:r>
      <w:r w:rsidRPr="00D46E57">
        <w:rPr>
          <w:rFonts w:eastAsiaTheme="minorEastAsia"/>
          <w:kern w:val="0"/>
          <w:szCs w:val="21"/>
        </w:rPr>
        <w:t>日实施收益分配，</w:t>
      </w:r>
      <w:r w:rsidRPr="00D46E57">
        <w:rPr>
          <w:rFonts w:eastAsiaTheme="minorEastAsia"/>
          <w:kern w:val="0"/>
          <w:szCs w:val="21"/>
        </w:rPr>
        <w:t>A</w:t>
      </w:r>
      <w:r w:rsidRPr="00D46E57">
        <w:rPr>
          <w:rFonts w:eastAsiaTheme="minorEastAsia"/>
          <w:kern w:val="0"/>
          <w:szCs w:val="21"/>
        </w:rPr>
        <w:t>类份额每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0.08</w:t>
      </w:r>
      <w:r w:rsidRPr="00D46E57">
        <w:rPr>
          <w:rFonts w:eastAsiaTheme="minorEastAsia"/>
          <w:kern w:val="0"/>
          <w:szCs w:val="21"/>
        </w:rPr>
        <w:t>元，</w:t>
      </w:r>
      <w:r w:rsidRPr="00D46E57">
        <w:rPr>
          <w:rFonts w:eastAsiaTheme="minorEastAsia"/>
          <w:kern w:val="0"/>
          <w:szCs w:val="21"/>
        </w:rPr>
        <w:t>B</w:t>
      </w:r>
      <w:r w:rsidRPr="00D46E57">
        <w:rPr>
          <w:rFonts w:eastAsiaTheme="minorEastAsia"/>
          <w:kern w:val="0"/>
          <w:szCs w:val="21"/>
        </w:rPr>
        <w:t>类份额每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0.06</w:t>
      </w:r>
      <w:r w:rsidRPr="00D46E57">
        <w:rPr>
          <w:rFonts w:eastAsiaTheme="minorEastAsia"/>
          <w:kern w:val="0"/>
          <w:szCs w:val="21"/>
        </w:rPr>
        <w:t>元，合计发放红利</w:t>
      </w:r>
      <w:r w:rsidRPr="00D46E57">
        <w:rPr>
          <w:rFonts w:eastAsiaTheme="minorEastAsia"/>
          <w:kern w:val="0"/>
          <w:szCs w:val="21"/>
        </w:rPr>
        <w:t>273,908.88</w:t>
      </w:r>
      <w:r w:rsidRPr="00D46E57">
        <w:rPr>
          <w:rFonts w:eastAsiaTheme="minorEastAsia"/>
          <w:kern w:val="0"/>
          <w:szCs w:val="21"/>
        </w:rPr>
        <w:t>元。</w:t>
      </w:r>
    </w:p>
    <w:p w:rsidR="008C218B" w:rsidRPr="00D46E57" w:rsidRDefault="008C218B" w:rsidP="0068318A">
      <w:pPr>
        <w:pStyle w:val="20"/>
        <w:spacing w:beforeLines="100" w:before="312" w:after="0"/>
        <w:rPr>
          <w:rFonts w:eastAsiaTheme="minorEastAsia"/>
          <w:color w:val="000000" w:themeColor="text1"/>
          <w:szCs w:val="21"/>
        </w:rPr>
      </w:pPr>
      <w:bookmarkStart w:id="39" w:name="_Toc17385675"/>
      <w:r w:rsidRPr="00D46E57">
        <w:rPr>
          <w:rFonts w:ascii="Times New Roman" w:eastAsiaTheme="minorEastAsia" w:hAnsi="Times New Roman" w:hint="eastAsia"/>
          <w:kern w:val="0"/>
          <w:sz w:val="21"/>
          <w:szCs w:val="21"/>
        </w:rPr>
        <w:lastRenderedPageBreak/>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9"/>
    </w:p>
    <w:p w:rsidR="009E4037" w:rsidRDefault="009768B2">
      <w:pPr>
        <w:spacing w:line="360" w:lineRule="auto"/>
        <w:ind w:firstLineChars="200" w:firstLine="420"/>
        <w:rPr>
          <w:rFonts w:eastAsiaTheme="minorEastAsia"/>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基金管理人拟调整本基金运作方式，加大营销力度，提升基金规模，方案已报监管机关。</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63"/>
      <w:bookmarkStart w:id="41" w:name="_Toc17385676"/>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40"/>
      <w:bookmarkEnd w:id="41"/>
    </w:p>
    <w:p w:rsidR="001548F9" w:rsidRPr="00D46E57" w:rsidRDefault="001548F9" w:rsidP="000D3DE9">
      <w:pPr>
        <w:pStyle w:val="20"/>
        <w:spacing w:before="0" w:after="0"/>
        <w:rPr>
          <w:rFonts w:ascii="Times New Roman" w:eastAsiaTheme="minorEastAsia" w:hAnsi="Times New Roman"/>
          <w:kern w:val="0"/>
          <w:sz w:val="21"/>
          <w:szCs w:val="21"/>
        </w:rPr>
      </w:pPr>
      <w:bookmarkStart w:id="42" w:name="_Toc225498264"/>
      <w:bookmarkStart w:id="43" w:name="_Toc17385677"/>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2"/>
      <w:bookmarkEnd w:id="43"/>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本报告期内，中国银行股份有限公司（以下称</w:t>
      </w:r>
      <w:r w:rsidRPr="00D46E57">
        <w:rPr>
          <w:rFonts w:eastAsiaTheme="minorEastAsia"/>
          <w:kern w:val="0"/>
          <w:szCs w:val="21"/>
        </w:rPr>
        <w:t>“</w:t>
      </w:r>
      <w:r w:rsidRPr="00D46E57">
        <w:rPr>
          <w:rFonts w:eastAsiaTheme="minorEastAsia"/>
          <w:kern w:val="0"/>
          <w:szCs w:val="21"/>
        </w:rPr>
        <w:t>本托管人</w:t>
      </w:r>
      <w:r w:rsidRPr="00D46E57">
        <w:rPr>
          <w:rFonts w:eastAsiaTheme="minorEastAsia"/>
          <w:kern w:val="0"/>
          <w:szCs w:val="21"/>
        </w:rPr>
        <w:t>”</w:t>
      </w:r>
      <w:r w:rsidRPr="00D46E57">
        <w:rPr>
          <w:rFonts w:eastAsiaTheme="minorEastAsia"/>
          <w:kern w:val="0"/>
          <w:szCs w:val="21"/>
        </w:rPr>
        <w:t>）在对上投摩根分红添利债券型证券投资基金（以下称</w:t>
      </w:r>
      <w:r w:rsidRPr="00D46E57">
        <w:rPr>
          <w:rFonts w:eastAsiaTheme="minorEastAsia"/>
          <w:kern w:val="0"/>
          <w:szCs w:val="21"/>
        </w:rPr>
        <w:t>“</w:t>
      </w:r>
      <w:r w:rsidRPr="00D46E57">
        <w:rPr>
          <w:rFonts w:eastAsiaTheme="minorEastAsia"/>
          <w:kern w:val="0"/>
          <w:szCs w:val="21"/>
        </w:rPr>
        <w:t>本基金</w:t>
      </w:r>
      <w:r w:rsidRPr="00D46E57">
        <w:rPr>
          <w:rFonts w:eastAsiaTheme="minorEastAsia"/>
          <w:kern w:val="0"/>
          <w:szCs w:val="21"/>
        </w:rPr>
        <w:t>”</w:t>
      </w:r>
      <w:r w:rsidRPr="00D46E57">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4" w:name="_Toc225498265"/>
      <w:bookmarkStart w:id="45" w:name="_Toc17385678"/>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4"/>
      <w:r w:rsidRPr="00D46E57">
        <w:rPr>
          <w:rFonts w:ascii="Times New Roman" w:eastAsiaTheme="minorEastAsia" w:hAnsi="Times New Roman"/>
          <w:kern w:val="0"/>
          <w:sz w:val="21"/>
          <w:szCs w:val="21"/>
        </w:rPr>
        <w:t>说明</w:t>
      </w:r>
      <w:bookmarkEnd w:id="45"/>
    </w:p>
    <w:p w:rsidR="009E4037" w:rsidRDefault="009768B2">
      <w:pPr>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本报告期内，上投摩根分红添利债券型证券投资基金进行利润分配共</w:t>
      </w:r>
      <w:r w:rsidRPr="00D46E57">
        <w:rPr>
          <w:rFonts w:eastAsiaTheme="minorEastAsia"/>
          <w:kern w:val="0"/>
          <w:szCs w:val="21"/>
        </w:rPr>
        <w:t>273,908.88</w:t>
      </w:r>
      <w:r w:rsidRPr="00D46E57">
        <w:rPr>
          <w:rFonts w:eastAsiaTheme="minorEastAsia"/>
          <w:kern w:val="0"/>
          <w:szCs w:val="21"/>
        </w:rPr>
        <w:t>元。</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6" w:name="_Toc225498266"/>
      <w:bookmarkStart w:id="47" w:name="_Toc17385679"/>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托管人对本半年度报告中财务信息等内容的真实、准确和完整发表意见</w:t>
      </w:r>
      <w:bookmarkEnd w:id="46"/>
      <w:bookmarkEnd w:id="47"/>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本报告中的财务指标、净值表现、收益分配情况、财务会计报告（注：财务会计报告中的</w:t>
      </w:r>
      <w:r w:rsidRPr="00D46E57">
        <w:rPr>
          <w:rFonts w:eastAsiaTheme="minorEastAsia"/>
          <w:kern w:val="0"/>
          <w:szCs w:val="21"/>
        </w:rPr>
        <w:t>“</w:t>
      </w:r>
      <w:r w:rsidRPr="00D46E57">
        <w:rPr>
          <w:rFonts w:eastAsiaTheme="minorEastAsia"/>
          <w:kern w:val="0"/>
          <w:szCs w:val="21"/>
        </w:rPr>
        <w:t>金融工具风险及管理</w:t>
      </w:r>
      <w:r w:rsidRPr="00D46E57">
        <w:rPr>
          <w:rFonts w:eastAsiaTheme="minorEastAsia"/>
          <w:kern w:val="0"/>
          <w:szCs w:val="21"/>
        </w:rPr>
        <w:t>”</w:t>
      </w:r>
      <w:r w:rsidRPr="00D46E57">
        <w:rPr>
          <w:rFonts w:eastAsiaTheme="minorEastAsia"/>
          <w:kern w:val="0"/>
          <w:szCs w:val="21"/>
        </w:rPr>
        <w:t>部分未在托管人复核范围内）、投资组合报告等数据真实、准确和完整。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8" w:name="_Toc17385680"/>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1548F9" w:rsidRPr="00D46E57">
        <w:rPr>
          <w:rFonts w:eastAsiaTheme="minorEastAsia"/>
          <w:b/>
          <w:bCs/>
          <w:sz w:val="21"/>
          <w:szCs w:val="21"/>
          <w:lang w:val="en-US"/>
        </w:rPr>
        <w:t>半年度财务会计报告（未经审计）</w:t>
      </w:r>
      <w:bookmarkEnd w:id="48"/>
    </w:p>
    <w:p w:rsidR="001548F9" w:rsidRPr="00D46E57" w:rsidRDefault="002464EA" w:rsidP="000D3DE9">
      <w:pPr>
        <w:pStyle w:val="20"/>
        <w:spacing w:before="0" w:after="0"/>
        <w:rPr>
          <w:rFonts w:ascii="Times New Roman" w:eastAsiaTheme="minorEastAsia" w:hAnsi="Times New Roman"/>
          <w:kern w:val="0"/>
          <w:sz w:val="21"/>
          <w:szCs w:val="21"/>
        </w:rPr>
      </w:pPr>
      <w:bookmarkStart w:id="49" w:name="_Toc225498268"/>
      <w:bookmarkStart w:id="50" w:name="_Toc17385681"/>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9"/>
      <w:bookmarkEnd w:id="50"/>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会计主体：上投摩根分红添利债券型证券投资基金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2019</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2018</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564,020.92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371,263.07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432,709.39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235,044.91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5,986.03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1,457.95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46,495,663.90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61,880,710.00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pStyle w:val="af6"/>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46,495,663.90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61,880,710.00</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5,000,000.00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665,264.65</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998,489.87</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1,286,643.52</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2,342.18</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22,346.75</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6"/>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48,499,212.29</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69,462,730.85</w:t>
            </w:r>
          </w:p>
        </w:tc>
      </w:tr>
      <w:tr w:rsidR="001548F9" w:rsidRPr="00D46E57" w:rsidTr="00F73D0C">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2019</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2018</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13,000,000.00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7,000,000.00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2,510.98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30,617.69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8,695.38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31,580.80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2,898.47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9,023.09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1,396.34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6,586.64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4,820.61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22,302.95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193,045.52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191,159.10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-1,068.63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24,795.19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90,000.14</w:t>
            </w:r>
          </w:p>
        </w:tc>
      </w:tr>
      <w:tr w:rsidR="001548F9" w:rsidRPr="00D46E57" w:rsidTr="0018552C">
        <w:tc>
          <w:tcPr>
            <w:tcW w:w="2880" w:type="dxa"/>
            <w:vAlign w:val="center"/>
          </w:tcPr>
          <w:p w:rsidR="001548F9" w:rsidRPr="00D46E57" w:rsidRDefault="001548F9" w:rsidP="00F73D0C">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13,238,162.49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7,380,201.78</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32,230,287.37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57,047,202.35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3,030,762.43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5,035,326.72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35,261,049.80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62,082,529.07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48,499,212.29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69,462,730.85</w:t>
            </w:r>
          </w:p>
        </w:tc>
      </w:tr>
    </w:tbl>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2019</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32,230,287.37</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1.095</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28,332,154.82</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B</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1.090</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3,898,132.55</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1" w:name="_Toc225498269"/>
      <w:bookmarkStart w:id="52" w:name="_Toc17385682"/>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1"/>
      <w:bookmarkEnd w:id="52"/>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上投摩根分红添利债券型证券投资基金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6"/>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785,493.42</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1,889,343.80</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1,079,770.00</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1,001,392.53</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11,925.22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10,064.48</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1,049,992.13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931,711.49</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17,852.65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59,616.56</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48,962.95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99,980.81</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48,962.95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99,980.81</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-344,603.16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781,920.03</w:t>
            </w:r>
          </w:p>
        </w:tc>
      </w:tr>
      <w:tr w:rsidR="00C73F5C" w:rsidRPr="00D46E57" w:rsidTr="0018552C">
        <w:tc>
          <w:tcPr>
            <w:tcW w:w="3420" w:type="dxa"/>
            <w:vAlign w:val="center"/>
          </w:tcPr>
          <w:p w:rsidR="00C73F5C" w:rsidRPr="00D46E57" w:rsidRDefault="00C73F5C" w:rsidP="004C7C5B">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1,363.63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6,050.43</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330,830.84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359,716.06</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74,688.91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179,833.61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24,063.04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51,381.01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22,699.51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11,369.91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20,339.75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29,002.52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99,520.21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17,576.62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99,520.21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17,576.62</w:t>
            </w:r>
          </w:p>
        </w:tc>
      </w:tr>
      <w:tr w:rsidR="0068318A" w:rsidRPr="00D46E57" w:rsidTr="009768B2">
        <w:tc>
          <w:tcPr>
            <w:tcW w:w="3420" w:type="dxa"/>
            <w:vAlign w:val="center"/>
          </w:tcPr>
          <w:p w:rsidR="0068318A" w:rsidRPr="00D46E57" w:rsidRDefault="0068318A" w:rsidP="009768B2">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768B2">
            <w:pPr>
              <w:pStyle w:val="af6"/>
              <w:jc w:val="center"/>
              <w:rPr>
                <w:rFonts w:ascii="Times New Roman" w:eastAsiaTheme="minorEastAsia" w:hAnsi="Times New Roman"/>
                <w:sz w:val="21"/>
                <w:szCs w:val="21"/>
              </w:rPr>
            </w:pPr>
          </w:p>
        </w:tc>
        <w:tc>
          <w:tcPr>
            <w:tcW w:w="2250" w:type="dxa"/>
            <w:vAlign w:val="bottom"/>
          </w:tcPr>
          <w:p w:rsidR="0068318A" w:rsidRPr="00D46E57" w:rsidRDefault="0068318A" w:rsidP="009768B2">
            <w:pPr>
              <w:jc w:val="right"/>
              <w:rPr>
                <w:rFonts w:eastAsiaTheme="minorEastAsia"/>
                <w:szCs w:val="21"/>
              </w:rPr>
            </w:pPr>
            <w:r w:rsidRPr="00D46E57">
              <w:rPr>
                <w:rFonts w:eastAsiaTheme="minorEastAsia"/>
                <w:szCs w:val="21"/>
              </w:rPr>
              <w:t>2,743.74</w:t>
            </w:r>
          </w:p>
        </w:tc>
        <w:tc>
          <w:tcPr>
            <w:tcW w:w="2250" w:type="dxa"/>
            <w:vAlign w:val="bottom"/>
          </w:tcPr>
          <w:p w:rsidR="0068318A" w:rsidRPr="00D46E57" w:rsidRDefault="0068318A" w:rsidP="009768B2">
            <w:pPr>
              <w:jc w:val="right"/>
              <w:rPr>
                <w:rFonts w:eastAsiaTheme="minorEastAsia"/>
                <w:szCs w:val="21"/>
              </w:rPr>
            </w:pPr>
            <w:r w:rsidRPr="00D46E57">
              <w:rPr>
                <w:rFonts w:eastAsiaTheme="minorEastAsia"/>
                <w:szCs w:val="21"/>
              </w:rPr>
              <w:t>2,667.04</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86,775.68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67,885.35</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454,662.58</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1,529,627.74</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lastRenderedPageBreak/>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454,662.58</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1,529,627.74</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3" w:name="_Toc225498270"/>
      <w:bookmarkStart w:id="54" w:name="_Toc1738568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3"/>
      <w:bookmarkEnd w:id="54"/>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上投摩根分红添利债券型证券投资基金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57,047,202.35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5,035,326.72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62,082,529.07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454,662.58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454,662.58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-24,816,914.98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-2,185,317.99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-27,002,232.97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21,238,501.69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1,810,830.74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23,049,332.43</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-46,055,416.67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-3,996,148.73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-50,051,565.40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-273,908.88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-273,908.88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32,230,287.37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3,030,762.43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35,261,049.80</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6"/>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52,016,332.39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2,547,759.96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54,564,092.35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1,529,627.74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1,529,627.74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7,037,195.49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570,238.36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7,607,433.85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23,999,506.64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1,726,460.03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25,725,966.67</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-16,962,311.15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-1,156,221.67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-18,118,532.82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w:t>
            </w:r>
            <w:r w:rsidRPr="00D46E57">
              <w:rPr>
                <w:rFonts w:eastAsiaTheme="minorEastAsia"/>
                <w:color w:val="000000"/>
                <w:szCs w:val="21"/>
              </w:rPr>
              <w:lastRenderedPageBreak/>
              <w:t>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lastRenderedPageBreak/>
              <w:t>59,053,527.88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4,647,626.06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63,701,153.94</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lastRenderedPageBreak/>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5" w:name="_Toc225498271"/>
      <w:bookmarkStart w:id="56" w:name="_Toc17385684"/>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5"/>
      <w:bookmarkEnd w:id="56"/>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9E4037" w:rsidRDefault="009768B2">
      <w:pPr>
        <w:spacing w:line="360" w:lineRule="auto"/>
        <w:ind w:firstLineChars="200" w:firstLine="420"/>
        <w:rPr>
          <w:rFonts w:eastAsiaTheme="minorEastAsia"/>
          <w:kern w:val="0"/>
          <w:szCs w:val="21"/>
        </w:rPr>
      </w:pPr>
      <w:r>
        <w:rPr>
          <w:rFonts w:eastAsiaTheme="minorEastAsia"/>
          <w:kern w:val="0"/>
          <w:szCs w:val="21"/>
        </w:rPr>
        <w:t>上投摩根分红添利债券型证券投资基金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[2012]</w:t>
      </w:r>
      <w:r>
        <w:rPr>
          <w:rFonts w:eastAsiaTheme="minorEastAsia"/>
          <w:kern w:val="0"/>
          <w:szCs w:val="21"/>
        </w:rPr>
        <w:t>第</w:t>
      </w:r>
      <w:r>
        <w:rPr>
          <w:rFonts w:eastAsiaTheme="minorEastAsia"/>
          <w:kern w:val="0"/>
          <w:szCs w:val="21"/>
        </w:rPr>
        <w:t>441</w:t>
      </w:r>
      <w:r>
        <w:rPr>
          <w:rFonts w:eastAsiaTheme="minorEastAsia"/>
          <w:kern w:val="0"/>
          <w:szCs w:val="21"/>
        </w:rPr>
        <w:t>号《关于核准上投摩根分红添利债券型证券投资基金募集的批复》核准，由上投摩根基金管理有限公司依照《中华人民共和国证券投资基金法》和《上投摩根分红添利债券型证券投资基金基金合同》负责公开募集。本基金为契约型开放式，存续期限不定，首次设立募集不包括认购资金利息共募集</w:t>
      </w:r>
      <w:r>
        <w:rPr>
          <w:rFonts w:eastAsiaTheme="minorEastAsia"/>
          <w:kern w:val="0"/>
          <w:szCs w:val="21"/>
        </w:rPr>
        <w:t>2,235,699,845.49</w:t>
      </w:r>
      <w:r>
        <w:rPr>
          <w:rFonts w:eastAsiaTheme="minorEastAsia"/>
          <w:kern w:val="0"/>
          <w:szCs w:val="21"/>
        </w:rPr>
        <w:t>元，业经普华永道中天会计师事务所有限公司普华永道中天验字</w:t>
      </w:r>
      <w:r>
        <w:rPr>
          <w:rFonts w:eastAsiaTheme="minorEastAsia"/>
          <w:kern w:val="0"/>
          <w:szCs w:val="21"/>
        </w:rPr>
        <w:t>(2012)</w:t>
      </w:r>
      <w:r>
        <w:rPr>
          <w:rFonts w:eastAsiaTheme="minorEastAsia"/>
          <w:kern w:val="0"/>
          <w:szCs w:val="21"/>
        </w:rPr>
        <w:t>第</w:t>
      </w:r>
      <w:r>
        <w:rPr>
          <w:rFonts w:eastAsiaTheme="minorEastAsia"/>
          <w:kern w:val="0"/>
          <w:szCs w:val="21"/>
        </w:rPr>
        <w:t>230</w:t>
      </w:r>
      <w:r>
        <w:rPr>
          <w:rFonts w:eastAsiaTheme="minorEastAsia"/>
          <w:kern w:val="0"/>
          <w:szCs w:val="21"/>
        </w:rPr>
        <w:t>号验资报告予以验证。经向中国证监会备案，《上投摩根分红添利债券型证券投资基金基金合同》于</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2,236,266,287.91</w:t>
      </w:r>
      <w:r>
        <w:rPr>
          <w:rFonts w:eastAsiaTheme="minorEastAsia"/>
          <w:kern w:val="0"/>
          <w:szCs w:val="21"/>
        </w:rPr>
        <w:t>份，其中认购资金利息折合</w:t>
      </w:r>
      <w:r>
        <w:rPr>
          <w:rFonts w:eastAsiaTheme="minorEastAsia"/>
          <w:kern w:val="0"/>
          <w:szCs w:val="21"/>
        </w:rPr>
        <w:t>566,442.42</w:t>
      </w:r>
      <w:r>
        <w:rPr>
          <w:rFonts w:eastAsiaTheme="minorEastAsia"/>
          <w:kern w:val="0"/>
          <w:szCs w:val="21"/>
        </w:rPr>
        <w:t>份基金份额。本基金的基金管理人为上投摩根基金管理有限公司，基金托管人为中国银行股份有限公司。</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根据《上投摩根分红添利债券型证券投资基金招募说明书》，本基金根据认购、申购费用收取方式的不同，将基金份额分为不同的类别。在投资者认购、申购时收取认购、申购费用的，称为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类基金份额；不收取认购、申购费用，而是从本类别基金资产中计提销售服务费的，称为</w:t>
      </w:r>
      <w:r>
        <w:rPr>
          <w:rFonts w:eastAsiaTheme="minorEastAsia"/>
          <w:kern w:val="0"/>
          <w:szCs w:val="21"/>
        </w:rPr>
        <w:t>B</w:t>
      </w:r>
      <w:r>
        <w:rPr>
          <w:rFonts w:eastAsiaTheme="minorEastAsia"/>
          <w:kern w:val="0"/>
          <w:szCs w:val="21"/>
        </w:rPr>
        <w:t>类基金份额。本基金</w:t>
      </w:r>
      <w:r>
        <w:rPr>
          <w:rFonts w:eastAsiaTheme="minorEastAsia"/>
          <w:kern w:val="0"/>
          <w:szCs w:val="21"/>
        </w:rPr>
        <w:t>A</w:t>
      </w:r>
      <w:r>
        <w:rPr>
          <w:rFonts w:eastAsiaTheme="minorEastAsia"/>
          <w:kern w:val="0"/>
          <w:szCs w:val="21"/>
        </w:rPr>
        <w:t>类、</w:t>
      </w:r>
      <w:r>
        <w:rPr>
          <w:rFonts w:eastAsiaTheme="minorEastAsia"/>
          <w:kern w:val="0"/>
          <w:szCs w:val="21"/>
        </w:rPr>
        <w:t>B</w:t>
      </w:r>
      <w:r>
        <w:rPr>
          <w:rFonts w:eastAsiaTheme="minorEastAsia"/>
          <w:kern w:val="0"/>
          <w:szCs w:val="21"/>
        </w:rPr>
        <w:t>类两种种收费模式并存，由于基金费用的不同，本基金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将分别计算基金份额净值，计算公式为计算日各类别基金资产净值除以计算日发售在外的该类别基金份额总数。投资人可自由选择认购、申购的基金份额类别。本基金不同基金份额类别之间不得互相转换。</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分红添利债券型证券投资基金基金合同》的有关规定，本基金主要投资于具有良好流动性的固定收益类金融工具，包括国债、央行票据、金融债、企业债、公司债、短期融资券、可转债</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中期票据、资产支持证券、债券回购等金融工具以及法律法规或中国证监会允许基金投资的其他固定收益类金融工具。本基金也可投资于股票、权证以及法律法规或监管部门允许基金投资的其他权益类金融工具。本基金不直接从</w:t>
      </w:r>
      <w:r>
        <w:rPr>
          <w:rFonts w:eastAsiaTheme="minorEastAsia"/>
          <w:kern w:val="0"/>
          <w:szCs w:val="21"/>
        </w:rPr>
        <w:lastRenderedPageBreak/>
        <w:t>二级市场买入股票、权证等权益类金融工具，但可以参与一级市场新股申购或股票增发，并可持有因所持可转换公司债券转股形成的股票、因持有股票被派发的权证、因投资于分离交易可转债而产生的权证。本基金的投资组合比例为：固定收益类资产的投资比例不低于基金资产的</w:t>
      </w:r>
      <w:r>
        <w:rPr>
          <w:rFonts w:eastAsiaTheme="minorEastAsia"/>
          <w:kern w:val="0"/>
          <w:szCs w:val="21"/>
        </w:rPr>
        <w:t>80%</w:t>
      </w:r>
      <w:r>
        <w:rPr>
          <w:rFonts w:eastAsiaTheme="minorEastAsia"/>
          <w:kern w:val="0"/>
          <w:szCs w:val="21"/>
        </w:rPr>
        <w:t>，股票、权证等权益类资产的投资比例不超过基金资产的</w:t>
      </w:r>
      <w:r>
        <w:rPr>
          <w:rFonts w:eastAsiaTheme="minorEastAsia"/>
          <w:kern w:val="0"/>
          <w:szCs w:val="21"/>
        </w:rPr>
        <w:t>20%</w:t>
      </w:r>
      <w:r>
        <w:rPr>
          <w:rFonts w:eastAsiaTheme="minorEastAsia"/>
          <w:kern w:val="0"/>
          <w:szCs w:val="21"/>
        </w:rPr>
        <w:t>，保持不低于基金资产净值</w:t>
      </w:r>
      <w:r>
        <w:rPr>
          <w:rFonts w:eastAsiaTheme="minorEastAsia"/>
          <w:kern w:val="0"/>
          <w:szCs w:val="21"/>
        </w:rPr>
        <w:t>5%</w:t>
      </w:r>
      <w:r>
        <w:rPr>
          <w:rFonts w:eastAsiaTheme="minorEastAsia"/>
          <w:kern w:val="0"/>
          <w:szCs w:val="21"/>
        </w:rPr>
        <w:t>的现金或到期日在一年以内的政府债券。本基金自</w:t>
      </w:r>
      <w:r>
        <w:rPr>
          <w:rFonts w:eastAsiaTheme="minorEastAsia"/>
          <w:kern w:val="0"/>
          <w:szCs w:val="21"/>
        </w:rPr>
        <w:t>2015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10</w:t>
      </w:r>
      <w:r>
        <w:rPr>
          <w:rFonts w:eastAsiaTheme="minorEastAsia"/>
          <w:kern w:val="0"/>
          <w:szCs w:val="21"/>
        </w:rPr>
        <w:t>日起，将基金业绩比较基准由</w:t>
      </w:r>
      <w:r>
        <w:rPr>
          <w:rFonts w:eastAsiaTheme="minorEastAsia"/>
          <w:kern w:val="0"/>
          <w:szCs w:val="21"/>
        </w:rPr>
        <w:t>“</w:t>
      </w:r>
      <w:r>
        <w:rPr>
          <w:rFonts w:eastAsiaTheme="minorEastAsia"/>
          <w:kern w:val="0"/>
          <w:szCs w:val="21"/>
        </w:rPr>
        <w:t>中信标普全债指数</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中证综合债券指数</w:t>
      </w:r>
      <w:r>
        <w:rPr>
          <w:rFonts w:eastAsiaTheme="minorEastAsia"/>
          <w:kern w:val="0"/>
          <w:szCs w:val="21"/>
        </w:rPr>
        <w:t>”</w:t>
      </w:r>
      <w:r>
        <w:rPr>
          <w:rFonts w:eastAsiaTheme="minorEastAsia"/>
          <w:kern w:val="0"/>
          <w:szCs w:val="21"/>
        </w:rPr>
        <w:t>。</w:t>
      </w:r>
    </w:p>
    <w:p w:rsidR="009E4037" w:rsidRDefault="009E403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23</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w:t>
      </w:r>
      <w:r>
        <w:rPr>
          <w:rFonts w:eastAsiaTheme="minorEastAsia"/>
          <w:kern w:val="0"/>
          <w:szCs w:val="21"/>
        </w:rPr>
        <w:t xml:space="preserve"> </w:t>
      </w:r>
      <w:r>
        <w:rPr>
          <w:rFonts w:eastAsiaTheme="minorEastAsia"/>
          <w:kern w:val="0"/>
          <w:szCs w:val="21"/>
        </w:rPr>
        <w:t>上投摩根分红添利债券型证券投资基金</w:t>
      </w:r>
      <w:r>
        <w:rPr>
          <w:rFonts w:eastAsiaTheme="minorEastAsia"/>
          <w:kern w:val="0"/>
          <w:szCs w:val="21"/>
        </w:rPr>
        <w:t xml:space="preserve"> </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所列示的中国证监会发布的有关规定及允许的基金行业实务操作编制。</w:t>
      </w:r>
    </w:p>
    <w:p w:rsidR="009E4037" w:rsidRDefault="009E403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2019</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2019</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对基金从证券市场中取得的收入，包括买卖股票、债券的差价收入，股票的股息、红利收入，债券的利息收入及其他收入，暂不征收企业所得税。</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w:t>
      </w:r>
      <w:r>
        <w:rPr>
          <w:rFonts w:eastAsiaTheme="minorEastAsia"/>
          <w:kern w:val="0"/>
          <w:szCs w:val="21"/>
        </w:rPr>
        <w:lastRenderedPageBreak/>
        <w:t>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9E4037" w:rsidRDefault="009E403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(5)</w:t>
      </w:r>
      <w:r w:rsidRPr="00D46E57">
        <w:rPr>
          <w:rFonts w:eastAsiaTheme="minorEastAsia"/>
          <w:kern w:val="0"/>
          <w:szCs w:val="21"/>
        </w:rPr>
        <w:t>本基金的城市维护建设税、教育费附加和地方教育费附加等税费按照实际缴纳增值税额的适用比例计算缴纳。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564,020.92</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564,020.92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2019</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46,682,177.86</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46,495,663.90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-186,513.96</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46,682,177.86</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46,495,663.90</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-186,513.96</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46,682,177.86</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46,495,663.90</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-186,513.96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86.49</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194.70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998,205.98</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768B2">
        <w:trPr>
          <w:trHeight w:val="269"/>
        </w:trPr>
        <w:tc>
          <w:tcPr>
            <w:tcW w:w="3701" w:type="dxa"/>
            <w:vAlign w:val="bottom"/>
          </w:tcPr>
          <w:p w:rsidR="00EF7F0F" w:rsidRPr="00D46E57" w:rsidRDefault="00EF7F0F" w:rsidP="009768B2">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768B2">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2.70</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998,489.87</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4,820.61</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4,820.61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9E4037">
        <w:tc>
          <w:tcPr>
            <w:tcW w:w="3701" w:type="dxa"/>
            <w:vAlign w:val="center"/>
          </w:tcPr>
          <w:p w:rsidR="009E4037" w:rsidRDefault="009768B2">
            <w:pPr>
              <w:jc w:val="left"/>
            </w:pPr>
            <w:r>
              <w:rPr>
                <w:rFonts w:eastAsiaTheme="minorEastAsia"/>
                <w:szCs w:val="21"/>
              </w:rPr>
              <w:t>其他应付款</w:t>
            </w:r>
          </w:p>
        </w:tc>
        <w:tc>
          <w:tcPr>
            <w:tcW w:w="5528" w:type="dxa"/>
            <w:vAlign w:val="center"/>
          </w:tcPr>
          <w:p w:rsidR="009E4037" w:rsidRDefault="009768B2">
            <w:pPr>
              <w:jc w:val="right"/>
            </w:pPr>
            <w:r>
              <w:rPr>
                <w:rFonts w:eastAsiaTheme="minorEastAsia"/>
                <w:szCs w:val="21"/>
              </w:rPr>
              <w:t>-</w:t>
            </w:r>
          </w:p>
        </w:tc>
      </w:tr>
      <w:tr w:rsidR="009E4037">
        <w:tc>
          <w:tcPr>
            <w:tcW w:w="3701" w:type="dxa"/>
            <w:vAlign w:val="center"/>
          </w:tcPr>
          <w:p w:rsidR="009E4037" w:rsidRDefault="009768B2">
            <w:pPr>
              <w:jc w:val="left"/>
            </w:pPr>
            <w:r>
              <w:rPr>
                <w:rFonts w:eastAsiaTheme="minorEastAsia"/>
                <w:szCs w:val="21"/>
              </w:rPr>
              <w:lastRenderedPageBreak/>
              <w:t>应付指数使用费</w:t>
            </w:r>
          </w:p>
        </w:tc>
        <w:tc>
          <w:tcPr>
            <w:tcW w:w="5528" w:type="dxa"/>
            <w:vAlign w:val="center"/>
          </w:tcPr>
          <w:p w:rsidR="009E4037" w:rsidRDefault="009768B2">
            <w:pPr>
              <w:jc w:val="right"/>
            </w:pPr>
            <w:r>
              <w:rPr>
                <w:rFonts w:eastAsiaTheme="minorEastAsia"/>
                <w:szCs w:val="21"/>
              </w:rPr>
              <w:t>-</w:t>
            </w:r>
          </w:p>
        </w:tc>
      </w:tr>
      <w:tr w:rsidR="009E4037">
        <w:tc>
          <w:tcPr>
            <w:tcW w:w="3701" w:type="dxa"/>
            <w:vAlign w:val="center"/>
          </w:tcPr>
          <w:p w:rsidR="009E4037" w:rsidRDefault="009768B2">
            <w:pPr>
              <w:jc w:val="left"/>
            </w:pPr>
            <w:r>
              <w:rPr>
                <w:rFonts w:eastAsiaTheme="minorEastAsia"/>
                <w:szCs w:val="21"/>
              </w:rPr>
              <w:t>预提费用</w:t>
            </w:r>
          </w:p>
        </w:tc>
        <w:tc>
          <w:tcPr>
            <w:tcW w:w="5528" w:type="dxa"/>
            <w:vAlign w:val="center"/>
          </w:tcPr>
          <w:p w:rsidR="009E4037" w:rsidRDefault="009768B2">
            <w:pPr>
              <w:jc w:val="right"/>
            </w:pPr>
            <w:r>
              <w:rPr>
                <w:rFonts w:eastAsiaTheme="minorEastAsia"/>
                <w:szCs w:val="21"/>
              </w:rPr>
              <w:t>24,795.19</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24,795.19</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30,979,544.01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30,979,544.01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2,392,751.51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2,392,751.51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-5,040,140.70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-5,040,140.70</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28,332,154.82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28,332,154.82</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26,067,658.34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26,067,658.34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18,845,750.18</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18,845,750.18</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-41,015,275.97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-41,015,275.97</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3,898,132.55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3,898,132.55</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上投摩根分红添利债券</w:t>
      </w:r>
      <w:r w:rsidRPr="00D46E57">
        <w:rPr>
          <w:rFonts w:eastAsiaTheme="minorEastAsia"/>
          <w:color w:val="000000"/>
          <w:szCs w:val="21"/>
        </w:rPr>
        <w:t>A</w:t>
      </w:r>
      <w:r w:rsidRPr="00D46E57">
        <w:rPr>
          <w:rFonts w:eastAsiaTheme="minorEastAsia"/>
          <w:color w:val="000000"/>
          <w:szCs w:val="21"/>
        </w:rPr>
        <w:t>类</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461,736.09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2,325,529.67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2,787,265.76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591,644.12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-221,645.92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369,998.20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-46,473.96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-180,285.96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-226,759.92</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41,005.40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168,115.81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209,121.21</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lastRenderedPageBreak/>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-87,479.36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-348,401.77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-435,881.13</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-250,056.60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-250,056.60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756,849.65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1,923,597.79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2,680,447.44</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上投摩根分红添利债券</w:t>
      </w:r>
      <w:r w:rsidRPr="00D46E57">
        <w:rPr>
          <w:rFonts w:eastAsiaTheme="minorEastAsia"/>
          <w:color w:val="000000"/>
          <w:szCs w:val="21"/>
        </w:rPr>
        <w:t>B</w:t>
      </w:r>
      <w:r w:rsidRPr="00D46E57">
        <w:rPr>
          <w:rFonts w:eastAsiaTheme="minorEastAsia"/>
          <w:color w:val="000000"/>
          <w:szCs w:val="21"/>
        </w:rPr>
        <w:t>类</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300,729.16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1,947,331.80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2,248,060.96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207,621.62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-122,957.24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84,664.38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-397,308.38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-1,561,249.69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-1,958,558.07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311,271.48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1,290,438.05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1,601,709.53</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-708,579.86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-2,851,687.74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-3,560,267.60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-23,852.28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-23,852.28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87,190.12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263,124.87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350,314.99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6,486.89</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5,390.23</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48.10</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11,925.22</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E53646">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9768B2">
        <w:trPr>
          <w:trHeight w:val="315"/>
        </w:trPr>
        <w:tc>
          <w:tcPr>
            <w:tcW w:w="3725" w:type="dxa"/>
            <w:vAlign w:val="center"/>
          </w:tcPr>
          <w:p w:rsidR="002610CA" w:rsidRPr="00D46E57" w:rsidRDefault="002610CA" w:rsidP="009768B2">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9768B2">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9768B2">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9768B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9768B2">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9768B2">
            <w:pPr>
              <w:ind w:left="440"/>
              <w:jc w:val="right"/>
              <w:rPr>
                <w:color w:val="000000" w:themeColor="text1"/>
                <w:szCs w:val="21"/>
              </w:rPr>
            </w:pPr>
            <w:r w:rsidRPr="00D46E57">
              <w:rPr>
                <w:rFonts w:hint="eastAsia"/>
                <w:color w:val="000000" w:themeColor="text1"/>
                <w:szCs w:val="21"/>
              </w:rPr>
              <w:t>67,299,250.61</w:t>
            </w:r>
          </w:p>
        </w:tc>
      </w:tr>
      <w:tr w:rsidR="002610CA" w:rsidRPr="00D46E57" w:rsidTr="009768B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9768B2">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9768B2">
            <w:pPr>
              <w:ind w:left="440"/>
              <w:jc w:val="right"/>
              <w:rPr>
                <w:color w:val="000000" w:themeColor="text1"/>
                <w:szCs w:val="21"/>
              </w:rPr>
            </w:pPr>
            <w:r w:rsidRPr="00D46E57">
              <w:rPr>
                <w:rFonts w:hint="eastAsia"/>
                <w:color w:val="000000" w:themeColor="text1"/>
                <w:szCs w:val="21"/>
              </w:rPr>
              <w:t>65,498,174.26</w:t>
            </w:r>
          </w:p>
        </w:tc>
      </w:tr>
      <w:tr w:rsidR="002610CA" w:rsidRPr="00D46E57" w:rsidTr="009768B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9768B2">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9768B2">
            <w:pPr>
              <w:ind w:left="440"/>
              <w:jc w:val="right"/>
              <w:rPr>
                <w:color w:val="000000" w:themeColor="text1"/>
                <w:szCs w:val="21"/>
              </w:rPr>
            </w:pPr>
            <w:r w:rsidRPr="00D46E57">
              <w:rPr>
                <w:rFonts w:hint="eastAsia"/>
                <w:color w:val="000000" w:themeColor="text1"/>
                <w:szCs w:val="21"/>
              </w:rPr>
              <w:t>1,752,113.40</w:t>
            </w:r>
          </w:p>
        </w:tc>
      </w:tr>
      <w:tr w:rsidR="002610CA" w:rsidRPr="00D46E57" w:rsidTr="009768B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9768B2">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9768B2">
            <w:pPr>
              <w:ind w:left="440"/>
              <w:jc w:val="right"/>
              <w:rPr>
                <w:color w:val="000000" w:themeColor="text1"/>
                <w:szCs w:val="21"/>
              </w:rPr>
            </w:pPr>
            <w:r w:rsidRPr="00D46E57">
              <w:rPr>
                <w:rFonts w:hint="eastAsia"/>
                <w:color w:val="000000" w:themeColor="text1"/>
                <w:szCs w:val="21"/>
              </w:rPr>
              <w:t>48,962.95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-344,603.16</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-344,603.16</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768B2">
        <w:trPr>
          <w:trHeight w:val="285"/>
        </w:trPr>
        <w:tc>
          <w:tcPr>
            <w:tcW w:w="3794" w:type="dxa"/>
            <w:vAlign w:val="center"/>
          </w:tcPr>
          <w:p w:rsidR="007453E4" w:rsidRPr="00D46E57" w:rsidRDefault="007453E4" w:rsidP="009768B2">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768B2">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-344,603.16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1,281.59</w:t>
            </w:r>
          </w:p>
        </w:tc>
      </w:tr>
      <w:tr w:rsidR="009E4037">
        <w:tc>
          <w:tcPr>
            <w:tcW w:w="3691" w:type="dxa"/>
            <w:vAlign w:val="center"/>
          </w:tcPr>
          <w:p w:rsidR="009E4037" w:rsidRDefault="009768B2">
            <w:pPr>
              <w:jc w:val="left"/>
            </w:pPr>
            <w:r>
              <w:rPr>
                <w:rFonts w:eastAsiaTheme="minorEastAsia"/>
                <w:szCs w:val="21"/>
              </w:rPr>
              <w:t>转换费收入</w:t>
            </w:r>
          </w:p>
        </w:tc>
        <w:tc>
          <w:tcPr>
            <w:tcW w:w="5528" w:type="dxa"/>
            <w:vAlign w:val="center"/>
          </w:tcPr>
          <w:p w:rsidR="009E4037" w:rsidRDefault="009768B2">
            <w:pPr>
              <w:jc w:val="right"/>
            </w:pPr>
            <w:r>
              <w:rPr>
                <w:rFonts w:eastAsiaTheme="minorEastAsia"/>
                <w:szCs w:val="21"/>
              </w:rPr>
              <w:t>82.04</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1,363.63</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本基金的转换费由赎回费和申购费补差两部分构成，其中赎回费部分的</w:t>
      </w:r>
      <w:r w:rsidRPr="00D46E57">
        <w:rPr>
          <w:rFonts w:eastAsiaTheme="minorEastAsia"/>
          <w:kern w:val="0"/>
          <w:szCs w:val="21"/>
        </w:rPr>
        <w:t>25%</w:t>
      </w:r>
      <w:r w:rsidRPr="00D46E57">
        <w:rPr>
          <w:rFonts w:eastAsiaTheme="minorEastAsia"/>
          <w:kern w:val="0"/>
          <w:szCs w:val="21"/>
        </w:rPr>
        <w:t>归入转出基金的基金资产。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768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768B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lastRenderedPageBreak/>
              <w:t>2019</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768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rPr>
                <w:rFonts w:eastAsiaTheme="minorEastAsia"/>
                <w:color w:val="000000" w:themeColor="text1"/>
                <w:szCs w:val="21"/>
              </w:rPr>
            </w:pPr>
            <w:r w:rsidRPr="00D46E57">
              <w:rPr>
                <w:rFonts w:eastAsiaTheme="minorEastAsia" w:hint="eastAsia"/>
                <w:color w:val="000000" w:themeColor="text1"/>
                <w:szCs w:val="21"/>
              </w:rPr>
              <w:lastRenderedPageBreak/>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jc w:val="right"/>
              <w:rPr>
                <w:rFonts w:eastAsiaTheme="minorEastAsia"/>
                <w:color w:val="000000" w:themeColor="text1"/>
                <w:szCs w:val="21"/>
              </w:rPr>
            </w:pPr>
            <w:r w:rsidRPr="00D46E57">
              <w:rPr>
                <w:rFonts w:eastAsiaTheme="minorEastAsia"/>
                <w:color w:val="000000" w:themeColor="text1"/>
                <w:szCs w:val="21"/>
              </w:rPr>
              <w:t>20,339.75</w:t>
            </w:r>
          </w:p>
        </w:tc>
      </w:tr>
      <w:tr w:rsidR="00B4257B" w:rsidRPr="00D46E57" w:rsidTr="009768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jc w:val="right"/>
              <w:rPr>
                <w:rFonts w:eastAsiaTheme="minorEastAsia"/>
                <w:color w:val="000000" w:themeColor="text1"/>
                <w:szCs w:val="21"/>
              </w:rPr>
            </w:pPr>
            <w:r w:rsidRPr="00D46E57">
              <w:rPr>
                <w:rFonts w:eastAsiaTheme="minorEastAsia"/>
                <w:color w:val="000000" w:themeColor="text1"/>
                <w:szCs w:val="21"/>
              </w:rPr>
              <w:t>0.00</w:t>
            </w:r>
          </w:p>
        </w:tc>
      </w:tr>
      <w:tr w:rsidR="00B4257B" w:rsidRPr="00D46E57" w:rsidTr="009768B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768B2">
            <w:pPr>
              <w:spacing w:line="360" w:lineRule="auto"/>
              <w:jc w:val="right"/>
              <w:rPr>
                <w:rFonts w:eastAsiaTheme="minorEastAsia"/>
                <w:color w:val="000000" w:themeColor="text1"/>
                <w:szCs w:val="21"/>
              </w:rPr>
            </w:pPr>
            <w:r w:rsidRPr="00D46E57">
              <w:rPr>
                <w:rFonts w:eastAsiaTheme="minorEastAsia"/>
                <w:color w:val="000000" w:themeColor="text1"/>
                <w:szCs w:val="21"/>
              </w:rPr>
              <w:t>20,339.75</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24,795.19</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9E4037">
        <w:tc>
          <w:tcPr>
            <w:tcW w:w="3853" w:type="dxa"/>
            <w:vAlign w:val="center"/>
          </w:tcPr>
          <w:p w:rsidR="009E4037" w:rsidRDefault="009768B2">
            <w:pPr>
              <w:jc w:val="left"/>
            </w:pPr>
            <w:r>
              <w:rPr>
                <w:rFonts w:eastAsiaTheme="minorEastAsia"/>
                <w:szCs w:val="21"/>
              </w:rPr>
              <w:t>银行费用</w:t>
            </w:r>
          </w:p>
        </w:tc>
        <w:tc>
          <w:tcPr>
            <w:tcW w:w="5551" w:type="dxa"/>
            <w:vAlign w:val="center"/>
          </w:tcPr>
          <w:p w:rsidR="009E4037" w:rsidRDefault="009768B2">
            <w:pPr>
              <w:jc w:val="right"/>
            </w:pPr>
            <w:r>
              <w:rPr>
                <w:rFonts w:eastAsiaTheme="minorEastAsia"/>
                <w:szCs w:val="21"/>
              </w:rPr>
              <w:t>3,380.49</w:t>
            </w:r>
          </w:p>
        </w:tc>
      </w:tr>
      <w:tr w:rsidR="009E4037">
        <w:tc>
          <w:tcPr>
            <w:tcW w:w="3853" w:type="dxa"/>
            <w:vAlign w:val="center"/>
          </w:tcPr>
          <w:p w:rsidR="009E4037" w:rsidRDefault="009768B2">
            <w:pPr>
              <w:jc w:val="left"/>
            </w:pPr>
            <w:r>
              <w:rPr>
                <w:rFonts w:eastAsiaTheme="minorEastAsia"/>
                <w:szCs w:val="21"/>
              </w:rPr>
              <w:t>律师费</w:t>
            </w:r>
          </w:p>
        </w:tc>
        <w:tc>
          <w:tcPr>
            <w:tcW w:w="5551" w:type="dxa"/>
            <w:vAlign w:val="center"/>
          </w:tcPr>
          <w:p w:rsidR="009E4037" w:rsidRDefault="009768B2">
            <w:pPr>
              <w:jc w:val="right"/>
            </w:pPr>
            <w:r>
              <w:rPr>
                <w:rFonts w:eastAsiaTheme="minorEastAsia"/>
                <w:szCs w:val="21"/>
              </w:rPr>
              <w:t>30,000.00</w:t>
            </w:r>
          </w:p>
        </w:tc>
      </w:tr>
      <w:tr w:rsidR="009E4037">
        <w:tc>
          <w:tcPr>
            <w:tcW w:w="3853" w:type="dxa"/>
            <w:vAlign w:val="center"/>
          </w:tcPr>
          <w:p w:rsidR="009E4037" w:rsidRDefault="009768B2">
            <w:pPr>
              <w:jc w:val="left"/>
            </w:pPr>
            <w:r>
              <w:rPr>
                <w:rFonts w:eastAsiaTheme="minorEastAsia"/>
                <w:szCs w:val="21"/>
              </w:rPr>
              <w:t>公证费</w:t>
            </w:r>
          </w:p>
        </w:tc>
        <w:tc>
          <w:tcPr>
            <w:tcW w:w="5551" w:type="dxa"/>
            <w:vAlign w:val="center"/>
          </w:tcPr>
          <w:p w:rsidR="009E4037" w:rsidRDefault="009768B2">
            <w:pPr>
              <w:jc w:val="right"/>
            </w:pPr>
            <w:r>
              <w:rPr>
                <w:rFonts w:eastAsiaTheme="minorEastAsia"/>
                <w:szCs w:val="21"/>
              </w:rPr>
              <w:t>10,000.00</w:t>
            </w:r>
          </w:p>
        </w:tc>
      </w:tr>
      <w:tr w:rsidR="009E4037">
        <w:tc>
          <w:tcPr>
            <w:tcW w:w="3853" w:type="dxa"/>
            <w:vAlign w:val="center"/>
          </w:tcPr>
          <w:p w:rsidR="009E4037" w:rsidRDefault="009768B2">
            <w:pPr>
              <w:jc w:val="left"/>
            </w:pPr>
            <w:r>
              <w:rPr>
                <w:rFonts w:eastAsiaTheme="minorEastAsia"/>
                <w:szCs w:val="21"/>
              </w:rPr>
              <w:t>债券帐户维护费</w:t>
            </w:r>
          </w:p>
        </w:tc>
        <w:tc>
          <w:tcPr>
            <w:tcW w:w="5551" w:type="dxa"/>
            <w:vAlign w:val="center"/>
          </w:tcPr>
          <w:p w:rsidR="009E4037" w:rsidRDefault="009768B2">
            <w:pPr>
              <w:jc w:val="right"/>
            </w:pPr>
            <w:r>
              <w:rPr>
                <w:rFonts w:eastAsiaTheme="minorEastAsia"/>
                <w:szCs w:val="21"/>
              </w:rPr>
              <w:t>18,000.00</w:t>
            </w:r>
          </w:p>
        </w:tc>
      </w:tr>
      <w:tr w:rsidR="009E4037">
        <w:tc>
          <w:tcPr>
            <w:tcW w:w="3853" w:type="dxa"/>
            <w:vAlign w:val="center"/>
          </w:tcPr>
          <w:p w:rsidR="009E4037" w:rsidRDefault="009768B2">
            <w:pPr>
              <w:jc w:val="left"/>
            </w:pPr>
            <w:r>
              <w:rPr>
                <w:rFonts w:eastAsiaTheme="minorEastAsia"/>
                <w:szCs w:val="21"/>
              </w:rPr>
              <w:t>其他</w:t>
            </w:r>
          </w:p>
        </w:tc>
        <w:tc>
          <w:tcPr>
            <w:tcW w:w="5551" w:type="dxa"/>
            <w:vAlign w:val="center"/>
          </w:tcPr>
          <w:p w:rsidR="009E4037" w:rsidRDefault="009768B2">
            <w:pPr>
              <w:jc w:val="right"/>
            </w:pPr>
            <w:r>
              <w:rPr>
                <w:rFonts w:eastAsiaTheme="minorEastAsia"/>
                <w:szCs w:val="21"/>
              </w:rPr>
              <w:t>600.00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86,775.68</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本基金的基金管理人于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11</w:t>
      </w:r>
      <w:r w:rsidRPr="00D46E57">
        <w:rPr>
          <w:rFonts w:eastAsiaTheme="minorEastAsia"/>
          <w:kern w:val="0"/>
          <w:szCs w:val="21"/>
        </w:rPr>
        <w:t>日宣告</w:t>
      </w:r>
      <w:r w:rsidRPr="00D46E57">
        <w:rPr>
          <w:rFonts w:eastAsiaTheme="minorEastAsia"/>
          <w:kern w:val="0"/>
          <w:szCs w:val="21"/>
        </w:rPr>
        <w:t>2019</w:t>
      </w:r>
      <w:r w:rsidRPr="00D46E57">
        <w:rPr>
          <w:rFonts w:eastAsiaTheme="minorEastAsia"/>
          <w:kern w:val="0"/>
          <w:szCs w:val="21"/>
        </w:rPr>
        <w:t>年度第</w:t>
      </w:r>
      <w:r w:rsidRPr="00D46E57">
        <w:rPr>
          <w:rFonts w:eastAsiaTheme="minorEastAsia"/>
          <w:kern w:val="0"/>
          <w:szCs w:val="21"/>
        </w:rPr>
        <w:t>1</w:t>
      </w:r>
      <w:r w:rsidRPr="00D46E57">
        <w:rPr>
          <w:rFonts w:eastAsiaTheme="minorEastAsia"/>
          <w:kern w:val="0"/>
          <w:szCs w:val="21"/>
        </w:rPr>
        <w:t>次分红，向截至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15</w:t>
      </w:r>
      <w:r w:rsidRPr="00D46E57">
        <w:rPr>
          <w:rFonts w:eastAsiaTheme="minorEastAsia"/>
          <w:kern w:val="0"/>
          <w:szCs w:val="21"/>
        </w:rPr>
        <w:t>日止在本基金注册登记人上投摩根基金管理有限公司登记在册的全体持有人，</w:t>
      </w:r>
      <w:r w:rsidRPr="00D46E57">
        <w:rPr>
          <w:rFonts w:eastAsiaTheme="minorEastAsia"/>
          <w:kern w:val="0"/>
          <w:szCs w:val="21"/>
        </w:rPr>
        <w:t>A</w:t>
      </w:r>
      <w:r w:rsidRPr="00D46E57">
        <w:rPr>
          <w:rFonts w:eastAsiaTheme="minorEastAsia"/>
          <w:kern w:val="0"/>
          <w:szCs w:val="21"/>
        </w:rPr>
        <w:t>类按每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0.09</w:t>
      </w:r>
      <w:r w:rsidRPr="00D46E57">
        <w:rPr>
          <w:rFonts w:eastAsiaTheme="minorEastAsia"/>
          <w:kern w:val="0"/>
          <w:szCs w:val="21"/>
        </w:rPr>
        <w:t>元，</w:t>
      </w:r>
      <w:r w:rsidRPr="00D46E57">
        <w:rPr>
          <w:rFonts w:eastAsiaTheme="minorEastAsia"/>
          <w:kern w:val="0"/>
          <w:szCs w:val="21"/>
        </w:rPr>
        <w:t>B</w:t>
      </w:r>
      <w:r w:rsidRPr="00D46E57">
        <w:rPr>
          <w:rFonts w:eastAsiaTheme="minorEastAsia"/>
          <w:kern w:val="0"/>
          <w:szCs w:val="21"/>
        </w:rPr>
        <w:t>类按每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0.07</w:t>
      </w:r>
      <w:r w:rsidRPr="00D46E57">
        <w:rPr>
          <w:rFonts w:eastAsiaTheme="minorEastAsia"/>
          <w:kern w:val="0"/>
          <w:szCs w:val="21"/>
        </w:rPr>
        <w:t>元。</w:t>
      </w:r>
    </w:p>
    <w:p w:rsidR="007423B3" w:rsidRPr="007423B3" w:rsidRDefault="007423B3" w:rsidP="00D621DD">
      <w:pPr>
        <w:spacing w:line="360" w:lineRule="auto"/>
        <w:ind w:firstLineChars="200" w:firstLine="420"/>
        <w:rPr>
          <w:rFonts w:eastAsiaTheme="minorEastAsia"/>
          <w:kern w:val="0"/>
          <w:szCs w:val="21"/>
        </w:rPr>
      </w:pPr>
      <w:r w:rsidRPr="007423B3">
        <w:rPr>
          <w:rFonts w:eastAsiaTheme="minorEastAsia" w:hint="eastAsia"/>
          <w:kern w:val="0"/>
          <w:szCs w:val="21"/>
        </w:rPr>
        <w:t>根据《公开募集证券投资基金运作管理办法》的相关规定，开放式基金在基金合同生效后，连续</w:t>
      </w:r>
      <w:r w:rsidRPr="007423B3">
        <w:rPr>
          <w:rFonts w:eastAsiaTheme="minorEastAsia" w:hint="eastAsia"/>
          <w:kern w:val="0"/>
          <w:szCs w:val="21"/>
        </w:rPr>
        <w:t>60</w:t>
      </w:r>
      <w:r w:rsidRPr="007423B3">
        <w:rPr>
          <w:rFonts w:eastAsiaTheme="minorEastAsia" w:hint="eastAsia"/>
          <w:kern w:val="0"/>
          <w:szCs w:val="21"/>
        </w:rPr>
        <w:t>个工作日出现基金份额持有人数量不满</w:t>
      </w:r>
      <w:r w:rsidRPr="007423B3">
        <w:rPr>
          <w:rFonts w:eastAsiaTheme="minorEastAsia" w:hint="eastAsia"/>
          <w:kern w:val="0"/>
          <w:szCs w:val="21"/>
        </w:rPr>
        <w:t>200</w:t>
      </w:r>
      <w:r w:rsidRPr="007423B3">
        <w:rPr>
          <w:rFonts w:eastAsiaTheme="minorEastAsia" w:hint="eastAsia"/>
          <w:kern w:val="0"/>
          <w:szCs w:val="21"/>
        </w:rPr>
        <w:t>人或者基金资产净值低于</w:t>
      </w:r>
      <w:r w:rsidRPr="007423B3">
        <w:rPr>
          <w:rFonts w:eastAsiaTheme="minorEastAsia" w:hint="eastAsia"/>
          <w:kern w:val="0"/>
          <w:szCs w:val="21"/>
        </w:rPr>
        <w:t>5,000</w:t>
      </w:r>
      <w:r w:rsidRPr="007423B3">
        <w:rPr>
          <w:rFonts w:eastAsiaTheme="minorEastAsia" w:hint="eastAsia"/>
          <w:kern w:val="0"/>
          <w:szCs w:val="21"/>
        </w:rPr>
        <w:t>万元情形的，基金管理人应当向中国证监会报告并提出解决方案，如转换运作方式、与其他基金合并或者终止基金合同等，并召开基金份额持有人大会进行表决。于</w:t>
      </w:r>
      <w:r w:rsidRPr="007423B3">
        <w:rPr>
          <w:rFonts w:eastAsiaTheme="minorEastAsia" w:hint="eastAsia"/>
          <w:kern w:val="0"/>
          <w:szCs w:val="21"/>
        </w:rPr>
        <w:t>2019</w:t>
      </w:r>
      <w:r w:rsidRPr="007423B3">
        <w:rPr>
          <w:rFonts w:eastAsiaTheme="minorEastAsia" w:hint="eastAsia"/>
          <w:kern w:val="0"/>
          <w:szCs w:val="21"/>
        </w:rPr>
        <w:t>年</w:t>
      </w:r>
      <w:r w:rsidRPr="007423B3">
        <w:rPr>
          <w:rFonts w:eastAsiaTheme="minorEastAsia" w:hint="eastAsia"/>
          <w:kern w:val="0"/>
          <w:szCs w:val="21"/>
        </w:rPr>
        <w:t>8</w:t>
      </w:r>
      <w:r w:rsidRPr="007423B3">
        <w:rPr>
          <w:rFonts w:eastAsiaTheme="minorEastAsia" w:hint="eastAsia"/>
          <w:kern w:val="0"/>
          <w:szCs w:val="21"/>
        </w:rPr>
        <w:t>月</w:t>
      </w:r>
      <w:r w:rsidRPr="007423B3">
        <w:rPr>
          <w:rFonts w:eastAsiaTheme="minorEastAsia" w:hint="eastAsia"/>
          <w:kern w:val="0"/>
          <w:szCs w:val="21"/>
        </w:rPr>
        <w:t>6</w:t>
      </w:r>
      <w:r w:rsidRPr="007423B3">
        <w:rPr>
          <w:rFonts w:eastAsiaTheme="minorEastAsia" w:hint="eastAsia"/>
          <w:kern w:val="0"/>
          <w:szCs w:val="21"/>
        </w:rPr>
        <w:t>日，本基金出现连续</w:t>
      </w:r>
      <w:r w:rsidRPr="007423B3">
        <w:rPr>
          <w:rFonts w:eastAsiaTheme="minorEastAsia" w:hint="eastAsia"/>
          <w:kern w:val="0"/>
          <w:szCs w:val="21"/>
        </w:rPr>
        <w:t>60</w:t>
      </w:r>
      <w:r w:rsidRPr="007423B3">
        <w:rPr>
          <w:rFonts w:eastAsiaTheme="minorEastAsia" w:hint="eastAsia"/>
          <w:kern w:val="0"/>
          <w:szCs w:val="21"/>
        </w:rPr>
        <w:t>个工作日基金资产净值低于</w:t>
      </w:r>
      <w:r w:rsidRPr="007423B3">
        <w:rPr>
          <w:rFonts w:eastAsiaTheme="minorEastAsia" w:hint="eastAsia"/>
          <w:kern w:val="0"/>
          <w:szCs w:val="21"/>
        </w:rPr>
        <w:t>5,000</w:t>
      </w:r>
      <w:r w:rsidRPr="007423B3">
        <w:rPr>
          <w:rFonts w:eastAsiaTheme="minorEastAsia" w:hint="eastAsia"/>
          <w:kern w:val="0"/>
          <w:szCs w:val="21"/>
        </w:rPr>
        <w:t>万元的情形，本基金的基金管理人已向中国证监会报告并在评估后续处理方案。</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E0888">
      <w:pPr>
        <w:spacing w:line="360" w:lineRule="auto"/>
        <w:rPr>
          <w:rFonts w:eastAsiaTheme="minorEastAsia"/>
          <w:b/>
          <w:kern w:val="0"/>
          <w:szCs w:val="21"/>
        </w:rPr>
      </w:pPr>
      <w:r w:rsidRPr="00D46E57">
        <w:rPr>
          <w:rFonts w:eastAsiaTheme="minorEastAsia"/>
          <w:b/>
          <w:bCs/>
          <w:color w:val="000000"/>
          <w:kern w:val="0"/>
          <w:szCs w:val="21"/>
        </w:rPr>
        <w:t>6.4.9.1</w:t>
      </w:r>
      <w:r w:rsidRPr="00D46E57">
        <w:rPr>
          <w:rFonts w:eastAsiaTheme="minorEastAsia"/>
          <w:b/>
          <w:kern w:val="0"/>
          <w:szCs w:val="21"/>
        </w:rPr>
        <w:t>本报告期存在控制关系或其他重大利害关系的关联方发生变化的情况</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lastRenderedPageBreak/>
        <w:t>无。</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6.4.9.2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9E4037">
        <w:tc>
          <w:tcPr>
            <w:tcW w:w="5220" w:type="dxa"/>
            <w:vAlign w:val="center"/>
          </w:tcPr>
          <w:p w:rsidR="009E4037" w:rsidRDefault="009768B2">
            <w:pPr>
              <w:jc w:val="left"/>
            </w:pPr>
            <w:r>
              <w:rPr>
                <w:rFonts w:eastAsiaTheme="minorEastAsia"/>
                <w:color w:val="000000"/>
                <w:szCs w:val="21"/>
              </w:rPr>
              <w:t>上投摩根基金管理有限公司</w:t>
            </w:r>
          </w:p>
        </w:tc>
        <w:tc>
          <w:tcPr>
            <w:tcW w:w="3780" w:type="dxa"/>
            <w:vAlign w:val="center"/>
          </w:tcPr>
          <w:p w:rsidR="009E4037" w:rsidRDefault="009768B2">
            <w:pPr>
              <w:jc w:val="left"/>
            </w:pPr>
            <w:r>
              <w:rPr>
                <w:rFonts w:eastAsiaTheme="minorEastAsia"/>
                <w:color w:val="000000"/>
                <w:szCs w:val="21"/>
              </w:rPr>
              <w:t>基金管理人、注册登记机构、基金销售机构</w:t>
            </w:r>
          </w:p>
        </w:tc>
      </w:tr>
      <w:tr w:rsidR="009E4037">
        <w:tc>
          <w:tcPr>
            <w:tcW w:w="5220" w:type="dxa"/>
            <w:vAlign w:val="center"/>
          </w:tcPr>
          <w:p w:rsidR="009E4037" w:rsidRDefault="009768B2">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9E4037" w:rsidRDefault="009768B2">
            <w:pPr>
              <w:jc w:val="left"/>
            </w:pPr>
            <w:r>
              <w:rPr>
                <w:rFonts w:eastAsiaTheme="minorEastAsia"/>
                <w:color w:val="000000"/>
                <w:szCs w:val="21"/>
              </w:rPr>
              <w:t>基金托管人、基金代销机构</w:t>
            </w:r>
          </w:p>
        </w:tc>
      </w:tr>
      <w:tr w:rsidR="009E4037">
        <w:tc>
          <w:tcPr>
            <w:tcW w:w="5220" w:type="dxa"/>
            <w:vAlign w:val="center"/>
          </w:tcPr>
          <w:p w:rsidR="009E4037" w:rsidRDefault="009768B2">
            <w:pPr>
              <w:jc w:val="left"/>
            </w:pPr>
            <w:r>
              <w:rPr>
                <w:rFonts w:eastAsiaTheme="minorEastAsia"/>
                <w:color w:val="000000"/>
                <w:szCs w:val="21"/>
              </w:rPr>
              <w:t>上海浦东发展银行股份有限公司</w:t>
            </w:r>
          </w:p>
        </w:tc>
        <w:tc>
          <w:tcPr>
            <w:tcW w:w="3780" w:type="dxa"/>
            <w:vAlign w:val="center"/>
          </w:tcPr>
          <w:p w:rsidR="009E4037" w:rsidRDefault="009768B2">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74,688.91</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179,833.61</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25,632.25</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70,832.86</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1. 2019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日以前，支付基金管理人上投摩根基金管理有限公司的管理人报酬按前一日基金资产净值</w:t>
      </w:r>
      <w:r>
        <w:rPr>
          <w:rFonts w:eastAsiaTheme="minorEastAsia"/>
          <w:kern w:val="0"/>
          <w:szCs w:val="21"/>
        </w:rPr>
        <w:t>0.70%</w:t>
      </w:r>
      <w:r>
        <w:rPr>
          <w:rFonts w:eastAsiaTheme="minorEastAsia"/>
          <w:kern w:val="0"/>
          <w:szCs w:val="21"/>
        </w:rPr>
        <w:t>的年费率计提，逐日累计至每月月底，按月支付。其计算公式为：</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0.70% / </w:t>
      </w:r>
      <w:r>
        <w:rPr>
          <w:rFonts w:eastAsiaTheme="minorEastAsia"/>
          <w:kern w:val="0"/>
          <w:szCs w:val="21"/>
        </w:rPr>
        <w:t>当年天数。</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根据基金份额持有人大会表决通过的《关于上投摩根分红添利债券型证券投资基金基金份额持有人大会表决结果暨决议生效的公告》，自</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日起，支付上投摩根基金管理有限公司的管理人报酬按前一日基金资产净值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日管理人报酬＝前一日基金资产净值</w:t>
      </w:r>
      <w:r w:rsidRPr="00D46E57">
        <w:rPr>
          <w:rFonts w:eastAsiaTheme="minorEastAsia"/>
          <w:kern w:val="0"/>
          <w:szCs w:val="21"/>
        </w:rPr>
        <w:t xml:space="preserve"> × 0.3%/</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lastRenderedPageBreak/>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24,063.04</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51,381.01</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1. 2019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日以前，支付基金托管人中国银行的托管费按前一日基金资产净值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 / </w:t>
      </w:r>
      <w:r>
        <w:rPr>
          <w:rFonts w:eastAsiaTheme="minorEastAsia"/>
          <w:kern w:val="0"/>
          <w:szCs w:val="21"/>
        </w:rPr>
        <w:t>当年天数。</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根据基金份额持有人大会表决通过的《关于上投摩根分红添利债券型证券投资基金基金份额持有人大会表决结果暨决议生效的公告》，自</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日起，支付基金托管人中国银行的托管费按前一日基金资产净值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r>
        <w:rPr>
          <w:rFonts w:eastAsiaTheme="minorEastAsia"/>
          <w:kern w:val="0"/>
          <w:szCs w:val="21"/>
        </w:rPr>
        <w:t>:</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日托管费＝前一日基金资产净值</w:t>
      </w:r>
      <w:r w:rsidRPr="00D46E57">
        <w:rPr>
          <w:rFonts w:eastAsiaTheme="minorEastAsia"/>
          <w:kern w:val="0"/>
          <w:szCs w:val="21"/>
        </w:rPr>
        <w:t xml:space="preserve"> X 0.1%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9E4037">
        <w:tc>
          <w:tcPr>
            <w:tcW w:w="2108" w:type="dxa"/>
            <w:vAlign w:val="center"/>
          </w:tcPr>
          <w:p w:rsidR="009E4037" w:rsidRDefault="009768B2">
            <w:pPr>
              <w:jc w:val="left"/>
            </w:pPr>
            <w:r>
              <w:rPr>
                <w:rFonts w:eastAsiaTheme="minorEastAsia"/>
                <w:szCs w:val="21"/>
              </w:rPr>
              <w:t>中国银行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3,277.96</w:t>
            </w:r>
          </w:p>
        </w:tc>
        <w:tc>
          <w:tcPr>
            <w:tcW w:w="3245" w:type="dxa"/>
            <w:vAlign w:val="center"/>
          </w:tcPr>
          <w:p w:rsidR="009E4037" w:rsidRDefault="009768B2">
            <w:pPr>
              <w:jc w:val="right"/>
            </w:pPr>
            <w:r>
              <w:rPr>
                <w:rFonts w:eastAsiaTheme="minorEastAsia"/>
                <w:szCs w:val="21"/>
              </w:rPr>
              <w:t>3,277.96</w:t>
            </w:r>
          </w:p>
        </w:tc>
      </w:tr>
      <w:tr w:rsidR="009E4037">
        <w:tc>
          <w:tcPr>
            <w:tcW w:w="2108" w:type="dxa"/>
            <w:vAlign w:val="center"/>
          </w:tcPr>
          <w:p w:rsidR="009E4037" w:rsidRDefault="009768B2">
            <w:pPr>
              <w:jc w:val="left"/>
            </w:pPr>
            <w:r>
              <w:rPr>
                <w:rFonts w:eastAsiaTheme="minorEastAsia"/>
                <w:szCs w:val="21"/>
              </w:rPr>
              <w:t>上投摩根基金管理有限公司</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15,374.20</w:t>
            </w:r>
          </w:p>
        </w:tc>
        <w:tc>
          <w:tcPr>
            <w:tcW w:w="3245" w:type="dxa"/>
            <w:vAlign w:val="center"/>
          </w:tcPr>
          <w:p w:rsidR="009E4037" w:rsidRDefault="009768B2">
            <w:pPr>
              <w:jc w:val="right"/>
            </w:pPr>
            <w:r>
              <w:rPr>
                <w:rFonts w:eastAsiaTheme="minorEastAsia"/>
                <w:szCs w:val="21"/>
              </w:rPr>
              <w:t>15,374.20</w:t>
            </w:r>
          </w:p>
        </w:tc>
      </w:tr>
      <w:tr w:rsidR="009E4037">
        <w:tc>
          <w:tcPr>
            <w:tcW w:w="2108" w:type="dxa"/>
            <w:vAlign w:val="center"/>
          </w:tcPr>
          <w:p w:rsidR="009E4037" w:rsidRDefault="009768B2">
            <w:pPr>
              <w:jc w:val="left"/>
            </w:pPr>
            <w:r>
              <w:rPr>
                <w:rFonts w:eastAsiaTheme="minorEastAsia"/>
                <w:szCs w:val="21"/>
              </w:rPr>
              <w:t>浦发银行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529.60</w:t>
            </w:r>
          </w:p>
        </w:tc>
        <w:tc>
          <w:tcPr>
            <w:tcW w:w="3245" w:type="dxa"/>
            <w:vAlign w:val="center"/>
          </w:tcPr>
          <w:p w:rsidR="009E4037" w:rsidRDefault="009768B2">
            <w:pPr>
              <w:jc w:val="right"/>
            </w:pPr>
            <w:r>
              <w:rPr>
                <w:rFonts w:eastAsiaTheme="minorEastAsia"/>
                <w:szCs w:val="21"/>
              </w:rPr>
              <w:t>529.60</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19,181.76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19,181.76</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2018</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9E4037">
        <w:tc>
          <w:tcPr>
            <w:tcW w:w="2108" w:type="dxa"/>
            <w:vAlign w:val="center"/>
          </w:tcPr>
          <w:p w:rsidR="009E4037" w:rsidRDefault="009768B2">
            <w:pPr>
              <w:jc w:val="left"/>
            </w:pPr>
            <w:r>
              <w:rPr>
                <w:rFonts w:eastAsiaTheme="minorEastAsia"/>
                <w:szCs w:val="21"/>
              </w:rPr>
              <w:t>上投摩根基金管理有限公司</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4,105.21</w:t>
            </w:r>
          </w:p>
        </w:tc>
        <w:tc>
          <w:tcPr>
            <w:tcW w:w="3245" w:type="dxa"/>
            <w:vAlign w:val="center"/>
          </w:tcPr>
          <w:p w:rsidR="009E4037" w:rsidRDefault="009768B2">
            <w:pPr>
              <w:jc w:val="right"/>
            </w:pPr>
            <w:r>
              <w:rPr>
                <w:rFonts w:eastAsiaTheme="minorEastAsia"/>
                <w:szCs w:val="21"/>
              </w:rPr>
              <w:t>4,105.21</w:t>
            </w:r>
          </w:p>
        </w:tc>
      </w:tr>
      <w:tr w:rsidR="009E4037">
        <w:tc>
          <w:tcPr>
            <w:tcW w:w="2108" w:type="dxa"/>
            <w:vAlign w:val="center"/>
          </w:tcPr>
          <w:p w:rsidR="009E4037" w:rsidRDefault="009768B2">
            <w:pPr>
              <w:jc w:val="left"/>
            </w:pPr>
            <w:r>
              <w:rPr>
                <w:rFonts w:eastAsiaTheme="minorEastAsia"/>
                <w:szCs w:val="21"/>
              </w:rPr>
              <w:t>中国银行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3,624.94</w:t>
            </w:r>
          </w:p>
        </w:tc>
        <w:tc>
          <w:tcPr>
            <w:tcW w:w="3245" w:type="dxa"/>
            <w:vAlign w:val="center"/>
          </w:tcPr>
          <w:p w:rsidR="009E4037" w:rsidRDefault="009768B2">
            <w:pPr>
              <w:jc w:val="right"/>
            </w:pPr>
            <w:r>
              <w:rPr>
                <w:rFonts w:eastAsiaTheme="minorEastAsia"/>
                <w:szCs w:val="21"/>
              </w:rPr>
              <w:t>3,624.94</w:t>
            </w:r>
          </w:p>
        </w:tc>
      </w:tr>
      <w:tr w:rsidR="009E4037">
        <w:tc>
          <w:tcPr>
            <w:tcW w:w="2108" w:type="dxa"/>
            <w:vAlign w:val="center"/>
          </w:tcPr>
          <w:p w:rsidR="009E4037" w:rsidRDefault="009768B2">
            <w:pPr>
              <w:jc w:val="left"/>
            </w:pPr>
            <w:r>
              <w:rPr>
                <w:rFonts w:eastAsiaTheme="minorEastAsia"/>
                <w:szCs w:val="21"/>
              </w:rPr>
              <w:t>浦发银行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517.95</w:t>
            </w:r>
          </w:p>
        </w:tc>
        <w:tc>
          <w:tcPr>
            <w:tcW w:w="3245" w:type="dxa"/>
            <w:vAlign w:val="center"/>
          </w:tcPr>
          <w:p w:rsidR="009E4037" w:rsidRDefault="009768B2">
            <w:pPr>
              <w:jc w:val="right"/>
            </w:pPr>
            <w:r>
              <w:rPr>
                <w:rFonts w:eastAsiaTheme="minorEastAsia"/>
                <w:szCs w:val="21"/>
              </w:rPr>
              <w:t>517.95</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8,248.10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8,248.10</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注：支付销售机构的</w:t>
      </w:r>
      <w:r>
        <w:rPr>
          <w:rFonts w:eastAsiaTheme="minorEastAsia"/>
          <w:kern w:val="0"/>
          <w:szCs w:val="21"/>
        </w:rPr>
        <w:t>B</w:t>
      </w:r>
      <w:r>
        <w:rPr>
          <w:rFonts w:eastAsiaTheme="minorEastAsia"/>
          <w:kern w:val="0"/>
          <w:szCs w:val="21"/>
        </w:rPr>
        <w:t>类基金份额销售服务费按前一日</w:t>
      </w:r>
      <w:r>
        <w:rPr>
          <w:rFonts w:eastAsiaTheme="minorEastAsia"/>
          <w:kern w:val="0"/>
          <w:szCs w:val="21"/>
        </w:rPr>
        <w:t>B</w:t>
      </w:r>
      <w:r>
        <w:rPr>
          <w:rFonts w:eastAsiaTheme="minorEastAsia"/>
          <w:kern w:val="0"/>
          <w:szCs w:val="21"/>
        </w:rPr>
        <w:t>类基金份额的基金资产净值</w:t>
      </w:r>
      <w:r>
        <w:rPr>
          <w:rFonts w:eastAsiaTheme="minorEastAsia"/>
          <w:kern w:val="0"/>
          <w:szCs w:val="21"/>
        </w:rPr>
        <w:t>0.4%</w:t>
      </w:r>
      <w:r>
        <w:rPr>
          <w:rFonts w:eastAsiaTheme="minorEastAsia"/>
          <w:kern w:val="0"/>
          <w:szCs w:val="21"/>
        </w:rPr>
        <w:t>的年费率计提，每日计提，按月支付。由基金管理人上投摩根基金管理有限公司与基金托管人中国银行核对一致后，由中国银行从基金财产中一次性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r>
        <w:rPr>
          <w:rFonts w:eastAsiaTheme="minorEastAsia"/>
          <w:kern w:val="0"/>
          <w:szCs w:val="21"/>
        </w:rPr>
        <w:t xml:space="preserve"> </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日销售服务费＝前一日</w:t>
      </w:r>
      <w:r w:rsidRPr="00D46E57">
        <w:rPr>
          <w:rFonts w:eastAsiaTheme="minorEastAsia"/>
          <w:kern w:val="0"/>
          <w:szCs w:val="21"/>
        </w:rPr>
        <w:t>B</w:t>
      </w:r>
      <w:r w:rsidRPr="00D46E57">
        <w:rPr>
          <w:rFonts w:eastAsiaTheme="minorEastAsia"/>
          <w:kern w:val="0"/>
          <w:szCs w:val="21"/>
        </w:rPr>
        <w:t>类基金份额基金资产净值</w:t>
      </w:r>
      <w:r w:rsidRPr="00D46E57">
        <w:rPr>
          <w:rFonts w:eastAsiaTheme="minorEastAsia"/>
          <w:kern w:val="0"/>
          <w:szCs w:val="21"/>
        </w:rPr>
        <w:t xml:space="preserve"> X 0.4% /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6.4.10.4 </w:t>
      </w:r>
      <w:r w:rsidRPr="00D46E57">
        <w:rPr>
          <w:rFonts w:eastAsiaTheme="minorEastAsia"/>
          <w:b/>
          <w:bCs/>
          <w:color w:val="000000"/>
          <w:szCs w:val="21"/>
        </w:rPr>
        <w:t>各关联方投资本基金的情况</w:t>
      </w:r>
    </w:p>
    <w:p w:rsidR="001548F9" w:rsidRPr="00D46E57" w:rsidRDefault="001548F9" w:rsidP="006E0888">
      <w:pPr>
        <w:adjustRightInd w:val="0"/>
        <w:snapToGrid w:val="0"/>
        <w:spacing w:line="360" w:lineRule="auto"/>
        <w:jc w:val="left"/>
        <w:rPr>
          <w:rFonts w:eastAsiaTheme="minorEastAsia"/>
          <w:b/>
          <w:bCs/>
          <w:color w:val="000000"/>
          <w:szCs w:val="21"/>
        </w:rPr>
      </w:pPr>
      <w:r w:rsidRPr="00D46E57">
        <w:rPr>
          <w:rFonts w:eastAsiaTheme="minorEastAsia"/>
          <w:b/>
          <w:bCs/>
          <w:color w:val="000000"/>
          <w:kern w:val="0"/>
          <w:szCs w:val="21"/>
        </w:rPr>
        <w:t xml:space="preserve">6.4.10.4.1 </w:t>
      </w:r>
      <w:r w:rsidRPr="00D46E57">
        <w:rPr>
          <w:rFonts w:eastAsiaTheme="minorEastAsia"/>
          <w:b/>
          <w:bCs/>
          <w:color w:val="000000"/>
          <w:szCs w:val="21"/>
        </w:rPr>
        <w:t>报告期内基金管理人运用固有资金投资本基金的情况</w:t>
      </w:r>
    </w:p>
    <w:p w:rsidR="001548F9" w:rsidRPr="00D46E57" w:rsidRDefault="007E17E7"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6.4.10.4.2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9E4037">
        <w:tc>
          <w:tcPr>
            <w:tcW w:w="2694" w:type="dxa"/>
            <w:vAlign w:val="center"/>
          </w:tcPr>
          <w:p w:rsidR="009E4037" w:rsidRDefault="009768B2">
            <w:pPr>
              <w:jc w:val="left"/>
            </w:pPr>
            <w:r>
              <w:rPr>
                <w:rFonts w:eastAsiaTheme="minorEastAsia"/>
                <w:szCs w:val="21"/>
              </w:rPr>
              <w:t>中国银行</w:t>
            </w:r>
          </w:p>
        </w:tc>
        <w:tc>
          <w:tcPr>
            <w:tcW w:w="1417" w:type="dxa"/>
            <w:vAlign w:val="center"/>
          </w:tcPr>
          <w:p w:rsidR="009E4037" w:rsidRDefault="009768B2">
            <w:pPr>
              <w:jc w:val="right"/>
            </w:pPr>
            <w:r>
              <w:rPr>
                <w:rFonts w:eastAsiaTheme="minorEastAsia"/>
                <w:szCs w:val="21"/>
              </w:rPr>
              <w:t>564,020.92</w:t>
            </w:r>
          </w:p>
        </w:tc>
        <w:tc>
          <w:tcPr>
            <w:tcW w:w="1736" w:type="dxa"/>
            <w:vAlign w:val="center"/>
          </w:tcPr>
          <w:p w:rsidR="009E4037" w:rsidRDefault="009768B2">
            <w:pPr>
              <w:jc w:val="right"/>
            </w:pPr>
            <w:r>
              <w:rPr>
                <w:rFonts w:eastAsiaTheme="minorEastAsia"/>
                <w:szCs w:val="21"/>
              </w:rPr>
              <w:t>6,486.89</w:t>
            </w:r>
          </w:p>
        </w:tc>
        <w:tc>
          <w:tcPr>
            <w:tcW w:w="1383" w:type="dxa"/>
            <w:vAlign w:val="center"/>
          </w:tcPr>
          <w:p w:rsidR="009E4037" w:rsidRDefault="009768B2">
            <w:pPr>
              <w:jc w:val="right"/>
            </w:pPr>
            <w:r>
              <w:rPr>
                <w:rFonts w:eastAsiaTheme="minorEastAsia"/>
                <w:szCs w:val="21"/>
              </w:rPr>
              <w:t>108,271.59</w:t>
            </w:r>
          </w:p>
        </w:tc>
        <w:tc>
          <w:tcPr>
            <w:tcW w:w="1770" w:type="dxa"/>
            <w:vAlign w:val="center"/>
          </w:tcPr>
          <w:p w:rsidR="009E4037" w:rsidRDefault="009768B2">
            <w:pPr>
              <w:jc w:val="right"/>
            </w:pPr>
            <w:r>
              <w:rPr>
                <w:rFonts w:eastAsiaTheme="minorEastAsia"/>
                <w:szCs w:val="21"/>
              </w:rPr>
              <w:t>7,073.99</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注：本基金的银行存款由基金托管人中国银行保管，按银行同业利率或约定利率计息。</w:t>
      </w:r>
    </w:p>
    <w:p w:rsidR="00FA19BB" w:rsidRPr="00D46E57" w:rsidRDefault="00FA19BB"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本基金在承销期内参与关联方承销证券的情况</w:t>
      </w:r>
    </w:p>
    <w:p w:rsidR="001548F9" w:rsidRPr="00D46E57" w:rsidRDefault="00FA19BB"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84393" w:rsidRPr="00D46E57" w:rsidRDefault="00184393" w:rsidP="00184393">
      <w:pPr>
        <w:adjustRightInd w:val="0"/>
        <w:snapToGrid w:val="0"/>
        <w:spacing w:line="360" w:lineRule="auto"/>
        <w:jc w:val="left"/>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A</w:t>
      </w:r>
      <w:r w:rsidRPr="00D46E57">
        <w:rPr>
          <w:rFonts w:eastAsiaTheme="minorEastAsia"/>
          <w:kern w:val="0"/>
          <w:szCs w:val="21"/>
        </w:rPr>
        <w:t>类</w:t>
      </w:r>
    </w:p>
    <w:p w:rsidR="00184393" w:rsidRPr="00D46E57" w:rsidRDefault="00184393" w:rsidP="00184393">
      <w:pPr>
        <w:autoSpaceDE w:val="0"/>
        <w:autoSpaceDN w:val="0"/>
        <w:adjustRightInd w:val="0"/>
        <w:spacing w:before="29" w:line="360"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84393" w:rsidRPr="00D46E57" w:rsidTr="00826D3D">
        <w:trPr>
          <w:trHeight w:val="1323"/>
        </w:trPr>
        <w:tc>
          <w:tcPr>
            <w:tcW w:w="853" w:type="dxa"/>
            <w:vMerge w:val="restart"/>
            <w:shd w:val="clear" w:color="auto" w:fill="auto"/>
            <w:vAlign w:val="center"/>
          </w:tcPr>
          <w:p w:rsidR="00184393" w:rsidRPr="00D46E57" w:rsidRDefault="00184393" w:rsidP="00982EE8">
            <w:pPr>
              <w:autoSpaceDE w:val="0"/>
              <w:autoSpaceDN w:val="0"/>
              <w:adjustRightInd w:val="0"/>
              <w:spacing w:before="29" w:line="360" w:lineRule="auto"/>
              <w:ind w:right="210"/>
              <w:jc w:val="center"/>
              <w:rPr>
                <w:rFonts w:eastAsiaTheme="minorEastAsia"/>
                <w:bCs/>
                <w:color w:val="000000"/>
                <w:szCs w:val="21"/>
              </w:rPr>
            </w:pPr>
            <w:r w:rsidRPr="00D46E57">
              <w:rPr>
                <w:rFonts w:eastAsiaTheme="minorEastAsia"/>
                <w:color w:val="000000"/>
                <w:szCs w:val="21"/>
              </w:rPr>
              <w:t>序号</w:t>
            </w:r>
          </w:p>
        </w:tc>
        <w:tc>
          <w:tcPr>
            <w:tcW w:w="1216"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权益登记日</w:t>
            </w: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除息日</w:t>
            </w:r>
          </w:p>
        </w:tc>
        <w:tc>
          <w:tcPr>
            <w:tcW w:w="1171"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每</w:t>
            </w:r>
            <w:r w:rsidRPr="00D46E57">
              <w:rPr>
                <w:rFonts w:eastAsiaTheme="minorEastAsia"/>
                <w:color w:val="000000"/>
                <w:szCs w:val="21"/>
              </w:rPr>
              <w:t>10</w:t>
            </w:r>
            <w:r w:rsidRPr="00D46E57">
              <w:rPr>
                <w:rFonts w:eastAsiaTheme="minorEastAsia"/>
                <w:color w:val="000000"/>
                <w:szCs w:val="21"/>
              </w:rPr>
              <w:t>份基金份额</w:t>
            </w:r>
            <w:r w:rsidRPr="00D46E57">
              <w:rPr>
                <w:rFonts w:eastAsiaTheme="minorEastAsia"/>
                <w:color w:val="000000"/>
                <w:szCs w:val="21"/>
              </w:rPr>
              <w:lastRenderedPageBreak/>
              <w:t>分红数</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lang w:val="en-AU"/>
              </w:rPr>
              <w:lastRenderedPageBreak/>
              <w:t>现金</w:t>
            </w:r>
            <w:r w:rsidRPr="00D46E57">
              <w:rPr>
                <w:rFonts w:eastAsiaTheme="minorEastAsia"/>
                <w:color w:val="000000"/>
                <w:szCs w:val="21"/>
              </w:rPr>
              <w:t>形式发放总额</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r w:rsidRPr="00D46E57">
              <w:rPr>
                <w:rFonts w:eastAsiaTheme="minorEastAsia"/>
                <w:color w:val="000000"/>
                <w:szCs w:val="21"/>
                <w:lang w:val="en-AU"/>
              </w:rPr>
              <w:t>再投资形式发放总</w:t>
            </w:r>
            <w:r w:rsidRPr="00D46E57">
              <w:rPr>
                <w:rFonts w:eastAsiaTheme="minorEastAsia"/>
                <w:color w:val="000000"/>
                <w:szCs w:val="21"/>
                <w:lang w:val="en-AU"/>
              </w:rPr>
              <w:lastRenderedPageBreak/>
              <w:t>额</w:t>
            </w:r>
          </w:p>
        </w:tc>
        <w:tc>
          <w:tcPr>
            <w:tcW w:w="1325"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lastRenderedPageBreak/>
              <w:t>利润分配合计</w:t>
            </w:r>
          </w:p>
        </w:tc>
        <w:tc>
          <w:tcPr>
            <w:tcW w:w="948"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备注</w:t>
            </w:r>
          </w:p>
        </w:tc>
      </w:tr>
      <w:tr w:rsidR="00184393" w:rsidRPr="00D46E57" w:rsidTr="00826D3D">
        <w:trPr>
          <w:trHeight w:val="1323"/>
        </w:trPr>
        <w:tc>
          <w:tcPr>
            <w:tcW w:w="853" w:type="dxa"/>
            <w:vMerge/>
            <w:shd w:val="clear" w:color="auto" w:fill="auto"/>
          </w:tcPr>
          <w:p w:rsidR="00184393" w:rsidRPr="00D46E57" w:rsidRDefault="00184393" w:rsidP="00982EE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场内</w:t>
            </w: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场外</w:t>
            </w:r>
          </w:p>
        </w:tc>
        <w:tc>
          <w:tcPr>
            <w:tcW w:w="1171"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c>
          <w:tcPr>
            <w:tcW w:w="948"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r>
      <w:tr w:rsidR="009E4037">
        <w:tc>
          <w:tcPr>
            <w:tcW w:w="853" w:type="dxa"/>
            <w:vAlign w:val="center"/>
          </w:tcPr>
          <w:p w:rsidR="009E4037" w:rsidRDefault="009768B2">
            <w:pPr>
              <w:jc w:val="center"/>
            </w:pPr>
            <w:r>
              <w:rPr>
                <w:rFonts w:eastAsiaTheme="minorEastAsia"/>
                <w:szCs w:val="21"/>
              </w:rPr>
              <w:lastRenderedPageBreak/>
              <w:t>1</w:t>
            </w:r>
          </w:p>
        </w:tc>
        <w:tc>
          <w:tcPr>
            <w:tcW w:w="1216" w:type="dxa"/>
            <w:vAlign w:val="center"/>
          </w:tcPr>
          <w:p w:rsidR="009E4037" w:rsidRDefault="009768B2">
            <w:pPr>
              <w:jc w:val="center"/>
            </w:pPr>
            <w:r>
              <w:rPr>
                <w:rFonts w:eastAsiaTheme="minorEastAsia"/>
                <w:szCs w:val="21"/>
              </w:rPr>
              <w:t>2019-01-16</w:t>
            </w:r>
          </w:p>
        </w:tc>
        <w:tc>
          <w:tcPr>
            <w:tcW w:w="739" w:type="dxa"/>
            <w:vAlign w:val="center"/>
          </w:tcPr>
          <w:p w:rsidR="009E4037" w:rsidRDefault="009768B2">
            <w:pPr>
              <w:jc w:val="center"/>
            </w:pPr>
            <w:r>
              <w:rPr>
                <w:rFonts w:eastAsiaTheme="minorEastAsia"/>
                <w:szCs w:val="21"/>
              </w:rPr>
              <w:t>-</w:t>
            </w:r>
          </w:p>
        </w:tc>
        <w:tc>
          <w:tcPr>
            <w:tcW w:w="739" w:type="dxa"/>
            <w:vAlign w:val="center"/>
          </w:tcPr>
          <w:p w:rsidR="009E4037" w:rsidRDefault="009768B2">
            <w:pPr>
              <w:jc w:val="center"/>
            </w:pPr>
            <w:r>
              <w:rPr>
                <w:rFonts w:eastAsiaTheme="minorEastAsia"/>
                <w:szCs w:val="21"/>
              </w:rPr>
              <w:t>2019-01-16</w:t>
            </w:r>
          </w:p>
        </w:tc>
        <w:tc>
          <w:tcPr>
            <w:tcW w:w="1171" w:type="dxa"/>
            <w:vAlign w:val="center"/>
          </w:tcPr>
          <w:p w:rsidR="009E4037" w:rsidRDefault="009768B2">
            <w:pPr>
              <w:jc w:val="right"/>
            </w:pPr>
            <w:r>
              <w:rPr>
                <w:rFonts w:eastAsiaTheme="minorEastAsia"/>
                <w:szCs w:val="21"/>
              </w:rPr>
              <w:t>0.080</w:t>
            </w:r>
          </w:p>
        </w:tc>
        <w:tc>
          <w:tcPr>
            <w:tcW w:w="1325" w:type="dxa"/>
            <w:vAlign w:val="center"/>
          </w:tcPr>
          <w:p w:rsidR="009E4037" w:rsidRDefault="009768B2">
            <w:pPr>
              <w:jc w:val="right"/>
            </w:pPr>
            <w:r>
              <w:rPr>
                <w:rFonts w:eastAsiaTheme="minorEastAsia"/>
                <w:szCs w:val="21"/>
              </w:rPr>
              <w:t>219,078.40</w:t>
            </w:r>
          </w:p>
        </w:tc>
        <w:tc>
          <w:tcPr>
            <w:tcW w:w="1325" w:type="dxa"/>
            <w:vAlign w:val="center"/>
          </w:tcPr>
          <w:p w:rsidR="009E4037" w:rsidRDefault="009768B2">
            <w:pPr>
              <w:jc w:val="right"/>
            </w:pPr>
            <w:r>
              <w:rPr>
                <w:rFonts w:eastAsiaTheme="minorEastAsia"/>
                <w:szCs w:val="21"/>
              </w:rPr>
              <w:t>30,978.20</w:t>
            </w:r>
          </w:p>
        </w:tc>
        <w:tc>
          <w:tcPr>
            <w:tcW w:w="1325" w:type="dxa"/>
            <w:vAlign w:val="center"/>
          </w:tcPr>
          <w:p w:rsidR="009E4037" w:rsidRDefault="009768B2">
            <w:pPr>
              <w:jc w:val="right"/>
            </w:pPr>
            <w:r>
              <w:rPr>
                <w:rFonts w:eastAsiaTheme="minorEastAsia"/>
                <w:szCs w:val="21"/>
              </w:rPr>
              <w:t>250,056.60</w:t>
            </w:r>
          </w:p>
        </w:tc>
        <w:tc>
          <w:tcPr>
            <w:tcW w:w="948" w:type="dxa"/>
            <w:vAlign w:val="center"/>
          </w:tcPr>
          <w:p w:rsidR="009E4037" w:rsidRDefault="009768B2">
            <w:pPr>
              <w:jc w:val="left"/>
            </w:pPr>
            <w:r>
              <w:rPr>
                <w:rFonts w:eastAsiaTheme="minorEastAsia"/>
                <w:szCs w:val="21"/>
              </w:rPr>
              <w:t>-</w:t>
            </w:r>
          </w:p>
        </w:tc>
      </w:tr>
      <w:tr w:rsidR="00184393" w:rsidRPr="00D46E57" w:rsidTr="00826D3D">
        <w:tc>
          <w:tcPr>
            <w:tcW w:w="853" w:type="dxa"/>
            <w:shd w:val="clear" w:color="auto" w:fill="auto"/>
            <w:vAlign w:val="center"/>
          </w:tcPr>
          <w:p w:rsidR="00184393" w:rsidRPr="00D46E57" w:rsidRDefault="00184393" w:rsidP="00982EE8">
            <w:pPr>
              <w:spacing w:line="360" w:lineRule="auto"/>
              <w:ind w:leftChars="50" w:left="105"/>
              <w:rPr>
                <w:rFonts w:eastAsiaTheme="minorEastAsia"/>
                <w:color w:val="000000"/>
                <w:szCs w:val="21"/>
              </w:rPr>
            </w:pPr>
            <w:r w:rsidRPr="00D46E57">
              <w:rPr>
                <w:rFonts w:eastAsiaTheme="minorEastAsia"/>
                <w:szCs w:val="21"/>
              </w:rPr>
              <w:t>合计</w:t>
            </w:r>
          </w:p>
        </w:tc>
        <w:tc>
          <w:tcPr>
            <w:tcW w:w="1216"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171"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0.080</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219,078.40</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30,978.20</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250,056.60</w:t>
            </w:r>
          </w:p>
        </w:tc>
        <w:tc>
          <w:tcPr>
            <w:tcW w:w="948" w:type="dxa"/>
            <w:shd w:val="clear" w:color="auto" w:fill="auto"/>
            <w:vAlign w:val="center"/>
          </w:tcPr>
          <w:p w:rsidR="00184393" w:rsidRPr="00D46E57" w:rsidRDefault="00184393" w:rsidP="00982EE8">
            <w:pPr>
              <w:spacing w:line="360" w:lineRule="auto"/>
              <w:rPr>
                <w:rFonts w:eastAsiaTheme="minorEastAsia"/>
                <w:szCs w:val="21"/>
              </w:rPr>
            </w:pPr>
            <w:r w:rsidRPr="00D46E57">
              <w:rPr>
                <w:rFonts w:eastAsiaTheme="minorEastAsia"/>
                <w:szCs w:val="21"/>
              </w:rPr>
              <w:t>-</w:t>
            </w:r>
          </w:p>
        </w:tc>
      </w:tr>
    </w:tbl>
    <w:p w:rsidR="00184393" w:rsidRPr="00D46E57" w:rsidRDefault="00184393" w:rsidP="00184393">
      <w:pPr>
        <w:adjustRightInd w:val="0"/>
        <w:snapToGrid w:val="0"/>
        <w:spacing w:line="360" w:lineRule="auto"/>
        <w:jc w:val="left"/>
        <w:rPr>
          <w:rFonts w:eastAsiaTheme="minorEastAsia"/>
          <w:bCs/>
          <w:color w:val="000000"/>
          <w:szCs w:val="21"/>
        </w:rPr>
      </w:pPr>
      <w:r w:rsidRPr="00D46E57">
        <w:rPr>
          <w:rFonts w:eastAsiaTheme="minorEastAsia"/>
          <w:bCs/>
          <w:color w:val="000000"/>
          <w:szCs w:val="21"/>
        </w:rPr>
        <w:t>上投摩根分红添利债券</w:t>
      </w:r>
      <w:r w:rsidRPr="00D46E57">
        <w:rPr>
          <w:rFonts w:eastAsiaTheme="minorEastAsia"/>
          <w:bCs/>
          <w:color w:val="000000"/>
          <w:szCs w:val="21"/>
        </w:rPr>
        <w:t>B</w:t>
      </w:r>
      <w:r w:rsidRPr="00D46E57">
        <w:rPr>
          <w:rFonts w:eastAsiaTheme="minorEastAsia"/>
          <w:bCs/>
          <w:color w:val="000000"/>
          <w:szCs w:val="21"/>
        </w:rPr>
        <w:t>类</w:t>
      </w:r>
    </w:p>
    <w:p w:rsidR="00184393" w:rsidRPr="00D46E57" w:rsidRDefault="00184393" w:rsidP="00184393">
      <w:pPr>
        <w:autoSpaceDE w:val="0"/>
        <w:autoSpaceDN w:val="0"/>
        <w:adjustRightInd w:val="0"/>
        <w:spacing w:before="29" w:line="360" w:lineRule="auto"/>
        <w:ind w:left="15" w:right="210"/>
        <w:jc w:val="right"/>
        <w:rPr>
          <w:rFonts w:eastAsiaTheme="minorEastAsia"/>
          <w:color w:val="000000"/>
          <w:szCs w:val="21"/>
        </w:rPr>
      </w:pPr>
      <w:r w:rsidRPr="00D46E57">
        <w:rPr>
          <w:rFonts w:eastAsiaTheme="minorEastAsia"/>
          <w:color w:val="000000"/>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84393" w:rsidRPr="00D46E57" w:rsidTr="00826D3D">
        <w:trPr>
          <w:trHeight w:val="1323"/>
        </w:trPr>
        <w:tc>
          <w:tcPr>
            <w:tcW w:w="853" w:type="dxa"/>
            <w:vMerge w:val="restart"/>
            <w:shd w:val="clear" w:color="auto" w:fill="auto"/>
            <w:vAlign w:val="center"/>
          </w:tcPr>
          <w:p w:rsidR="00184393" w:rsidRPr="00D46E57" w:rsidRDefault="00184393" w:rsidP="00982EE8">
            <w:pPr>
              <w:autoSpaceDE w:val="0"/>
              <w:autoSpaceDN w:val="0"/>
              <w:adjustRightInd w:val="0"/>
              <w:spacing w:before="29" w:line="360" w:lineRule="auto"/>
              <w:ind w:right="210"/>
              <w:jc w:val="center"/>
              <w:rPr>
                <w:rFonts w:eastAsiaTheme="minorEastAsia"/>
                <w:bCs/>
                <w:color w:val="000000"/>
                <w:szCs w:val="21"/>
              </w:rPr>
            </w:pPr>
            <w:r w:rsidRPr="00D46E57">
              <w:rPr>
                <w:rFonts w:eastAsiaTheme="minorEastAsia"/>
                <w:color w:val="000000"/>
                <w:szCs w:val="21"/>
              </w:rPr>
              <w:t>序号</w:t>
            </w:r>
          </w:p>
        </w:tc>
        <w:tc>
          <w:tcPr>
            <w:tcW w:w="1216"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权益登记日</w:t>
            </w: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除息日</w:t>
            </w:r>
          </w:p>
        </w:tc>
        <w:tc>
          <w:tcPr>
            <w:tcW w:w="1171"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每</w:t>
            </w:r>
            <w:r w:rsidRPr="00D46E57">
              <w:rPr>
                <w:rFonts w:eastAsiaTheme="minorEastAsia"/>
                <w:color w:val="000000"/>
                <w:szCs w:val="21"/>
              </w:rPr>
              <w:t>10</w:t>
            </w:r>
            <w:r w:rsidRPr="00D46E57">
              <w:rPr>
                <w:rFonts w:eastAsiaTheme="minorEastAsia"/>
                <w:color w:val="000000"/>
                <w:szCs w:val="21"/>
              </w:rPr>
              <w:t>份基金份额分红数</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lang w:val="en-AU"/>
              </w:rPr>
              <w:t>现金</w:t>
            </w:r>
            <w:r w:rsidRPr="00D46E57">
              <w:rPr>
                <w:rFonts w:eastAsiaTheme="minorEastAsia"/>
                <w:color w:val="000000"/>
                <w:szCs w:val="21"/>
              </w:rPr>
              <w:t>形式发放总额</w:t>
            </w:r>
          </w:p>
        </w:tc>
        <w:tc>
          <w:tcPr>
            <w:tcW w:w="1325" w:type="dxa"/>
            <w:vMerge w:val="restart"/>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r w:rsidRPr="00D46E57">
              <w:rPr>
                <w:rFonts w:eastAsiaTheme="minorEastAsia"/>
                <w:color w:val="000000"/>
                <w:szCs w:val="21"/>
                <w:lang w:val="en-AU"/>
              </w:rPr>
              <w:t>再投资形式发放总额</w:t>
            </w:r>
          </w:p>
        </w:tc>
        <w:tc>
          <w:tcPr>
            <w:tcW w:w="1325"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利润分配合计</w:t>
            </w:r>
          </w:p>
        </w:tc>
        <w:tc>
          <w:tcPr>
            <w:tcW w:w="948" w:type="dxa"/>
            <w:vMerge w:val="restart"/>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r w:rsidRPr="00D46E57">
              <w:rPr>
                <w:rFonts w:eastAsiaTheme="minorEastAsia"/>
                <w:color w:val="000000"/>
                <w:szCs w:val="21"/>
                <w:lang w:val="en-AU"/>
              </w:rPr>
              <w:t>备注</w:t>
            </w:r>
          </w:p>
        </w:tc>
      </w:tr>
      <w:tr w:rsidR="00184393" w:rsidRPr="00D46E57" w:rsidTr="00826D3D">
        <w:trPr>
          <w:trHeight w:val="1323"/>
        </w:trPr>
        <w:tc>
          <w:tcPr>
            <w:tcW w:w="853" w:type="dxa"/>
            <w:vMerge/>
            <w:shd w:val="clear" w:color="auto" w:fill="auto"/>
          </w:tcPr>
          <w:p w:rsidR="00184393" w:rsidRPr="00D46E57" w:rsidRDefault="00184393" w:rsidP="00982EE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场内</w:t>
            </w:r>
          </w:p>
        </w:tc>
        <w:tc>
          <w:tcPr>
            <w:tcW w:w="739"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r w:rsidRPr="00D46E57">
              <w:rPr>
                <w:rFonts w:eastAsiaTheme="minorEastAsia"/>
                <w:color w:val="000000"/>
                <w:szCs w:val="21"/>
              </w:rPr>
              <w:t>场外</w:t>
            </w:r>
          </w:p>
        </w:tc>
        <w:tc>
          <w:tcPr>
            <w:tcW w:w="1171"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c>
          <w:tcPr>
            <w:tcW w:w="948" w:type="dxa"/>
            <w:vMerge/>
            <w:shd w:val="clear" w:color="auto" w:fill="auto"/>
            <w:vAlign w:val="center"/>
          </w:tcPr>
          <w:p w:rsidR="00184393" w:rsidRPr="00D46E57" w:rsidRDefault="00184393" w:rsidP="00982EE8">
            <w:pPr>
              <w:spacing w:line="360" w:lineRule="auto"/>
              <w:jc w:val="center"/>
              <w:rPr>
                <w:rFonts w:eastAsiaTheme="minorEastAsia"/>
                <w:color w:val="000000"/>
                <w:szCs w:val="21"/>
                <w:lang w:val="en-AU"/>
              </w:rPr>
            </w:pPr>
          </w:p>
        </w:tc>
      </w:tr>
      <w:tr w:rsidR="009E4037">
        <w:tc>
          <w:tcPr>
            <w:tcW w:w="853" w:type="dxa"/>
            <w:vAlign w:val="center"/>
          </w:tcPr>
          <w:p w:rsidR="009E4037" w:rsidRDefault="009768B2">
            <w:pPr>
              <w:jc w:val="center"/>
            </w:pPr>
            <w:r>
              <w:rPr>
                <w:rFonts w:eastAsiaTheme="minorEastAsia"/>
                <w:szCs w:val="21"/>
              </w:rPr>
              <w:t>1</w:t>
            </w:r>
          </w:p>
        </w:tc>
        <w:tc>
          <w:tcPr>
            <w:tcW w:w="1216" w:type="dxa"/>
            <w:vAlign w:val="center"/>
          </w:tcPr>
          <w:p w:rsidR="009E4037" w:rsidRDefault="009768B2">
            <w:pPr>
              <w:jc w:val="center"/>
            </w:pPr>
            <w:r>
              <w:rPr>
                <w:rFonts w:eastAsiaTheme="minorEastAsia"/>
                <w:szCs w:val="21"/>
              </w:rPr>
              <w:t>2019-01-16</w:t>
            </w:r>
          </w:p>
        </w:tc>
        <w:tc>
          <w:tcPr>
            <w:tcW w:w="739" w:type="dxa"/>
            <w:vAlign w:val="center"/>
          </w:tcPr>
          <w:p w:rsidR="009E4037" w:rsidRDefault="009768B2">
            <w:pPr>
              <w:jc w:val="center"/>
            </w:pPr>
            <w:r>
              <w:rPr>
                <w:rFonts w:eastAsiaTheme="minorEastAsia"/>
                <w:szCs w:val="21"/>
              </w:rPr>
              <w:t>-</w:t>
            </w:r>
          </w:p>
        </w:tc>
        <w:tc>
          <w:tcPr>
            <w:tcW w:w="739" w:type="dxa"/>
            <w:vAlign w:val="center"/>
          </w:tcPr>
          <w:p w:rsidR="009E4037" w:rsidRDefault="009768B2">
            <w:pPr>
              <w:jc w:val="center"/>
            </w:pPr>
            <w:r>
              <w:rPr>
                <w:rFonts w:eastAsiaTheme="minorEastAsia"/>
                <w:szCs w:val="21"/>
              </w:rPr>
              <w:t>2019-01-16</w:t>
            </w:r>
          </w:p>
        </w:tc>
        <w:tc>
          <w:tcPr>
            <w:tcW w:w="1171" w:type="dxa"/>
            <w:vAlign w:val="center"/>
          </w:tcPr>
          <w:p w:rsidR="009E4037" w:rsidRDefault="009768B2">
            <w:pPr>
              <w:jc w:val="right"/>
            </w:pPr>
            <w:r>
              <w:rPr>
                <w:rFonts w:eastAsiaTheme="minorEastAsia"/>
                <w:szCs w:val="21"/>
              </w:rPr>
              <w:t>0.060</w:t>
            </w:r>
          </w:p>
        </w:tc>
        <w:tc>
          <w:tcPr>
            <w:tcW w:w="1325" w:type="dxa"/>
            <w:vAlign w:val="center"/>
          </w:tcPr>
          <w:p w:rsidR="009E4037" w:rsidRDefault="009768B2">
            <w:pPr>
              <w:jc w:val="right"/>
            </w:pPr>
            <w:r>
              <w:rPr>
                <w:rFonts w:eastAsiaTheme="minorEastAsia"/>
                <w:szCs w:val="21"/>
              </w:rPr>
              <w:t>15,973.51</w:t>
            </w:r>
          </w:p>
        </w:tc>
        <w:tc>
          <w:tcPr>
            <w:tcW w:w="1325" w:type="dxa"/>
            <w:vAlign w:val="center"/>
          </w:tcPr>
          <w:p w:rsidR="009E4037" w:rsidRDefault="009768B2">
            <w:pPr>
              <w:jc w:val="right"/>
            </w:pPr>
            <w:r>
              <w:rPr>
                <w:rFonts w:eastAsiaTheme="minorEastAsia"/>
                <w:szCs w:val="21"/>
              </w:rPr>
              <w:t>7,878.77</w:t>
            </w:r>
          </w:p>
        </w:tc>
        <w:tc>
          <w:tcPr>
            <w:tcW w:w="1325" w:type="dxa"/>
            <w:vAlign w:val="center"/>
          </w:tcPr>
          <w:p w:rsidR="009E4037" w:rsidRDefault="009768B2">
            <w:pPr>
              <w:jc w:val="right"/>
            </w:pPr>
            <w:r>
              <w:rPr>
                <w:rFonts w:eastAsiaTheme="minorEastAsia"/>
                <w:szCs w:val="21"/>
              </w:rPr>
              <w:t>23,852.28</w:t>
            </w:r>
          </w:p>
        </w:tc>
        <w:tc>
          <w:tcPr>
            <w:tcW w:w="948" w:type="dxa"/>
            <w:vAlign w:val="center"/>
          </w:tcPr>
          <w:p w:rsidR="009E4037" w:rsidRDefault="009768B2">
            <w:pPr>
              <w:jc w:val="left"/>
            </w:pPr>
            <w:r>
              <w:rPr>
                <w:rFonts w:eastAsiaTheme="minorEastAsia"/>
                <w:szCs w:val="21"/>
              </w:rPr>
              <w:t>-</w:t>
            </w:r>
          </w:p>
        </w:tc>
      </w:tr>
      <w:tr w:rsidR="00184393" w:rsidRPr="00D46E57" w:rsidTr="00826D3D">
        <w:tc>
          <w:tcPr>
            <w:tcW w:w="853" w:type="dxa"/>
            <w:shd w:val="clear" w:color="auto" w:fill="auto"/>
            <w:vAlign w:val="center"/>
          </w:tcPr>
          <w:p w:rsidR="00184393" w:rsidRPr="00D46E57" w:rsidRDefault="00184393" w:rsidP="00982EE8">
            <w:pPr>
              <w:spacing w:line="360" w:lineRule="auto"/>
              <w:ind w:leftChars="50" w:left="105"/>
              <w:rPr>
                <w:rFonts w:eastAsiaTheme="minorEastAsia"/>
                <w:color w:val="000000"/>
                <w:szCs w:val="21"/>
              </w:rPr>
            </w:pPr>
            <w:r w:rsidRPr="00D46E57">
              <w:rPr>
                <w:rFonts w:eastAsiaTheme="minorEastAsia"/>
                <w:szCs w:val="21"/>
              </w:rPr>
              <w:t>合计</w:t>
            </w:r>
          </w:p>
        </w:tc>
        <w:tc>
          <w:tcPr>
            <w:tcW w:w="1216" w:type="dxa"/>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478" w:type="dxa"/>
            <w:gridSpan w:val="2"/>
            <w:shd w:val="clear" w:color="auto" w:fill="auto"/>
            <w:vAlign w:val="center"/>
          </w:tcPr>
          <w:p w:rsidR="00184393" w:rsidRPr="00D46E57" w:rsidRDefault="00184393" w:rsidP="00982EE8">
            <w:pPr>
              <w:spacing w:line="360" w:lineRule="auto"/>
              <w:ind w:leftChars="50" w:left="105"/>
              <w:jc w:val="center"/>
              <w:rPr>
                <w:rFonts w:eastAsiaTheme="minorEastAsia"/>
                <w:color w:val="000000"/>
                <w:szCs w:val="21"/>
              </w:rPr>
            </w:pPr>
          </w:p>
        </w:tc>
        <w:tc>
          <w:tcPr>
            <w:tcW w:w="1171"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0.060</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15,973.51</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7,878.77</w:t>
            </w:r>
          </w:p>
        </w:tc>
        <w:tc>
          <w:tcPr>
            <w:tcW w:w="1325" w:type="dxa"/>
            <w:shd w:val="clear" w:color="auto" w:fill="auto"/>
            <w:vAlign w:val="center"/>
          </w:tcPr>
          <w:p w:rsidR="00184393" w:rsidRPr="00D46E57" w:rsidRDefault="00184393" w:rsidP="00982EE8">
            <w:pPr>
              <w:spacing w:line="360" w:lineRule="auto"/>
              <w:jc w:val="right"/>
              <w:rPr>
                <w:rFonts w:eastAsiaTheme="minorEastAsia"/>
                <w:szCs w:val="21"/>
              </w:rPr>
            </w:pPr>
            <w:r w:rsidRPr="00D46E57">
              <w:rPr>
                <w:rFonts w:eastAsiaTheme="minorEastAsia"/>
                <w:szCs w:val="21"/>
              </w:rPr>
              <w:t>23,852.28</w:t>
            </w:r>
          </w:p>
        </w:tc>
        <w:tc>
          <w:tcPr>
            <w:tcW w:w="948" w:type="dxa"/>
            <w:shd w:val="clear" w:color="auto" w:fill="auto"/>
            <w:vAlign w:val="center"/>
          </w:tcPr>
          <w:p w:rsidR="00184393" w:rsidRPr="00D46E57" w:rsidRDefault="00184393" w:rsidP="00982EE8">
            <w:pPr>
              <w:spacing w:line="360" w:lineRule="auto"/>
              <w:rPr>
                <w:rFonts w:eastAsiaTheme="minorEastAsia"/>
                <w:szCs w:val="21"/>
              </w:rPr>
            </w:pPr>
            <w:r w:rsidRPr="00D46E57">
              <w:rPr>
                <w:rFonts w:eastAsiaTheme="minorEastAsia"/>
                <w:szCs w:val="21"/>
              </w:rPr>
              <w:t>-</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2019</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截至本报告期末</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06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日止，本基金从事证券交易所债券正回购交易形成的卖出回购证券款余额</w:t>
      </w:r>
      <w:r w:rsidRPr="00D46E57">
        <w:rPr>
          <w:rFonts w:eastAsiaTheme="minorEastAsia"/>
          <w:kern w:val="0"/>
          <w:szCs w:val="21"/>
        </w:rPr>
        <w:t>13,000,000.00</w:t>
      </w:r>
      <w:r w:rsidRPr="00D46E57">
        <w:rPr>
          <w:rFonts w:eastAsiaTheme="minorEastAsia"/>
          <w:kern w:val="0"/>
          <w:szCs w:val="21"/>
        </w:rPr>
        <w:t>元，于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07</w:t>
      </w:r>
      <w:r w:rsidRPr="00D46E57">
        <w:rPr>
          <w:rFonts w:eastAsiaTheme="minorEastAsia"/>
          <w:kern w:val="0"/>
          <w:szCs w:val="21"/>
        </w:rPr>
        <w:t>月</w:t>
      </w:r>
      <w:r w:rsidRPr="00D46E57">
        <w:rPr>
          <w:rFonts w:eastAsiaTheme="minorEastAsia"/>
          <w:kern w:val="0"/>
          <w:szCs w:val="21"/>
        </w:rPr>
        <w:t>01</w:t>
      </w:r>
      <w:r w:rsidRPr="00D46E57">
        <w:rPr>
          <w:rFonts w:eastAsiaTheme="minorEastAsia"/>
          <w:kern w:val="0"/>
          <w:szCs w:val="21"/>
        </w:rPr>
        <w:t>日</w:t>
      </w:r>
      <w:r w:rsidRPr="00D46E57">
        <w:rPr>
          <w:rFonts w:eastAsiaTheme="minorEastAsia"/>
          <w:kern w:val="0"/>
          <w:szCs w:val="21"/>
        </w:rPr>
        <w:t>(</w:t>
      </w:r>
      <w:r w:rsidRPr="00D46E57">
        <w:rPr>
          <w:rFonts w:eastAsiaTheme="minorEastAsia"/>
          <w:kern w:val="0"/>
          <w:szCs w:val="21"/>
        </w:rPr>
        <w:t>先后</w:t>
      </w:r>
      <w:r w:rsidRPr="00D46E57">
        <w:rPr>
          <w:rFonts w:eastAsiaTheme="minorEastAsia"/>
          <w:kern w:val="0"/>
          <w:szCs w:val="21"/>
        </w:rPr>
        <w:t>)</w:t>
      </w:r>
      <w:r w:rsidRPr="00D46E57">
        <w:rPr>
          <w:rFonts w:eastAsiaTheme="minorEastAsia"/>
          <w:kern w:val="0"/>
          <w:szCs w:val="21"/>
        </w:rPr>
        <w:t>到期。该类交易要求本基金转入质押库的债券，按证券交易所规定的比例折算为标准券后，不低于债券回购交易的余额。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是一只债券型证券投资基金，属于中低风险品种。本基金投资范围主要为固定收益类金融工具。本基金的基金管理人从事风险管理的主要目标是争取将以上风险控制在限定的范围之内，使本基金获取稳定的投资收益。在此基础上，适当参与新股发行申购及增发新股申购，在严格控制基金资产运作风险的基础上，实现基金资产的长期增值。</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9E4037" w:rsidRDefault="009E4037">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9E4037" w:rsidRDefault="009768B2">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本基金债券投资的信用评级情况按《中国人民银行信用评级管理指导意见》设定的标准统计及汇总。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9768B2" w:rsidP="00576C4E">
            <w:pPr>
              <w:jc w:val="right"/>
              <w:rPr>
                <w:rFonts w:eastAsiaTheme="minorEastAsia"/>
                <w:szCs w:val="21"/>
              </w:rPr>
            </w:pPr>
            <w:r>
              <w:rPr>
                <w:rFonts w:eastAsiaTheme="minorEastAsia"/>
                <w:szCs w:val="21"/>
              </w:rPr>
              <w:t>399,680</w:t>
            </w:r>
            <w:r w:rsidR="001548F9" w:rsidRPr="00D46E57">
              <w:rPr>
                <w:rFonts w:eastAsiaTheme="minorEastAsia"/>
                <w:szCs w:val="21"/>
              </w:rPr>
              <w:t>.00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9768B2" w:rsidP="00576C4E">
            <w:pPr>
              <w:jc w:val="right"/>
              <w:rPr>
                <w:rFonts w:eastAsiaTheme="minorEastAsia"/>
                <w:szCs w:val="21"/>
              </w:rPr>
            </w:pPr>
            <w:r>
              <w:rPr>
                <w:rFonts w:eastAsiaTheme="minorEastAsia"/>
                <w:szCs w:val="21"/>
              </w:rPr>
              <w:t>399,680</w:t>
            </w:r>
            <w:r w:rsidRPr="00D46E57">
              <w:rPr>
                <w:rFonts w:eastAsiaTheme="minorEastAsia"/>
                <w:szCs w:val="21"/>
              </w:rPr>
              <w:t>.00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6.4.13.2.2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9768B2" w:rsidP="00576C4E">
            <w:pPr>
              <w:jc w:val="right"/>
              <w:rPr>
                <w:rFonts w:eastAsiaTheme="minorEastAsia"/>
                <w:szCs w:val="21"/>
              </w:rPr>
            </w:pPr>
            <w:r>
              <w:rPr>
                <w:rFonts w:eastAsiaTheme="minorEastAsia"/>
                <w:szCs w:val="21"/>
              </w:rPr>
              <w:t>34,371,701.7</w:t>
            </w:r>
            <w:r w:rsidR="001548F9" w:rsidRPr="00D46E57">
              <w:rPr>
                <w:rFonts w:eastAsiaTheme="minorEastAsia"/>
                <w:szCs w:val="21"/>
              </w:rPr>
              <w:t>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21,682,740.00</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9768B2" w:rsidP="00576C4E">
            <w:pPr>
              <w:jc w:val="right"/>
              <w:rPr>
                <w:rFonts w:eastAsiaTheme="minorEastAsia"/>
                <w:szCs w:val="21"/>
              </w:rPr>
            </w:pPr>
            <w:r>
              <w:rPr>
                <w:rFonts w:eastAsiaTheme="minorEastAsia"/>
                <w:szCs w:val="21"/>
              </w:rPr>
              <w:t>10,209,132.2</w:t>
            </w:r>
            <w:r w:rsidR="001548F9" w:rsidRPr="00D46E57">
              <w:rPr>
                <w:rFonts w:eastAsiaTheme="minorEastAsia"/>
                <w:szCs w:val="21"/>
              </w:rPr>
              <w:t>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5,010,800.00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FB2B7E" w:rsidP="00576C4E">
            <w:pPr>
              <w:jc w:val="right"/>
              <w:rPr>
                <w:rFonts w:eastAsiaTheme="minorEastAsia"/>
                <w:szCs w:val="21"/>
              </w:rPr>
            </w:pPr>
            <w:r>
              <w:rPr>
                <w:rFonts w:eastAsiaTheme="minorEastAsia"/>
                <w:szCs w:val="21"/>
              </w:rPr>
              <w:t>1,515,15</w:t>
            </w:r>
            <w:r w:rsidR="001548F9" w:rsidRPr="00D46E57">
              <w:rPr>
                <w:rFonts w:eastAsiaTheme="minorEastAsia"/>
                <w:szCs w:val="21"/>
              </w:rPr>
              <w:t>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35,187,170.00</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9768B2" w:rsidP="00576C4E">
            <w:pPr>
              <w:jc w:val="right"/>
              <w:rPr>
                <w:rFonts w:eastAsiaTheme="minorEastAsia"/>
                <w:szCs w:val="21"/>
              </w:rPr>
            </w:pPr>
            <w:r>
              <w:rPr>
                <w:rFonts w:eastAsiaTheme="minorEastAsia"/>
                <w:szCs w:val="21"/>
              </w:rPr>
              <w:t>46,095,983</w:t>
            </w:r>
            <w:r w:rsidR="001548F9" w:rsidRPr="00D46E57">
              <w:rPr>
                <w:rFonts w:eastAsiaTheme="minorEastAsia"/>
                <w:szCs w:val="21"/>
              </w:rPr>
              <w:t>.90</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61,880,710.00</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注：未评级的债券为国债和政策性金融债。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9E4037" w:rsidRDefault="009768B2">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kern w:val="0"/>
          <w:szCs w:val="21"/>
        </w:rPr>
        <w:lastRenderedPageBreak/>
        <w:t>的交易市场不活跃而带来的变现困难或因投资集中而无法在市场出现剧烈波动的情况下以合理的价格变现。</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E4037" w:rsidRDefault="009E4037">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46E57">
        <w:rPr>
          <w:rFonts w:eastAsiaTheme="minorEastAsia"/>
          <w:kern w:val="0"/>
          <w:szCs w:val="21"/>
        </w:rPr>
        <w:t>10%</w:t>
      </w:r>
      <w:r w:rsidRPr="00D46E57">
        <w:rPr>
          <w:rFonts w:eastAsiaTheme="minorEastAsia"/>
          <w:kern w:val="0"/>
          <w:szCs w:val="21"/>
        </w:rPr>
        <w:t>，且本基金与由本基金的基金管理人管理的其他基金共同持有一家公司发行的证券不得超过该证券的</w:t>
      </w:r>
      <w:r w:rsidRPr="00D46E57">
        <w:rPr>
          <w:rFonts w:eastAsiaTheme="minorEastAsia"/>
          <w:kern w:val="0"/>
          <w:szCs w:val="21"/>
        </w:rPr>
        <w:t>10%</w:t>
      </w:r>
      <w:r w:rsidRPr="00D46E57">
        <w:rPr>
          <w:rFonts w:eastAsiaTheme="minorEastAsia"/>
          <w:kern w:val="0"/>
          <w:szCs w:val="21"/>
        </w:rPr>
        <w:t>。本基金所持部分证券在证券交易所上市，其余亦可在银行间同业市场交易，因此除附注</w:t>
      </w:r>
      <w:r w:rsidRPr="00D46E57">
        <w:rPr>
          <w:rFonts w:eastAsiaTheme="minorEastAsia"/>
          <w:kern w:val="0"/>
          <w:szCs w:val="21"/>
        </w:rPr>
        <w:t>6.4.12</w:t>
      </w:r>
      <w:r w:rsidRPr="00D46E57">
        <w:rPr>
          <w:rFonts w:eastAsiaTheme="minorEastAsia"/>
          <w:kern w:val="0"/>
          <w:szCs w:val="21"/>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9E4037" w:rsidRDefault="009768B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E4037" w:rsidRDefault="009E4037">
      <w:pPr>
        <w:widowControl/>
        <w:spacing w:line="360" w:lineRule="auto"/>
        <w:ind w:firstLineChars="200" w:firstLine="420"/>
        <w:rPr>
          <w:rFonts w:eastAsiaTheme="minorEastAsia"/>
          <w:color w:val="000000" w:themeColor="text1"/>
          <w:kern w:val="0"/>
          <w:szCs w:val="21"/>
        </w:rPr>
      </w:pPr>
    </w:p>
    <w:p w:rsidR="009E4037" w:rsidRDefault="009768B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w:t>
      </w:r>
      <w:r>
        <w:rPr>
          <w:rFonts w:eastAsiaTheme="minorEastAsia"/>
          <w:color w:val="000000" w:themeColor="text1"/>
          <w:kern w:val="0"/>
          <w:szCs w:val="21"/>
        </w:rPr>
        <w:lastRenderedPageBreak/>
        <w:t>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9E4037" w:rsidRDefault="009E4037">
      <w:pPr>
        <w:widowControl/>
        <w:spacing w:line="360" w:lineRule="auto"/>
        <w:ind w:firstLineChars="200" w:firstLine="420"/>
        <w:rPr>
          <w:rFonts w:eastAsiaTheme="minorEastAsia"/>
          <w:color w:val="000000" w:themeColor="text1"/>
          <w:kern w:val="0"/>
          <w:szCs w:val="21"/>
        </w:rPr>
      </w:pPr>
    </w:p>
    <w:p w:rsidR="009E4037" w:rsidRDefault="009768B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E4037" w:rsidRDefault="009E4037">
      <w:pPr>
        <w:widowControl/>
        <w:spacing w:line="360" w:lineRule="auto"/>
        <w:ind w:firstLineChars="200" w:firstLine="420"/>
        <w:rPr>
          <w:rFonts w:eastAsiaTheme="minorEastAsia"/>
          <w:color w:val="000000" w:themeColor="text1"/>
          <w:kern w:val="0"/>
          <w:szCs w:val="21"/>
        </w:rPr>
      </w:pPr>
    </w:p>
    <w:p w:rsidR="009E4037" w:rsidRDefault="009768B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E4037" w:rsidRDefault="009E4037">
      <w:pPr>
        <w:widowControl/>
        <w:spacing w:line="360" w:lineRule="auto"/>
        <w:ind w:firstLineChars="200" w:firstLine="420"/>
        <w:rPr>
          <w:rFonts w:eastAsiaTheme="minorEastAsia"/>
          <w:color w:val="000000" w:themeColor="text1"/>
          <w:kern w:val="0"/>
          <w:szCs w:val="21"/>
        </w:rPr>
      </w:pPr>
    </w:p>
    <w:p w:rsidR="009E4037" w:rsidRDefault="009768B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E4037" w:rsidRDefault="009E4037">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9E4037" w:rsidRDefault="009768B2">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lastRenderedPageBreak/>
        <w:t>本基金的基金管理人定期对本基金面临的利率敏感性缺口进行监控，并通过调整投资组合的久期等方法对上述利率风险进行管理。</w:t>
      </w:r>
    </w:p>
    <w:p w:rsidR="009E4037" w:rsidRDefault="009E4037">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本基金主要投资于交易所及银行间市场交易的固定收益品种，因此存在相应的利率风险。</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9768B2">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9768B2">
            <w:pPr>
              <w:spacing w:line="360" w:lineRule="auto"/>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9768B2">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合计</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r>
      <w:tr w:rsidR="009E4037">
        <w:tc>
          <w:tcPr>
            <w:tcW w:w="1246" w:type="dxa"/>
            <w:vAlign w:val="center"/>
          </w:tcPr>
          <w:p w:rsidR="009E4037" w:rsidRDefault="009768B2">
            <w:pPr>
              <w:jc w:val="center"/>
            </w:pPr>
            <w:r>
              <w:rPr>
                <w:rFonts w:eastAsiaTheme="minorEastAsia"/>
                <w:szCs w:val="21"/>
              </w:rPr>
              <w:t>银行存款</w:t>
            </w:r>
          </w:p>
        </w:tc>
        <w:tc>
          <w:tcPr>
            <w:tcW w:w="1586" w:type="dxa"/>
            <w:vAlign w:val="center"/>
          </w:tcPr>
          <w:p w:rsidR="009E4037" w:rsidRDefault="009768B2">
            <w:pPr>
              <w:jc w:val="right"/>
            </w:pPr>
            <w:r>
              <w:rPr>
                <w:rFonts w:eastAsiaTheme="minorEastAsia"/>
                <w:szCs w:val="21"/>
              </w:rPr>
              <w:t>564,020.92</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564,020.92</w:t>
            </w:r>
          </w:p>
        </w:tc>
      </w:tr>
      <w:tr w:rsidR="009E4037">
        <w:tc>
          <w:tcPr>
            <w:tcW w:w="1246" w:type="dxa"/>
            <w:vAlign w:val="center"/>
          </w:tcPr>
          <w:p w:rsidR="009E4037" w:rsidRDefault="009768B2">
            <w:pPr>
              <w:jc w:val="center"/>
            </w:pPr>
            <w:r>
              <w:rPr>
                <w:rFonts w:eastAsiaTheme="minorEastAsia"/>
                <w:szCs w:val="21"/>
              </w:rPr>
              <w:t>结算备付金</w:t>
            </w:r>
          </w:p>
        </w:tc>
        <w:tc>
          <w:tcPr>
            <w:tcW w:w="1586" w:type="dxa"/>
            <w:vAlign w:val="center"/>
          </w:tcPr>
          <w:p w:rsidR="009E4037" w:rsidRDefault="009768B2">
            <w:pPr>
              <w:jc w:val="right"/>
            </w:pPr>
            <w:r>
              <w:rPr>
                <w:rFonts w:eastAsiaTheme="minorEastAsia"/>
                <w:szCs w:val="21"/>
              </w:rPr>
              <w:t>432,709.39</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432,709.39</w:t>
            </w:r>
          </w:p>
        </w:tc>
      </w:tr>
      <w:tr w:rsidR="009E4037">
        <w:tc>
          <w:tcPr>
            <w:tcW w:w="1246" w:type="dxa"/>
            <w:vAlign w:val="center"/>
          </w:tcPr>
          <w:p w:rsidR="009E4037" w:rsidRDefault="009768B2">
            <w:pPr>
              <w:jc w:val="center"/>
            </w:pPr>
            <w:r>
              <w:rPr>
                <w:rFonts w:eastAsiaTheme="minorEastAsia"/>
                <w:szCs w:val="21"/>
              </w:rPr>
              <w:t>存出保证金</w:t>
            </w:r>
          </w:p>
        </w:tc>
        <w:tc>
          <w:tcPr>
            <w:tcW w:w="1586" w:type="dxa"/>
            <w:vAlign w:val="center"/>
          </w:tcPr>
          <w:p w:rsidR="009E4037" w:rsidRDefault="009768B2">
            <w:pPr>
              <w:jc w:val="right"/>
            </w:pPr>
            <w:r>
              <w:rPr>
                <w:rFonts w:eastAsiaTheme="minorEastAsia"/>
                <w:szCs w:val="21"/>
              </w:rPr>
              <w:t>5,986.03</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5,986.03</w:t>
            </w:r>
          </w:p>
        </w:tc>
      </w:tr>
      <w:tr w:rsidR="009E4037">
        <w:tc>
          <w:tcPr>
            <w:tcW w:w="1246" w:type="dxa"/>
            <w:vAlign w:val="center"/>
          </w:tcPr>
          <w:p w:rsidR="009E4037" w:rsidRDefault="009768B2">
            <w:pPr>
              <w:jc w:val="center"/>
            </w:pPr>
            <w:r>
              <w:rPr>
                <w:rFonts w:eastAsiaTheme="minorEastAsia"/>
                <w:szCs w:val="21"/>
              </w:rPr>
              <w:t>交易性金融资产</w:t>
            </w:r>
          </w:p>
        </w:tc>
        <w:tc>
          <w:tcPr>
            <w:tcW w:w="1586" w:type="dxa"/>
            <w:vAlign w:val="center"/>
          </w:tcPr>
          <w:p w:rsidR="009E4037" w:rsidRDefault="009768B2">
            <w:pPr>
              <w:jc w:val="right"/>
            </w:pPr>
            <w:r>
              <w:rPr>
                <w:rFonts w:eastAsiaTheme="minorEastAsia"/>
                <w:szCs w:val="21"/>
              </w:rPr>
              <w:t>37,753,891.70</w:t>
            </w:r>
          </w:p>
        </w:tc>
        <w:tc>
          <w:tcPr>
            <w:tcW w:w="1587" w:type="dxa"/>
            <w:vAlign w:val="center"/>
          </w:tcPr>
          <w:p w:rsidR="009E4037" w:rsidRDefault="009768B2">
            <w:pPr>
              <w:jc w:val="right"/>
            </w:pPr>
            <w:r>
              <w:rPr>
                <w:rFonts w:eastAsiaTheme="minorEastAsia"/>
                <w:szCs w:val="21"/>
              </w:rPr>
              <w:t>8,741,772.20</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46,495,663.90</w:t>
            </w:r>
          </w:p>
        </w:tc>
      </w:tr>
      <w:tr w:rsidR="009E4037">
        <w:tc>
          <w:tcPr>
            <w:tcW w:w="1246" w:type="dxa"/>
            <w:vAlign w:val="center"/>
          </w:tcPr>
          <w:p w:rsidR="009E4037" w:rsidRDefault="009768B2">
            <w:pPr>
              <w:jc w:val="center"/>
            </w:pPr>
            <w:r>
              <w:rPr>
                <w:rFonts w:eastAsiaTheme="minorEastAsia"/>
                <w:szCs w:val="21"/>
              </w:rPr>
              <w:t>买入返售金融资产</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r>
      <w:tr w:rsidR="009E4037">
        <w:tc>
          <w:tcPr>
            <w:tcW w:w="1246" w:type="dxa"/>
            <w:vAlign w:val="center"/>
          </w:tcPr>
          <w:p w:rsidR="009E4037" w:rsidRDefault="009768B2">
            <w:pPr>
              <w:jc w:val="center"/>
            </w:pPr>
            <w:r>
              <w:rPr>
                <w:rFonts w:eastAsiaTheme="minorEastAsia"/>
                <w:szCs w:val="21"/>
              </w:rPr>
              <w:t>应收证券清算款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r>
      <w:tr w:rsidR="009E4037">
        <w:tc>
          <w:tcPr>
            <w:tcW w:w="1246" w:type="dxa"/>
            <w:vAlign w:val="center"/>
          </w:tcPr>
          <w:p w:rsidR="009E4037" w:rsidRDefault="009768B2">
            <w:pPr>
              <w:jc w:val="center"/>
            </w:pPr>
            <w:r>
              <w:rPr>
                <w:rFonts w:eastAsiaTheme="minorEastAsia"/>
                <w:szCs w:val="21"/>
              </w:rPr>
              <w:t>应收利息</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998,489.87</w:t>
            </w:r>
          </w:p>
        </w:tc>
        <w:tc>
          <w:tcPr>
            <w:tcW w:w="1587" w:type="dxa"/>
            <w:vAlign w:val="center"/>
          </w:tcPr>
          <w:p w:rsidR="009E4037" w:rsidRDefault="009768B2">
            <w:pPr>
              <w:jc w:val="right"/>
            </w:pPr>
            <w:r>
              <w:rPr>
                <w:rFonts w:eastAsiaTheme="minorEastAsia"/>
                <w:szCs w:val="21"/>
              </w:rPr>
              <w:t>998,489.87</w:t>
            </w:r>
          </w:p>
        </w:tc>
      </w:tr>
      <w:tr w:rsidR="009E4037">
        <w:tc>
          <w:tcPr>
            <w:tcW w:w="1246" w:type="dxa"/>
            <w:vAlign w:val="center"/>
          </w:tcPr>
          <w:p w:rsidR="009E4037" w:rsidRDefault="009768B2">
            <w:pPr>
              <w:jc w:val="center"/>
            </w:pPr>
            <w:r>
              <w:rPr>
                <w:rFonts w:eastAsiaTheme="minorEastAsia"/>
                <w:szCs w:val="21"/>
              </w:rPr>
              <w:t>应收申购款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2,342.18</w:t>
            </w:r>
          </w:p>
        </w:tc>
        <w:tc>
          <w:tcPr>
            <w:tcW w:w="1587" w:type="dxa"/>
            <w:vAlign w:val="center"/>
          </w:tcPr>
          <w:p w:rsidR="009E4037" w:rsidRDefault="009768B2">
            <w:pPr>
              <w:jc w:val="right"/>
            </w:pPr>
            <w:r>
              <w:rPr>
                <w:rFonts w:eastAsiaTheme="minorEastAsia"/>
                <w:szCs w:val="21"/>
              </w:rPr>
              <w:t>2,342.18</w:t>
            </w:r>
          </w:p>
        </w:tc>
      </w:tr>
      <w:tr w:rsidR="009E4037">
        <w:tc>
          <w:tcPr>
            <w:tcW w:w="1246" w:type="dxa"/>
            <w:vAlign w:val="center"/>
          </w:tcPr>
          <w:p w:rsidR="009E4037" w:rsidRDefault="009768B2">
            <w:pPr>
              <w:jc w:val="center"/>
            </w:pPr>
            <w:r>
              <w:rPr>
                <w:rFonts w:eastAsiaTheme="minorEastAsia"/>
                <w:szCs w:val="21"/>
              </w:rPr>
              <w:t>其他资产</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资产总计</w:t>
            </w:r>
          </w:p>
          <w:p w:rsidR="00C810D1" w:rsidRPr="00D46E57" w:rsidRDefault="00C810D1" w:rsidP="009768B2">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38,756,608.04</w:t>
            </w:r>
          </w:p>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8,741,772.20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1,000,832.05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48,499,212.29</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r>
      <w:tr w:rsidR="009E4037">
        <w:tc>
          <w:tcPr>
            <w:tcW w:w="1246" w:type="dxa"/>
            <w:vAlign w:val="center"/>
          </w:tcPr>
          <w:p w:rsidR="009E4037" w:rsidRDefault="009768B2">
            <w:pPr>
              <w:jc w:val="center"/>
            </w:pPr>
            <w:r>
              <w:rPr>
                <w:rFonts w:eastAsiaTheme="minorEastAsia"/>
                <w:szCs w:val="21"/>
              </w:rPr>
              <w:t>卖出回购金融资产款</w:t>
            </w:r>
          </w:p>
        </w:tc>
        <w:tc>
          <w:tcPr>
            <w:tcW w:w="1586" w:type="dxa"/>
            <w:vAlign w:val="center"/>
          </w:tcPr>
          <w:p w:rsidR="009E4037" w:rsidRDefault="009768B2">
            <w:pPr>
              <w:jc w:val="right"/>
            </w:pPr>
            <w:r>
              <w:rPr>
                <w:rFonts w:eastAsiaTheme="minorEastAsia"/>
                <w:szCs w:val="21"/>
              </w:rPr>
              <w:t>13,000,000.00</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13,000,000.00</w:t>
            </w:r>
          </w:p>
        </w:tc>
      </w:tr>
      <w:tr w:rsidR="009E4037">
        <w:tc>
          <w:tcPr>
            <w:tcW w:w="1246" w:type="dxa"/>
            <w:vAlign w:val="center"/>
          </w:tcPr>
          <w:p w:rsidR="009E4037" w:rsidRDefault="009768B2">
            <w:pPr>
              <w:jc w:val="center"/>
            </w:pPr>
            <w:r>
              <w:rPr>
                <w:rFonts w:eastAsiaTheme="minorEastAsia"/>
                <w:szCs w:val="21"/>
              </w:rPr>
              <w:t>应付证券清算款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2,510.98</w:t>
            </w:r>
          </w:p>
        </w:tc>
        <w:tc>
          <w:tcPr>
            <w:tcW w:w="1587" w:type="dxa"/>
            <w:vAlign w:val="center"/>
          </w:tcPr>
          <w:p w:rsidR="009E4037" w:rsidRDefault="009768B2">
            <w:pPr>
              <w:jc w:val="right"/>
            </w:pPr>
            <w:r>
              <w:rPr>
                <w:rFonts w:eastAsiaTheme="minorEastAsia"/>
                <w:szCs w:val="21"/>
              </w:rPr>
              <w:t>2,510.98</w:t>
            </w:r>
          </w:p>
        </w:tc>
      </w:tr>
      <w:tr w:rsidR="009E4037">
        <w:tc>
          <w:tcPr>
            <w:tcW w:w="1246" w:type="dxa"/>
            <w:vAlign w:val="center"/>
          </w:tcPr>
          <w:p w:rsidR="009E4037" w:rsidRDefault="009768B2">
            <w:pPr>
              <w:jc w:val="center"/>
            </w:pPr>
            <w:r>
              <w:rPr>
                <w:rFonts w:eastAsiaTheme="minorEastAsia"/>
                <w:szCs w:val="21"/>
              </w:rPr>
              <w:t>应付赎回款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r>
      <w:tr w:rsidR="009E4037">
        <w:tc>
          <w:tcPr>
            <w:tcW w:w="1246" w:type="dxa"/>
            <w:vAlign w:val="center"/>
          </w:tcPr>
          <w:p w:rsidR="009E4037" w:rsidRDefault="009768B2">
            <w:pPr>
              <w:jc w:val="center"/>
            </w:pPr>
            <w:r>
              <w:rPr>
                <w:rFonts w:eastAsiaTheme="minorEastAsia"/>
                <w:szCs w:val="21"/>
              </w:rPr>
              <w:t>应付管理人报酬</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8,695.38</w:t>
            </w:r>
          </w:p>
        </w:tc>
        <w:tc>
          <w:tcPr>
            <w:tcW w:w="1587" w:type="dxa"/>
            <w:vAlign w:val="center"/>
          </w:tcPr>
          <w:p w:rsidR="009E4037" w:rsidRDefault="009768B2">
            <w:pPr>
              <w:jc w:val="right"/>
            </w:pPr>
            <w:r>
              <w:rPr>
                <w:rFonts w:eastAsiaTheme="minorEastAsia"/>
                <w:szCs w:val="21"/>
              </w:rPr>
              <w:t>8,695.38</w:t>
            </w:r>
          </w:p>
        </w:tc>
      </w:tr>
      <w:tr w:rsidR="009E4037">
        <w:tc>
          <w:tcPr>
            <w:tcW w:w="1246" w:type="dxa"/>
            <w:vAlign w:val="center"/>
          </w:tcPr>
          <w:p w:rsidR="009E4037" w:rsidRDefault="009768B2">
            <w:pPr>
              <w:jc w:val="center"/>
            </w:pPr>
            <w:r>
              <w:rPr>
                <w:rFonts w:eastAsiaTheme="minorEastAsia"/>
                <w:szCs w:val="21"/>
              </w:rPr>
              <w:t>应付托管费</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2,898.47</w:t>
            </w:r>
          </w:p>
        </w:tc>
        <w:tc>
          <w:tcPr>
            <w:tcW w:w="1587" w:type="dxa"/>
            <w:vAlign w:val="center"/>
          </w:tcPr>
          <w:p w:rsidR="009E4037" w:rsidRDefault="009768B2">
            <w:pPr>
              <w:jc w:val="right"/>
            </w:pPr>
            <w:r>
              <w:rPr>
                <w:rFonts w:eastAsiaTheme="minorEastAsia"/>
                <w:szCs w:val="21"/>
              </w:rPr>
              <w:t>2,898.47</w:t>
            </w:r>
          </w:p>
        </w:tc>
      </w:tr>
      <w:tr w:rsidR="009E4037">
        <w:tc>
          <w:tcPr>
            <w:tcW w:w="1246" w:type="dxa"/>
            <w:vAlign w:val="center"/>
          </w:tcPr>
          <w:p w:rsidR="009E4037" w:rsidRDefault="009768B2">
            <w:pPr>
              <w:jc w:val="center"/>
            </w:pPr>
            <w:r>
              <w:rPr>
                <w:rFonts w:eastAsiaTheme="minorEastAsia"/>
                <w:szCs w:val="21"/>
              </w:rPr>
              <w:t>应付销售服务费</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1,396.34</w:t>
            </w:r>
          </w:p>
        </w:tc>
        <w:tc>
          <w:tcPr>
            <w:tcW w:w="1587" w:type="dxa"/>
            <w:vAlign w:val="center"/>
          </w:tcPr>
          <w:p w:rsidR="009E4037" w:rsidRDefault="009768B2">
            <w:pPr>
              <w:jc w:val="right"/>
            </w:pPr>
            <w:r>
              <w:rPr>
                <w:rFonts w:eastAsiaTheme="minorEastAsia"/>
                <w:szCs w:val="21"/>
              </w:rPr>
              <w:t>1,396.34</w:t>
            </w:r>
          </w:p>
        </w:tc>
      </w:tr>
      <w:tr w:rsidR="009E4037">
        <w:tc>
          <w:tcPr>
            <w:tcW w:w="1246" w:type="dxa"/>
            <w:vAlign w:val="center"/>
          </w:tcPr>
          <w:p w:rsidR="009E4037" w:rsidRDefault="009768B2">
            <w:pPr>
              <w:jc w:val="center"/>
            </w:pPr>
            <w:r>
              <w:rPr>
                <w:rFonts w:eastAsiaTheme="minorEastAsia"/>
                <w:szCs w:val="21"/>
              </w:rPr>
              <w:t>应付交易费用</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4,820.61</w:t>
            </w:r>
          </w:p>
        </w:tc>
        <w:tc>
          <w:tcPr>
            <w:tcW w:w="1587" w:type="dxa"/>
            <w:vAlign w:val="center"/>
          </w:tcPr>
          <w:p w:rsidR="009E4037" w:rsidRDefault="009768B2">
            <w:pPr>
              <w:jc w:val="right"/>
            </w:pPr>
            <w:r>
              <w:rPr>
                <w:rFonts w:eastAsiaTheme="minorEastAsia"/>
                <w:szCs w:val="21"/>
              </w:rPr>
              <w:t>4,820.61</w:t>
            </w:r>
          </w:p>
        </w:tc>
      </w:tr>
      <w:tr w:rsidR="009E4037">
        <w:tc>
          <w:tcPr>
            <w:tcW w:w="1246" w:type="dxa"/>
            <w:vAlign w:val="center"/>
          </w:tcPr>
          <w:p w:rsidR="009E4037" w:rsidRDefault="009768B2">
            <w:pPr>
              <w:jc w:val="center"/>
            </w:pPr>
            <w:r>
              <w:rPr>
                <w:rFonts w:eastAsiaTheme="minorEastAsia"/>
                <w:szCs w:val="21"/>
              </w:rPr>
              <w:lastRenderedPageBreak/>
              <w:t>应付税费</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193,045.52</w:t>
            </w:r>
          </w:p>
        </w:tc>
        <w:tc>
          <w:tcPr>
            <w:tcW w:w="1587" w:type="dxa"/>
            <w:vAlign w:val="center"/>
          </w:tcPr>
          <w:p w:rsidR="009E4037" w:rsidRDefault="009768B2">
            <w:pPr>
              <w:jc w:val="right"/>
            </w:pPr>
            <w:r>
              <w:rPr>
                <w:rFonts w:eastAsiaTheme="minorEastAsia"/>
                <w:szCs w:val="21"/>
              </w:rPr>
              <w:t>193,045.52</w:t>
            </w:r>
          </w:p>
        </w:tc>
      </w:tr>
      <w:tr w:rsidR="009E4037">
        <w:tc>
          <w:tcPr>
            <w:tcW w:w="1246" w:type="dxa"/>
            <w:vAlign w:val="center"/>
          </w:tcPr>
          <w:p w:rsidR="009E4037" w:rsidRDefault="009768B2">
            <w:pPr>
              <w:jc w:val="center"/>
            </w:pPr>
            <w:r>
              <w:rPr>
                <w:rFonts w:eastAsiaTheme="minorEastAsia"/>
                <w:szCs w:val="21"/>
              </w:rPr>
              <w:t>应付利息</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r>
      <w:tr w:rsidR="009E4037">
        <w:tc>
          <w:tcPr>
            <w:tcW w:w="1246" w:type="dxa"/>
            <w:vAlign w:val="center"/>
          </w:tcPr>
          <w:p w:rsidR="009E4037" w:rsidRDefault="009768B2">
            <w:pPr>
              <w:jc w:val="center"/>
            </w:pPr>
            <w:r>
              <w:rPr>
                <w:rFonts w:eastAsiaTheme="minorEastAsia"/>
                <w:szCs w:val="21"/>
              </w:rPr>
              <w:t>应付利润</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r>
      <w:tr w:rsidR="009E4037">
        <w:tc>
          <w:tcPr>
            <w:tcW w:w="1246" w:type="dxa"/>
            <w:vAlign w:val="center"/>
          </w:tcPr>
          <w:p w:rsidR="009E4037" w:rsidRDefault="009768B2">
            <w:pPr>
              <w:jc w:val="center"/>
            </w:pPr>
            <w:r>
              <w:rPr>
                <w:rFonts w:eastAsiaTheme="minorEastAsia"/>
                <w:szCs w:val="21"/>
              </w:rPr>
              <w:t>其他负债</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24,795.19</w:t>
            </w:r>
          </w:p>
        </w:tc>
        <w:tc>
          <w:tcPr>
            <w:tcW w:w="1587" w:type="dxa"/>
            <w:vAlign w:val="center"/>
          </w:tcPr>
          <w:p w:rsidR="009E4037" w:rsidRDefault="009768B2">
            <w:pPr>
              <w:jc w:val="right"/>
            </w:pPr>
            <w:r>
              <w:rPr>
                <w:rFonts w:eastAsiaTheme="minorEastAsia"/>
                <w:szCs w:val="21"/>
              </w:rPr>
              <w:t>24,795.19</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负债总计</w:t>
            </w:r>
          </w:p>
          <w:p w:rsidR="00C810D1" w:rsidRPr="00D46E57" w:rsidRDefault="00C810D1" w:rsidP="009768B2">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13,000,000.00</w:t>
            </w:r>
          </w:p>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238,162.49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13,238,162.49</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25,756,608.04</w:t>
            </w:r>
          </w:p>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8,741,772.20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762,669.56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35,261,049.80</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9768B2">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9768B2">
            <w:pPr>
              <w:spacing w:line="360" w:lineRule="auto"/>
              <w:jc w:val="center"/>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9768B2">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9768B2">
            <w:pPr>
              <w:spacing w:line="360" w:lineRule="auto"/>
              <w:jc w:val="center"/>
              <w:rPr>
                <w:rFonts w:eastAsiaTheme="minorEastAsia"/>
                <w:szCs w:val="21"/>
              </w:rPr>
            </w:pPr>
            <w:r w:rsidRPr="00D46E57">
              <w:rPr>
                <w:rFonts w:eastAsiaTheme="minorEastAsia"/>
                <w:szCs w:val="21"/>
              </w:rPr>
              <w:t>合计</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r>
      <w:tr w:rsidR="009E4037">
        <w:tc>
          <w:tcPr>
            <w:tcW w:w="1246" w:type="dxa"/>
            <w:vAlign w:val="center"/>
          </w:tcPr>
          <w:p w:rsidR="009E4037" w:rsidRDefault="009768B2">
            <w:pPr>
              <w:jc w:val="center"/>
            </w:pPr>
            <w:r>
              <w:rPr>
                <w:rFonts w:eastAsiaTheme="minorEastAsia"/>
                <w:szCs w:val="21"/>
              </w:rPr>
              <w:t>银行存款</w:t>
            </w:r>
          </w:p>
        </w:tc>
        <w:tc>
          <w:tcPr>
            <w:tcW w:w="1586" w:type="dxa"/>
            <w:vAlign w:val="center"/>
          </w:tcPr>
          <w:p w:rsidR="009E4037" w:rsidRDefault="009768B2">
            <w:pPr>
              <w:jc w:val="right"/>
            </w:pPr>
            <w:r>
              <w:rPr>
                <w:rFonts w:eastAsiaTheme="minorEastAsia"/>
                <w:szCs w:val="21"/>
              </w:rPr>
              <w:t>371,263.07</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371,263.07</w:t>
            </w:r>
          </w:p>
        </w:tc>
      </w:tr>
      <w:tr w:rsidR="009E4037">
        <w:tc>
          <w:tcPr>
            <w:tcW w:w="1246" w:type="dxa"/>
            <w:vAlign w:val="center"/>
          </w:tcPr>
          <w:p w:rsidR="009E4037" w:rsidRDefault="009768B2">
            <w:pPr>
              <w:jc w:val="center"/>
            </w:pPr>
            <w:r>
              <w:rPr>
                <w:rFonts w:eastAsiaTheme="minorEastAsia"/>
                <w:szCs w:val="21"/>
              </w:rPr>
              <w:t>结算备付金</w:t>
            </w:r>
          </w:p>
        </w:tc>
        <w:tc>
          <w:tcPr>
            <w:tcW w:w="1586" w:type="dxa"/>
            <w:vAlign w:val="center"/>
          </w:tcPr>
          <w:p w:rsidR="009E4037" w:rsidRDefault="009768B2">
            <w:pPr>
              <w:jc w:val="right"/>
            </w:pPr>
            <w:r>
              <w:rPr>
                <w:rFonts w:eastAsiaTheme="minorEastAsia"/>
                <w:szCs w:val="21"/>
              </w:rPr>
              <w:t>235,044.91</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235,044.91</w:t>
            </w:r>
          </w:p>
        </w:tc>
      </w:tr>
      <w:tr w:rsidR="009E4037">
        <w:tc>
          <w:tcPr>
            <w:tcW w:w="1246" w:type="dxa"/>
            <w:vAlign w:val="center"/>
          </w:tcPr>
          <w:p w:rsidR="009E4037" w:rsidRDefault="009768B2">
            <w:pPr>
              <w:jc w:val="center"/>
            </w:pPr>
            <w:r>
              <w:rPr>
                <w:rFonts w:eastAsiaTheme="minorEastAsia"/>
                <w:szCs w:val="21"/>
              </w:rPr>
              <w:t>存出保证金</w:t>
            </w:r>
          </w:p>
        </w:tc>
        <w:tc>
          <w:tcPr>
            <w:tcW w:w="1586" w:type="dxa"/>
            <w:vAlign w:val="center"/>
          </w:tcPr>
          <w:p w:rsidR="009E4037" w:rsidRDefault="009768B2">
            <w:pPr>
              <w:jc w:val="right"/>
            </w:pPr>
            <w:r>
              <w:rPr>
                <w:rFonts w:eastAsiaTheme="minorEastAsia"/>
                <w:szCs w:val="21"/>
              </w:rPr>
              <w:t>1,457.95</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1,457.95</w:t>
            </w:r>
          </w:p>
        </w:tc>
      </w:tr>
      <w:tr w:rsidR="009E4037">
        <w:tc>
          <w:tcPr>
            <w:tcW w:w="1246" w:type="dxa"/>
            <w:vAlign w:val="center"/>
          </w:tcPr>
          <w:p w:rsidR="009E4037" w:rsidRDefault="009768B2">
            <w:pPr>
              <w:jc w:val="center"/>
            </w:pPr>
            <w:r>
              <w:rPr>
                <w:rFonts w:eastAsiaTheme="minorEastAsia"/>
                <w:szCs w:val="21"/>
              </w:rPr>
              <w:t>交易性金融资产</w:t>
            </w:r>
          </w:p>
        </w:tc>
        <w:tc>
          <w:tcPr>
            <w:tcW w:w="1586" w:type="dxa"/>
            <w:vAlign w:val="center"/>
          </w:tcPr>
          <w:p w:rsidR="009E4037" w:rsidRDefault="009768B2">
            <w:pPr>
              <w:jc w:val="right"/>
            </w:pPr>
            <w:r>
              <w:rPr>
                <w:rFonts w:eastAsiaTheme="minorEastAsia"/>
                <w:szCs w:val="21"/>
              </w:rPr>
              <w:t>44,552,735.00</w:t>
            </w:r>
          </w:p>
        </w:tc>
        <w:tc>
          <w:tcPr>
            <w:tcW w:w="1587" w:type="dxa"/>
            <w:vAlign w:val="center"/>
          </w:tcPr>
          <w:p w:rsidR="009E4037" w:rsidRDefault="009768B2">
            <w:pPr>
              <w:jc w:val="right"/>
            </w:pPr>
            <w:r>
              <w:rPr>
                <w:rFonts w:eastAsiaTheme="minorEastAsia"/>
                <w:szCs w:val="21"/>
              </w:rPr>
              <w:t>15,405,425.00</w:t>
            </w:r>
          </w:p>
        </w:tc>
        <w:tc>
          <w:tcPr>
            <w:tcW w:w="1587" w:type="dxa"/>
            <w:vAlign w:val="center"/>
          </w:tcPr>
          <w:p w:rsidR="009E4037" w:rsidRDefault="009768B2">
            <w:pPr>
              <w:jc w:val="right"/>
            </w:pPr>
            <w:r>
              <w:rPr>
                <w:rFonts w:eastAsiaTheme="minorEastAsia"/>
                <w:szCs w:val="21"/>
              </w:rPr>
              <w:t>1,922,550.00</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61,880,710.00</w:t>
            </w:r>
          </w:p>
        </w:tc>
      </w:tr>
      <w:tr w:rsidR="009E4037">
        <w:tc>
          <w:tcPr>
            <w:tcW w:w="1246" w:type="dxa"/>
            <w:vAlign w:val="center"/>
          </w:tcPr>
          <w:p w:rsidR="009E4037" w:rsidRDefault="009768B2">
            <w:pPr>
              <w:jc w:val="center"/>
            </w:pPr>
            <w:r>
              <w:rPr>
                <w:rFonts w:eastAsiaTheme="minorEastAsia"/>
                <w:szCs w:val="21"/>
              </w:rPr>
              <w:t>买入返售金融资产</w:t>
            </w:r>
          </w:p>
        </w:tc>
        <w:tc>
          <w:tcPr>
            <w:tcW w:w="1586" w:type="dxa"/>
            <w:vAlign w:val="center"/>
          </w:tcPr>
          <w:p w:rsidR="009E4037" w:rsidRDefault="009768B2">
            <w:pPr>
              <w:jc w:val="right"/>
            </w:pPr>
            <w:r>
              <w:rPr>
                <w:rFonts w:eastAsiaTheme="minorEastAsia"/>
                <w:szCs w:val="21"/>
              </w:rPr>
              <w:t>5,000,000.00</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5,000,000.00</w:t>
            </w:r>
          </w:p>
        </w:tc>
      </w:tr>
      <w:tr w:rsidR="009E4037">
        <w:tc>
          <w:tcPr>
            <w:tcW w:w="1246" w:type="dxa"/>
            <w:vAlign w:val="center"/>
          </w:tcPr>
          <w:p w:rsidR="009E4037" w:rsidRDefault="009768B2">
            <w:pPr>
              <w:jc w:val="center"/>
            </w:pPr>
            <w:r>
              <w:rPr>
                <w:rFonts w:eastAsiaTheme="minorEastAsia"/>
                <w:szCs w:val="21"/>
              </w:rPr>
              <w:t>应收证券清算款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665,264.65</w:t>
            </w:r>
          </w:p>
        </w:tc>
        <w:tc>
          <w:tcPr>
            <w:tcW w:w="1587" w:type="dxa"/>
            <w:vAlign w:val="center"/>
          </w:tcPr>
          <w:p w:rsidR="009E4037" w:rsidRDefault="009768B2">
            <w:pPr>
              <w:jc w:val="right"/>
            </w:pPr>
            <w:r>
              <w:rPr>
                <w:rFonts w:eastAsiaTheme="minorEastAsia"/>
                <w:szCs w:val="21"/>
              </w:rPr>
              <w:t>665,264.65</w:t>
            </w:r>
          </w:p>
        </w:tc>
      </w:tr>
      <w:tr w:rsidR="009E4037">
        <w:tc>
          <w:tcPr>
            <w:tcW w:w="1246" w:type="dxa"/>
            <w:vAlign w:val="center"/>
          </w:tcPr>
          <w:p w:rsidR="009E4037" w:rsidRDefault="009768B2">
            <w:pPr>
              <w:jc w:val="center"/>
            </w:pPr>
            <w:r>
              <w:rPr>
                <w:rFonts w:eastAsiaTheme="minorEastAsia"/>
                <w:szCs w:val="21"/>
              </w:rPr>
              <w:t>应收利息</w:t>
            </w:r>
            <w:r>
              <w:rPr>
                <w:rFonts w:eastAsiaTheme="minorEastAsia"/>
                <w:szCs w:val="21"/>
              </w:rPr>
              <w:t xml:space="preserve"> </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1,286,643.52</w:t>
            </w:r>
          </w:p>
        </w:tc>
        <w:tc>
          <w:tcPr>
            <w:tcW w:w="1587" w:type="dxa"/>
            <w:vAlign w:val="center"/>
          </w:tcPr>
          <w:p w:rsidR="009E4037" w:rsidRDefault="009768B2">
            <w:pPr>
              <w:jc w:val="right"/>
            </w:pPr>
            <w:r>
              <w:rPr>
                <w:rFonts w:eastAsiaTheme="minorEastAsia"/>
                <w:szCs w:val="21"/>
              </w:rPr>
              <w:t>1,286,643.52</w:t>
            </w:r>
          </w:p>
        </w:tc>
      </w:tr>
      <w:tr w:rsidR="009E4037">
        <w:tc>
          <w:tcPr>
            <w:tcW w:w="1246" w:type="dxa"/>
            <w:vAlign w:val="center"/>
          </w:tcPr>
          <w:p w:rsidR="009E4037" w:rsidRDefault="009768B2">
            <w:pPr>
              <w:jc w:val="center"/>
            </w:pPr>
            <w:r>
              <w:rPr>
                <w:rFonts w:eastAsiaTheme="minorEastAsia"/>
                <w:szCs w:val="21"/>
              </w:rPr>
              <w:t>应收申购款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22,346.75</w:t>
            </w:r>
          </w:p>
        </w:tc>
        <w:tc>
          <w:tcPr>
            <w:tcW w:w="1587" w:type="dxa"/>
            <w:vAlign w:val="center"/>
          </w:tcPr>
          <w:p w:rsidR="009E4037" w:rsidRDefault="009768B2">
            <w:pPr>
              <w:jc w:val="right"/>
            </w:pPr>
            <w:r>
              <w:rPr>
                <w:rFonts w:eastAsiaTheme="minorEastAsia"/>
                <w:szCs w:val="21"/>
              </w:rPr>
              <w:t>22,346.75</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资产总计</w:t>
            </w:r>
          </w:p>
          <w:p w:rsidR="00C810D1" w:rsidRPr="00D46E57" w:rsidRDefault="00C810D1" w:rsidP="009768B2">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50,160,500.93</w:t>
            </w:r>
          </w:p>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15,405,425.00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1,922,550.00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1,974,254.92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69,462,730.85</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p>
        </w:tc>
      </w:tr>
      <w:tr w:rsidR="009E4037">
        <w:tc>
          <w:tcPr>
            <w:tcW w:w="1246" w:type="dxa"/>
            <w:vAlign w:val="center"/>
          </w:tcPr>
          <w:p w:rsidR="009E4037" w:rsidRDefault="009768B2">
            <w:pPr>
              <w:jc w:val="center"/>
            </w:pPr>
            <w:r>
              <w:rPr>
                <w:rFonts w:eastAsiaTheme="minorEastAsia"/>
                <w:szCs w:val="21"/>
              </w:rPr>
              <w:t>卖出回购金融资产款</w:t>
            </w:r>
          </w:p>
        </w:tc>
        <w:tc>
          <w:tcPr>
            <w:tcW w:w="1586" w:type="dxa"/>
            <w:vAlign w:val="center"/>
          </w:tcPr>
          <w:p w:rsidR="009E4037" w:rsidRDefault="009768B2">
            <w:pPr>
              <w:jc w:val="right"/>
            </w:pPr>
            <w:r>
              <w:rPr>
                <w:rFonts w:eastAsiaTheme="minorEastAsia"/>
                <w:szCs w:val="21"/>
              </w:rPr>
              <w:t>7,000,000.00</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7,000,000.00</w:t>
            </w:r>
          </w:p>
        </w:tc>
      </w:tr>
      <w:tr w:rsidR="009E4037">
        <w:tc>
          <w:tcPr>
            <w:tcW w:w="1246" w:type="dxa"/>
            <w:vAlign w:val="center"/>
          </w:tcPr>
          <w:p w:rsidR="009E4037" w:rsidRDefault="009768B2">
            <w:pPr>
              <w:jc w:val="center"/>
            </w:pPr>
            <w:r>
              <w:rPr>
                <w:rFonts w:eastAsiaTheme="minorEastAsia"/>
                <w:szCs w:val="21"/>
              </w:rPr>
              <w:t>应付赎回款</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30,617.69</w:t>
            </w:r>
          </w:p>
        </w:tc>
        <w:tc>
          <w:tcPr>
            <w:tcW w:w="1587" w:type="dxa"/>
            <w:vAlign w:val="center"/>
          </w:tcPr>
          <w:p w:rsidR="009E4037" w:rsidRDefault="009768B2">
            <w:pPr>
              <w:jc w:val="right"/>
            </w:pPr>
            <w:r>
              <w:rPr>
                <w:rFonts w:eastAsiaTheme="minorEastAsia"/>
                <w:szCs w:val="21"/>
              </w:rPr>
              <w:t>30,617.69</w:t>
            </w:r>
          </w:p>
        </w:tc>
      </w:tr>
      <w:tr w:rsidR="009E4037">
        <w:tc>
          <w:tcPr>
            <w:tcW w:w="1246" w:type="dxa"/>
            <w:vAlign w:val="center"/>
          </w:tcPr>
          <w:p w:rsidR="009E4037" w:rsidRDefault="009768B2">
            <w:pPr>
              <w:jc w:val="center"/>
            </w:pPr>
            <w:r>
              <w:rPr>
                <w:rFonts w:eastAsiaTheme="minorEastAsia"/>
                <w:szCs w:val="21"/>
              </w:rPr>
              <w:t>应付管理人报酬</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31,580.80</w:t>
            </w:r>
          </w:p>
        </w:tc>
        <w:tc>
          <w:tcPr>
            <w:tcW w:w="1587" w:type="dxa"/>
            <w:vAlign w:val="center"/>
          </w:tcPr>
          <w:p w:rsidR="009E4037" w:rsidRDefault="009768B2">
            <w:pPr>
              <w:jc w:val="right"/>
            </w:pPr>
            <w:r>
              <w:rPr>
                <w:rFonts w:eastAsiaTheme="minorEastAsia"/>
                <w:szCs w:val="21"/>
              </w:rPr>
              <w:t>31,580.80</w:t>
            </w:r>
          </w:p>
        </w:tc>
      </w:tr>
      <w:tr w:rsidR="009E4037">
        <w:tc>
          <w:tcPr>
            <w:tcW w:w="1246" w:type="dxa"/>
            <w:vAlign w:val="center"/>
          </w:tcPr>
          <w:p w:rsidR="009E4037" w:rsidRDefault="009768B2">
            <w:pPr>
              <w:jc w:val="center"/>
            </w:pPr>
            <w:r>
              <w:rPr>
                <w:rFonts w:eastAsiaTheme="minorEastAsia"/>
                <w:szCs w:val="21"/>
              </w:rPr>
              <w:t>应付托管费</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9,023.09</w:t>
            </w:r>
          </w:p>
        </w:tc>
        <w:tc>
          <w:tcPr>
            <w:tcW w:w="1587" w:type="dxa"/>
            <w:vAlign w:val="center"/>
          </w:tcPr>
          <w:p w:rsidR="009E4037" w:rsidRDefault="009768B2">
            <w:pPr>
              <w:jc w:val="right"/>
            </w:pPr>
            <w:r>
              <w:rPr>
                <w:rFonts w:eastAsiaTheme="minorEastAsia"/>
                <w:szCs w:val="21"/>
              </w:rPr>
              <w:t>9,023.09</w:t>
            </w:r>
          </w:p>
        </w:tc>
      </w:tr>
      <w:tr w:rsidR="009E4037">
        <w:tc>
          <w:tcPr>
            <w:tcW w:w="1246" w:type="dxa"/>
            <w:vAlign w:val="center"/>
          </w:tcPr>
          <w:p w:rsidR="009E4037" w:rsidRDefault="009768B2">
            <w:pPr>
              <w:jc w:val="center"/>
            </w:pPr>
            <w:r>
              <w:rPr>
                <w:rFonts w:eastAsiaTheme="minorEastAsia"/>
                <w:szCs w:val="21"/>
              </w:rPr>
              <w:t>应付销售服务费</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6,586.64</w:t>
            </w:r>
          </w:p>
        </w:tc>
        <w:tc>
          <w:tcPr>
            <w:tcW w:w="1587" w:type="dxa"/>
            <w:vAlign w:val="center"/>
          </w:tcPr>
          <w:p w:rsidR="009E4037" w:rsidRDefault="009768B2">
            <w:pPr>
              <w:jc w:val="right"/>
            </w:pPr>
            <w:r>
              <w:rPr>
                <w:rFonts w:eastAsiaTheme="minorEastAsia"/>
                <w:szCs w:val="21"/>
              </w:rPr>
              <w:t>6,586.64</w:t>
            </w:r>
          </w:p>
        </w:tc>
      </w:tr>
      <w:tr w:rsidR="009E4037">
        <w:tc>
          <w:tcPr>
            <w:tcW w:w="1246" w:type="dxa"/>
            <w:vAlign w:val="center"/>
          </w:tcPr>
          <w:p w:rsidR="009E4037" w:rsidRDefault="009768B2">
            <w:pPr>
              <w:jc w:val="center"/>
            </w:pPr>
            <w:r>
              <w:rPr>
                <w:rFonts w:eastAsiaTheme="minorEastAsia"/>
                <w:szCs w:val="21"/>
              </w:rPr>
              <w:t>应付交易费用</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22,302.95</w:t>
            </w:r>
          </w:p>
        </w:tc>
        <w:tc>
          <w:tcPr>
            <w:tcW w:w="1587" w:type="dxa"/>
            <w:vAlign w:val="center"/>
          </w:tcPr>
          <w:p w:rsidR="009E4037" w:rsidRDefault="009768B2">
            <w:pPr>
              <w:jc w:val="right"/>
            </w:pPr>
            <w:r>
              <w:rPr>
                <w:rFonts w:eastAsiaTheme="minorEastAsia"/>
                <w:szCs w:val="21"/>
              </w:rPr>
              <w:t>22,302.95</w:t>
            </w:r>
          </w:p>
        </w:tc>
      </w:tr>
      <w:tr w:rsidR="009E4037">
        <w:tc>
          <w:tcPr>
            <w:tcW w:w="1246" w:type="dxa"/>
            <w:vAlign w:val="center"/>
          </w:tcPr>
          <w:p w:rsidR="009E4037" w:rsidRDefault="009768B2">
            <w:pPr>
              <w:jc w:val="center"/>
            </w:pPr>
            <w:r>
              <w:rPr>
                <w:rFonts w:eastAsiaTheme="minorEastAsia"/>
                <w:szCs w:val="21"/>
              </w:rPr>
              <w:t>应付税费</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191,159.10</w:t>
            </w:r>
          </w:p>
        </w:tc>
        <w:tc>
          <w:tcPr>
            <w:tcW w:w="1587" w:type="dxa"/>
            <w:vAlign w:val="center"/>
          </w:tcPr>
          <w:p w:rsidR="009E4037" w:rsidRDefault="009768B2">
            <w:pPr>
              <w:jc w:val="right"/>
            </w:pPr>
            <w:r>
              <w:rPr>
                <w:rFonts w:eastAsiaTheme="minorEastAsia"/>
                <w:szCs w:val="21"/>
              </w:rPr>
              <w:t>191,159.10</w:t>
            </w:r>
          </w:p>
        </w:tc>
      </w:tr>
      <w:tr w:rsidR="009E4037">
        <w:tc>
          <w:tcPr>
            <w:tcW w:w="1246" w:type="dxa"/>
            <w:vAlign w:val="center"/>
          </w:tcPr>
          <w:p w:rsidR="009E4037" w:rsidRDefault="009768B2">
            <w:pPr>
              <w:jc w:val="center"/>
            </w:pPr>
            <w:r>
              <w:rPr>
                <w:rFonts w:eastAsiaTheme="minorEastAsia"/>
                <w:szCs w:val="21"/>
              </w:rPr>
              <w:t>应付利息</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-1,068.63</w:t>
            </w:r>
          </w:p>
        </w:tc>
        <w:tc>
          <w:tcPr>
            <w:tcW w:w="1587" w:type="dxa"/>
            <w:vAlign w:val="center"/>
          </w:tcPr>
          <w:p w:rsidR="009E4037" w:rsidRDefault="009768B2">
            <w:pPr>
              <w:jc w:val="right"/>
            </w:pPr>
            <w:r>
              <w:rPr>
                <w:rFonts w:eastAsiaTheme="minorEastAsia"/>
                <w:szCs w:val="21"/>
              </w:rPr>
              <w:t>-1,068.63</w:t>
            </w:r>
          </w:p>
        </w:tc>
      </w:tr>
      <w:tr w:rsidR="009E4037">
        <w:tc>
          <w:tcPr>
            <w:tcW w:w="1246" w:type="dxa"/>
            <w:vAlign w:val="center"/>
          </w:tcPr>
          <w:p w:rsidR="009E4037" w:rsidRDefault="009768B2">
            <w:pPr>
              <w:jc w:val="center"/>
            </w:pPr>
            <w:r>
              <w:rPr>
                <w:rFonts w:eastAsiaTheme="minorEastAsia"/>
                <w:szCs w:val="21"/>
              </w:rPr>
              <w:t>其他负债</w:t>
            </w:r>
          </w:p>
        </w:tc>
        <w:tc>
          <w:tcPr>
            <w:tcW w:w="1586"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w:t>
            </w:r>
          </w:p>
        </w:tc>
        <w:tc>
          <w:tcPr>
            <w:tcW w:w="1587" w:type="dxa"/>
            <w:vAlign w:val="center"/>
          </w:tcPr>
          <w:p w:rsidR="009E4037" w:rsidRDefault="009768B2">
            <w:pPr>
              <w:jc w:val="right"/>
            </w:pPr>
            <w:r>
              <w:rPr>
                <w:rFonts w:eastAsiaTheme="minorEastAsia"/>
                <w:szCs w:val="21"/>
              </w:rPr>
              <w:t>90,000.14</w:t>
            </w:r>
          </w:p>
        </w:tc>
        <w:tc>
          <w:tcPr>
            <w:tcW w:w="1587" w:type="dxa"/>
            <w:vAlign w:val="center"/>
          </w:tcPr>
          <w:p w:rsidR="009E4037" w:rsidRDefault="009768B2">
            <w:pPr>
              <w:jc w:val="right"/>
            </w:pPr>
            <w:r>
              <w:rPr>
                <w:rFonts w:eastAsiaTheme="minorEastAsia"/>
                <w:szCs w:val="21"/>
              </w:rPr>
              <w:t>90,000.14</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lastRenderedPageBreak/>
              <w:t>负债总计</w:t>
            </w:r>
          </w:p>
          <w:p w:rsidR="00C810D1" w:rsidRPr="00D46E57" w:rsidRDefault="00C810D1" w:rsidP="009768B2">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7,000,000.00</w:t>
            </w:r>
          </w:p>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380,201.78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7,380,201.78</w:t>
            </w:r>
          </w:p>
        </w:tc>
      </w:tr>
      <w:tr w:rsidR="00C810D1" w:rsidRPr="00D46E57" w:rsidTr="009768B2">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9768B2">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43,160,500.93</w:t>
            </w:r>
          </w:p>
          <w:p w:rsidR="00C810D1" w:rsidRPr="00D46E57" w:rsidRDefault="00C810D1" w:rsidP="009768B2">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15,405,425.00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1,922,550.00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1,594,053.14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9768B2">
            <w:pPr>
              <w:spacing w:line="360" w:lineRule="auto"/>
              <w:jc w:val="right"/>
              <w:rPr>
                <w:rFonts w:eastAsiaTheme="minorEastAsia"/>
                <w:szCs w:val="21"/>
              </w:rPr>
            </w:pPr>
            <w:r w:rsidRPr="00D46E57">
              <w:rPr>
                <w:rFonts w:eastAsiaTheme="minorEastAsia"/>
                <w:szCs w:val="21"/>
              </w:rPr>
              <w:t>62,082,529.07</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9E4037">
        <w:tc>
          <w:tcPr>
            <w:tcW w:w="851" w:type="dxa"/>
            <w:vAlign w:val="center"/>
          </w:tcPr>
          <w:p w:rsidR="009E4037" w:rsidRDefault="009768B2">
            <w:pPr>
              <w:jc w:val="left"/>
            </w:pPr>
            <w:r>
              <w:rPr>
                <w:rFonts w:eastAsiaTheme="minorEastAsia"/>
                <w:color w:val="000000"/>
                <w:szCs w:val="21"/>
              </w:rPr>
              <w:t>假设</w:t>
            </w:r>
          </w:p>
        </w:tc>
        <w:tc>
          <w:tcPr>
            <w:tcW w:w="8149" w:type="dxa"/>
            <w:gridSpan w:val="3"/>
            <w:vAlign w:val="center"/>
          </w:tcPr>
          <w:p w:rsidR="009E4037" w:rsidRDefault="009768B2">
            <w:pPr>
              <w:jc w:val="left"/>
            </w:pPr>
            <w:r>
              <w:rPr>
                <w:rFonts w:eastAsiaTheme="minorEastAsia"/>
                <w:color w:val="000000"/>
                <w:szCs w:val="21"/>
              </w:rPr>
              <w:t>除市场利率以外的其他市场变量保持不变</w:t>
            </w:r>
          </w:p>
        </w:tc>
      </w:tr>
      <w:tr w:rsidR="004D48F0" w:rsidRPr="00D46E57" w:rsidTr="004D48F0">
        <w:tc>
          <w:tcPr>
            <w:tcW w:w="851" w:type="dxa"/>
            <w:vMerge w:val="restart"/>
            <w:vAlign w:val="center"/>
          </w:tcPr>
          <w:p w:rsidR="004D48F0" w:rsidRPr="00D46E57" w:rsidRDefault="004D48F0" w:rsidP="004D48F0">
            <w:pPr>
              <w:pStyle w:val="ad"/>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9E4037">
        <w:tc>
          <w:tcPr>
            <w:tcW w:w="851" w:type="dxa"/>
            <w:vMerge/>
          </w:tcPr>
          <w:p w:rsidR="009E4037" w:rsidRDefault="009E4037"/>
        </w:tc>
        <w:tc>
          <w:tcPr>
            <w:tcW w:w="2551" w:type="dxa"/>
            <w:vAlign w:val="center"/>
          </w:tcPr>
          <w:p w:rsidR="009E4037" w:rsidRDefault="009768B2">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9E4037" w:rsidRDefault="009768B2">
            <w:pPr>
              <w:jc w:val="right"/>
            </w:pPr>
            <w:r>
              <w:rPr>
                <w:rFonts w:eastAsiaTheme="minorEastAsia"/>
                <w:color w:val="000000"/>
                <w:szCs w:val="21"/>
              </w:rPr>
              <w:t>增加约</w:t>
            </w:r>
            <w:r>
              <w:rPr>
                <w:rFonts w:eastAsiaTheme="minorEastAsia"/>
                <w:color w:val="000000"/>
                <w:szCs w:val="21"/>
              </w:rPr>
              <w:t>7</w:t>
            </w:r>
          </w:p>
        </w:tc>
        <w:tc>
          <w:tcPr>
            <w:tcW w:w="2904" w:type="dxa"/>
            <w:vAlign w:val="center"/>
          </w:tcPr>
          <w:p w:rsidR="009E4037" w:rsidRDefault="009768B2">
            <w:pPr>
              <w:jc w:val="right"/>
            </w:pPr>
            <w:r>
              <w:rPr>
                <w:rFonts w:eastAsiaTheme="minorEastAsia"/>
                <w:color w:val="000000"/>
                <w:szCs w:val="21"/>
              </w:rPr>
              <w:t>增加约</w:t>
            </w:r>
            <w:r>
              <w:rPr>
                <w:rFonts w:eastAsiaTheme="minorEastAsia"/>
                <w:color w:val="000000"/>
                <w:szCs w:val="21"/>
              </w:rPr>
              <w:t>24</w:t>
            </w:r>
          </w:p>
        </w:tc>
      </w:tr>
      <w:tr w:rsidR="009E4037">
        <w:tc>
          <w:tcPr>
            <w:tcW w:w="851" w:type="dxa"/>
            <w:vMerge/>
          </w:tcPr>
          <w:p w:rsidR="009E4037" w:rsidRDefault="009E4037"/>
        </w:tc>
        <w:tc>
          <w:tcPr>
            <w:tcW w:w="2551" w:type="dxa"/>
            <w:vAlign w:val="center"/>
          </w:tcPr>
          <w:p w:rsidR="009E4037" w:rsidRDefault="009768B2">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9E4037" w:rsidRDefault="009768B2">
            <w:pPr>
              <w:jc w:val="right"/>
            </w:pPr>
            <w:r>
              <w:rPr>
                <w:rFonts w:eastAsiaTheme="minorEastAsia"/>
                <w:color w:val="000000"/>
                <w:szCs w:val="21"/>
              </w:rPr>
              <w:t>减少约</w:t>
            </w:r>
            <w:r>
              <w:rPr>
                <w:rFonts w:eastAsiaTheme="minorEastAsia"/>
                <w:color w:val="000000"/>
                <w:szCs w:val="21"/>
              </w:rPr>
              <w:t>7</w:t>
            </w:r>
          </w:p>
        </w:tc>
        <w:tc>
          <w:tcPr>
            <w:tcW w:w="2904" w:type="dxa"/>
            <w:vAlign w:val="center"/>
          </w:tcPr>
          <w:p w:rsidR="009E4037" w:rsidRDefault="009768B2">
            <w:pPr>
              <w:jc w:val="right"/>
            </w:pPr>
            <w:r>
              <w:rPr>
                <w:rFonts w:eastAsiaTheme="minorEastAsia"/>
                <w:color w:val="000000"/>
                <w:szCs w:val="21"/>
              </w:rPr>
              <w:t>减少约</w:t>
            </w:r>
            <w:r>
              <w:rPr>
                <w:rFonts w:eastAsiaTheme="minorEastAsia"/>
                <w:color w:val="000000"/>
                <w:szCs w:val="21"/>
              </w:rPr>
              <w:t>23</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9E4037" w:rsidRDefault="009768B2">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本基金通过投资组合的分散化降低其他价格风险。本基金投资组合中固定收益类资产的投资比例不低于基金资产的</w:t>
      </w:r>
      <w:r>
        <w:rPr>
          <w:rFonts w:eastAsiaTheme="minorEastAsia"/>
          <w:kern w:val="0"/>
          <w:szCs w:val="21"/>
        </w:rPr>
        <w:t>80%</w:t>
      </w:r>
      <w:r>
        <w:rPr>
          <w:rFonts w:eastAsiaTheme="minorEastAsia"/>
          <w:kern w:val="0"/>
          <w:szCs w:val="21"/>
        </w:rPr>
        <w:t>，股票、权证等权益类资产的投资比例不超过基金资产的</w:t>
      </w:r>
      <w:r>
        <w:rPr>
          <w:rFonts w:eastAsiaTheme="minorEastAsia"/>
          <w:kern w:val="0"/>
          <w:szCs w:val="21"/>
        </w:rPr>
        <w:t>20%</w:t>
      </w:r>
      <w:r>
        <w:rPr>
          <w:rFonts w:eastAsiaTheme="minorEastAsia"/>
          <w:kern w:val="0"/>
          <w:szCs w:val="21"/>
        </w:rPr>
        <w:t>，保持不低于基金资产净值</w:t>
      </w:r>
      <w:r>
        <w:rPr>
          <w:rFonts w:eastAsiaTheme="minorEastAsia"/>
          <w:kern w:val="0"/>
          <w:szCs w:val="21"/>
        </w:rPr>
        <w:t>5%</w:t>
      </w:r>
      <w:r>
        <w:rPr>
          <w:rFonts w:eastAsiaTheme="minorEastAsia"/>
          <w:kern w:val="0"/>
          <w:szCs w:val="21"/>
        </w:rPr>
        <w:t>的现金或到期日在一年以内的政府债券。此外，本基金的基金管理人每日对本基金所持有的证券价格实施监控，定期运用多种定量方法对基金进行风险度量，包括</w:t>
      </w:r>
      <w:r>
        <w:rPr>
          <w:rFonts w:eastAsiaTheme="minorEastAsia"/>
          <w:kern w:val="0"/>
          <w:szCs w:val="21"/>
        </w:rPr>
        <w:t>VaR(Value at Risk)</w:t>
      </w:r>
      <w:r>
        <w:rPr>
          <w:rFonts w:eastAsiaTheme="minorEastAsia"/>
          <w:kern w:val="0"/>
          <w:szCs w:val="21"/>
        </w:rPr>
        <w:t>指标等来测试本基金面临的潜在价格风险，及时可靠地对风险进行跟踪和控制。</w:t>
      </w:r>
    </w:p>
    <w:p w:rsidR="009E4037" w:rsidRDefault="009E4037">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日，本基金未持有交易性权益类投资</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12</w:t>
      </w:r>
      <w:r w:rsidRPr="00D46E57">
        <w:rPr>
          <w:rFonts w:eastAsiaTheme="minorEastAsia"/>
          <w:kern w:val="0"/>
          <w:szCs w:val="21"/>
        </w:rPr>
        <w:t>月</w:t>
      </w:r>
      <w:r w:rsidRPr="00D46E57">
        <w:rPr>
          <w:rFonts w:eastAsiaTheme="minorEastAsia"/>
          <w:kern w:val="0"/>
          <w:szCs w:val="21"/>
        </w:rPr>
        <w:t>31</w:t>
      </w:r>
      <w:r w:rsidRPr="00D46E57">
        <w:rPr>
          <w:rFonts w:eastAsiaTheme="minorEastAsia"/>
          <w:kern w:val="0"/>
          <w:szCs w:val="21"/>
        </w:rPr>
        <w:t>日：同</w:t>
      </w:r>
      <w:r w:rsidRPr="00D46E57">
        <w:rPr>
          <w:rFonts w:eastAsiaTheme="minorEastAsia"/>
          <w:kern w:val="0"/>
          <w:szCs w:val="21"/>
        </w:rPr>
        <w:t>)</w:t>
      </w:r>
      <w:r w:rsidRPr="00D46E57">
        <w:rPr>
          <w:rFonts w:eastAsiaTheme="minorEastAsia"/>
          <w:kern w:val="0"/>
          <w:szCs w:val="21"/>
        </w:rPr>
        <w:t>，因此除市场利率和外汇汇率以外的市场价格因素的变动对于本基金资产净值无重大影响</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12</w:t>
      </w:r>
      <w:r w:rsidRPr="00D46E57">
        <w:rPr>
          <w:rFonts w:eastAsiaTheme="minorEastAsia"/>
          <w:kern w:val="0"/>
          <w:szCs w:val="21"/>
        </w:rPr>
        <w:t>月</w:t>
      </w:r>
      <w:r w:rsidRPr="00D46E57">
        <w:rPr>
          <w:rFonts w:eastAsiaTheme="minorEastAsia"/>
          <w:kern w:val="0"/>
          <w:szCs w:val="21"/>
        </w:rPr>
        <w:t>31</w:t>
      </w:r>
      <w:r w:rsidRPr="00D46E57">
        <w:rPr>
          <w:rFonts w:eastAsiaTheme="minorEastAsia"/>
          <w:kern w:val="0"/>
          <w:szCs w:val="21"/>
        </w:rPr>
        <w:t>日：同</w:t>
      </w:r>
      <w:r w:rsidRPr="00D46E57">
        <w:rPr>
          <w:rFonts w:eastAsiaTheme="minorEastAsia"/>
          <w:kern w:val="0"/>
          <w:szCs w:val="21"/>
        </w:rPr>
        <w:t>)</w:t>
      </w:r>
    </w:p>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17385685"/>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225498274"/>
      <w:bookmarkStart w:id="63" w:name="_Toc17385686"/>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3"/>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46,495,663.90</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95.87</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46,495,663.90</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95.87</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996,730.31</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2.06</w:t>
            </w:r>
          </w:p>
        </w:tc>
      </w:tr>
      <w:tr w:rsidR="00E967BF" w:rsidRPr="00D46E57" w:rsidTr="009768B2">
        <w:tc>
          <w:tcPr>
            <w:tcW w:w="1080" w:type="dxa"/>
            <w:vAlign w:val="center"/>
          </w:tcPr>
          <w:p w:rsidR="00E967BF" w:rsidRPr="00D46E57" w:rsidRDefault="00E967BF" w:rsidP="009768B2">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1,006,818.08</w:t>
            </w:r>
          </w:p>
        </w:tc>
        <w:tc>
          <w:tcPr>
            <w:tcW w:w="262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2.08</w:t>
            </w:r>
          </w:p>
        </w:tc>
      </w:tr>
      <w:tr w:rsidR="00E967BF" w:rsidRPr="00D46E57" w:rsidTr="009768B2">
        <w:tc>
          <w:tcPr>
            <w:tcW w:w="1080" w:type="dxa"/>
            <w:vAlign w:val="center"/>
          </w:tcPr>
          <w:p w:rsidR="00E967BF" w:rsidRPr="00D46E57" w:rsidRDefault="00E967BF" w:rsidP="009768B2">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48,499,212.29</w:t>
            </w:r>
          </w:p>
        </w:tc>
        <w:tc>
          <w:tcPr>
            <w:tcW w:w="262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17385687"/>
      <w:r w:rsidRPr="00D46E57">
        <w:rPr>
          <w:rFonts w:ascii="Times New Roman" w:eastAsiaTheme="minorEastAsia" w:hAnsi="Times New Roman"/>
          <w:kern w:val="0"/>
          <w:sz w:val="21"/>
          <w:szCs w:val="21"/>
        </w:rPr>
        <w:lastRenderedPageBreak/>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2"/>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17385688"/>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17385689"/>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本基金本报告期未买入股票。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本基金本报告期未卖出股票。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17385690"/>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399,680.00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1.13</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1,515,150.00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4.30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1,515,150.00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4.30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44,580,833.90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126.43</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lastRenderedPageBreak/>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46,495,663.90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131.86</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17385691"/>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9E4037">
        <w:tc>
          <w:tcPr>
            <w:tcW w:w="1252" w:type="dxa"/>
            <w:vAlign w:val="center"/>
          </w:tcPr>
          <w:p w:rsidR="009E4037" w:rsidRDefault="009768B2">
            <w:pPr>
              <w:jc w:val="center"/>
            </w:pPr>
            <w:r>
              <w:rPr>
                <w:rFonts w:eastAsiaTheme="minorEastAsia"/>
                <w:color w:val="000000"/>
                <w:szCs w:val="21"/>
              </w:rPr>
              <w:t>1</w:t>
            </w:r>
          </w:p>
        </w:tc>
        <w:tc>
          <w:tcPr>
            <w:tcW w:w="1310" w:type="dxa"/>
            <w:vAlign w:val="center"/>
          </w:tcPr>
          <w:p w:rsidR="009E4037" w:rsidRDefault="009768B2">
            <w:pPr>
              <w:jc w:val="center"/>
            </w:pPr>
            <w:r>
              <w:rPr>
                <w:rFonts w:eastAsiaTheme="minorEastAsia"/>
                <w:color w:val="000000"/>
                <w:szCs w:val="21"/>
              </w:rPr>
              <w:t>136702</w:t>
            </w:r>
          </w:p>
        </w:tc>
        <w:tc>
          <w:tcPr>
            <w:tcW w:w="1282" w:type="dxa"/>
            <w:vAlign w:val="center"/>
          </w:tcPr>
          <w:p w:rsidR="009E4037" w:rsidRDefault="009768B2">
            <w:pPr>
              <w:jc w:val="center"/>
            </w:pPr>
            <w:r>
              <w:rPr>
                <w:rFonts w:eastAsiaTheme="minorEastAsia"/>
                <w:color w:val="000000"/>
                <w:szCs w:val="21"/>
              </w:rPr>
              <w:t>16</w:t>
            </w:r>
            <w:r>
              <w:rPr>
                <w:rFonts w:eastAsiaTheme="minorEastAsia"/>
                <w:color w:val="000000"/>
                <w:szCs w:val="21"/>
              </w:rPr>
              <w:t>华润</w:t>
            </w:r>
            <w:r>
              <w:rPr>
                <w:rFonts w:eastAsiaTheme="minorEastAsia"/>
                <w:color w:val="000000"/>
                <w:szCs w:val="21"/>
              </w:rPr>
              <w:t>02</w:t>
            </w:r>
          </w:p>
        </w:tc>
        <w:tc>
          <w:tcPr>
            <w:tcW w:w="1426" w:type="dxa"/>
            <w:vAlign w:val="center"/>
          </w:tcPr>
          <w:p w:rsidR="009E4037" w:rsidRDefault="009768B2">
            <w:pPr>
              <w:jc w:val="right"/>
            </w:pPr>
            <w:r>
              <w:rPr>
                <w:rFonts w:eastAsiaTheme="minorEastAsia"/>
                <w:color w:val="000000"/>
                <w:szCs w:val="21"/>
              </w:rPr>
              <w:t>19,500</w:t>
            </w:r>
          </w:p>
        </w:tc>
        <w:tc>
          <w:tcPr>
            <w:tcW w:w="1646" w:type="dxa"/>
            <w:vAlign w:val="center"/>
          </w:tcPr>
          <w:p w:rsidR="009E4037" w:rsidRDefault="009768B2">
            <w:pPr>
              <w:jc w:val="right"/>
            </w:pPr>
            <w:r>
              <w:rPr>
                <w:rFonts w:eastAsiaTheme="minorEastAsia"/>
                <w:color w:val="000000"/>
                <w:szCs w:val="21"/>
              </w:rPr>
              <w:t>1,950,000.00</w:t>
            </w:r>
          </w:p>
        </w:tc>
        <w:tc>
          <w:tcPr>
            <w:tcW w:w="1612" w:type="dxa"/>
            <w:vAlign w:val="center"/>
          </w:tcPr>
          <w:p w:rsidR="009E4037" w:rsidRDefault="009768B2">
            <w:pPr>
              <w:jc w:val="right"/>
            </w:pPr>
            <w:r>
              <w:rPr>
                <w:rFonts w:eastAsiaTheme="minorEastAsia"/>
                <w:color w:val="000000"/>
                <w:szCs w:val="21"/>
              </w:rPr>
              <w:t>5.53</w:t>
            </w:r>
          </w:p>
        </w:tc>
      </w:tr>
      <w:tr w:rsidR="009E4037">
        <w:tc>
          <w:tcPr>
            <w:tcW w:w="1252" w:type="dxa"/>
            <w:vAlign w:val="center"/>
          </w:tcPr>
          <w:p w:rsidR="009E4037" w:rsidRDefault="009768B2">
            <w:pPr>
              <w:jc w:val="center"/>
            </w:pPr>
            <w:r>
              <w:rPr>
                <w:rFonts w:eastAsiaTheme="minorEastAsia"/>
                <w:color w:val="000000"/>
                <w:szCs w:val="21"/>
              </w:rPr>
              <w:t>2</w:t>
            </w:r>
          </w:p>
        </w:tc>
        <w:tc>
          <w:tcPr>
            <w:tcW w:w="1310" w:type="dxa"/>
            <w:vAlign w:val="center"/>
          </w:tcPr>
          <w:p w:rsidR="009E4037" w:rsidRDefault="009768B2">
            <w:pPr>
              <w:jc w:val="center"/>
            </w:pPr>
            <w:r>
              <w:rPr>
                <w:rFonts w:eastAsiaTheme="minorEastAsia"/>
                <w:color w:val="000000"/>
                <w:szCs w:val="21"/>
              </w:rPr>
              <w:t>108602</w:t>
            </w:r>
          </w:p>
        </w:tc>
        <w:tc>
          <w:tcPr>
            <w:tcW w:w="1282" w:type="dxa"/>
            <w:vAlign w:val="center"/>
          </w:tcPr>
          <w:p w:rsidR="009E4037" w:rsidRDefault="009768B2">
            <w:pPr>
              <w:jc w:val="center"/>
            </w:pPr>
            <w:r>
              <w:rPr>
                <w:rFonts w:eastAsiaTheme="minorEastAsia"/>
                <w:color w:val="000000"/>
                <w:szCs w:val="21"/>
              </w:rPr>
              <w:t>国开</w:t>
            </w:r>
            <w:r>
              <w:rPr>
                <w:rFonts w:eastAsiaTheme="minorEastAsia"/>
                <w:color w:val="000000"/>
                <w:szCs w:val="21"/>
              </w:rPr>
              <w:t>1704</w:t>
            </w:r>
          </w:p>
        </w:tc>
        <w:tc>
          <w:tcPr>
            <w:tcW w:w="1426" w:type="dxa"/>
            <w:vAlign w:val="center"/>
          </w:tcPr>
          <w:p w:rsidR="009E4037" w:rsidRDefault="009768B2">
            <w:pPr>
              <w:jc w:val="right"/>
            </w:pPr>
            <w:r>
              <w:rPr>
                <w:rFonts w:eastAsiaTheme="minorEastAsia"/>
                <w:color w:val="000000"/>
                <w:szCs w:val="21"/>
              </w:rPr>
              <w:t>15,000</w:t>
            </w:r>
          </w:p>
        </w:tc>
        <w:tc>
          <w:tcPr>
            <w:tcW w:w="1646" w:type="dxa"/>
            <w:vAlign w:val="center"/>
          </w:tcPr>
          <w:p w:rsidR="009E4037" w:rsidRDefault="009768B2">
            <w:pPr>
              <w:jc w:val="right"/>
            </w:pPr>
            <w:r>
              <w:rPr>
                <w:rFonts w:eastAsiaTheme="minorEastAsia"/>
                <w:color w:val="000000"/>
                <w:szCs w:val="21"/>
              </w:rPr>
              <w:t>1,515,150.00</w:t>
            </w:r>
          </w:p>
        </w:tc>
        <w:tc>
          <w:tcPr>
            <w:tcW w:w="1612" w:type="dxa"/>
            <w:vAlign w:val="center"/>
          </w:tcPr>
          <w:p w:rsidR="009E4037" w:rsidRDefault="009768B2">
            <w:pPr>
              <w:jc w:val="right"/>
            </w:pPr>
            <w:r>
              <w:rPr>
                <w:rFonts w:eastAsiaTheme="minorEastAsia"/>
                <w:color w:val="000000"/>
                <w:szCs w:val="21"/>
              </w:rPr>
              <w:t>4.30</w:t>
            </w:r>
          </w:p>
        </w:tc>
      </w:tr>
      <w:tr w:rsidR="009E4037">
        <w:tc>
          <w:tcPr>
            <w:tcW w:w="1252" w:type="dxa"/>
            <w:vAlign w:val="center"/>
          </w:tcPr>
          <w:p w:rsidR="009E4037" w:rsidRDefault="009768B2">
            <w:pPr>
              <w:jc w:val="center"/>
            </w:pPr>
            <w:r>
              <w:rPr>
                <w:rFonts w:eastAsiaTheme="minorEastAsia"/>
                <w:color w:val="000000"/>
                <w:szCs w:val="21"/>
              </w:rPr>
              <w:t>3</w:t>
            </w:r>
          </w:p>
        </w:tc>
        <w:tc>
          <w:tcPr>
            <w:tcW w:w="1310" w:type="dxa"/>
            <w:vAlign w:val="center"/>
          </w:tcPr>
          <w:p w:rsidR="009E4037" w:rsidRDefault="009768B2">
            <w:pPr>
              <w:jc w:val="center"/>
            </w:pPr>
            <w:r>
              <w:rPr>
                <w:rFonts w:eastAsiaTheme="minorEastAsia"/>
                <w:color w:val="000000"/>
                <w:szCs w:val="21"/>
              </w:rPr>
              <w:t>112034</w:t>
            </w:r>
          </w:p>
        </w:tc>
        <w:tc>
          <w:tcPr>
            <w:tcW w:w="1282" w:type="dxa"/>
            <w:vAlign w:val="center"/>
          </w:tcPr>
          <w:p w:rsidR="009E4037" w:rsidRDefault="009768B2">
            <w:pPr>
              <w:jc w:val="center"/>
            </w:pPr>
            <w:r>
              <w:rPr>
                <w:rFonts w:eastAsiaTheme="minorEastAsia"/>
                <w:color w:val="000000"/>
                <w:szCs w:val="21"/>
              </w:rPr>
              <w:t>11</w:t>
            </w:r>
            <w:r>
              <w:rPr>
                <w:rFonts w:eastAsiaTheme="minorEastAsia"/>
                <w:color w:val="000000"/>
                <w:szCs w:val="21"/>
              </w:rPr>
              <w:t>陕气债</w:t>
            </w:r>
          </w:p>
        </w:tc>
        <w:tc>
          <w:tcPr>
            <w:tcW w:w="1426" w:type="dxa"/>
            <w:vAlign w:val="center"/>
          </w:tcPr>
          <w:p w:rsidR="009E4037" w:rsidRDefault="009768B2">
            <w:pPr>
              <w:jc w:val="right"/>
            </w:pPr>
            <w:r>
              <w:rPr>
                <w:rFonts w:eastAsiaTheme="minorEastAsia"/>
                <w:color w:val="000000"/>
                <w:szCs w:val="21"/>
              </w:rPr>
              <w:t>14,000</w:t>
            </w:r>
          </w:p>
        </w:tc>
        <w:tc>
          <w:tcPr>
            <w:tcW w:w="1646" w:type="dxa"/>
            <w:vAlign w:val="center"/>
          </w:tcPr>
          <w:p w:rsidR="009E4037" w:rsidRDefault="009768B2">
            <w:pPr>
              <w:jc w:val="right"/>
            </w:pPr>
            <w:r>
              <w:rPr>
                <w:rFonts w:eastAsiaTheme="minorEastAsia"/>
                <w:color w:val="000000"/>
                <w:szCs w:val="21"/>
              </w:rPr>
              <w:t>1,402,240.00</w:t>
            </w:r>
          </w:p>
        </w:tc>
        <w:tc>
          <w:tcPr>
            <w:tcW w:w="1612" w:type="dxa"/>
            <w:vAlign w:val="center"/>
          </w:tcPr>
          <w:p w:rsidR="009E4037" w:rsidRDefault="009768B2">
            <w:pPr>
              <w:jc w:val="right"/>
            </w:pPr>
            <w:r>
              <w:rPr>
                <w:rFonts w:eastAsiaTheme="minorEastAsia"/>
                <w:color w:val="000000"/>
                <w:szCs w:val="21"/>
              </w:rPr>
              <w:t>3.98</w:t>
            </w:r>
          </w:p>
        </w:tc>
      </w:tr>
      <w:tr w:rsidR="009E4037">
        <w:tc>
          <w:tcPr>
            <w:tcW w:w="1252" w:type="dxa"/>
            <w:vAlign w:val="center"/>
          </w:tcPr>
          <w:p w:rsidR="009E4037" w:rsidRDefault="009768B2">
            <w:pPr>
              <w:jc w:val="center"/>
            </w:pPr>
            <w:r>
              <w:rPr>
                <w:rFonts w:eastAsiaTheme="minorEastAsia"/>
                <w:color w:val="000000"/>
                <w:szCs w:val="21"/>
              </w:rPr>
              <w:t>4</w:t>
            </w:r>
          </w:p>
        </w:tc>
        <w:tc>
          <w:tcPr>
            <w:tcW w:w="1310" w:type="dxa"/>
            <w:vAlign w:val="center"/>
          </w:tcPr>
          <w:p w:rsidR="009E4037" w:rsidRDefault="009768B2">
            <w:pPr>
              <w:jc w:val="center"/>
            </w:pPr>
            <w:r>
              <w:rPr>
                <w:rFonts w:eastAsiaTheme="minorEastAsia"/>
                <w:color w:val="000000"/>
                <w:szCs w:val="21"/>
              </w:rPr>
              <w:t>143452</w:t>
            </w:r>
          </w:p>
        </w:tc>
        <w:tc>
          <w:tcPr>
            <w:tcW w:w="1282" w:type="dxa"/>
            <w:vAlign w:val="center"/>
          </w:tcPr>
          <w:p w:rsidR="009E4037" w:rsidRDefault="009768B2">
            <w:pPr>
              <w:jc w:val="center"/>
            </w:pPr>
            <w:r>
              <w:rPr>
                <w:rFonts w:eastAsiaTheme="minorEastAsia"/>
                <w:color w:val="000000"/>
                <w:szCs w:val="21"/>
              </w:rPr>
              <w:t>18</w:t>
            </w:r>
            <w:r>
              <w:rPr>
                <w:rFonts w:eastAsiaTheme="minorEastAsia"/>
                <w:color w:val="000000"/>
                <w:szCs w:val="21"/>
              </w:rPr>
              <w:t>国都</w:t>
            </w:r>
            <w:r>
              <w:rPr>
                <w:rFonts w:eastAsiaTheme="minorEastAsia"/>
                <w:color w:val="000000"/>
                <w:szCs w:val="21"/>
              </w:rPr>
              <w:t>G1</w:t>
            </w:r>
          </w:p>
        </w:tc>
        <w:tc>
          <w:tcPr>
            <w:tcW w:w="1426" w:type="dxa"/>
            <w:vAlign w:val="center"/>
          </w:tcPr>
          <w:p w:rsidR="009E4037" w:rsidRDefault="009768B2">
            <w:pPr>
              <w:jc w:val="right"/>
            </w:pPr>
            <w:r>
              <w:rPr>
                <w:rFonts w:eastAsiaTheme="minorEastAsia"/>
                <w:color w:val="000000"/>
                <w:szCs w:val="21"/>
              </w:rPr>
              <w:t>13,000</w:t>
            </w:r>
          </w:p>
        </w:tc>
        <w:tc>
          <w:tcPr>
            <w:tcW w:w="1646" w:type="dxa"/>
            <w:vAlign w:val="center"/>
          </w:tcPr>
          <w:p w:rsidR="009E4037" w:rsidRDefault="009768B2">
            <w:pPr>
              <w:jc w:val="right"/>
            </w:pPr>
            <w:r>
              <w:rPr>
                <w:rFonts w:eastAsiaTheme="minorEastAsia"/>
                <w:color w:val="000000"/>
                <w:szCs w:val="21"/>
              </w:rPr>
              <w:t>1,307,280.00</w:t>
            </w:r>
          </w:p>
        </w:tc>
        <w:tc>
          <w:tcPr>
            <w:tcW w:w="1612" w:type="dxa"/>
            <w:vAlign w:val="center"/>
          </w:tcPr>
          <w:p w:rsidR="009E4037" w:rsidRDefault="009768B2">
            <w:pPr>
              <w:jc w:val="right"/>
            </w:pPr>
            <w:r>
              <w:rPr>
                <w:rFonts w:eastAsiaTheme="minorEastAsia"/>
                <w:color w:val="000000"/>
                <w:szCs w:val="21"/>
              </w:rPr>
              <w:t>3.71</w:t>
            </w:r>
          </w:p>
        </w:tc>
      </w:tr>
      <w:tr w:rsidR="009E4037">
        <w:tc>
          <w:tcPr>
            <w:tcW w:w="1252" w:type="dxa"/>
            <w:vAlign w:val="center"/>
          </w:tcPr>
          <w:p w:rsidR="009E4037" w:rsidRDefault="009768B2">
            <w:pPr>
              <w:jc w:val="center"/>
            </w:pPr>
            <w:r>
              <w:rPr>
                <w:rFonts w:eastAsiaTheme="minorEastAsia"/>
                <w:color w:val="000000"/>
                <w:szCs w:val="21"/>
              </w:rPr>
              <w:t>5</w:t>
            </w:r>
          </w:p>
        </w:tc>
        <w:tc>
          <w:tcPr>
            <w:tcW w:w="1310" w:type="dxa"/>
            <w:vAlign w:val="center"/>
          </w:tcPr>
          <w:p w:rsidR="009E4037" w:rsidRDefault="009768B2">
            <w:pPr>
              <w:jc w:val="center"/>
            </w:pPr>
            <w:r>
              <w:rPr>
                <w:rFonts w:eastAsiaTheme="minorEastAsia"/>
                <w:color w:val="000000"/>
                <w:szCs w:val="21"/>
              </w:rPr>
              <w:t>136865</w:t>
            </w:r>
          </w:p>
        </w:tc>
        <w:tc>
          <w:tcPr>
            <w:tcW w:w="1282" w:type="dxa"/>
            <w:vAlign w:val="center"/>
          </w:tcPr>
          <w:p w:rsidR="009E4037" w:rsidRDefault="009768B2">
            <w:pPr>
              <w:jc w:val="center"/>
            </w:pPr>
            <w:r>
              <w:rPr>
                <w:rFonts w:eastAsiaTheme="minorEastAsia"/>
                <w:color w:val="000000"/>
                <w:szCs w:val="21"/>
              </w:rPr>
              <w:t>16</w:t>
            </w:r>
            <w:r>
              <w:rPr>
                <w:rFonts w:eastAsiaTheme="minorEastAsia"/>
                <w:color w:val="000000"/>
                <w:szCs w:val="21"/>
              </w:rPr>
              <w:t>新燃</w:t>
            </w:r>
            <w:r>
              <w:rPr>
                <w:rFonts w:eastAsiaTheme="minorEastAsia"/>
                <w:color w:val="000000"/>
                <w:szCs w:val="21"/>
              </w:rPr>
              <w:t>01</w:t>
            </w:r>
          </w:p>
        </w:tc>
        <w:tc>
          <w:tcPr>
            <w:tcW w:w="1426" w:type="dxa"/>
            <w:vAlign w:val="center"/>
          </w:tcPr>
          <w:p w:rsidR="009E4037" w:rsidRDefault="009768B2">
            <w:pPr>
              <w:jc w:val="right"/>
            </w:pPr>
            <w:r>
              <w:rPr>
                <w:rFonts w:eastAsiaTheme="minorEastAsia"/>
                <w:color w:val="000000"/>
                <w:szCs w:val="21"/>
              </w:rPr>
              <w:t>13,000</w:t>
            </w:r>
          </w:p>
        </w:tc>
        <w:tc>
          <w:tcPr>
            <w:tcW w:w="1646" w:type="dxa"/>
            <w:vAlign w:val="center"/>
          </w:tcPr>
          <w:p w:rsidR="009E4037" w:rsidRDefault="009768B2">
            <w:pPr>
              <w:jc w:val="right"/>
            </w:pPr>
            <w:r>
              <w:rPr>
                <w:rFonts w:eastAsiaTheme="minorEastAsia"/>
                <w:color w:val="000000"/>
                <w:szCs w:val="21"/>
              </w:rPr>
              <w:t>1,300,910.00</w:t>
            </w:r>
          </w:p>
        </w:tc>
        <w:tc>
          <w:tcPr>
            <w:tcW w:w="1612" w:type="dxa"/>
            <w:vAlign w:val="center"/>
          </w:tcPr>
          <w:p w:rsidR="009E4037" w:rsidRDefault="009768B2">
            <w:pPr>
              <w:jc w:val="right"/>
            </w:pPr>
            <w:r>
              <w:rPr>
                <w:rFonts w:eastAsiaTheme="minorEastAsia"/>
                <w:color w:val="000000"/>
                <w:szCs w:val="21"/>
              </w:rPr>
              <w:t>3.69</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17385692"/>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17385693"/>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17385694"/>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17385695"/>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17385696"/>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7" w:name="_Toc17385697"/>
      <w:r w:rsidRPr="00D46E57">
        <w:rPr>
          <w:rFonts w:ascii="Times New Roman" w:eastAsiaTheme="minorEastAsia" w:hAnsi="Times New Roman"/>
          <w:kern w:val="0"/>
          <w:sz w:val="21"/>
          <w:szCs w:val="21"/>
        </w:rPr>
        <w:t xml:space="preserve">7.12 </w:t>
      </w:r>
      <w:r w:rsidRPr="00D46E57">
        <w:rPr>
          <w:rFonts w:ascii="Times New Roman" w:eastAsiaTheme="minorEastAsia" w:hAnsi="Times New Roman"/>
          <w:kern w:val="0"/>
          <w:sz w:val="21"/>
          <w:szCs w:val="21"/>
        </w:rPr>
        <w:t>投资组合报告附注</w:t>
      </w:r>
      <w:bookmarkEnd w:id="77"/>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7.12.1</w:t>
      </w:r>
      <w:r w:rsidRPr="00D46E57">
        <w:rPr>
          <w:rFonts w:eastAsiaTheme="minorEastAsia"/>
          <w:kern w:val="0"/>
          <w:szCs w:val="21"/>
        </w:rPr>
        <w:t>报告期内本基金投资的前十名证券的发行主体没有被监管部门立案调查或在本报告编制日前一年内受到公开谴责、处罚的情况。</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lastRenderedPageBreak/>
        <w:t>7.12.2</w:t>
      </w:r>
      <w:r w:rsidRPr="00D46E57">
        <w:rPr>
          <w:rFonts w:eastAsiaTheme="minorEastAsia"/>
          <w:kern w:val="0"/>
          <w:szCs w:val="21"/>
        </w:rPr>
        <w:t>报告期内本基金投资的前十名股票没有超出基金合同规定的备选股票库。</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7.12.3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5,986.03</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998,489.87</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2,342.18</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1,006,818.08</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7.12.4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7.12.5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7.12.6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因四舍五入原因，投资组合报告中分项之和与合计可能存在尾差。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500050"/>
      <w:bookmarkStart w:id="79" w:name="_Toc17385698"/>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8"/>
      <w:bookmarkEnd w:id="79"/>
    </w:p>
    <w:p w:rsidR="001548F9" w:rsidRPr="00D46E57" w:rsidRDefault="001548F9" w:rsidP="006E0888">
      <w:pPr>
        <w:pStyle w:val="20"/>
        <w:spacing w:before="0" w:after="0"/>
        <w:rPr>
          <w:rFonts w:ascii="Times New Roman" w:eastAsiaTheme="minorEastAsia" w:hAnsi="Times New Roman"/>
          <w:kern w:val="0"/>
          <w:sz w:val="21"/>
          <w:szCs w:val="21"/>
        </w:rPr>
      </w:pPr>
      <w:bookmarkStart w:id="80" w:name="_Toc225500051"/>
      <w:bookmarkStart w:id="81" w:name="_Toc17385699"/>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0"/>
      <w:bookmarkEnd w:id="81"/>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w:t>
            </w:r>
            <w:r w:rsidRPr="00D46E57">
              <w:rPr>
                <w:rFonts w:eastAsiaTheme="minorEastAsia"/>
                <w:bCs/>
                <w:color w:val="000000"/>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w:t>
            </w:r>
            <w:r w:rsidRPr="00D46E57">
              <w:rPr>
                <w:rFonts w:eastAsiaTheme="minorEastAsia"/>
                <w:bCs/>
                <w:color w:val="000000"/>
                <w:szCs w:val="21"/>
              </w:rPr>
              <w:lastRenderedPageBreak/>
              <w:t>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lastRenderedPageBreak/>
              <w:t>上投摩根分红添利债券</w:t>
            </w:r>
            <w:r w:rsidRPr="00D46E57">
              <w:rPr>
                <w:rFonts w:eastAsiaTheme="minorEastAsia"/>
                <w:bCs/>
                <w:color w:val="000000"/>
                <w:szCs w:val="21"/>
              </w:rPr>
              <w:t>A</w:t>
            </w:r>
            <w:r w:rsidRPr="00D46E57">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756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37,476.40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943.53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28,331,211.29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上投摩根分红添利债券</w:t>
            </w:r>
            <w:r w:rsidRPr="00D46E57">
              <w:rPr>
                <w:rFonts w:eastAsiaTheme="minorEastAsia"/>
                <w:bCs/>
                <w:color w:val="000000"/>
                <w:szCs w:val="21"/>
              </w:rPr>
              <w:t>B</w:t>
            </w:r>
            <w:r w:rsidRPr="00D46E57">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397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9,818.97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3,898,132.55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1,153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27,953.41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943.53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32,229,343.84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2" w:name="_Toc17385700"/>
      <w:r w:rsidRPr="00D46E57">
        <w:rPr>
          <w:rFonts w:ascii="Times New Roman" w:eastAsiaTheme="minorEastAsia" w:hAnsi="Times New Roman"/>
          <w:kern w:val="0"/>
          <w:sz w:val="21"/>
          <w:szCs w:val="21"/>
        </w:rPr>
        <w:t>8.2</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A</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B</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A</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B</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3" w:name="_Toc225500053"/>
      <w:bookmarkStart w:id="84" w:name="_Toc17385701"/>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3"/>
      <w:bookmarkEnd w:id="84"/>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2012</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25</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1,379,756,512.82</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856,509,775.09</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30,979,544.01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26,067,658.34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2,392,751.51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18,845,750.18</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5,040,140.70</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41,015,275.97</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28,332,154.82</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3,898,132.55</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4"/>
      <w:bookmarkStart w:id="86" w:name="_Toc17385702"/>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5"/>
      <w:bookmarkEnd w:id="86"/>
    </w:p>
    <w:p w:rsidR="006A45AE" w:rsidRPr="00690ED2" w:rsidRDefault="006A45AE" w:rsidP="006A45AE">
      <w:pPr>
        <w:pStyle w:val="20"/>
        <w:spacing w:before="29" w:after="0" w:line="288" w:lineRule="auto"/>
        <w:rPr>
          <w:rFonts w:ascii="Times New Roman" w:hAnsi="Times New Roman"/>
          <w:kern w:val="0"/>
          <w:sz w:val="21"/>
          <w:szCs w:val="21"/>
        </w:rPr>
      </w:pPr>
      <w:bookmarkStart w:id="87" w:name="_Toc374438161"/>
      <w:bookmarkStart w:id="88" w:name="_Toc361324894"/>
      <w:bookmarkStart w:id="89" w:name="_Toc17385703"/>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7"/>
      <w:bookmarkEnd w:id="88"/>
      <w:bookmarkEnd w:id="89"/>
    </w:p>
    <w:p w:rsidR="00701C59" w:rsidRDefault="00701C59" w:rsidP="00701C59">
      <w:pPr>
        <w:widowControl/>
        <w:spacing w:line="360" w:lineRule="auto"/>
        <w:ind w:firstLineChars="200" w:firstLine="420"/>
      </w:pPr>
      <w:bookmarkStart w:id="90" w:name="_Toc374438162"/>
      <w:bookmarkStart w:id="91" w:name="_Toc361324895"/>
      <w:r w:rsidRPr="00C56D9D">
        <w:rPr>
          <w:rFonts w:eastAsiaTheme="minorEastAsia"/>
          <w:color w:val="000000" w:themeColor="text1"/>
          <w:kern w:val="0"/>
          <w:szCs w:val="21"/>
        </w:rPr>
        <w:t>基金管理人于</w:t>
      </w:r>
      <w:r>
        <w:rPr>
          <w:rFonts w:eastAsiaTheme="minorEastAsia"/>
          <w:color w:val="000000" w:themeColor="text1"/>
          <w:kern w:val="0"/>
          <w:szCs w:val="21"/>
        </w:rPr>
        <w:t>2019</w:t>
      </w:r>
      <w:r w:rsidRPr="00C56D9D">
        <w:rPr>
          <w:rFonts w:eastAsiaTheme="minorEastAsia"/>
          <w:color w:val="000000" w:themeColor="text1"/>
          <w:kern w:val="0"/>
          <w:szCs w:val="21"/>
        </w:rPr>
        <w:t>年</w:t>
      </w:r>
      <w:r>
        <w:rPr>
          <w:rFonts w:eastAsiaTheme="minorEastAsia"/>
          <w:color w:val="000000" w:themeColor="text1"/>
          <w:kern w:val="0"/>
          <w:szCs w:val="21"/>
        </w:rPr>
        <w:t>1</w:t>
      </w:r>
      <w:r w:rsidRPr="00C56D9D">
        <w:rPr>
          <w:rFonts w:eastAsiaTheme="minorEastAsia"/>
          <w:color w:val="000000" w:themeColor="text1"/>
          <w:kern w:val="0"/>
          <w:szCs w:val="21"/>
        </w:rPr>
        <w:t>月</w:t>
      </w:r>
      <w:r>
        <w:rPr>
          <w:rFonts w:eastAsiaTheme="minorEastAsia"/>
          <w:color w:val="000000" w:themeColor="text1"/>
          <w:kern w:val="0"/>
          <w:szCs w:val="21"/>
        </w:rPr>
        <w:t>17</w:t>
      </w:r>
      <w:r w:rsidRPr="00C56D9D">
        <w:rPr>
          <w:rFonts w:eastAsiaTheme="minorEastAsia"/>
          <w:color w:val="000000" w:themeColor="text1"/>
          <w:kern w:val="0"/>
          <w:szCs w:val="21"/>
        </w:rPr>
        <w:t>日公告，基金份额持有人大会</w:t>
      </w:r>
      <w:r>
        <w:rPr>
          <w:rFonts w:eastAsiaTheme="minorEastAsia"/>
          <w:color w:val="000000" w:themeColor="text1"/>
          <w:kern w:val="0"/>
          <w:szCs w:val="21"/>
        </w:rPr>
        <w:t>2019</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年</w:t>
      </w:r>
      <w:r>
        <w:rPr>
          <w:rFonts w:eastAsiaTheme="minorEastAsia"/>
          <w:color w:val="000000" w:themeColor="text1"/>
          <w:kern w:val="0"/>
          <w:szCs w:val="21"/>
        </w:rPr>
        <w:t xml:space="preserve"> 1</w:t>
      </w:r>
      <w:r w:rsidRPr="00C56D9D">
        <w:rPr>
          <w:rFonts w:eastAsiaTheme="minorEastAsia"/>
          <w:color w:val="000000" w:themeColor="text1"/>
          <w:kern w:val="0"/>
          <w:szCs w:val="21"/>
        </w:rPr>
        <w:t>月</w:t>
      </w:r>
      <w:r>
        <w:rPr>
          <w:rFonts w:eastAsiaTheme="minorEastAsia"/>
          <w:color w:val="000000" w:themeColor="text1"/>
          <w:kern w:val="0"/>
          <w:szCs w:val="21"/>
        </w:rPr>
        <w:t xml:space="preserve"> 15</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日表决通过了</w:t>
      </w:r>
      <w:r>
        <w:t>《关于修改上投摩根分红添利债券型证券投资基金基金合同有关事项的议案》</w:t>
      </w:r>
      <w:r>
        <w:rPr>
          <w:rFonts w:hint="eastAsia"/>
        </w:rPr>
        <w:t>。</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17385704"/>
      <w:r>
        <w:rPr>
          <w:rFonts w:ascii="Times New Roman" w:hAnsi="Times New Roman"/>
          <w:kern w:val="0"/>
          <w:sz w:val="21"/>
          <w:szCs w:val="21"/>
        </w:rPr>
        <w:lastRenderedPageBreak/>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0"/>
      <w:bookmarkEnd w:id="91"/>
      <w:bookmarkEnd w:id="92"/>
    </w:p>
    <w:p w:rsidR="009E4037" w:rsidRDefault="009768B2">
      <w:pPr>
        <w:tabs>
          <w:tab w:val="left" w:pos="426"/>
        </w:tabs>
        <w:spacing w:before="29" w:line="288" w:lineRule="auto"/>
        <w:jc w:val="left"/>
        <w:rPr>
          <w:kern w:val="0"/>
          <w:szCs w:val="21"/>
        </w:rPr>
      </w:pPr>
      <w:r>
        <w:rPr>
          <w:kern w:val="0"/>
          <w:szCs w:val="21"/>
        </w:rPr>
        <w:t>基金管理人：</w:t>
      </w:r>
    </w:p>
    <w:p w:rsidR="009E4037" w:rsidRDefault="009768B2">
      <w:pPr>
        <w:tabs>
          <w:tab w:val="left" w:pos="426"/>
        </w:tabs>
        <w:spacing w:before="29" w:line="288" w:lineRule="auto"/>
        <w:jc w:val="left"/>
        <w:rPr>
          <w:kern w:val="0"/>
          <w:szCs w:val="21"/>
        </w:rPr>
      </w:pPr>
      <w:r>
        <w:rPr>
          <w:kern w:val="0"/>
          <w:szCs w:val="21"/>
        </w:rPr>
        <w:t>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9E4037" w:rsidRDefault="009768B2">
      <w:pPr>
        <w:tabs>
          <w:tab w:val="left" w:pos="426"/>
        </w:tabs>
        <w:spacing w:before="29" w:line="288" w:lineRule="auto"/>
        <w:jc w:val="left"/>
        <w:rPr>
          <w:kern w:val="0"/>
          <w:szCs w:val="21"/>
        </w:rPr>
      </w:pPr>
      <w:r>
        <w:rPr>
          <w:kern w:val="0"/>
          <w:szCs w:val="21"/>
        </w:rPr>
        <w:t>基金托管人：</w:t>
      </w:r>
    </w:p>
    <w:p w:rsidR="006A45AE" w:rsidRPr="00690ED2" w:rsidRDefault="006A45AE" w:rsidP="006A45AE">
      <w:pPr>
        <w:tabs>
          <w:tab w:val="left" w:pos="426"/>
        </w:tabs>
        <w:spacing w:before="29" w:line="288" w:lineRule="auto"/>
        <w:jc w:val="left"/>
        <w:rPr>
          <w:kern w:val="0"/>
          <w:szCs w:val="21"/>
        </w:rPr>
      </w:pPr>
      <w:r w:rsidRPr="00690ED2">
        <w:rPr>
          <w:kern w:val="0"/>
          <w:szCs w:val="21"/>
        </w:rPr>
        <w:t>2019</w:t>
      </w:r>
      <w:r w:rsidRPr="00690ED2">
        <w:rPr>
          <w:kern w:val="0"/>
          <w:szCs w:val="21"/>
        </w:rPr>
        <w:t>年</w:t>
      </w:r>
      <w:r w:rsidRPr="00690ED2">
        <w:rPr>
          <w:kern w:val="0"/>
          <w:szCs w:val="21"/>
        </w:rPr>
        <w:t>5</w:t>
      </w:r>
      <w:r w:rsidRPr="00690ED2">
        <w:rPr>
          <w:kern w:val="0"/>
          <w:szCs w:val="21"/>
        </w:rPr>
        <w:t>月，陈四清先生因工作调动，辞去中国银行股份有限公司董事长职务。上述人事变动已按相关规定备案、公告。</w:t>
      </w:r>
    </w:p>
    <w:p w:rsidR="006A45AE" w:rsidRPr="00690ED2" w:rsidRDefault="006A45AE" w:rsidP="006A45AE">
      <w:pPr>
        <w:pStyle w:val="20"/>
        <w:spacing w:before="29" w:after="0" w:line="288" w:lineRule="auto"/>
        <w:rPr>
          <w:rFonts w:ascii="Times New Roman" w:hAnsi="Times New Roman"/>
          <w:kern w:val="0"/>
          <w:sz w:val="21"/>
          <w:szCs w:val="21"/>
        </w:rPr>
      </w:pPr>
      <w:bookmarkStart w:id="93" w:name="_Toc374438163"/>
      <w:bookmarkStart w:id="94" w:name="_Toc361324896"/>
      <w:bookmarkStart w:id="95" w:name="_Toc17385705"/>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3"/>
      <w:bookmarkEnd w:id="94"/>
      <w:bookmarkEnd w:id="95"/>
    </w:p>
    <w:p w:rsidR="009E4037" w:rsidRDefault="009768B2">
      <w:pPr>
        <w:tabs>
          <w:tab w:val="left" w:pos="426"/>
        </w:tabs>
        <w:spacing w:before="29" w:line="288" w:lineRule="auto"/>
        <w:jc w:val="left"/>
        <w:rPr>
          <w:kern w:val="0"/>
          <w:szCs w:val="21"/>
        </w:rPr>
      </w:pPr>
      <w:r>
        <w:rPr>
          <w:kern w:val="0"/>
          <w:szCs w:val="21"/>
        </w:rPr>
        <w:t>本报告期内无涉及基金管理人、基金财产的诉讼。</w:t>
      </w:r>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本报告期内，无涉及本基金托管业务的诉讼。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6" w:name="_Toc374438164"/>
      <w:bookmarkStart w:id="97" w:name="_Toc361324897"/>
      <w:bookmarkStart w:id="98" w:name="_Toc17385706"/>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6"/>
      <w:bookmarkEnd w:id="97"/>
      <w:bookmarkEnd w:id="98"/>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99" w:name="_Toc409100103"/>
      <w:bookmarkStart w:id="100" w:name="_Toc409100466"/>
      <w:bookmarkStart w:id="101" w:name="_Toc17385707"/>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9"/>
      <w:bookmarkEnd w:id="100"/>
      <w:bookmarkEnd w:id="101"/>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2" w:name="_Toc361324899"/>
      <w:bookmarkStart w:id="103" w:name="_Toc409100467"/>
      <w:bookmarkStart w:id="104" w:name="_Toc409100104"/>
      <w:bookmarkStart w:id="105" w:name="_Toc17385708"/>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2"/>
      <w:bookmarkEnd w:id="103"/>
      <w:bookmarkEnd w:id="104"/>
      <w:bookmarkEnd w:id="105"/>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6" w:name="_Toc409100105"/>
      <w:bookmarkStart w:id="107" w:name="_Toc409100468"/>
      <w:bookmarkStart w:id="108" w:name="_Toc361324900"/>
      <w:bookmarkStart w:id="109" w:name="_Toc17385709"/>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6"/>
      <w:bookmarkEnd w:id="107"/>
      <w:bookmarkEnd w:id="108"/>
      <w:bookmarkEnd w:id="109"/>
    </w:p>
    <w:p w:rsidR="006A45AE" w:rsidRPr="00690ED2" w:rsidRDefault="006A45AE" w:rsidP="006A45AE">
      <w:pPr>
        <w:tabs>
          <w:tab w:val="left" w:pos="426"/>
        </w:tabs>
        <w:spacing w:before="29" w:line="288" w:lineRule="auto"/>
        <w:jc w:val="left"/>
        <w:rPr>
          <w:b/>
          <w:kern w:val="0"/>
          <w:szCs w:val="21"/>
        </w:rPr>
      </w:pPr>
      <w:bookmarkStart w:id="110" w:name="_Toc249760070"/>
      <w:r w:rsidRPr="00690ED2">
        <w:rPr>
          <w:b/>
          <w:kern w:val="0"/>
          <w:szCs w:val="21"/>
        </w:rPr>
        <w:t>10.7.1</w:t>
      </w:r>
      <w:r w:rsidRPr="00690ED2">
        <w:rPr>
          <w:rFonts w:hint="eastAsia"/>
          <w:b/>
          <w:kern w:val="0"/>
          <w:szCs w:val="21"/>
        </w:rPr>
        <w:t>基金租用证券公司交易单元进行股票投资及佣金支付情况</w:t>
      </w:r>
      <w:bookmarkEnd w:id="110"/>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9768B2">
        <w:tc>
          <w:tcPr>
            <w:tcW w:w="1560" w:type="dxa"/>
            <w:vMerge w:val="restart"/>
            <w:vAlign w:val="center"/>
          </w:tcPr>
          <w:p w:rsidR="00717E64" w:rsidRPr="00D46E57" w:rsidRDefault="00717E64" w:rsidP="009768B2">
            <w:pPr>
              <w:spacing w:line="276" w:lineRule="auto"/>
              <w:jc w:val="center"/>
              <w:rPr>
                <w:rFonts w:eastAsiaTheme="minorEastAsia"/>
                <w:szCs w:val="21"/>
              </w:rPr>
            </w:pPr>
            <w:bookmarkStart w:id="111" w:name="_Toc249760071"/>
            <w:r w:rsidRPr="00D46E57">
              <w:rPr>
                <w:rFonts w:eastAsiaTheme="minorEastAsia"/>
                <w:szCs w:val="21"/>
              </w:rPr>
              <w:t>券商名称</w:t>
            </w:r>
          </w:p>
        </w:tc>
        <w:tc>
          <w:tcPr>
            <w:tcW w:w="780" w:type="dxa"/>
            <w:vMerge w:val="restart"/>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9768B2">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9768B2">
        <w:tc>
          <w:tcPr>
            <w:tcW w:w="1560" w:type="dxa"/>
            <w:vMerge/>
            <w:vAlign w:val="center"/>
          </w:tcPr>
          <w:p w:rsidR="00717E64" w:rsidRPr="00D46E57" w:rsidRDefault="00717E64" w:rsidP="009768B2">
            <w:pPr>
              <w:widowControl/>
              <w:spacing w:line="276" w:lineRule="auto"/>
              <w:jc w:val="left"/>
              <w:rPr>
                <w:rFonts w:eastAsiaTheme="minorEastAsia"/>
                <w:szCs w:val="21"/>
              </w:rPr>
            </w:pPr>
          </w:p>
        </w:tc>
        <w:tc>
          <w:tcPr>
            <w:tcW w:w="780" w:type="dxa"/>
            <w:vMerge/>
            <w:vAlign w:val="center"/>
          </w:tcPr>
          <w:p w:rsidR="00717E64" w:rsidRPr="00D46E57" w:rsidRDefault="00717E64" w:rsidP="009768B2">
            <w:pPr>
              <w:widowControl/>
              <w:spacing w:line="276" w:lineRule="auto"/>
              <w:jc w:val="left"/>
              <w:rPr>
                <w:rFonts w:eastAsiaTheme="minorEastAsia"/>
                <w:szCs w:val="21"/>
              </w:rPr>
            </w:pPr>
          </w:p>
        </w:tc>
        <w:tc>
          <w:tcPr>
            <w:tcW w:w="180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9768B2">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9768B2">
            <w:pPr>
              <w:widowControl/>
              <w:spacing w:line="276" w:lineRule="auto"/>
              <w:jc w:val="left"/>
              <w:rPr>
                <w:rFonts w:eastAsiaTheme="minorEastAsia"/>
                <w:kern w:val="0"/>
                <w:szCs w:val="21"/>
              </w:rPr>
            </w:pPr>
          </w:p>
        </w:tc>
      </w:tr>
      <w:tr w:rsidR="009E4037">
        <w:tc>
          <w:tcPr>
            <w:tcW w:w="1560" w:type="dxa"/>
            <w:vAlign w:val="center"/>
          </w:tcPr>
          <w:p w:rsidR="009E4037" w:rsidRDefault="009768B2">
            <w:pPr>
              <w:jc w:val="left"/>
            </w:pPr>
            <w:r>
              <w:rPr>
                <w:rFonts w:eastAsiaTheme="minorEastAsia"/>
                <w:szCs w:val="21"/>
              </w:rPr>
              <w:t>高华证券</w:t>
            </w:r>
          </w:p>
        </w:tc>
        <w:tc>
          <w:tcPr>
            <w:tcW w:w="780" w:type="dxa"/>
            <w:vAlign w:val="center"/>
          </w:tcPr>
          <w:p w:rsidR="009E4037" w:rsidRDefault="009768B2">
            <w:pPr>
              <w:jc w:val="right"/>
            </w:pPr>
            <w:r>
              <w:rPr>
                <w:rFonts w:eastAsiaTheme="minorEastAsia"/>
                <w:szCs w:val="21"/>
              </w:rPr>
              <w:t>1</w:t>
            </w:r>
          </w:p>
        </w:tc>
        <w:tc>
          <w:tcPr>
            <w:tcW w:w="1800" w:type="dxa"/>
            <w:vAlign w:val="center"/>
          </w:tcPr>
          <w:p w:rsidR="009E4037" w:rsidRDefault="009768B2">
            <w:pPr>
              <w:jc w:val="right"/>
            </w:pPr>
            <w:r>
              <w:rPr>
                <w:rFonts w:eastAsiaTheme="minorEastAsia"/>
                <w:szCs w:val="21"/>
              </w:rPr>
              <w:t>-</w:t>
            </w:r>
          </w:p>
        </w:tc>
        <w:tc>
          <w:tcPr>
            <w:tcW w:w="1080" w:type="dxa"/>
            <w:vAlign w:val="center"/>
          </w:tcPr>
          <w:p w:rsidR="009E4037" w:rsidRDefault="009768B2">
            <w:pPr>
              <w:jc w:val="right"/>
            </w:pPr>
            <w:r>
              <w:rPr>
                <w:rFonts w:eastAsiaTheme="minorEastAsia"/>
                <w:szCs w:val="21"/>
              </w:rPr>
              <w:t>-</w:t>
            </w:r>
          </w:p>
        </w:tc>
        <w:tc>
          <w:tcPr>
            <w:tcW w:w="1620" w:type="dxa"/>
            <w:vAlign w:val="center"/>
          </w:tcPr>
          <w:p w:rsidR="009E4037" w:rsidRDefault="009768B2">
            <w:pPr>
              <w:jc w:val="right"/>
            </w:pPr>
            <w:r>
              <w:rPr>
                <w:rFonts w:eastAsiaTheme="minorEastAsia"/>
                <w:szCs w:val="21"/>
              </w:rPr>
              <w:t>1,410.14</w:t>
            </w:r>
          </w:p>
        </w:tc>
        <w:tc>
          <w:tcPr>
            <w:tcW w:w="1080" w:type="dxa"/>
            <w:vAlign w:val="center"/>
          </w:tcPr>
          <w:p w:rsidR="009E4037" w:rsidRDefault="009768B2">
            <w:pPr>
              <w:jc w:val="right"/>
            </w:pPr>
            <w:r>
              <w:rPr>
                <w:rFonts w:eastAsiaTheme="minorEastAsia"/>
                <w:szCs w:val="21"/>
              </w:rPr>
              <w:t>7.02%</w:t>
            </w:r>
          </w:p>
        </w:tc>
        <w:tc>
          <w:tcPr>
            <w:tcW w:w="1080" w:type="dxa"/>
            <w:vAlign w:val="center"/>
          </w:tcPr>
          <w:p w:rsidR="009E4037" w:rsidRDefault="009768B2">
            <w:pPr>
              <w:jc w:val="left"/>
            </w:pPr>
            <w:r>
              <w:rPr>
                <w:rFonts w:eastAsiaTheme="minorEastAsia"/>
                <w:szCs w:val="21"/>
              </w:rPr>
              <w:t>-</w:t>
            </w:r>
          </w:p>
        </w:tc>
      </w:tr>
      <w:tr w:rsidR="009E4037">
        <w:tc>
          <w:tcPr>
            <w:tcW w:w="1560" w:type="dxa"/>
            <w:vAlign w:val="center"/>
          </w:tcPr>
          <w:p w:rsidR="009E4037" w:rsidRDefault="009768B2">
            <w:pPr>
              <w:jc w:val="left"/>
            </w:pPr>
            <w:r>
              <w:rPr>
                <w:rFonts w:eastAsiaTheme="minorEastAsia"/>
                <w:szCs w:val="21"/>
              </w:rPr>
              <w:t>上海证券</w:t>
            </w:r>
          </w:p>
        </w:tc>
        <w:tc>
          <w:tcPr>
            <w:tcW w:w="780" w:type="dxa"/>
            <w:vAlign w:val="center"/>
          </w:tcPr>
          <w:p w:rsidR="009E4037" w:rsidRDefault="009768B2">
            <w:pPr>
              <w:jc w:val="right"/>
            </w:pPr>
            <w:r>
              <w:rPr>
                <w:rFonts w:eastAsiaTheme="minorEastAsia"/>
                <w:szCs w:val="21"/>
              </w:rPr>
              <w:t>1</w:t>
            </w:r>
          </w:p>
        </w:tc>
        <w:tc>
          <w:tcPr>
            <w:tcW w:w="1800" w:type="dxa"/>
            <w:vAlign w:val="center"/>
          </w:tcPr>
          <w:p w:rsidR="009E4037" w:rsidRDefault="009768B2">
            <w:pPr>
              <w:jc w:val="right"/>
            </w:pPr>
            <w:r>
              <w:rPr>
                <w:rFonts w:eastAsiaTheme="minorEastAsia"/>
                <w:szCs w:val="21"/>
              </w:rPr>
              <w:t>-</w:t>
            </w:r>
          </w:p>
        </w:tc>
        <w:tc>
          <w:tcPr>
            <w:tcW w:w="1080" w:type="dxa"/>
            <w:vAlign w:val="center"/>
          </w:tcPr>
          <w:p w:rsidR="009E4037" w:rsidRDefault="009768B2">
            <w:pPr>
              <w:jc w:val="right"/>
            </w:pPr>
            <w:r>
              <w:rPr>
                <w:rFonts w:eastAsiaTheme="minorEastAsia"/>
                <w:szCs w:val="21"/>
              </w:rPr>
              <w:t>-</w:t>
            </w:r>
          </w:p>
        </w:tc>
        <w:tc>
          <w:tcPr>
            <w:tcW w:w="1620" w:type="dxa"/>
            <w:vAlign w:val="center"/>
          </w:tcPr>
          <w:p w:rsidR="009E4037" w:rsidRDefault="009768B2">
            <w:pPr>
              <w:jc w:val="right"/>
            </w:pPr>
            <w:r>
              <w:rPr>
                <w:rFonts w:eastAsiaTheme="minorEastAsia"/>
                <w:szCs w:val="21"/>
              </w:rPr>
              <w:t>18,676.44</w:t>
            </w:r>
          </w:p>
        </w:tc>
        <w:tc>
          <w:tcPr>
            <w:tcW w:w="1080" w:type="dxa"/>
            <w:vAlign w:val="center"/>
          </w:tcPr>
          <w:p w:rsidR="009E4037" w:rsidRDefault="009768B2">
            <w:pPr>
              <w:jc w:val="right"/>
            </w:pPr>
            <w:r>
              <w:rPr>
                <w:rFonts w:eastAsiaTheme="minorEastAsia"/>
                <w:szCs w:val="21"/>
              </w:rPr>
              <w:t>92.98%</w:t>
            </w:r>
          </w:p>
        </w:tc>
        <w:tc>
          <w:tcPr>
            <w:tcW w:w="1080" w:type="dxa"/>
            <w:vAlign w:val="center"/>
          </w:tcPr>
          <w:p w:rsidR="009E4037" w:rsidRDefault="009768B2">
            <w:pPr>
              <w:jc w:val="left"/>
            </w:pPr>
            <w:r>
              <w:rPr>
                <w:rFonts w:eastAsiaTheme="minorEastAsia"/>
                <w:szCs w:val="21"/>
              </w:rPr>
              <w:t>-</w:t>
            </w:r>
          </w:p>
        </w:tc>
      </w:tr>
    </w:tbl>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2" w:name="_Toc249707408"/>
      <w:bookmarkEnd w:id="111"/>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9768B2">
        <w:tc>
          <w:tcPr>
            <w:tcW w:w="1560" w:type="dxa"/>
            <w:vMerge w:val="restart"/>
            <w:vAlign w:val="center"/>
          </w:tcPr>
          <w:p w:rsidR="00717E64" w:rsidRPr="00D46E57" w:rsidRDefault="00717E64" w:rsidP="009768B2">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权证交易</w:t>
            </w:r>
          </w:p>
        </w:tc>
      </w:tr>
      <w:tr w:rsidR="00717E64" w:rsidRPr="00D46E57" w:rsidTr="009768B2">
        <w:tc>
          <w:tcPr>
            <w:tcW w:w="1560" w:type="dxa"/>
            <w:vMerge/>
            <w:vAlign w:val="center"/>
          </w:tcPr>
          <w:p w:rsidR="00717E64" w:rsidRPr="00D46E57" w:rsidRDefault="00717E64" w:rsidP="009768B2">
            <w:pPr>
              <w:widowControl/>
              <w:spacing w:line="276" w:lineRule="auto"/>
              <w:jc w:val="left"/>
              <w:rPr>
                <w:rFonts w:eastAsiaTheme="minorEastAsia"/>
                <w:kern w:val="0"/>
                <w:szCs w:val="21"/>
              </w:rPr>
            </w:pPr>
          </w:p>
        </w:tc>
        <w:tc>
          <w:tcPr>
            <w:tcW w:w="132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占当期权证成交总额的比例</w:t>
            </w:r>
          </w:p>
        </w:tc>
      </w:tr>
      <w:tr w:rsidR="009E4037">
        <w:tc>
          <w:tcPr>
            <w:tcW w:w="1560" w:type="dxa"/>
            <w:vAlign w:val="center"/>
          </w:tcPr>
          <w:p w:rsidR="009E4037" w:rsidRDefault="009768B2">
            <w:pPr>
              <w:jc w:val="left"/>
            </w:pPr>
            <w:r>
              <w:rPr>
                <w:rFonts w:eastAsiaTheme="minorEastAsia"/>
                <w:szCs w:val="21"/>
              </w:rPr>
              <w:t>高华证券</w:t>
            </w:r>
          </w:p>
        </w:tc>
        <w:tc>
          <w:tcPr>
            <w:tcW w:w="1320" w:type="dxa"/>
            <w:vAlign w:val="center"/>
          </w:tcPr>
          <w:p w:rsidR="009E4037" w:rsidRDefault="00E01E55">
            <w:pPr>
              <w:jc w:val="right"/>
            </w:pPr>
            <w:r>
              <w:rPr>
                <w:rFonts w:eastAsiaTheme="minorEastAsia"/>
                <w:szCs w:val="21"/>
              </w:rPr>
              <w:t>7,712,341.35</w:t>
            </w:r>
          </w:p>
        </w:tc>
        <w:tc>
          <w:tcPr>
            <w:tcW w:w="1080" w:type="dxa"/>
            <w:vAlign w:val="center"/>
          </w:tcPr>
          <w:p w:rsidR="009E4037" w:rsidRDefault="009768B2">
            <w:pPr>
              <w:jc w:val="right"/>
            </w:pPr>
            <w:r>
              <w:rPr>
                <w:rFonts w:eastAsiaTheme="minorEastAsia"/>
                <w:szCs w:val="21"/>
              </w:rPr>
              <w:t>7.76%</w:t>
            </w:r>
          </w:p>
        </w:tc>
        <w:tc>
          <w:tcPr>
            <w:tcW w:w="1143" w:type="dxa"/>
            <w:vAlign w:val="center"/>
          </w:tcPr>
          <w:p w:rsidR="009E4037" w:rsidRDefault="009768B2">
            <w:pPr>
              <w:jc w:val="right"/>
            </w:pPr>
            <w:r>
              <w:rPr>
                <w:rFonts w:eastAsiaTheme="minorEastAsia"/>
                <w:szCs w:val="21"/>
              </w:rPr>
              <w:t>-</w:t>
            </w:r>
          </w:p>
        </w:tc>
        <w:tc>
          <w:tcPr>
            <w:tcW w:w="1197" w:type="dxa"/>
            <w:vAlign w:val="center"/>
          </w:tcPr>
          <w:p w:rsidR="009E4037" w:rsidRDefault="009768B2">
            <w:pPr>
              <w:jc w:val="right"/>
            </w:pPr>
            <w:r>
              <w:rPr>
                <w:rFonts w:eastAsiaTheme="minorEastAsia"/>
                <w:szCs w:val="21"/>
              </w:rPr>
              <w:t>-</w:t>
            </w:r>
          </w:p>
        </w:tc>
        <w:tc>
          <w:tcPr>
            <w:tcW w:w="1497" w:type="dxa"/>
            <w:vAlign w:val="center"/>
          </w:tcPr>
          <w:p w:rsidR="009E4037" w:rsidRDefault="009768B2">
            <w:pPr>
              <w:jc w:val="right"/>
            </w:pPr>
            <w:r>
              <w:rPr>
                <w:rFonts w:eastAsiaTheme="minorEastAsia"/>
                <w:szCs w:val="21"/>
              </w:rPr>
              <w:t>-</w:t>
            </w:r>
          </w:p>
        </w:tc>
        <w:tc>
          <w:tcPr>
            <w:tcW w:w="1203" w:type="dxa"/>
            <w:vAlign w:val="center"/>
          </w:tcPr>
          <w:p w:rsidR="009E4037" w:rsidRDefault="009768B2">
            <w:pPr>
              <w:jc w:val="right"/>
            </w:pPr>
            <w:r>
              <w:rPr>
                <w:rFonts w:eastAsiaTheme="minorEastAsia"/>
                <w:szCs w:val="21"/>
              </w:rPr>
              <w:t>-</w:t>
            </w:r>
          </w:p>
        </w:tc>
      </w:tr>
      <w:tr w:rsidR="009E4037">
        <w:tc>
          <w:tcPr>
            <w:tcW w:w="1560" w:type="dxa"/>
            <w:vAlign w:val="center"/>
          </w:tcPr>
          <w:p w:rsidR="009E4037" w:rsidRDefault="009768B2">
            <w:pPr>
              <w:jc w:val="left"/>
            </w:pPr>
            <w:r>
              <w:rPr>
                <w:rFonts w:eastAsiaTheme="minorEastAsia"/>
                <w:szCs w:val="21"/>
              </w:rPr>
              <w:t>上海证券</w:t>
            </w:r>
          </w:p>
        </w:tc>
        <w:tc>
          <w:tcPr>
            <w:tcW w:w="1320" w:type="dxa"/>
            <w:vAlign w:val="center"/>
          </w:tcPr>
          <w:p w:rsidR="009E4037" w:rsidRDefault="00E01E55">
            <w:pPr>
              <w:jc w:val="right"/>
            </w:pPr>
            <w:r>
              <w:rPr>
                <w:rFonts w:eastAsiaTheme="minorEastAsia"/>
                <w:szCs w:val="21"/>
              </w:rPr>
              <w:t>91,623,623.80</w:t>
            </w:r>
          </w:p>
        </w:tc>
        <w:tc>
          <w:tcPr>
            <w:tcW w:w="1080" w:type="dxa"/>
            <w:vAlign w:val="center"/>
          </w:tcPr>
          <w:p w:rsidR="009E4037" w:rsidRDefault="009768B2">
            <w:pPr>
              <w:jc w:val="right"/>
            </w:pPr>
            <w:r>
              <w:rPr>
                <w:rFonts w:eastAsiaTheme="minorEastAsia"/>
                <w:szCs w:val="21"/>
              </w:rPr>
              <w:t>92.24%</w:t>
            </w:r>
          </w:p>
        </w:tc>
        <w:tc>
          <w:tcPr>
            <w:tcW w:w="1143" w:type="dxa"/>
            <w:vAlign w:val="center"/>
          </w:tcPr>
          <w:p w:rsidR="009E4037" w:rsidRDefault="009768B2">
            <w:pPr>
              <w:jc w:val="right"/>
            </w:pPr>
            <w:r>
              <w:rPr>
                <w:rFonts w:eastAsiaTheme="minorEastAsia"/>
                <w:szCs w:val="21"/>
              </w:rPr>
              <w:t>697,300,000.00</w:t>
            </w:r>
          </w:p>
        </w:tc>
        <w:tc>
          <w:tcPr>
            <w:tcW w:w="1197" w:type="dxa"/>
            <w:vAlign w:val="center"/>
          </w:tcPr>
          <w:p w:rsidR="009E4037" w:rsidRDefault="009768B2">
            <w:pPr>
              <w:jc w:val="right"/>
            </w:pPr>
            <w:r>
              <w:rPr>
                <w:rFonts w:eastAsiaTheme="minorEastAsia"/>
                <w:szCs w:val="21"/>
              </w:rPr>
              <w:t>100.00%</w:t>
            </w:r>
          </w:p>
        </w:tc>
        <w:tc>
          <w:tcPr>
            <w:tcW w:w="1497" w:type="dxa"/>
            <w:vAlign w:val="center"/>
          </w:tcPr>
          <w:p w:rsidR="009E4037" w:rsidRDefault="009768B2">
            <w:pPr>
              <w:jc w:val="right"/>
            </w:pPr>
            <w:r>
              <w:rPr>
                <w:rFonts w:eastAsiaTheme="minorEastAsia"/>
                <w:szCs w:val="21"/>
              </w:rPr>
              <w:t>-</w:t>
            </w:r>
          </w:p>
        </w:tc>
        <w:tc>
          <w:tcPr>
            <w:tcW w:w="1203" w:type="dxa"/>
            <w:vAlign w:val="center"/>
          </w:tcPr>
          <w:p w:rsidR="009E4037" w:rsidRDefault="009768B2">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3" w:name="_Toc17385710"/>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9E4037">
        <w:tc>
          <w:tcPr>
            <w:tcW w:w="720" w:type="dxa"/>
            <w:vAlign w:val="center"/>
          </w:tcPr>
          <w:p w:rsidR="009E4037" w:rsidRDefault="009768B2">
            <w:pPr>
              <w:jc w:val="center"/>
            </w:pPr>
            <w:r>
              <w:rPr>
                <w:rFonts w:eastAsiaTheme="minorEastAsia"/>
                <w:color w:val="000000"/>
                <w:szCs w:val="21"/>
              </w:rPr>
              <w:t>1</w:t>
            </w:r>
          </w:p>
        </w:tc>
        <w:tc>
          <w:tcPr>
            <w:tcW w:w="4320" w:type="dxa"/>
            <w:vAlign w:val="center"/>
          </w:tcPr>
          <w:p w:rsidR="009E4037" w:rsidRDefault="009768B2">
            <w:r>
              <w:rPr>
                <w:rFonts w:eastAsiaTheme="minorEastAsia"/>
                <w:color w:val="000000"/>
                <w:szCs w:val="21"/>
              </w:rPr>
              <w:t>上投摩根分红添利债券型证券投资基金分红公告</w:t>
            </w:r>
          </w:p>
        </w:tc>
        <w:tc>
          <w:tcPr>
            <w:tcW w:w="2520" w:type="dxa"/>
            <w:vAlign w:val="center"/>
          </w:tcPr>
          <w:p w:rsidR="009E4037" w:rsidRDefault="009768B2">
            <w:r>
              <w:rPr>
                <w:rFonts w:eastAsiaTheme="minorEastAsia"/>
                <w:color w:val="000000"/>
                <w:szCs w:val="21"/>
              </w:rPr>
              <w:t>基金管理人公司网站及本基金选定的信息披露报纸</w:t>
            </w:r>
          </w:p>
        </w:tc>
        <w:tc>
          <w:tcPr>
            <w:tcW w:w="1440" w:type="dxa"/>
            <w:vAlign w:val="center"/>
          </w:tcPr>
          <w:p w:rsidR="009E4037" w:rsidRDefault="009768B2">
            <w:pPr>
              <w:jc w:val="center"/>
            </w:pPr>
            <w:r>
              <w:rPr>
                <w:rFonts w:eastAsiaTheme="minorEastAsia"/>
                <w:color w:val="000000"/>
                <w:szCs w:val="21"/>
              </w:rPr>
              <w:t>2019-01-14</w:t>
            </w:r>
          </w:p>
        </w:tc>
      </w:tr>
      <w:tr w:rsidR="009E4037">
        <w:tc>
          <w:tcPr>
            <w:tcW w:w="720" w:type="dxa"/>
            <w:vAlign w:val="center"/>
          </w:tcPr>
          <w:p w:rsidR="009E4037" w:rsidRDefault="009768B2">
            <w:pPr>
              <w:jc w:val="center"/>
            </w:pPr>
            <w:r>
              <w:rPr>
                <w:rFonts w:eastAsiaTheme="minorEastAsia"/>
                <w:color w:val="000000"/>
                <w:szCs w:val="21"/>
              </w:rPr>
              <w:t>2</w:t>
            </w:r>
          </w:p>
        </w:tc>
        <w:tc>
          <w:tcPr>
            <w:tcW w:w="4320" w:type="dxa"/>
            <w:vAlign w:val="center"/>
          </w:tcPr>
          <w:p w:rsidR="009E4037" w:rsidRDefault="009768B2">
            <w:r>
              <w:rPr>
                <w:rFonts w:eastAsiaTheme="minorEastAsia"/>
                <w:color w:val="000000"/>
                <w:szCs w:val="21"/>
              </w:rPr>
              <w:t>关于上投摩根分红添利债券型证券投资基金基金份额持有人大会表决结果暨决议生效公告</w:t>
            </w:r>
          </w:p>
        </w:tc>
        <w:tc>
          <w:tcPr>
            <w:tcW w:w="2520" w:type="dxa"/>
            <w:vAlign w:val="center"/>
          </w:tcPr>
          <w:p w:rsidR="009E4037" w:rsidRDefault="009768B2">
            <w:r>
              <w:rPr>
                <w:rFonts w:eastAsiaTheme="minorEastAsia"/>
                <w:color w:val="000000"/>
                <w:szCs w:val="21"/>
              </w:rPr>
              <w:t>同上</w:t>
            </w:r>
          </w:p>
        </w:tc>
        <w:tc>
          <w:tcPr>
            <w:tcW w:w="1440" w:type="dxa"/>
            <w:vAlign w:val="center"/>
          </w:tcPr>
          <w:p w:rsidR="009E4037" w:rsidRDefault="009768B2">
            <w:pPr>
              <w:jc w:val="center"/>
            </w:pPr>
            <w:r>
              <w:rPr>
                <w:rFonts w:eastAsiaTheme="minorEastAsia"/>
                <w:color w:val="000000"/>
                <w:szCs w:val="21"/>
              </w:rPr>
              <w:t>2019-01-17</w:t>
            </w:r>
          </w:p>
        </w:tc>
      </w:tr>
      <w:tr w:rsidR="009E4037">
        <w:tc>
          <w:tcPr>
            <w:tcW w:w="720" w:type="dxa"/>
            <w:vAlign w:val="center"/>
          </w:tcPr>
          <w:p w:rsidR="009E4037" w:rsidRDefault="009768B2">
            <w:pPr>
              <w:jc w:val="center"/>
            </w:pPr>
            <w:r>
              <w:rPr>
                <w:rFonts w:eastAsiaTheme="minorEastAsia"/>
                <w:color w:val="000000"/>
                <w:szCs w:val="21"/>
              </w:rPr>
              <w:t>3</w:t>
            </w:r>
          </w:p>
        </w:tc>
        <w:tc>
          <w:tcPr>
            <w:tcW w:w="4320" w:type="dxa"/>
            <w:vAlign w:val="center"/>
          </w:tcPr>
          <w:p w:rsidR="009E4037" w:rsidRDefault="009768B2">
            <w:r>
              <w:rPr>
                <w:rFonts w:eastAsiaTheme="minorEastAsia"/>
                <w:color w:val="000000"/>
                <w:szCs w:val="21"/>
              </w:rPr>
              <w:t>上投摩根基金管理有限公司关于高级管理人员变更的公告</w:t>
            </w:r>
          </w:p>
        </w:tc>
        <w:tc>
          <w:tcPr>
            <w:tcW w:w="2520" w:type="dxa"/>
            <w:vAlign w:val="center"/>
          </w:tcPr>
          <w:p w:rsidR="009E4037" w:rsidRDefault="009768B2">
            <w:r>
              <w:rPr>
                <w:rFonts w:eastAsiaTheme="minorEastAsia"/>
                <w:color w:val="000000"/>
                <w:szCs w:val="21"/>
              </w:rPr>
              <w:t>同上</w:t>
            </w:r>
          </w:p>
        </w:tc>
        <w:tc>
          <w:tcPr>
            <w:tcW w:w="1440" w:type="dxa"/>
            <w:vAlign w:val="center"/>
          </w:tcPr>
          <w:p w:rsidR="009E4037" w:rsidRDefault="009768B2">
            <w:pPr>
              <w:jc w:val="center"/>
            </w:pPr>
            <w:r>
              <w:rPr>
                <w:rFonts w:eastAsiaTheme="minorEastAsia"/>
                <w:color w:val="000000"/>
                <w:szCs w:val="21"/>
              </w:rPr>
              <w:t>2019-05-31</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17385711"/>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4"/>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15" w:name="_Toc225500055"/>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53A5" w:rsidRPr="00D46E57" w:rsidTr="009768B2">
        <w:tc>
          <w:tcPr>
            <w:tcW w:w="993" w:type="dxa"/>
            <w:vMerge w:val="restart"/>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r w:rsidRPr="00D46E57">
              <w:rPr>
                <w:rFonts w:ascii="宋体" w:hAnsi="宋体"/>
                <w:color w:val="000000"/>
                <w:kern w:val="0"/>
                <w:szCs w:val="21"/>
              </w:rPr>
              <w:t xml:space="preserve">  </w:t>
            </w:r>
          </w:p>
        </w:tc>
        <w:tc>
          <w:tcPr>
            <w:tcW w:w="5670" w:type="dxa"/>
            <w:gridSpan w:val="5"/>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9768B2">
        <w:tc>
          <w:tcPr>
            <w:tcW w:w="993" w:type="dxa"/>
            <w:vMerge/>
            <w:vAlign w:val="center"/>
          </w:tcPr>
          <w:p w:rsidR="003653A5" w:rsidRPr="00D46E57" w:rsidRDefault="003653A5" w:rsidP="009768B2">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9768B2">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9768B2">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9768B2">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9E4037">
        <w:tc>
          <w:tcPr>
            <w:tcW w:w="993" w:type="dxa"/>
            <w:vMerge w:val="restart"/>
          </w:tcPr>
          <w:p w:rsidR="009E4037" w:rsidRDefault="009E4037"/>
          <w:p w:rsidR="009E4037" w:rsidRDefault="009768B2">
            <w:r>
              <w:rPr>
                <w:rFonts w:ascii="宋体" w:hAnsi="宋体" w:hint="eastAsia"/>
                <w:bCs/>
                <w:color w:val="000000"/>
                <w:kern w:val="0"/>
                <w:szCs w:val="21"/>
              </w:rPr>
              <w:t>机构</w:t>
            </w:r>
          </w:p>
        </w:tc>
        <w:tc>
          <w:tcPr>
            <w:tcW w:w="992" w:type="dxa"/>
            <w:vAlign w:val="center"/>
          </w:tcPr>
          <w:p w:rsidR="009E4037" w:rsidRDefault="009768B2">
            <w:pPr>
              <w:jc w:val="center"/>
            </w:pPr>
            <w:r>
              <w:rPr>
                <w:rFonts w:ascii="宋体" w:hAnsi="宋体"/>
                <w:color w:val="000000"/>
                <w:kern w:val="0"/>
                <w:szCs w:val="21"/>
              </w:rPr>
              <w:t>1</w:t>
            </w:r>
          </w:p>
        </w:tc>
        <w:tc>
          <w:tcPr>
            <w:tcW w:w="1843" w:type="dxa"/>
            <w:vAlign w:val="center"/>
          </w:tcPr>
          <w:p w:rsidR="009E4037" w:rsidRDefault="009768B2">
            <w:pPr>
              <w:jc w:val="center"/>
            </w:pPr>
            <w:r>
              <w:rPr>
                <w:rFonts w:ascii="宋体" w:hAnsi="宋体"/>
                <w:color w:val="000000"/>
                <w:kern w:val="0"/>
                <w:szCs w:val="21"/>
              </w:rPr>
              <w:t>20190327-20190327</w:t>
            </w:r>
          </w:p>
        </w:tc>
        <w:tc>
          <w:tcPr>
            <w:tcW w:w="851" w:type="dxa"/>
            <w:vAlign w:val="center"/>
          </w:tcPr>
          <w:p w:rsidR="009E4037" w:rsidRDefault="009768B2">
            <w:pPr>
              <w:jc w:val="center"/>
            </w:pPr>
            <w:r>
              <w:rPr>
                <w:rFonts w:ascii="宋体" w:hAnsi="宋体"/>
                <w:color w:val="000000"/>
                <w:kern w:val="0"/>
                <w:szCs w:val="21"/>
              </w:rPr>
              <w:t>0.00</w:t>
            </w:r>
          </w:p>
        </w:tc>
        <w:tc>
          <w:tcPr>
            <w:tcW w:w="850" w:type="dxa"/>
            <w:vAlign w:val="center"/>
          </w:tcPr>
          <w:p w:rsidR="009E4037" w:rsidRDefault="009768B2">
            <w:pPr>
              <w:jc w:val="center"/>
            </w:pPr>
            <w:r>
              <w:rPr>
                <w:rFonts w:ascii="宋体" w:hAnsi="宋体"/>
                <w:color w:val="000000"/>
                <w:kern w:val="0"/>
                <w:szCs w:val="21"/>
              </w:rPr>
              <w:t>9,216,589.86</w:t>
            </w:r>
          </w:p>
        </w:tc>
        <w:tc>
          <w:tcPr>
            <w:tcW w:w="1134" w:type="dxa"/>
            <w:vAlign w:val="center"/>
          </w:tcPr>
          <w:p w:rsidR="009E4037" w:rsidRDefault="009768B2">
            <w:pPr>
              <w:jc w:val="center"/>
            </w:pPr>
            <w:r>
              <w:rPr>
                <w:rFonts w:ascii="宋体" w:hAnsi="宋体"/>
                <w:color w:val="000000"/>
                <w:kern w:val="0"/>
                <w:szCs w:val="21"/>
              </w:rPr>
              <w:t>9,216,589.86</w:t>
            </w:r>
          </w:p>
        </w:tc>
        <w:tc>
          <w:tcPr>
            <w:tcW w:w="1419" w:type="dxa"/>
            <w:vAlign w:val="center"/>
          </w:tcPr>
          <w:p w:rsidR="009E4037" w:rsidRDefault="009768B2">
            <w:pPr>
              <w:jc w:val="center"/>
            </w:pPr>
            <w:r>
              <w:rPr>
                <w:rFonts w:ascii="宋体" w:hAnsi="宋体"/>
                <w:color w:val="000000"/>
                <w:kern w:val="0"/>
                <w:szCs w:val="21"/>
              </w:rPr>
              <w:t>0.00</w:t>
            </w:r>
          </w:p>
        </w:tc>
        <w:tc>
          <w:tcPr>
            <w:tcW w:w="1130" w:type="dxa"/>
            <w:vAlign w:val="center"/>
          </w:tcPr>
          <w:p w:rsidR="009E4037" w:rsidRDefault="009768B2">
            <w:pPr>
              <w:jc w:val="center"/>
            </w:pPr>
            <w:r>
              <w:rPr>
                <w:rFonts w:ascii="宋体" w:hAnsi="宋体"/>
                <w:color w:val="000000"/>
                <w:kern w:val="0"/>
                <w:szCs w:val="21"/>
              </w:rPr>
              <w:t>0.00%</w:t>
            </w:r>
          </w:p>
        </w:tc>
      </w:tr>
      <w:tr w:rsidR="009E4037">
        <w:tc>
          <w:tcPr>
            <w:tcW w:w="993" w:type="dxa"/>
            <w:vMerge/>
          </w:tcPr>
          <w:p w:rsidR="009E4037" w:rsidRDefault="009E4037"/>
        </w:tc>
        <w:tc>
          <w:tcPr>
            <w:tcW w:w="992" w:type="dxa"/>
            <w:vAlign w:val="center"/>
          </w:tcPr>
          <w:p w:rsidR="009E4037" w:rsidRDefault="009768B2">
            <w:pPr>
              <w:jc w:val="center"/>
            </w:pPr>
            <w:r>
              <w:rPr>
                <w:rFonts w:ascii="宋体" w:hAnsi="宋体"/>
                <w:color w:val="000000"/>
                <w:kern w:val="0"/>
                <w:szCs w:val="21"/>
              </w:rPr>
              <w:t>2</w:t>
            </w:r>
          </w:p>
        </w:tc>
        <w:tc>
          <w:tcPr>
            <w:tcW w:w="1843" w:type="dxa"/>
            <w:vAlign w:val="center"/>
          </w:tcPr>
          <w:p w:rsidR="009E4037" w:rsidRDefault="009768B2">
            <w:pPr>
              <w:jc w:val="center"/>
            </w:pPr>
            <w:r>
              <w:rPr>
                <w:rFonts w:ascii="宋体" w:hAnsi="宋体"/>
                <w:color w:val="000000"/>
                <w:kern w:val="0"/>
                <w:szCs w:val="21"/>
              </w:rPr>
              <w:t>20190109-20190114</w:t>
            </w:r>
          </w:p>
        </w:tc>
        <w:tc>
          <w:tcPr>
            <w:tcW w:w="851" w:type="dxa"/>
            <w:vAlign w:val="center"/>
          </w:tcPr>
          <w:p w:rsidR="009E4037" w:rsidRDefault="009768B2">
            <w:pPr>
              <w:jc w:val="center"/>
            </w:pPr>
            <w:r>
              <w:rPr>
                <w:rFonts w:ascii="宋体" w:hAnsi="宋体"/>
                <w:color w:val="000000"/>
                <w:kern w:val="0"/>
                <w:szCs w:val="21"/>
              </w:rPr>
              <w:t>11,049,723.76</w:t>
            </w:r>
          </w:p>
        </w:tc>
        <w:tc>
          <w:tcPr>
            <w:tcW w:w="850" w:type="dxa"/>
            <w:vAlign w:val="center"/>
          </w:tcPr>
          <w:p w:rsidR="009E4037" w:rsidRDefault="009768B2">
            <w:pPr>
              <w:jc w:val="center"/>
            </w:pPr>
            <w:r>
              <w:rPr>
                <w:rFonts w:ascii="宋体" w:hAnsi="宋体"/>
                <w:color w:val="000000"/>
                <w:kern w:val="0"/>
                <w:szCs w:val="21"/>
              </w:rPr>
              <w:t>0.00</w:t>
            </w:r>
          </w:p>
        </w:tc>
        <w:tc>
          <w:tcPr>
            <w:tcW w:w="1134" w:type="dxa"/>
            <w:vAlign w:val="center"/>
          </w:tcPr>
          <w:p w:rsidR="009E4037" w:rsidRDefault="009768B2">
            <w:pPr>
              <w:jc w:val="center"/>
            </w:pPr>
            <w:r>
              <w:rPr>
                <w:rFonts w:ascii="宋体" w:hAnsi="宋体"/>
                <w:color w:val="000000"/>
                <w:kern w:val="0"/>
                <w:szCs w:val="21"/>
              </w:rPr>
              <w:t>11,049,723.76</w:t>
            </w:r>
          </w:p>
        </w:tc>
        <w:tc>
          <w:tcPr>
            <w:tcW w:w="1419" w:type="dxa"/>
            <w:vAlign w:val="center"/>
          </w:tcPr>
          <w:p w:rsidR="009E4037" w:rsidRDefault="009768B2">
            <w:pPr>
              <w:jc w:val="center"/>
            </w:pPr>
            <w:r>
              <w:rPr>
                <w:rFonts w:ascii="宋体" w:hAnsi="宋体"/>
                <w:color w:val="000000"/>
                <w:kern w:val="0"/>
                <w:szCs w:val="21"/>
              </w:rPr>
              <w:t>0.00</w:t>
            </w:r>
          </w:p>
        </w:tc>
        <w:tc>
          <w:tcPr>
            <w:tcW w:w="1130" w:type="dxa"/>
            <w:vAlign w:val="center"/>
          </w:tcPr>
          <w:p w:rsidR="009E4037" w:rsidRDefault="009768B2">
            <w:pPr>
              <w:jc w:val="center"/>
            </w:pPr>
            <w:r>
              <w:rPr>
                <w:rFonts w:ascii="宋体" w:hAnsi="宋体"/>
                <w:color w:val="000000"/>
                <w:kern w:val="0"/>
                <w:szCs w:val="21"/>
              </w:rPr>
              <w:t>0.00%</w:t>
            </w:r>
          </w:p>
        </w:tc>
      </w:tr>
      <w:tr w:rsidR="003653A5" w:rsidRPr="00D46E57" w:rsidTr="009768B2">
        <w:tc>
          <w:tcPr>
            <w:tcW w:w="9212" w:type="dxa"/>
            <w:gridSpan w:val="8"/>
            <w:vAlign w:val="center"/>
          </w:tcPr>
          <w:p w:rsidR="003653A5" w:rsidRPr="00D46E57" w:rsidRDefault="003653A5" w:rsidP="009768B2">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9768B2">
        <w:tc>
          <w:tcPr>
            <w:tcW w:w="9212" w:type="dxa"/>
            <w:gridSpan w:val="8"/>
            <w:vAlign w:val="center"/>
          </w:tcPr>
          <w:p w:rsidR="003653A5" w:rsidRPr="00D46E57" w:rsidRDefault="003653A5" w:rsidP="009768B2">
            <w:pPr>
              <w:autoSpaceDE w:val="0"/>
              <w:autoSpaceDN w:val="0"/>
              <w:adjustRightInd w:val="0"/>
              <w:jc w:val="left"/>
              <w:rPr>
                <w:rFonts w:ascii="宋体" w:hAnsi="宋体"/>
                <w:kern w:val="0"/>
                <w:szCs w:val="21"/>
              </w:rPr>
            </w:pPr>
            <w:r w:rsidRPr="00D46E5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r w:rsidRPr="00D46E57">
        <w:rPr>
          <w:rFonts w:ascii="宋体" w:hAnsi="宋体" w:hint="eastAsia"/>
          <w:b/>
          <w:bCs/>
          <w:color w:val="000000"/>
          <w:kern w:val="0"/>
          <w:szCs w:val="21"/>
        </w:rPr>
        <w:t>11.2 影响投资者决策的其他重要信息</w:t>
      </w:r>
    </w:p>
    <w:p w:rsidR="003653A5" w:rsidRPr="00D46E57" w:rsidRDefault="003653A5" w:rsidP="003653A5">
      <w:pPr>
        <w:spacing w:line="360" w:lineRule="auto"/>
        <w:ind w:firstLineChars="200" w:firstLine="420"/>
        <w:rPr>
          <w:rFonts w:ascii="宋体" w:hAnsi="宋体"/>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7385712"/>
      <w:r w:rsidRPr="00D46E57">
        <w:rPr>
          <w:rFonts w:eastAsiaTheme="minorEastAsia"/>
          <w:b/>
          <w:bCs/>
          <w:sz w:val="21"/>
          <w:szCs w:val="21"/>
          <w:lang w:val="en-US"/>
        </w:rPr>
        <w:t xml:space="preserve">12  </w:t>
      </w:r>
      <w:r w:rsidRPr="00D46E57">
        <w:rPr>
          <w:rFonts w:eastAsiaTheme="minorEastAsia"/>
          <w:b/>
          <w:bCs/>
          <w:sz w:val="21"/>
          <w:szCs w:val="21"/>
          <w:lang w:val="en-US"/>
        </w:rPr>
        <w:t>备查文件目录</w:t>
      </w:r>
      <w:bookmarkEnd w:id="115"/>
      <w:bookmarkEnd w:id="116"/>
    </w:p>
    <w:p w:rsidR="001548F9" w:rsidRPr="00D46E57" w:rsidRDefault="001548F9" w:rsidP="00AA0B73">
      <w:pPr>
        <w:pStyle w:val="20"/>
        <w:spacing w:before="0" w:after="0"/>
        <w:rPr>
          <w:rFonts w:ascii="Times New Roman" w:eastAsiaTheme="minorEastAsia" w:hAnsi="Times New Roman"/>
          <w:kern w:val="0"/>
          <w:sz w:val="21"/>
          <w:szCs w:val="21"/>
        </w:rPr>
      </w:pPr>
      <w:bookmarkStart w:id="117" w:name="_Toc17385713"/>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7"/>
    </w:p>
    <w:p w:rsidR="009E4037" w:rsidRDefault="009768B2">
      <w:pPr>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中国证监会批准上投摩根分红添利债券型证券投资基金设立的文件；</w:t>
      </w:r>
    </w:p>
    <w:p w:rsidR="009E4037" w:rsidRDefault="009768B2">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《上投摩根分红添利债券型证券投资基金基金合同》；</w:t>
      </w:r>
    </w:p>
    <w:p w:rsidR="009E4037" w:rsidRDefault="009768B2">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《上投摩根分红添利债券型证券投资基金基金托管协议》；</w:t>
      </w:r>
    </w:p>
    <w:p w:rsidR="009E4037" w:rsidRDefault="009768B2">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《上投摩根基金管理有限公司开放式基金业务规则》；</w:t>
      </w:r>
    </w:p>
    <w:p w:rsidR="009E4037" w:rsidRDefault="009768B2">
      <w:pPr>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 xml:space="preserve">6. </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8" w:name="_Toc17385714"/>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8"/>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17385715"/>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19"/>
    </w:p>
    <w:p w:rsidR="009E4037" w:rsidRDefault="009768B2">
      <w:pPr>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网址：</w:t>
      </w:r>
      <w:r w:rsidRPr="00D46E57">
        <w:rPr>
          <w:rFonts w:eastAsiaTheme="minorEastAsia"/>
          <w:kern w:val="0"/>
          <w:szCs w:val="21"/>
        </w:rPr>
        <w:t>www.cifm.com</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二〇一九年八月二十四日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B2" w:rsidRDefault="009768B2">
      <w:r>
        <w:separator/>
      </w:r>
    </w:p>
  </w:endnote>
  <w:endnote w:type="continuationSeparator" w:id="0">
    <w:p w:rsidR="009768B2" w:rsidRDefault="0097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B2" w:rsidRDefault="009768B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768B2" w:rsidRDefault="009768B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B2" w:rsidRDefault="009768B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11C4">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311C4">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B2" w:rsidRDefault="009768B2">
      <w:r>
        <w:separator/>
      </w:r>
    </w:p>
  </w:footnote>
  <w:footnote w:type="continuationSeparator" w:id="0">
    <w:p w:rsidR="009768B2" w:rsidRDefault="00976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B2" w:rsidRPr="002E74FF" w:rsidRDefault="009768B2" w:rsidP="002243A3">
    <w:pPr>
      <w:pStyle w:val="a9"/>
      <w:pBdr>
        <w:bottom w:val="single" w:sz="6" w:space="0" w:color="auto"/>
      </w:pBdr>
      <w:jc w:val="right"/>
    </w:pPr>
    <w:r w:rsidRPr="002E74FF">
      <w:t>上投摩根分红添利债券型证券投资基金</w:t>
    </w:r>
    <w:r w:rsidRPr="002E74FF">
      <w:t>2019</w:t>
    </w:r>
    <w:r w:rsidRPr="002E74FF">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5BC"/>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1C4"/>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1C59"/>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3B3"/>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8B2"/>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037"/>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8EB"/>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63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0BA6"/>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E55"/>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7E"/>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B35D6"/>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24ABD7-2E5A-44C0-B29A-A8E37ED2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45</Pages>
  <Words>5640</Words>
  <Characters>32153</Characters>
  <Application>Microsoft Office Word</Application>
  <DocSecurity>0</DocSecurity>
  <Lines>267</Lines>
  <Paragraphs>75</Paragraphs>
  <ScaleCrop>false</ScaleCrop>
  <Company/>
  <LinksUpToDate>false</LinksUpToDate>
  <CharactersWithSpaces>37718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Ersong Zhu</cp:lastModifiedBy>
  <cp:revision>812</cp:revision>
  <cp:lastPrinted>2007-07-19T00:46:00Z</cp:lastPrinted>
  <dcterms:created xsi:type="dcterms:W3CDTF">2013-08-19T07:43:00Z</dcterms:created>
  <dcterms:modified xsi:type="dcterms:W3CDTF">2019-08-22T09:00:00Z</dcterms:modified>
</cp:coreProperties>
</file>