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上投摩根货币市场基金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2021年第3季度报告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2021年9月30日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bookmarkStart w:id="0" w:name="_GoBack"/>
      <w:bookmarkEnd w:id="0"/>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上投摩根基金管理有限公司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二〇二一年十月二十七日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A83A9F" w:rsidRDefault="00D70F3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A83A9F" w:rsidRDefault="00D70F3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基金托管人中国建设银行股份有限公司根据本基金合同规定，于2021年10月26日复核了本报告中的财务指标、净值表现和投资组合报告等内容，保证复核内容不存在虚假记载、误导性陈述或者重大遗漏。 </w:t>
      </w:r>
    </w:p>
    <w:p w:rsidR="00A83A9F" w:rsidRDefault="00D70F3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A83A9F" w:rsidRDefault="00D70F3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A83A9F" w:rsidRDefault="00D70F3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本报告期自2021年7月1日起至9月30日止。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上投摩根货币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2005年4月13日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73,924,952,348.77</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通过合理的资产选择，在有效控制投资风险和保持较高流动性的前提下，为投资者提供资金的流动性储备，进一步优化现金管理，并力求获得高于业绩比较基准的稳定回报。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A83A9F" w:rsidRDefault="00D70F3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rsidR="00A83A9F" w:rsidRDefault="00D70F3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利率预期策略：市场利率因应景气循环、季节因素或货币</w:t>
            </w:r>
            <w:r>
              <w:rPr>
                <w:rFonts w:asciiTheme="minorEastAsia" w:eastAsiaTheme="minorEastAsia" w:hAnsiTheme="minorEastAsia"/>
                <w:color w:val="000000" w:themeColor="text1"/>
                <w:kern w:val="0"/>
                <w:szCs w:val="21"/>
              </w:rPr>
              <w:lastRenderedPageBreak/>
              <w:t>政策变动而产生波动，本基金将首先根据对国内外经济形势的预测，分析市场投资环境的变化趋势，重点关注利率趋势变化；其次，在判断利率变动趋势时，我们将重点考虑货币供给的预期效应( Money-supply Expectations Effect)、通货膨胀与费雪效应(Fisher Effect)以及资金流量变化(Flow of Funds)等，全面分析宏观经济、货币政策与财政政策、债券市场政策趋势、物价水平变化趋势等因素，对利率走势形成合理预期，从而做出各类资产配置的决策。</w:t>
            </w:r>
          </w:p>
          <w:p w:rsidR="00A83A9F" w:rsidRDefault="00D70F3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A83A9F" w:rsidRDefault="00D70F3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久期管理：久期作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rsidR="00A83A9F" w:rsidRDefault="00D70F3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流动性管理：由于货币市场基金要保持高流动性的特性，本基金会紧密关注申购/赎回现金流情况、季节性资金流动、日历效应等，建立组合流动性预警指标，实现对基金资产的结构化管理，并结合持续性投资的方法，将回购/债券到期日进行均衡等量配置，以确保基金资产的整体变现能力。</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lastRenderedPageBreak/>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本基金业绩比较基准为同期七天通知存款利率（税后）。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lastRenderedPageBreak/>
              <w:t>风险收益特征</w:t>
            </w:r>
          </w:p>
        </w:tc>
        <w:tc>
          <w:tcPr>
            <w:tcW w:w="5479" w:type="dxa"/>
            <w:gridSpan w:val="2"/>
            <w:vAlign w:val="center"/>
          </w:tcPr>
          <w:p w:rsidR="00A83A9F" w:rsidRDefault="00D70F37">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本基金属于证券投资基金中高流动性、低风险品种，其预期风险和预期收益率都低于股票基金、债券基金和混合基金。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上投摩根基金管理有限公司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56,568,903.22</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73,868,383,445.55</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2021年7月1日-2021年9月30日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241,684.24</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458,583,766.75</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241,684.24</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458,583,766.75</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56,568,903.22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73,868,383,445.55</w:t>
            </w:r>
          </w:p>
        </w:tc>
      </w:tr>
    </w:tbl>
    <w:p w:rsidR="00A83A9F" w:rsidRDefault="00D70F3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上投摩根货币A: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过去三个月</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0.4629%</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0.0005%</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0.3403%</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0.1226%</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0.0005%</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过去六个月</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0.9305%</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0.0005%</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0.6768%</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0.2537%</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0.0005%</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过去一年</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1.9432%</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0.0006%</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1.3491%</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0.5941%</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0.0006%</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过去三年</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6.1016%</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0.0009%</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4.0500%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2.0516%</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0.0009%</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过去五年</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12.9815%</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0.0021%</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6.7491%</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6.2324%</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0.0021%</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47.0113%</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0.0033%</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25.1602%</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0.0012%</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21.8511%</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0.0021%</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上投摩根货币B：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过去三个月</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0.5235%</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0.0005%</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0.3403%</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0.1832%</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0.0005%</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过去六个月</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1.0518%</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0.0005%</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0.6768%</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0.3750%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0.0005%</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过去一年</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2.1877%</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0.0006%</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1.3491%</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0.8386%</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0.0006%</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过去三年</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6.8673%</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0.0009%</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4.0500%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2.8173%</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0.0009%</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过去五年</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14.3433%</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0.0021%</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6.7491%</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0.0000%</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7.5942%</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0.0021%</w:t>
            </w:r>
          </w:p>
        </w:tc>
      </w:tr>
      <w:tr w:rsidR="00A83A9F">
        <w:tc>
          <w:tcPr>
            <w:tcW w:w="1328" w:type="dxa"/>
            <w:vAlign w:val="center"/>
          </w:tcPr>
          <w:p w:rsidR="00A83A9F" w:rsidRDefault="00D70F37">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52.9288%</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0.0033%</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25.1602%</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0.0012%</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27.7686%</w:t>
            </w:r>
          </w:p>
        </w:tc>
        <w:tc>
          <w:tcPr>
            <w:tcW w:w="1329" w:type="dxa"/>
            <w:vAlign w:val="center"/>
          </w:tcPr>
          <w:p w:rsidR="00A83A9F" w:rsidRDefault="00D70F37">
            <w:pPr>
              <w:jc w:val="center"/>
            </w:pPr>
            <w:r>
              <w:rPr>
                <w:rFonts w:asciiTheme="minorEastAsia" w:eastAsiaTheme="minorEastAsia" w:hAnsiTheme="minorEastAsia"/>
                <w:color w:val="000000" w:themeColor="text1"/>
                <w:szCs w:val="21"/>
              </w:rPr>
              <w:t>0.0021%</w:t>
            </w:r>
          </w:p>
        </w:tc>
      </w:tr>
    </w:tbl>
    <w:p w:rsidR="000B2044" w:rsidRPr="00221340" w:rsidRDefault="000B2044"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注：本基金收益分配按月结转份额。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上投摩根货币市场基金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2005年4月13日</w:t>
      </w:r>
      <w:r w:rsidRPr="00221340">
        <w:rPr>
          <w:rFonts w:asciiTheme="minorEastAsia" w:eastAsiaTheme="minorEastAsia" w:hAnsiTheme="minorEastAsia" w:hint="eastAsia"/>
          <w:color w:val="000000" w:themeColor="text1"/>
          <w:kern w:val="0"/>
          <w:szCs w:val="21"/>
        </w:rPr>
        <w:t>至2021年9月30日)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lastRenderedPageBreak/>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A83A9F" w:rsidRDefault="00D70F3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注：按照基金合同的约定，本基金自基金合同生效日起不超过三个月内完成建仓。</w:t>
      </w:r>
    </w:p>
    <w:p w:rsidR="00A83A9F" w:rsidRDefault="00D70F3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截止2005年07月13日，本基金已根据基金合同完成建仓且资产配置比例符合本基金基金合同规定。</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本基金合同生效日为2005年04月13日。 图示的时间段为合同生效日至本报告期末。</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A83A9F">
        <w:tc>
          <w:tcPr>
            <w:tcW w:w="952" w:type="dxa"/>
            <w:vAlign w:val="center"/>
          </w:tcPr>
          <w:p w:rsidR="00A83A9F" w:rsidRDefault="00D70F37">
            <w:pPr>
              <w:jc w:val="center"/>
            </w:pPr>
            <w:r>
              <w:rPr>
                <w:rFonts w:asciiTheme="minorEastAsia" w:eastAsiaTheme="minorEastAsia" w:hAnsiTheme="minorEastAsia"/>
                <w:color w:val="000000" w:themeColor="text1"/>
                <w:szCs w:val="21"/>
              </w:rPr>
              <w:t>孟晨波</w:t>
            </w:r>
          </w:p>
        </w:tc>
        <w:tc>
          <w:tcPr>
            <w:tcW w:w="1600" w:type="dxa"/>
            <w:vAlign w:val="center"/>
          </w:tcPr>
          <w:p w:rsidR="00A83A9F" w:rsidRDefault="00D70F37">
            <w:pPr>
              <w:jc w:val="center"/>
            </w:pPr>
            <w:r>
              <w:rPr>
                <w:rFonts w:asciiTheme="minorEastAsia" w:eastAsiaTheme="minorEastAsia" w:hAnsiTheme="minorEastAsia"/>
                <w:color w:val="000000" w:themeColor="text1"/>
                <w:szCs w:val="21"/>
              </w:rPr>
              <w:t>本基金基金经理、总经理助理、货币市场投资部总监</w:t>
            </w:r>
          </w:p>
        </w:tc>
        <w:tc>
          <w:tcPr>
            <w:tcW w:w="1488" w:type="dxa"/>
            <w:vAlign w:val="center"/>
          </w:tcPr>
          <w:p w:rsidR="00A83A9F" w:rsidRDefault="00D70F37">
            <w:pPr>
              <w:jc w:val="center"/>
            </w:pPr>
            <w:r>
              <w:rPr>
                <w:rFonts w:asciiTheme="minorEastAsia" w:eastAsiaTheme="minorEastAsia" w:hAnsiTheme="minorEastAsia"/>
                <w:color w:val="000000" w:themeColor="text1"/>
                <w:szCs w:val="21"/>
              </w:rPr>
              <w:t>2009-09-17</w:t>
            </w:r>
          </w:p>
        </w:tc>
        <w:tc>
          <w:tcPr>
            <w:tcW w:w="1489" w:type="dxa"/>
            <w:vAlign w:val="center"/>
          </w:tcPr>
          <w:p w:rsidR="00A83A9F" w:rsidRDefault="00D70F37">
            <w:pPr>
              <w:jc w:val="center"/>
            </w:pPr>
            <w:r>
              <w:rPr>
                <w:rFonts w:asciiTheme="minorEastAsia" w:eastAsiaTheme="minorEastAsia" w:hAnsiTheme="minorEastAsia"/>
                <w:color w:val="000000" w:themeColor="text1"/>
                <w:szCs w:val="21"/>
              </w:rPr>
              <w:t>-</w:t>
            </w:r>
          </w:p>
        </w:tc>
        <w:tc>
          <w:tcPr>
            <w:tcW w:w="992" w:type="dxa"/>
            <w:vAlign w:val="center"/>
          </w:tcPr>
          <w:p w:rsidR="00A83A9F" w:rsidRDefault="00D70F37">
            <w:pPr>
              <w:jc w:val="center"/>
            </w:pPr>
            <w:r>
              <w:rPr>
                <w:rFonts w:asciiTheme="minorEastAsia" w:eastAsiaTheme="minorEastAsia" w:hAnsiTheme="minorEastAsia"/>
                <w:color w:val="000000" w:themeColor="text1"/>
                <w:szCs w:val="21"/>
              </w:rPr>
              <w:t>16年（金融领域从业经验26年）</w:t>
            </w:r>
          </w:p>
        </w:tc>
        <w:tc>
          <w:tcPr>
            <w:tcW w:w="2410" w:type="dxa"/>
            <w:vAlign w:val="center"/>
          </w:tcPr>
          <w:p w:rsidR="00A83A9F" w:rsidRDefault="00D70F37">
            <w:r>
              <w:rPr>
                <w:rFonts w:asciiTheme="minorEastAsia" w:eastAsiaTheme="minorEastAsia" w:hAnsi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2009年5月起加入上投摩根基金管理有限公司，先后担任固定收益部总监，总经理助理/货币市场投资部总监兼资深基金经理，自2009年9月起任上投摩根货币市场基金基金经理，2014年8月至2018年11月担任上投摩根现金管理货币市场基金基金经理，自2014年11月起担任上投摩根天添宝货币市场基金基金经理，2014年11月至2017年8月同时担任上投摩根天添盈货币市场基金基金经理。</w:t>
            </w:r>
          </w:p>
        </w:tc>
      </w:tr>
      <w:tr w:rsidR="00A83A9F">
        <w:tc>
          <w:tcPr>
            <w:tcW w:w="952" w:type="dxa"/>
            <w:vAlign w:val="center"/>
          </w:tcPr>
          <w:p w:rsidR="00A83A9F" w:rsidRDefault="00D70F37">
            <w:pPr>
              <w:jc w:val="center"/>
            </w:pPr>
            <w:r>
              <w:rPr>
                <w:rFonts w:asciiTheme="minorEastAsia" w:eastAsiaTheme="minorEastAsia" w:hAnsiTheme="minorEastAsia"/>
                <w:color w:val="000000" w:themeColor="text1"/>
                <w:szCs w:val="21"/>
              </w:rPr>
              <w:t>鞠婷</w:t>
            </w:r>
          </w:p>
        </w:tc>
        <w:tc>
          <w:tcPr>
            <w:tcW w:w="1600" w:type="dxa"/>
            <w:vAlign w:val="center"/>
          </w:tcPr>
          <w:p w:rsidR="00A83A9F" w:rsidRDefault="00D70F37">
            <w:pPr>
              <w:jc w:val="center"/>
            </w:pPr>
            <w:r>
              <w:rPr>
                <w:rFonts w:asciiTheme="minorEastAsia" w:eastAsiaTheme="minorEastAsia" w:hAnsiTheme="minorEastAsia"/>
                <w:color w:val="000000" w:themeColor="text1"/>
                <w:szCs w:val="21"/>
              </w:rPr>
              <w:t>本基金基金经理</w:t>
            </w:r>
          </w:p>
        </w:tc>
        <w:tc>
          <w:tcPr>
            <w:tcW w:w="1488" w:type="dxa"/>
            <w:vAlign w:val="center"/>
          </w:tcPr>
          <w:p w:rsidR="00A83A9F" w:rsidRDefault="00D70F37">
            <w:pPr>
              <w:jc w:val="center"/>
            </w:pPr>
            <w:r>
              <w:rPr>
                <w:rFonts w:asciiTheme="minorEastAsia" w:eastAsiaTheme="minorEastAsia" w:hAnsiTheme="minorEastAsia"/>
                <w:color w:val="000000" w:themeColor="text1"/>
                <w:szCs w:val="21"/>
              </w:rPr>
              <w:t>2020-03-20</w:t>
            </w:r>
          </w:p>
        </w:tc>
        <w:tc>
          <w:tcPr>
            <w:tcW w:w="1489" w:type="dxa"/>
            <w:vAlign w:val="center"/>
          </w:tcPr>
          <w:p w:rsidR="00A83A9F" w:rsidRDefault="00D70F37">
            <w:pPr>
              <w:jc w:val="center"/>
            </w:pPr>
            <w:r>
              <w:rPr>
                <w:rFonts w:asciiTheme="minorEastAsia" w:eastAsiaTheme="minorEastAsia" w:hAnsiTheme="minorEastAsia"/>
                <w:color w:val="000000" w:themeColor="text1"/>
                <w:szCs w:val="21"/>
              </w:rPr>
              <w:t>-</w:t>
            </w:r>
          </w:p>
        </w:tc>
        <w:tc>
          <w:tcPr>
            <w:tcW w:w="992" w:type="dxa"/>
            <w:vAlign w:val="center"/>
          </w:tcPr>
          <w:p w:rsidR="00A83A9F" w:rsidRDefault="00D70F37">
            <w:pPr>
              <w:jc w:val="center"/>
            </w:pPr>
            <w:r>
              <w:rPr>
                <w:rFonts w:asciiTheme="minorEastAsia" w:eastAsiaTheme="minorEastAsia" w:hAnsiTheme="minorEastAsia"/>
                <w:color w:val="000000" w:themeColor="text1"/>
                <w:szCs w:val="21"/>
              </w:rPr>
              <w:t>16年</w:t>
            </w:r>
          </w:p>
        </w:tc>
        <w:tc>
          <w:tcPr>
            <w:tcW w:w="2410" w:type="dxa"/>
            <w:vAlign w:val="center"/>
          </w:tcPr>
          <w:p w:rsidR="00A83A9F" w:rsidRDefault="00D70F37">
            <w:r>
              <w:rPr>
                <w:rFonts w:asciiTheme="minorEastAsia" w:eastAsiaTheme="minorEastAsia" w:hAnsiTheme="minorEastAsia"/>
                <w:color w:val="000000" w:themeColor="text1"/>
                <w:szCs w:val="21"/>
              </w:rPr>
              <w:t>鞠婷女士，1997年7月至2001年5月在中国建设银行第一支行担任助理经济师，2006年3月至2014年10月在瑞穗银行总行担任总经理助理。自2014年10月起加入上投摩根基金管理有限公司，先后担任我公司货币市场投资部基金经理助理、基金经理、高级基金经理，2015年</w:t>
            </w:r>
            <w:r>
              <w:rPr>
                <w:rFonts w:asciiTheme="minorEastAsia" w:eastAsiaTheme="minorEastAsia" w:hAnsiTheme="minorEastAsia"/>
                <w:color w:val="000000" w:themeColor="text1"/>
                <w:szCs w:val="21"/>
              </w:rPr>
              <w:lastRenderedPageBreak/>
              <w:t>7月至2018年11月担任上投摩根现金管理货币市场基金基金经理，自2016年5月起担任上投摩根天添盈货币市场基金和上投摩根天添宝货币市场基金基金经理，自2020年3月起同时担任上投摩根货币市场基金基金经理。</w:t>
            </w:r>
          </w:p>
        </w:tc>
      </w:tr>
      <w:tr w:rsidR="00A83A9F">
        <w:tc>
          <w:tcPr>
            <w:tcW w:w="952" w:type="dxa"/>
            <w:vAlign w:val="center"/>
          </w:tcPr>
          <w:p w:rsidR="00A83A9F" w:rsidRDefault="00D70F37">
            <w:pPr>
              <w:jc w:val="center"/>
            </w:pPr>
            <w:r>
              <w:rPr>
                <w:rFonts w:asciiTheme="minorEastAsia" w:eastAsiaTheme="minorEastAsia" w:hAnsiTheme="minorEastAsia"/>
                <w:color w:val="000000" w:themeColor="text1"/>
                <w:szCs w:val="21"/>
              </w:rPr>
              <w:lastRenderedPageBreak/>
              <w:t>忻佳华</w:t>
            </w:r>
          </w:p>
        </w:tc>
        <w:tc>
          <w:tcPr>
            <w:tcW w:w="1600" w:type="dxa"/>
            <w:vAlign w:val="center"/>
          </w:tcPr>
          <w:p w:rsidR="00A83A9F" w:rsidRDefault="00D70F37">
            <w:pPr>
              <w:jc w:val="center"/>
            </w:pPr>
            <w:r>
              <w:rPr>
                <w:rFonts w:asciiTheme="minorEastAsia" w:eastAsiaTheme="minorEastAsia" w:hAnsiTheme="minorEastAsia"/>
                <w:color w:val="000000" w:themeColor="text1"/>
                <w:szCs w:val="21"/>
              </w:rPr>
              <w:t>本基金基金经理</w:t>
            </w:r>
          </w:p>
        </w:tc>
        <w:tc>
          <w:tcPr>
            <w:tcW w:w="1488" w:type="dxa"/>
            <w:vAlign w:val="center"/>
          </w:tcPr>
          <w:p w:rsidR="00A83A9F" w:rsidRDefault="00D70F37">
            <w:pPr>
              <w:jc w:val="center"/>
            </w:pPr>
            <w:r>
              <w:rPr>
                <w:rFonts w:asciiTheme="minorEastAsia" w:eastAsiaTheme="minorEastAsia" w:hAnsiTheme="minorEastAsia"/>
                <w:color w:val="000000" w:themeColor="text1"/>
                <w:szCs w:val="21"/>
              </w:rPr>
              <w:t>2020-08-07</w:t>
            </w:r>
          </w:p>
        </w:tc>
        <w:tc>
          <w:tcPr>
            <w:tcW w:w="1489" w:type="dxa"/>
            <w:vAlign w:val="center"/>
          </w:tcPr>
          <w:p w:rsidR="00A83A9F" w:rsidRDefault="00D70F37">
            <w:pPr>
              <w:jc w:val="center"/>
            </w:pPr>
            <w:r>
              <w:rPr>
                <w:rFonts w:asciiTheme="minorEastAsia" w:eastAsiaTheme="minorEastAsia" w:hAnsiTheme="minorEastAsia"/>
                <w:color w:val="000000" w:themeColor="text1"/>
                <w:szCs w:val="21"/>
              </w:rPr>
              <w:t>-</w:t>
            </w:r>
          </w:p>
        </w:tc>
        <w:tc>
          <w:tcPr>
            <w:tcW w:w="992" w:type="dxa"/>
            <w:vAlign w:val="center"/>
          </w:tcPr>
          <w:p w:rsidR="00A83A9F" w:rsidRDefault="00D70F37">
            <w:pPr>
              <w:jc w:val="center"/>
            </w:pPr>
            <w:r>
              <w:rPr>
                <w:rFonts w:asciiTheme="minorEastAsia" w:eastAsiaTheme="minorEastAsia" w:hAnsiTheme="minorEastAsia"/>
                <w:color w:val="000000" w:themeColor="text1"/>
                <w:szCs w:val="21"/>
              </w:rPr>
              <w:t>9年</w:t>
            </w:r>
          </w:p>
        </w:tc>
        <w:tc>
          <w:tcPr>
            <w:tcW w:w="2410" w:type="dxa"/>
            <w:vAlign w:val="center"/>
          </w:tcPr>
          <w:p w:rsidR="00A83A9F" w:rsidRDefault="00D70F37">
            <w:r>
              <w:rPr>
                <w:rFonts w:asciiTheme="minorEastAsia" w:eastAsiaTheme="minorEastAsia" w:hAnsiTheme="minorEastAsia"/>
                <w:color w:val="000000" w:themeColor="text1"/>
                <w:szCs w:val="21"/>
              </w:rPr>
              <w:t>上海交通大学机械工程及自动化/国际经济与贸易学士。忻佳华先生自2007年7月至2013年3月在中国建设银行股份有限公司上海市分行担任个人客户经理；自2013年3月至2020年6月在上海农村商业银行股份有限公司担任投资交易岗；自2020年6月起加入上投摩根基金管理有限公司，历任货币市场投资部基金经理助理、基金经理，自2020年8月起担任上投摩根货币市场基金基金经理。</w:t>
            </w:r>
          </w:p>
        </w:tc>
      </w:tr>
    </w:tbl>
    <w:p w:rsidR="00A83A9F" w:rsidRDefault="00D70F3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 任职日期和离任日期均指根据公司决定确定的聘任日期和解聘日期。</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 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货币市场基金基金合同》的规定。基金经理对个股和投资组合的比例遵循了投资决策委员会的授权限制，基金投资比例符合基金合同和法律法规的要求。</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w:t>
      </w:r>
      <w:r>
        <w:rPr>
          <w:rFonts w:asciiTheme="minorEastAsia" w:eastAsiaTheme="minorEastAsia" w:hAnsiTheme="minorEastAsia"/>
          <w:color w:val="000000" w:themeColor="text1"/>
          <w:szCs w:val="21"/>
        </w:rPr>
        <w:lastRenderedPageBreak/>
        <w:t>场交易等活动，通过系统和人工相结合的方式进行交易执行和监控分析，以确保本公司管理的不同投资组合在授权、研究分析、投资决策、交易执行、业绩评估等投资管理活动相关的环节均得到公平对待。</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2021年三季度，宏观经济整体运行在合理区间，但增长趋势有所放缓。受疫情影响，8 月份社会消费品零售总额同比增长2.5%，前值 8.5%，大幅低于市场预期。同时，8月份发电量同比增长 3.6%，前值 13.7%，明显弱于季节性。9月份中国制造业采购经理指数（PMI）降至49.6%，自去年3月份以来首次低于荣枯分界线。另一方面，高技术制造业PMI高于上月0.3个百分点，达到54.0%。两个指标一降一升，既折射出当前中国经济面临的较为复杂的变化态势，也释放出中国经济运行中蕴藏的韧性和潜力。金融数据方面，8月份新增人民币贷款1.22万亿元，新增社融2.96万亿元，社融存量增速下行至10.3%，较7月末下滑0.4%。从分项来看，除了信托贷款外，本月居民短贷和中长贷也成为了拖累项。通胀数据方面，8月份CPI同比上涨0.8%，环比涨幅0.1%；PPI同比上涨9.5%，环比上涨0.7%，两者剪刀差创历史新高，显示出上游行业盈利普遍良好，但是终端消费仍然较为低迷，经济出现了较大的结构性分化。</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公开市场方面，央行于7月15日全面降准0.5个百分点，释放长期资金约1万亿元。此举进一步引导了市场利率下行，10年期国债收益率从7月上旬3.0%以上一路下行至2.80%附近后围绕2.85%的位置反复震荡。相比之下，货币市场利率则较为坚挺。银行间7天质押式回购利率（DR007）始终围绕2.20%窄幅波动，1年期国债利率从2.40%下行至2.10%附近后又于9月中旬回到2.40%。而1年期同业存单利率从7月初2.83%下行至2.65%附近后又在9月末反弹至2.75%以上。由此可见，政</w:t>
      </w:r>
      <w:r>
        <w:rPr>
          <w:rFonts w:asciiTheme="minorEastAsia" w:eastAsiaTheme="minorEastAsia" w:hAnsiTheme="minorEastAsia"/>
          <w:color w:val="000000" w:themeColor="text1"/>
          <w:szCs w:val="21"/>
        </w:rPr>
        <w:lastRenderedPageBreak/>
        <w:t>策利率的锚定作用还是比较明显的。本季度中，央行用降准资金置换了4000亿元MLF，基本符合市场预期。每月末，央行都会在公开市场加大逆回购的投放力度，尤其是在9月末，从9月17日起累计投放跨季资金8400亿元，助力市场平稳跨季。</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本基金三季度在以安全性和流动性为主的前提下，保持较长的组合久期，力争提升组合的收益率。日常管理中，我们根据客户的申购赎回以及市场情况，在做好流动性管理的前提下适度把握了投资机会。</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四季度，市场面临一些不确定性因素。地方债的发行额度虽然已是明牌，但是发行节奏的不确定性仍然会对市场资金面形成一定的扰动；美联储收缩量化宽松已箭在弦上，美债利率上行幅度对于国内债券市场来说也是一项牵制；房地产企业的债务情况给市场带来潜在的冲击也不容忽视……无论如何，“稳健的货币政策要灵活精准、合理适度，保持流动性合理充裕”的政策总基调下，预计四季度货币市场资产利率仍将围绕政策利率进行波动。本基金将继续确保安全性的提前下，做好流动性管理，同时择机进行配置，努力为投资者争取更好的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本报告期本基金A类和B类的净值收益率分别为0.4629%和0.5235%，同期业绩比较基准收益率为0.3403%。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31,437,868,664.30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42.15</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31,437,868,664.30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42.15</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22,676,428,196.50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30.40</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17,182,517,400.67</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23.04</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lastRenderedPageBreak/>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3,285,494,387.46</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4.41</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74,582,308,648.93</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74</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74</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64</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48.99</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0.82</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6.02</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13.23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7.01</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25.21</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100.47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0.82</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100,010,194.85</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0.14</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lastRenderedPageBreak/>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4,652,681,665.97</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6.29</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4,652,681,665.97</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6.29</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8,839,348,452.78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11.96</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17,845,828,350.70</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24.14</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31,437,868,664.30</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42.53</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187"/>
        <w:gridCol w:w="1464"/>
        <w:gridCol w:w="1735"/>
        <w:gridCol w:w="1656"/>
        <w:gridCol w:w="1896"/>
        <w:gridCol w:w="1349"/>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1</w:t>
            </w:r>
          </w:p>
        </w:tc>
        <w:tc>
          <w:tcPr>
            <w:tcW w:w="0" w:type="auto"/>
            <w:vAlign w:val="center"/>
          </w:tcPr>
          <w:p w:rsidR="00A83A9F" w:rsidRDefault="00D70F37">
            <w:pPr>
              <w:jc w:val="center"/>
            </w:pPr>
            <w:r>
              <w:rPr>
                <w:rFonts w:asciiTheme="minorEastAsia" w:eastAsiaTheme="minorEastAsia" w:hAnsiTheme="minorEastAsia"/>
                <w:color w:val="000000" w:themeColor="text1"/>
                <w:sz w:val="24"/>
              </w:rPr>
              <w:t>012102430</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21中石化SCP007</w:t>
            </w:r>
          </w:p>
        </w:tc>
        <w:tc>
          <w:tcPr>
            <w:tcW w:w="0" w:type="auto"/>
            <w:vAlign w:val="center"/>
          </w:tcPr>
          <w:p w:rsidR="00A83A9F" w:rsidRDefault="00D70F37">
            <w:pPr>
              <w:jc w:val="right"/>
            </w:pPr>
            <w:r>
              <w:rPr>
                <w:rFonts w:asciiTheme="minorEastAsia" w:eastAsiaTheme="minorEastAsia" w:hAnsiTheme="minorEastAsia"/>
                <w:color w:val="000000" w:themeColor="text1"/>
                <w:sz w:val="24"/>
              </w:rPr>
              <w:t>7,000,000.00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700,137,653.90</w:t>
            </w:r>
          </w:p>
        </w:tc>
        <w:tc>
          <w:tcPr>
            <w:tcW w:w="0" w:type="auto"/>
            <w:vAlign w:val="center"/>
          </w:tcPr>
          <w:p w:rsidR="00A83A9F" w:rsidRDefault="00D70F37">
            <w:pPr>
              <w:jc w:val="right"/>
            </w:pPr>
            <w:r>
              <w:rPr>
                <w:rFonts w:asciiTheme="minorEastAsia" w:eastAsiaTheme="minorEastAsia" w:hAnsiTheme="minorEastAsia"/>
                <w:color w:val="000000" w:themeColor="text1"/>
                <w:sz w:val="24"/>
              </w:rPr>
              <w:t>0.95</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2</w:t>
            </w:r>
          </w:p>
        </w:tc>
        <w:tc>
          <w:tcPr>
            <w:tcW w:w="0" w:type="auto"/>
            <w:vAlign w:val="center"/>
          </w:tcPr>
          <w:p w:rsidR="00A83A9F" w:rsidRDefault="00D70F37">
            <w:pPr>
              <w:jc w:val="center"/>
            </w:pPr>
            <w:r>
              <w:rPr>
                <w:rFonts w:asciiTheme="minorEastAsia" w:eastAsiaTheme="minorEastAsia" w:hAnsiTheme="minorEastAsia"/>
                <w:color w:val="000000" w:themeColor="text1"/>
                <w:sz w:val="24"/>
              </w:rPr>
              <w:t>112003127</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20农业银行CD127</w:t>
            </w:r>
          </w:p>
        </w:tc>
        <w:tc>
          <w:tcPr>
            <w:tcW w:w="0" w:type="auto"/>
            <w:vAlign w:val="center"/>
          </w:tcPr>
          <w:p w:rsidR="00A83A9F" w:rsidRDefault="00D70F37">
            <w:pPr>
              <w:jc w:val="right"/>
            </w:pPr>
            <w:r>
              <w:rPr>
                <w:rFonts w:asciiTheme="minorEastAsia" w:eastAsiaTheme="minorEastAsia" w:hAnsiTheme="minorEastAsia"/>
                <w:color w:val="000000" w:themeColor="text1"/>
                <w:sz w:val="24"/>
              </w:rPr>
              <w:t>6,700,000.00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668,970,861.40</w:t>
            </w:r>
          </w:p>
        </w:tc>
        <w:tc>
          <w:tcPr>
            <w:tcW w:w="0" w:type="auto"/>
            <w:vAlign w:val="center"/>
          </w:tcPr>
          <w:p w:rsidR="00A83A9F" w:rsidRDefault="00D70F37">
            <w:pPr>
              <w:jc w:val="right"/>
            </w:pPr>
            <w:r>
              <w:rPr>
                <w:rFonts w:asciiTheme="minorEastAsia" w:eastAsiaTheme="minorEastAsia" w:hAnsiTheme="minorEastAsia"/>
                <w:color w:val="000000" w:themeColor="text1"/>
                <w:sz w:val="24"/>
              </w:rPr>
              <w:t>0.90</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3</w:t>
            </w:r>
          </w:p>
        </w:tc>
        <w:tc>
          <w:tcPr>
            <w:tcW w:w="0" w:type="auto"/>
            <w:vAlign w:val="center"/>
          </w:tcPr>
          <w:p w:rsidR="00A83A9F" w:rsidRDefault="00D70F37">
            <w:pPr>
              <w:jc w:val="center"/>
            </w:pPr>
            <w:r>
              <w:rPr>
                <w:rFonts w:asciiTheme="minorEastAsia" w:eastAsiaTheme="minorEastAsia" w:hAnsiTheme="minorEastAsia"/>
                <w:color w:val="000000" w:themeColor="text1"/>
                <w:sz w:val="24"/>
              </w:rPr>
              <w:t>092018001</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20农发清发01</w:t>
            </w:r>
          </w:p>
        </w:tc>
        <w:tc>
          <w:tcPr>
            <w:tcW w:w="0" w:type="auto"/>
            <w:vAlign w:val="center"/>
          </w:tcPr>
          <w:p w:rsidR="00A83A9F" w:rsidRDefault="00D70F37">
            <w:pPr>
              <w:jc w:val="right"/>
            </w:pPr>
            <w:r>
              <w:rPr>
                <w:rFonts w:asciiTheme="minorEastAsia" w:eastAsiaTheme="minorEastAsia" w:hAnsiTheme="minorEastAsia"/>
                <w:color w:val="000000" w:themeColor="text1"/>
                <w:sz w:val="24"/>
              </w:rPr>
              <w:t>6,200,000.00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619,336,462.06</w:t>
            </w:r>
          </w:p>
        </w:tc>
        <w:tc>
          <w:tcPr>
            <w:tcW w:w="0" w:type="auto"/>
            <w:vAlign w:val="center"/>
          </w:tcPr>
          <w:p w:rsidR="00A83A9F" w:rsidRDefault="00D70F37">
            <w:pPr>
              <w:jc w:val="right"/>
            </w:pPr>
            <w:r>
              <w:rPr>
                <w:rFonts w:asciiTheme="minorEastAsia" w:eastAsiaTheme="minorEastAsia" w:hAnsiTheme="minorEastAsia"/>
                <w:color w:val="000000" w:themeColor="text1"/>
                <w:sz w:val="24"/>
              </w:rPr>
              <w:t>0.84</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4</w:t>
            </w:r>
          </w:p>
        </w:tc>
        <w:tc>
          <w:tcPr>
            <w:tcW w:w="0" w:type="auto"/>
            <w:vAlign w:val="center"/>
          </w:tcPr>
          <w:p w:rsidR="00A83A9F" w:rsidRDefault="00D70F37">
            <w:pPr>
              <w:jc w:val="center"/>
            </w:pPr>
            <w:r>
              <w:rPr>
                <w:rFonts w:asciiTheme="minorEastAsia" w:eastAsiaTheme="minorEastAsia" w:hAnsiTheme="minorEastAsia"/>
                <w:color w:val="000000" w:themeColor="text1"/>
                <w:sz w:val="24"/>
              </w:rPr>
              <w:t>112003125</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20农业银行CD125</w:t>
            </w:r>
          </w:p>
        </w:tc>
        <w:tc>
          <w:tcPr>
            <w:tcW w:w="0" w:type="auto"/>
            <w:vAlign w:val="center"/>
          </w:tcPr>
          <w:p w:rsidR="00A83A9F" w:rsidRDefault="00D70F37">
            <w:pPr>
              <w:jc w:val="right"/>
            </w:pPr>
            <w:r>
              <w:rPr>
                <w:rFonts w:asciiTheme="minorEastAsia" w:eastAsiaTheme="minorEastAsia" w:hAnsiTheme="minorEastAsia"/>
                <w:color w:val="000000" w:themeColor="text1"/>
                <w:sz w:val="24"/>
              </w:rPr>
              <w:t>6,000,000.00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599,195,811.40</w:t>
            </w:r>
          </w:p>
        </w:tc>
        <w:tc>
          <w:tcPr>
            <w:tcW w:w="0" w:type="auto"/>
            <w:vAlign w:val="center"/>
          </w:tcPr>
          <w:p w:rsidR="00A83A9F" w:rsidRDefault="00D70F37">
            <w:pPr>
              <w:jc w:val="right"/>
            </w:pPr>
            <w:r>
              <w:rPr>
                <w:rFonts w:asciiTheme="minorEastAsia" w:eastAsiaTheme="minorEastAsia" w:hAnsiTheme="minorEastAsia"/>
                <w:color w:val="000000" w:themeColor="text1"/>
                <w:sz w:val="24"/>
              </w:rPr>
              <w:t>0.81</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5</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210201</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21国开01</w:t>
            </w:r>
          </w:p>
        </w:tc>
        <w:tc>
          <w:tcPr>
            <w:tcW w:w="0" w:type="auto"/>
            <w:vAlign w:val="center"/>
          </w:tcPr>
          <w:p w:rsidR="00A83A9F" w:rsidRDefault="00D70F37">
            <w:pPr>
              <w:jc w:val="right"/>
            </w:pPr>
            <w:r>
              <w:rPr>
                <w:rFonts w:asciiTheme="minorEastAsia" w:eastAsiaTheme="minorEastAsia" w:hAnsiTheme="minorEastAsia"/>
                <w:color w:val="000000" w:themeColor="text1"/>
                <w:sz w:val="24"/>
              </w:rPr>
              <w:t>5,800,000.00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579,798,794.98</w:t>
            </w:r>
          </w:p>
        </w:tc>
        <w:tc>
          <w:tcPr>
            <w:tcW w:w="0" w:type="auto"/>
            <w:vAlign w:val="center"/>
          </w:tcPr>
          <w:p w:rsidR="00A83A9F" w:rsidRDefault="00D70F37">
            <w:pPr>
              <w:jc w:val="right"/>
            </w:pPr>
            <w:r>
              <w:rPr>
                <w:rFonts w:asciiTheme="minorEastAsia" w:eastAsiaTheme="minorEastAsia" w:hAnsiTheme="minorEastAsia"/>
                <w:color w:val="000000" w:themeColor="text1"/>
                <w:sz w:val="24"/>
              </w:rPr>
              <w:t>0.78</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6</w:t>
            </w:r>
          </w:p>
        </w:tc>
        <w:tc>
          <w:tcPr>
            <w:tcW w:w="0" w:type="auto"/>
            <w:vAlign w:val="center"/>
          </w:tcPr>
          <w:p w:rsidR="00A83A9F" w:rsidRDefault="00D70F37">
            <w:pPr>
              <w:jc w:val="center"/>
            </w:pPr>
            <w:r>
              <w:rPr>
                <w:rFonts w:asciiTheme="minorEastAsia" w:eastAsiaTheme="minorEastAsia" w:hAnsiTheme="minorEastAsia"/>
                <w:color w:val="000000" w:themeColor="text1"/>
                <w:sz w:val="24"/>
              </w:rPr>
              <w:t>112103017</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21农业银行CD017</w:t>
            </w:r>
          </w:p>
        </w:tc>
        <w:tc>
          <w:tcPr>
            <w:tcW w:w="0" w:type="auto"/>
            <w:vAlign w:val="center"/>
          </w:tcPr>
          <w:p w:rsidR="00A83A9F" w:rsidRDefault="00D70F37">
            <w:pPr>
              <w:jc w:val="right"/>
            </w:pPr>
            <w:r>
              <w:rPr>
                <w:rFonts w:asciiTheme="minorEastAsia" w:eastAsiaTheme="minorEastAsia" w:hAnsiTheme="minorEastAsia"/>
                <w:color w:val="000000" w:themeColor="text1"/>
                <w:sz w:val="24"/>
              </w:rPr>
              <w:t>5,500,000.00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544,075,235.83</w:t>
            </w:r>
          </w:p>
        </w:tc>
        <w:tc>
          <w:tcPr>
            <w:tcW w:w="0" w:type="auto"/>
            <w:vAlign w:val="center"/>
          </w:tcPr>
          <w:p w:rsidR="00A83A9F" w:rsidRDefault="00D70F37">
            <w:pPr>
              <w:jc w:val="right"/>
            </w:pPr>
            <w:r>
              <w:rPr>
                <w:rFonts w:asciiTheme="minorEastAsia" w:eastAsiaTheme="minorEastAsia" w:hAnsiTheme="minorEastAsia"/>
                <w:color w:val="000000" w:themeColor="text1"/>
                <w:sz w:val="24"/>
              </w:rPr>
              <w:t>0.74</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7</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210401</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21农发01</w:t>
            </w:r>
          </w:p>
        </w:tc>
        <w:tc>
          <w:tcPr>
            <w:tcW w:w="0" w:type="auto"/>
            <w:vAlign w:val="center"/>
          </w:tcPr>
          <w:p w:rsidR="00A83A9F" w:rsidRDefault="00D70F37">
            <w:pPr>
              <w:jc w:val="right"/>
            </w:pPr>
            <w:r>
              <w:rPr>
                <w:rFonts w:asciiTheme="minorEastAsia" w:eastAsiaTheme="minorEastAsia" w:hAnsiTheme="minorEastAsia"/>
                <w:color w:val="000000" w:themeColor="text1"/>
                <w:sz w:val="24"/>
              </w:rPr>
              <w:t>5,200,000.00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520,665,071.16</w:t>
            </w:r>
          </w:p>
        </w:tc>
        <w:tc>
          <w:tcPr>
            <w:tcW w:w="0" w:type="auto"/>
            <w:vAlign w:val="center"/>
          </w:tcPr>
          <w:p w:rsidR="00A83A9F" w:rsidRDefault="00D70F37">
            <w:pPr>
              <w:jc w:val="right"/>
            </w:pPr>
            <w:r>
              <w:rPr>
                <w:rFonts w:asciiTheme="minorEastAsia" w:eastAsiaTheme="minorEastAsia" w:hAnsiTheme="minorEastAsia"/>
                <w:color w:val="000000" w:themeColor="text1"/>
                <w:sz w:val="24"/>
              </w:rPr>
              <w:t>0.70</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8</w:t>
            </w:r>
          </w:p>
        </w:tc>
        <w:tc>
          <w:tcPr>
            <w:tcW w:w="0" w:type="auto"/>
            <w:vAlign w:val="center"/>
          </w:tcPr>
          <w:p w:rsidR="00A83A9F" w:rsidRDefault="00D70F37">
            <w:pPr>
              <w:jc w:val="center"/>
            </w:pPr>
            <w:r>
              <w:rPr>
                <w:rFonts w:asciiTheme="minorEastAsia" w:eastAsiaTheme="minorEastAsia" w:hAnsiTheme="minorEastAsia"/>
                <w:color w:val="000000" w:themeColor="text1"/>
                <w:sz w:val="24"/>
              </w:rPr>
              <w:t>190403</w:t>
            </w:r>
          </w:p>
        </w:tc>
        <w:tc>
          <w:tcPr>
            <w:tcW w:w="0" w:type="auto"/>
            <w:vAlign w:val="center"/>
          </w:tcPr>
          <w:p w:rsidR="00A83A9F" w:rsidRDefault="00D70F37">
            <w:pPr>
              <w:jc w:val="center"/>
            </w:pPr>
            <w:r>
              <w:rPr>
                <w:rFonts w:asciiTheme="minorEastAsia" w:eastAsiaTheme="minorEastAsia" w:hAnsiTheme="minorEastAsia"/>
                <w:color w:val="000000" w:themeColor="text1"/>
                <w:sz w:val="24"/>
              </w:rPr>
              <w:t>19农发03</w:t>
            </w:r>
          </w:p>
        </w:tc>
        <w:tc>
          <w:tcPr>
            <w:tcW w:w="0" w:type="auto"/>
            <w:vAlign w:val="center"/>
          </w:tcPr>
          <w:p w:rsidR="00A83A9F" w:rsidRDefault="00D70F37">
            <w:pPr>
              <w:jc w:val="right"/>
            </w:pPr>
            <w:r>
              <w:rPr>
                <w:rFonts w:asciiTheme="minorEastAsia" w:eastAsiaTheme="minorEastAsia" w:hAnsiTheme="minorEastAsia"/>
                <w:color w:val="000000" w:themeColor="text1"/>
                <w:sz w:val="24"/>
              </w:rPr>
              <w:t>5,100,000.00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511,700,228.26</w:t>
            </w:r>
          </w:p>
        </w:tc>
        <w:tc>
          <w:tcPr>
            <w:tcW w:w="0" w:type="auto"/>
            <w:vAlign w:val="center"/>
          </w:tcPr>
          <w:p w:rsidR="00A83A9F" w:rsidRDefault="00D70F37">
            <w:pPr>
              <w:jc w:val="right"/>
            </w:pPr>
            <w:r>
              <w:rPr>
                <w:rFonts w:asciiTheme="minorEastAsia" w:eastAsiaTheme="minorEastAsia" w:hAnsiTheme="minorEastAsia"/>
                <w:color w:val="000000" w:themeColor="text1"/>
                <w:sz w:val="24"/>
              </w:rPr>
              <w:t>0.69</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9</w:t>
            </w:r>
          </w:p>
        </w:tc>
        <w:tc>
          <w:tcPr>
            <w:tcW w:w="0" w:type="auto"/>
            <w:vAlign w:val="center"/>
          </w:tcPr>
          <w:p w:rsidR="00A83A9F" w:rsidRDefault="00D70F37">
            <w:pPr>
              <w:jc w:val="center"/>
            </w:pPr>
            <w:r>
              <w:rPr>
                <w:rFonts w:asciiTheme="minorEastAsia" w:eastAsiaTheme="minorEastAsia" w:hAnsiTheme="minorEastAsia"/>
                <w:color w:val="000000" w:themeColor="text1"/>
                <w:sz w:val="24"/>
              </w:rPr>
              <w:t>112184633</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21星展银行CD005</w:t>
            </w:r>
          </w:p>
        </w:tc>
        <w:tc>
          <w:tcPr>
            <w:tcW w:w="0" w:type="auto"/>
            <w:vAlign w:val="center"/>
          </w:tcPr>
          <w:p w:rsidR="00A83A9F" w:rsidRDefault="00D70F37">
            <w:pPr>
              <w:jc w:val="right"/>
            </w:pPr>
            <w:r>
              <w:rPr>
                <w:rFonts w:asciiTheme="minorEastAsia" w:eastAsiaTheme="minorEastAsia" w:hAnsiTheme="minorEastAsia"/>
                <w:color w:val="000000" w:themeColor="text1"/>
                <w:sz w:val="24"/>
              </w:rPr>
              <w:t>5,000,000.00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499,574,067.57</w:t>
            </w:r>
          </w:p>
        </w:tc>
        <w:tc>
          <w:tcPr>
            <w:tcW w:w="0" w:type="auto"/>
            <w:vAlign w:val="center"/>
          </w:tcPr>
          <w:p w:rsidR="00A83A9F" w:rsidRDefault="00D70F37">
            <w:pPr>
              <w:jc w:val="right"/>
            </w:pPr>
            <w:r>
              <w:rPr>
                <w:rFonts w:asciiTheme="minorEastAsia" w:eastAsiaTheme="minorEastAsia" w:hAnsiTheme="minorEastAsia"/>
                <w:color w:val="000000" w:themeColor="text1"/>
                <w:sz w:val="24"/>
              </w:rPr>
              <w:t>0.68</w:t>
            </w:r>
          </w:p>
        </w:tc>
      </w:tr>
      <w:tr w:rsidR="00A83A9F">
        <w:tc>
          <w:tcPr>
            <w:tcW w:w="0" w:type="auto"/>
            <w:vAlign w:val="center"/>
          </w:tcPr>
          <w:p w:rsidR="00A83A9F" w:rsidRDefault="00D70F37">
            <w:pPr>
              <w:jc w:val="center"/>
            </w:pPr>
            <w:r>
              <w:rPr>
                <w:rFonts w:asciiTheme="minorEastAsia" w:eastAsiaTheme="minorEastAsia" w:hAnsiTheme="minorEastAsia"/>
                <w:color w:val="000000" w:themeColor="text1"/>
                <w:sz w:val="24"/>
              </w:rPr>
              <w:t>10</w:t>
            </w:r>
          </w:p>
        </w:tc>
        <w:tc>
          <w:tcPr>
            <w:tcW w:w="0" w:type="auto"/>
            <w:vAlign w:val="center"/>
          </w:tcPr>
          <w:p w:rsidR="00A83A9F" w:rsidRDefault="00D70F37">
            <w:pPr>
              <w:jc w:val="center"/>
            </w:pPr>
            <w:r>
              <w:rPr>
                <w:rFonts w:asciiTheme="minorEastAsia" w:eastAsiaTheme="minorEastAsia" w:hAnsiTheme="minorEastAsia"/>
                <w:color w:val="000000" w:themeColor="text1"/>
                <w:sz w:val="24"/>
              </w:rPr>
              <w:t>112184901</w:t>
            </w:r>
          </w:p>
        </w:tc>
        <w:tc>
          <w:tcPr>
            <w:tcW w:w="0" w:type="auto"/>
            <w:vAlign w:val="center"/>
          </w:tcPr>
          <w:p w:rsidR="00A83A9F" w:rsidRDefault="00D70F37">
            <w:pPr>
              <w:jc w:val="center"/>
            </w:pPr>
            <w:r>
              <w:rPr>
                <w:rFonts w:asciiTheme="minorEastAsia" w:eastAsiaTheme="minorEastAsia" w:hAnsiTheme="minorEastAsia"/>
                <w:color w:val="000000" w:themeColor="text1"/>
                <w:sz w:val="24"/>
              </w:rPr>
              <w:t>21星展银行CD006</w:t>
            </w:r>
          </w:p>
        </w:tc>
        <w:tc>
          <w:tcPr>
            <w:tcW w:w="0" w:type="auto"/>
            <w:vAlign w:val="center"/>
          </w:tcPr>
          <w:p w:rsidR="00A83A9F" w:rsidRDefault="00D70F37">
            <w:pPr>
              <w:jc w:val="right"/>
            </w:pPr>
            <w:r>
              <w:rPr>
                <w:rFonts w:asciiTheme="minorEastAsia" w:eastAsiaTheme="minorEastAsia" w:hAnsiTheme="minorEastAsia"/>
                <w:color w:val="000000" w:themeColor="text1"/>
                <w:sz w:val="24"/>
              </w:rPr>
              <w:t>5,000,000.00</w:t>
            </w:r>
          </w:p>
        </w:tc>
        <w:tc>
          <w:tcPr>
            <w:tcW w:w="0" w:type="auto"/>
            <w:vAlign w:val="center"/>
          </w:tcPr>
          <w:p w:rsidR="00A83A9F" w:rsidRDefault="00D70F37">
            <w:pPr>
              <w:jc w:val="right"/>
            </w:pPr>
            <w:r>
              <w:rPr>
                <w:rFonts w:asciiTheme="minorEastAsia" w:eastAsiaTheme="minorEastAsia" w:hAnsiTheme="minorEastAsia"/>
                <w:color w:val="000000" w:themeColor="text1"/>
                <w:sz w:val="24"/>
              </w:rPr>
              <w:t>499,489,561.13</w:t>
            </w:r>
          </w:p>
        </w:tc>
        <w:tc>
          <w:tcPr>
            <w:tcW w:w="0" w:type="auto"/>
            <w:vAlign w:val="center"/>
          </w:tcPr>
          <w:p w:rsidR="00A83A9F" w:rsidRDefault="00D70F37">
            <w:pPr>
              <w:jc w:val="right"/>
            </w:pPr>
            <w:r>
              <w:rPr>
                <w:rFonts w:asciiTheme="minorEastAsia" w:eastAsiaTheme="minorEastAsia" w:hAnsiTheme="minorEastAsia"/>
                <w:color w:val="000000" w:themeColor="text1"/>
                <w:sz w:val="24"/>
              </w:rPr>
              <w:t>0.68</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lastRenderedPageBreak/>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0.0344%</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0.0043%</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D70F37">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w:t>
            </w:r>
            <w:r w:rsidR="00D70F37">
              <w:rPr>
                <w:rFonts w:asciiTheme="minorEastAsia" w:eastAsiaTheme="minorEastAsia" w:hAnsiTheme="minorEastAsia"/>
                <w:color w:val="000000" w:themeColor="text1"/>
                <w:sz w:val="24"/>
              </w:rPr>
              <w:t>46</w:t>
            </w:r>
            <w:r w:rsidRPr="003025FA">
              <w:rPr>
                <w:rFonts w:asciiTheme="minorEastAsia" w:eastAsiaTheme="minorEastAsia" w:hAnsiTheme="minorEastAsia"/>
                <w:color w:val="000000" w:themeColor="text1"/>
                <w:sz w:val="24"/>
              </w:rPr>
              <w:t>%</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2,974,194,541.78</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311,254,560.00</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45,285.68</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lastRenderedPageBreak/>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3,285,494,387.46</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因四舍五入原因，投资组合报告中市值占净值比例的分项之和与合计可能存在尾差。</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基金份额持有人如欲了解本基金投资组合的其他相关信息，可联系本基金管理人，在履行相关程序后获取。</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52,596,262.42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82,554,235,385.69</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26,464,019,803.16</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90,774,619,396.55</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26,460,047,162.36</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99,460,471,336.69</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56,568,903.22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73,868,383,445.55</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1.中国证监会批准上投摩根货币市场基金设立的文件；</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《上投摩根货币市场基金基金合同》；</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《上投摩根货币市场基金基金托管协议》；</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《上投摩根基金管理有限公司开放式基金业务规则》；</w:t>
      </w:r>
    </w:p>
    <w:p w:rsidR="00A83A9F" w:rsidRDefault="00D70F3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基金管理人业务资格批件、营业执照；</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lastRenderedPageBreak/>
        <w:t>6.   基金托管人业务资格批件、营业执照。</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上投摩根基金管理有限公司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二〇二一年十月二十七日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13" w:rsidRDefault="00C22313">
      <w:r>
        <w:separator/>
      </w:r>
    </w:p>
  </w:endnote>
  <w:endnote w:type="continuationSeparator" w:id="0">
    <w:p w:rsidR="00C22313" w:rsidRDefault="00C2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98510E">
      <w:rPr>
        <w:noProof/>
        <w:kern w:val="0"/>
        <w:szCs w:val="21"/>
      </w:rPr>
      <w:t>1</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98510E">
      <w:rPr>
        <w:noProof/>
        <w:kern w:val="0"/>
        <w:szCs w:val="21"/>
      </w:rPr>
      <w:t>16</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13" w:rsidRDefault="00C22313">
      <w:r>
        <w:separator/>
      </w:r>
    </w:p>
  </w:footnote>
  <w:footnote w:type="continuationSeparator" w:id="0">
    <w:p w:rsidR="00C22313" w:rsidRDefault="00C2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上投摩根货币市场基金</w:t>
    </w:r>
    <w:r w:rsidRPr="000C5A36">
      <w:t>2021</w:t>
    </w:r>
    <w:r w:rsidRPr="000C5A36">
      <w:t>年第</w:t>
    </w:r>
    <w:r w:rsidRPr="000C5A36">
      <w:t>3</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424F"/>
    <w:rsid w:val="002507FE"/>
    <w:rsid w:val="002525C7"/>
    <w:rsid w:val="002611C3"/>
    <w:rsid w:val="002622E8"/>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8510E"/>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3A9F"/>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0F37"/>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16</Pages>
  <Words>1450</Words>
  <Characters>8269</Characters>
  <Application>Microsoft Office Word</Application>
  <DocSecurity>0</DocSecurity>
  <Lines>68</Lines>
  <Paragraphs>19</Paragraphs>
  <ScaleCrop>false</ScaleCrop>
  <Company>jysld</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216</cp:revision>
  <cp:lastPrinted>2009-01-22T10:11:00Z</cp:lastPrinted>
  <dcterms:created xsi:type="dcterms:W3CDTF">2012-11-21T05:49:00Z</dcterms:created>
  <dcterms:modified xsi:type="dcterms:W3CDTF">2021-10-26T05:55:00Z</dcterms:modified>
</cp:coreProperties>
</file>