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06F97" w:rsidRDefault="00906F97">
      <w:pPr>
        <w:rPr>
          <w:rFonts w:ascii="宋体" w:hAnsi="宋体"/>
          <w:sz w:val="48"/>
        </w:rPr>
      </w:pPr>
      <w:r>
        <w:rPr>
          <w:rFonts w:ascii="宋体" w:hAnsi="宋体" w:hint="eastAsia"/>
          <w:sz w:val="48"/>
        </w:rPr>
        <w:t xml:space="preserve">　</w:t>
      </w:r>
      <w:r>
        <w:rPr>
          <w:rFonts w:ascii="宋体" w:hAnsi="宋体" w:hint="eastAsia"/>
          <w:sz w:val="48"/>
        </w:rPr>
        <w:t xml:space="preserve"> </w:t>
      </w:r>
    </w:p>
    <w:p w:rsidR="00906F97" w:rsidRDefault="00906F97">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06F97" w:rsidRDefault="00906F97">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w:t>
      </w:r>
      <w:r>
        <w:rPr>
          <w:rFonts w:ascii="宋体" w:hAnsi="宋体" w:hint="eastAsia"/>
          <w:b/>
          <w:bCs/>
          <w:color w:val="000000" w:themeColor="text1"/>
          <w:sz w:val="48"/>
          <w:szCs w:val="30"/>
        </w:rPr>
        <w:t>A500</w:t>
      </w:r>
      <w:r>
        <w:rPr>
          <w:rFonts w:ascii="宋体" w:hAnsi="宋体" w:hint="eastAsia"/>
          <w:b/>
          <w:bCs/>
          <w:color w:val="000000" w:themeColor="text1"/>
          <w:sz w:val="48"/>
          <w:szCs w:val="30"/>
        </w:rPr>
        <w:t>交易型开放式指数证券投资基金联接基金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906F97" w:rsidRDefault="00906F97">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06F97" w:rsidRDefault="00906F97">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6F97" w:rsidRDefault="00906F97">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06F97" w:rsidRDefault="00906F97">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平安银行股份有限公</w:t>
      </w:r>
      <w:r>
        <w:rPr>
          <w:rFonts w:ascii="宋体" w:hAnsi="宋体" w:hint="eastAsia"/>
          <w:b/>
          <w:bCs/>
          <w:sz w:val="28"/>
          <w:szCs w:val="30"/>
        </w:rPr>
        <w:t>司</w:t>
      </w:r>
    </w:p>
    <w:p w:rsidR="00906F97" w:rsidRDefault="00906F97">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06F97" w:rsidRDefault="00906F97">
      <w:pPr>
        <w:pStyle w:val="XBRLTitle1"/>
        <w:spacing w:before="156"/>
        <w:ind w:left="425"/>
      </w:pPr>
      <w:r>
        <w:rPr>
          <w:rFonts w:hAnsi="宋体" w:cs="宋体" w:hint="eastAsia"/>
          <w:color w:val="404040"/>
          <w:kern w:val="0"/>
        </w:rPr>
        <w:br w:type="page"/>
      </w:r>
      <w:bookmarkStart w:id="7" w:name="_Toc17881663"/>
      <w:bookmarkStart w:id="8" w:name="_Toc512627214"/>
      <w:bookmarkStart w:id="9" w:name="_Toc492299860"/>
      <w:bookmarkStart w:id="10" w:name="_Toc466644444"/>
      <w:bookmarkStart w:id="11" w:name="_Toc447872908"/>
      <w:bookmarkStart w:id="12" w:name="_Toc438646451"/>
      <w:bookmarkStart w:id="13" w:name="_Toc512694294"/>
      <w:bookmarkStart w:id="14" w:name="m101"/>
      <w:bookmarkStart w:id="15" w:name="m01_01"/>
      <w:bookmarkStart w:id="16"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r>
        <w:rPr>
          <w:rFonts w:hAnsi="宋体" w:hint="eastAsia"/>
        </w:rPr>
        <w:t xml:space="preserve"> </w:t>
      </w:r>
    </w:p>
    <w:p w:rsidR="00906F97" w:rsidRDefault="00906F97">
      <w:pPr>
        <w:spacing w:line="360" w:lineRule="auto"/>
        <w:ind w:firstLineChars="200" w:firstLine="420"/>
        <w:rPr>
          <w:rFonts w:hint="eastAsia"/>
        </w:rPr>
      </w:pPr>
      <w:bookmarkStart w:id="17" w:name="m502"/>
      <w:bookmarkStart w:id="18" w:name="_Toc438646470"/>
      <w:bookmarkStart w:id="19" w:name="m504"/>
      <w:bookmarkStart w:id="20" w:name="m08QD_01"/>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基金托管人平安银行股份有限公司根据本基金合同约定，于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06F97" w:rsidRDefault="00906F97">
      <w:pPr>
        <w:pStyle w:val="XBRLTitle1"/>
        <w:spacing w:before="156"/>
        <w:ind w:left="425"/>
      </w:pPr>
      <w:bookmarkStart w:id="23" w:name="_Toc17881664"/>
      <w:bookmarkStart w:id="24" w:name="_Toc492299861"/>
      <w:bookmarkStart w:id="25" w:name="_Toc466644445"/>
      <w:bookmarkStart w:id="26" w:name="_Toc447872909"/>
      <w:bookmarkStart w:id="27" w:name="_Toc438646452"/>
      <w:bookmarkStart w:id="28" w:name="_Toc512627215"/>
      <w:bookmarkStart w:id="29" w:name="_Toc512694295"/>
      <w:bookmarkEnd w:id="14"/>
      <w:r>
        <w:rPr>
          <w:rFonts w:hAnsi="宋体" w:hint="eastAsia"/>
        </w:rPr>
        <w:t>基金产品概</w:t>
      </w:r>
      <w:r>
        <w:rPr>
          <w:rFonts w:hAnsi="宋体" w:hint="eastAsia"/>
        </w:rPr>
        <w:t>况</w:t>
      </w:r>
      <w:bookmarkEnd w:id="23"/>
      <w:bookmarkEnd w:id="24"/>
      <w:bookmarkEnd w:id="25"/>
      <w:bookmarkEnd w:id="26"/>
      <w:bookmarkEnd w:id="27"/>
      <w:bookmarkEnd w:id="28"/>
      <w:bookmarkEnd w:id="29"/>
      <w:r>
        <w:rPr>
          <w:rFonts w:hAnsi="宋体" w:hint="eastAsia"/>
        </w:rPr>
        <w:t xml:space="preserve"> </w:t>
      </w:r>
    </w:p>
    <w:p w:rsidR="00906F97" w:rsidRDefault="00906F97">
      <w:pPr>
        <w:pStyle w:val="XBRLTitle2"/>
        <w:spacing w:before="156"/>
        <w:ind w:left="454"/>
        <w:rPr>
          <w:rFonts w:hint="eastAsia"/>
        </w:rPr>
      </w:pPr>
      <w:bookmarkStart w:id="30" w:name="_Toc17881665"/>
      <w:bookmarkStart w:id="31" w:name="_Toc492299866"/>
      <w:bookmarkStart w:id="32" w:name="_Toc466644450"/>
      <w:bookmarkStart w:id="33" w:name="_Toc447872912"/>
      <w:bookmarkStart w:id="34" w:name="_Toc438646456"/>
      <w:bookmarkStart w:id="35" w:name="_Toc512627218"/>
      <w:bookmarkStart w:id="36" w:name="_Toc512694298"/>
      <w:bookmarkStart w:id="37" w:name="m401_tab"/>
      <w:bookmarkStart w:id="38" w:name="m401"/>
      <w:r>
        <w:rPr>
          <w:rFonts w:hAnsi="宋体" w:hint="eastAsia"/>
        </w:rPr>
        <w:t>基金基本情</w:t>
      </w:r>
      <w:r>
        <w:rPr>
          <w:rFonts w:hAnsi="宋体" w:hint="eastAsia"/>
        </w:rPr>
        <w:t>况</w:t>
      </w:r>
      <w:bookmarkEnd w:id="30"/>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8"/>
        <w:gridCol w:w="1500"/>
        <w:gridCol w:w="1500"/>
        <w:gridCol w:w="1395"/>
        <w:gridCol w:w="1395"/>
      </w:tblGrid>
      <w:tr w:rsidR="00000000">
        <w:trPr>
          <w:divId w:val="193817544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szCs w:val="24"/>
                <w:lang w:eastAsia="zh-Hans"/>
              </w:rPr>
              <w:t>摩根中证</w:t>
            </w:r>
            <w:r>
              <w:rPr>
                <w:rFonts w:ascii="宋体" w:hAnsi="宋体" w:hint="eastAsia"/>
                <w:szCs w:val="24"/>
                <w:lang w:eastAsia="zh-Hans"/>
              </w:rPr>
              <w:t>A500ETF</w:t>
            </w:r>
            <w:r>
              <w:rPr>
                <w:rFonts w:ascii="宋体" w:hAnsi="宋体" w:hint="eastAsia"/>
                <w:szCs w:val="24"/>
                <w:lang w:eastAsia="zh-Hans"/>
              </w:rPr>
              <w:t>联</w:t>
            </w:r>
            <w:r>
              <w:rPr>
                <w:rFonts w:ascii="宋体" w:hAnsi="宋体" w:hint="eastAsia"/>
                <w:szCs w:val="24"/>
                <w:lang w:eastAsia="zh-Hans"/>
              </w:rPr>
              <w:t>接</w:t>
            </w:r>
            <w:r>
              <w:rPr>
                <w:rFonts w:ascii="宋体" w:hAnsi="宋体" w:hint="eastAsia"/>
                <w:lang w:eastAsia="zh-Hans"/>
              </w:rPr>
              <w:t xml:space="preserve"> </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基金主代码</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02243</w:t>
            </w:r>
            <w:r>
              <w:rPr>
                <w:rFonts w:ascii="宋体" w:hAnsi="宋体" w:hint="eastAsia"/>
                <w:lang w:eastAsia="zh-Hans"/>
              </w:rPr>
              <w:t>6</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bookmarkStart w:id="39" w:name="OLE_LINK1"/>
            <w:r>
              <w:rPr>
                <w:rFonts w:ascii="宋体" w:hAnsi="宋体" w:hint="eastAsia"/>
              </w:rPr>
              <w:t>基金运作方式</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契约型开放</w:t>
            </w:r>
            <w:r>
              <w:rPr>
                <w:rFonts w:ascii="宋体" w:hAnsi="宋体" w:hint="eastAsia"/>
                <w:lang w:eastAsia="zh-Hans"/>
              </w:rPr>
              <w:t>式</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基金合同生效日</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2024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1,041,541,345.5</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投资目标</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通过对目标</w:t>
            </w:r>
            <w:r>
              <w:rPr>
                <w:rFonts w:ascii="宋体" w:hAnsi="宋体" w:hint="eastAsia"/>
                <w:lang w:eastAsia="zh-Hans"/>
              </w:rPr>
              <w:t>ETF</w:t>
            </w:r>
            <w:r>
              <w:rPr>
                <w:rFonts w:ascii="宋体" w:hAnsi="宋体" w:hint="eastAsia"/>
                <w:lang w:eastAsia="zh-Hans"/>
              </w:rPr>
              <w:t>的投资，追求跟踪标的指数，获得与指数收益相似的回报</w:t>
            </w:r>
            <w:r>
              <w:rPr>
                <w:rFonts w:ascii="宋体" w:hAnsi="宋体" w:hint="eastAsia"/>
                <w:lang w:eastAsia="zh-Hans"/>
              </w:rPr>
              <w:t>。</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投资策略</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本基金为摩根中证</w:t>
            </w:r>
            <w:r>
              <w:rPr>
                <w:rFonts w:ascii="宋体" w:hAnsi="宋体" w:hint="eastAsia"/>
                <w:lang w:eastAsia="zh-Hans"/>
              </w:rPr>
              <w:t>A500</w:t>
            </w:r>
            <w:r>
              <w:rPr>
                <w:rFonts w:ascii="宋体" w:hAnsi="宋体" w:hint="eastAsia"/>
                <w:lang w:eastAsia="zh-Hans"/>
              </w:rPr>
              <w:t>交易型开放式指数证券投资基金的联接基金，通过将基金资产主要投资于目标</w:t>
            </w:r>
            <w:r>
              <w:rPr>
                <w:rFonts w:ascii="宋体" w:hAnsi="宋体" w:hint="eastAsia"/>
                <w:lang w:eastAsia="zh-Hans"/>
              </w:rPr>
              <w:t>ETF</w:t>
            </w:r>
            <w:r>
              <w:rPr>
                <w:rFonts w:ascii="宋体" w:hAnsi="宋体" w:hint="eastAsia"/>
                <w:lang w:eastAsia="zh-Hans"/>
              </w:rPr>
              <w:t>，以实现对标的指数的跟踪。本基金力争日均跟踪偏离度的绝对值不超过</w:t>
            </w:r>
            <w:r>
              <w:rPr>
                <w:rFonts w:ascii="宋体" w:hAnsi="宋体" w:hint="eastAsia"/>
                <w:lang w:eastAsia="zh-Hans"/>
              </w:rPr>
              <w:t>0.35%</w:t>
            </w:r>
            <w:r>
              <w:rPr>
                <w:rFonts w:ascii="宋体" w:hAnsi="宋体" w:hint="eastAsia"/>
                <w:lang w:eastAsia="zh-Hans"/>
              </w:rPr>
              <w:t>，年跟踪误差不超过</w:t>
            </w:r>
            <w:r>
              <w:rPr>
                <w:rFonts w:ascii="宋体" w:hAnsi="宋体" w:hint="eastAsia"/>
                <w:lang w:eastAsia="zh-Hans"/>
              </w:rPr>
              <w:t>4%</w:t>
            </w:r>
            <w:r>
              <w:rPr>
                <w:rFonts w:ascii="宋体" w:hAnsi="宋体" w:hint="eastAsia"/>
                <w:lang w:eastAsia="zh-Hans"/>
              </w:rPr>
              <w:t>。如因标的指数编制规则调整或其他因素导致跟踪误差超过上述范围，基金管理人应采取合理措施避免跟踪误差进一步扩大。</w:t>
            </w:r>
            <w:r>
              <w:rPr>
                <w:rFonts w:ascii="宋体" w:hAnsi="宋体" w:hint="eastAsia"/>
                <w:lang w:eastAsia="zh-Hans"/>
              </w:rPr>
              <w:br/>
            </w:r>
            <w:r>
              <w:rPr>
                <w:rFonts w:ascii="宋体" w:hAnsi="宋体" w:hint="eastAsia"/>
                <w:lang w:eastAsia="zh-Hans"/>
              </w:rPr>
              <w:t>基金也可以通过买入标的指数成份股来跟踪标的指数。为了提高投资效率，基金还可以根据风险管理原则，少量投资于股指期货、股票期权和其他经中国证监会允许的衍生工具等。</w:t>
            </w:r>
            <w:r>
              <w:rPr>
                <w:rFonts w:ascii="宋体" w:hAnsi="宋体" w:hint="eastAsia"/>
                <w:lang w:eastAsia="zh-Hans"/>
              </w:rPr>
              <w:br/>
              <w:t>1</w:t>
            </w:r>
            <w:r>
              <w:rPr>
                <w:rFonts w:ascii="宋体" w:hAnsi="宋体" w:hint="eastAsia"/>
                <w:lang w:eastAsia="zh-Hans"/>
              </w:rPr>
              <w:t>、目标</w:t>
            </w:r>
            <w:r>
              <w:rPr>
                <w:rFonts w:ascii="宋体" w:hAnsi="宋体" w:hint="eastAsia"/>
                <w:lang w:eastAsia="zh-Hans"/>
              </w:rPr>
              <w:t>ETF</w:t>
            </w:r>
            <w:r>
              <w:rPr>
                <w:rFonts w:ascii="宋体" w:hAnsi="宋体" w:hint="eastAsia"/>
                <w:lang w:eastAsia="zh-Hans"/>
              </w:rPr>
              <w:t>投资策略</w:t>
            </w:r>
            <w:r>
              <w:rPr>
                <w:rFonts w:ascii="宋体" w:hAnsi="宋体" w:hint="eastAsia"/>
                <w:lang w:eastAsia="zh-Hans"/>
              </w:rPr>
              <w:br/>
            </w:r>
            <w:r>
              <w:rPr>
                <w:rFonts w:ascii="宋体" w:hAnsi="宋体" w:hint="eastAsia"/>
                <w:lang w:eastAsia="zh-Hans"/>
              </w:rPr>
              <w:t>为了实现追踪误差最小化，本基金投资于目标</w:t>
            </w:r>
            <w:r>
              <w:rPr>
                <w:rFonts w:ascii="宋体" w:hAnsi="宋体" w:hint="eastAsia"/>
                <w:lang w:eastAsia="zh-Hans"/>
              </w:rPr>
              <w:t>ETF</w:t>
            </w:r>
            <w:r>
              <w:rPr>
                <w:rFonts w:ascii="宋体" w:hAnsi="宋体" w:hint="eastAsia"/>
                <w:lang w:eastAsia="zh-Hans"/>
              </w:rPr>
              <w:t>的资产不低于基金资产净值的</w:t>
            </w:r>
            <w:r>
              <w:rPr>
                <w:rFonts w:ascii="宋体" w:hAnsi="宋体" w:hint="eastAsia"/>
                <w:lang w:eastAsia="zh-Hans"/>
              </w:rPr>
              <w:t>90%</w:t>
            </w:r>
            <w:r>
              <w:rPr>
                <w:rFonts w:ascii="宋体" w:hAnsi="宋体" w:hint="eastAsia"/>
                <w:lang w:eastAsia="zh-Hans"/>
              </w:rPr>
              <w:t>。本基金主要通过申购、赎回或二级市场买卖的方式投资于目标</w:t>
            </w:r>
            <w:r>
              <w:rPr>
                <w:rFonts w:ascii="宋体" w:hAnsi="宋体" w:hint="eastAsia"/>
                <w:lang w:eastAsia="zh-Hans"/>
              </w:rPr>
              <w:t>ETF</w:t>
            </w:r>
            <w:r>
              <w:rPr>
                <w:rFonts w:ascii="宋体" w:hAnsi="宋体" w:hint="eastAsia"/>
                <w:lang w:eastAsia="zh-Hans"/>
              </w:rPr>
              <w:t>。当目标</w:t>
            </w:r>
            <w:r>
              <w:rPr>
                <w:rFonts w:ascii="宋体" w:hAnsi="宋体" w:hint="eastAsia"/>
                <w:lang w:eastAsia="zh-Hans"/>
              </w:rPr>
              <w:t>ETF</w:t>
            </w:r>
            <w:r>
              <w:rPr>
                <w:rFonts w:ascii="宋体" w:hAnsi="宋体" w:hint="eastAsia"/>
                <w:lang w:eastAsia="zh-Hans"/>
              </w:rPr>
              <w:t>申购、赎回或交易模式进行了变更或调整，本基金也将作相应的变更或调整，无需召开基金份额持有人大会。本基金在综合考虑合规、风险、效率、成本等因素的基础上，决定采用申赎的方式或二级市场交易的方式进行目标</w:t>
            </w:r>
            <w:r>
              <w:rPr>
                <w:rFonts w:ascii="宋体" w:hAnsi="宋体" w:hint="eastAsia"/>
                <w:lang w:eastAsia="zh-Hans"/>
              </w:rPr>
              <w:t>ETF</w:t>
            </w:r>
            <w:r>
              <w:rPr>
                <w:rFonts w:ascii="宋体" w:hAnsi="宋体" w:hint="eastAsia"/>
                <w:lang w:eastAsia="zh-Hans"/>
              </w:rPr>
              <w:t>的买卖。本基金还可适度参与目标</w:t>
            </w:r>
            <w:r>
              <w:rPr>
                <w:rFonts w:ascii="宋体" w:hAnsi="宋体" w:hint="eastAsia"/>
                <w:lang w:eastAsia="zh-Hans"/>
              </w:rPr>
              <w:t>ETF</w:t>
            </w:r>
            <w:r>
              <w:rPr>
                <w:rFonts w:ascii="宋体" w:hAnsi="宋体" w:hint="eastAsia"/>
                <w:lang w:eastAsia="zh-Hans"/>
              </w:rPr>
              <w:t>基金份额交易和申购、赎回之间的套利，以增强基金收益。</w:t>
            </w:r>
            <w:r>
              <w:rPr>
                <w:rFonts w:ascii="宋体" w:hAnsi="宋体" w:hint="eastAsia"/>
                <w:lang w:eastAsia="zh-Hans"/>
              </w:rPr>
              <w:br/>
              <w:t>2</w:t>
            </w:r>
            <w:r>
              <w:rPr>
                <w:rFonts w:ascii="宋体" w:hAnsi="宋体" w:hint="eastAsia"/>
                <w:lang w:eastAsia="zh-Hans"/>
              </w:rPr>
              <w:t>、其他投资策略包括股票投资策略、金融衍生品投资策略、债券投资策略、融资及转融通证券出借策略、存托凭证投</w:t>
            </w:r>
            <w:r>
              <w:rPr>
                <w:rFonts w:ascii="宋体" w:hAnsi="宋体" w:hint="eastAsia"/>
                <w:lang w:eastAsia="zh-Hans"/>
              </w:rPr>
              <w:t>资策</w:t>
            </w:r>
            <w:r>
              <w:rPr>
                <w:rFonts w:ascii="宋体" w:hAnsi="宋体" w:hint="eastAsia"/>
                <w:lang w:eastAsia="zh-Hans"/>
              </w:rPr>
              <w:t>略</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业绩比较基准</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中证</w:t>
            </w:r>
            <w:r>
              <w:rPr>
                <w:rFonts w:ascii="宋体" w:hAnsi="宋体" w:hint="eastAsia"/>
                <w:lang w:eastAsia="zh-Hans"/>
              </w:rPr>
              <w:t>A500</w:t>
            </w:r>
            <w:r>
              <w:rPr>
                <w:rFonts w:ascii="宋体" w:hAnsi="宋体" w:hint="eastAsia"/>
                <w:lang w:eastAsia="zh-Hans"/>
              </w:rPr>
              <w:t>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风险收益特征</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本基金为</w:t>
            </w:r>
            <w:r>
              <w:rPr>
                <w:rFonts w:ascii="宋体" w:hAnsi="宋体" w:hint="eastAsia"/>
                <w:lang w:eastAsia="zh-Hans"/>
              </w:rPr>
              <w:t>ETF</w:t>
            </w:r>
            <w:r>
              <w:rPr>
                <w:rFonts w:ascii="宋体" w:hAnsi="宋体" w:hint="eastAsia"/>
                <w:lang w:eastAsia="zh-Hans"/>
              </w:rPr>
              <w:t>联接基金，具有与目标</w:t>
            </w:r>
            <w:r>
              <w:rPr>
                <w:rFonts w:ascii="宋体" w:hAnsi="宋体" w:hint="eastAsia"/>
                <w:lang w:eastAsia="zh-Hans"/>
              </w:rPr>
              <w:t>ETF</w:t>
            </w:r>
            <w:r>
              <w:rPr>
                <w:rFonts w:ascii="宋体" w:hAnsi="宋体" w:hint="eastAsia"/>
                <w:lang w:eastAsia="zh-Hans"/>
              </w:rPr>
              <w:t>相似的风险收益特征。目标</w:t>
            </w:r>
            <w:r>
              <w:rPr>
                <w:rFonts w:ascii="宋体" w:hAnsi="宋体" w:hint="eastAsia"/>
                <w:lang w:eastAsia="zh-Hans"/>
              </w:rPr>
              <w:t>ETF</w:t>
            </w:r>
            <w:r>
              <w:rPr>
                <w:rFonts w:ascii="宋体" w:hAnsi="宋体" w:hint="eastAsia"/>
                <w:lang w:eastAsia="zh-Hans"/>
              </w:rPr>
              <w:t>为股票型指数基金，因此本基金的预期风险和预期收益高于货币市场基金、债券型基金和混合型基金，且具有与标的指数以及标的指数所代表的股票市场相似的风险收益特征</w:t>
            </w:r>
            <w:r>
              <w:rPr>
                <w:rFonts w:ascii="宋体" w:hAnsi="宋体" w:hint="eastAsia"/>
                <w:lang w:eastAsia="zh-Hans"/>
              </w:rPr>
              <w:t>。</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基金管理人</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9381754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基金托管人</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lang w:eastAsia="zh-Hans"/>
              </w:rPr>
              <w:t>平安银行股份有限公</w:t>
            </w:r>
            <w:r>
              <w:rPr>
                <w:rFonts w:ascii="宋体" w:hAnsi="宋体" w:hint="eastAsia"/>
                <w:lang w:eastAsia="zh-Hans"/>
              </w:rPr>
              <w:t>司</w:t>
            </w:r>
          </w:p>
        </w:tc>
      </w:tr>
      <w:tr w:rsidR="00000000">
        <w:trPr>
          <w:divId w:val="19381754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bookmarkStart w:id="40" w:name="m02_01" w:colFirst="1" w:colLast="4"/>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I</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Y</w:t>
            </w:r>
            <w:r>
              <w:rPr>
                <w:rFonts w:ascii="宋体" w:hAnsi="宋体" w:hint="eastAsia"/>
                <w:kern w:val="0"/>
                <w:sz w:val="20"/>
                <w:lang w:eastAsia="zh-Hans"/>
              </w:rPr>
              <w:t xml:space="preserve"> </w:t>
            </w:r>
          </w:p>
        </w:tc>
      </w:tr>
      <w:tr w:rsidR="00000000">
        <w:trPr>
          <w:divId w:val="19381754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02243</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02243</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02275</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lang w:eastAsia="zh-Hans"/>
              </w:rPr>
              <w:t>02291</w:t>
            </w:r>
            <w:r>
              <w:rPr>
                <w:rFonts w:ascii="宋体" w:hAnsi="宋体" w:hint="eastAsia"/>
                <w:lang w:eastAsia="zh-Hans"/>
              </w:rPr>
              <w:t>1</w:t>
            </w:r>
            <w:r>
              <w:rPr>
                <w:rFonts w:ascii="宋体" w:hAnsi="宋体" w:hint="eastAsia"/>
                <w:kern w:val="0"/>
                <w:sz w:val="20"/>
                <w:lang w:eastAsia="zh-Hans"/>
              </w:rPr>
              <w:t xml:space="preserve"> </w:t>
            </w:r>
          </w:p>
        </w:tc>
      </w:tr>
      <w:bookmarkEnd w:id="40"/>
      <w:tr w:rsidR="00000000">
        <w:trPr>
          <w:divId w:val="19381754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6F97" w:rsidRDefault="00906F9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324,555,787.4</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692,323,751.3</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12,505,698.9</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12,156,107.9</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906F97" w:rsidRDefault="00906F97">
      <w:pPr>
        <w:pStyle w:val="XBRLTitle3"/>
        <w:numPr>
          <w:ilvl w:val="2"/>
          <w:numId w:val="2"/>
        </w:numPr>
        <w:spacing w:before="156"/>
        <w:ind w:left="0" w:firstLine="0"/>
      </w:pPr>
      <w:bookmarkStart w:id="41" w:name="_Toc17881666"/>
      <w:bookmarkStart w:id="42" w:name="_Toc492299863"/>
      <w:bookmarkStart w:id="43" w:name="_Toc466644447"/>
      <w:bookmarkStart w:id="44" w:name="_Toc475438078"/>
      <w:r>
        <w:rPr>
          <w:rFonts w:hAnsi="宋体" w:hint="eastAsia"/>
          <w:szCs w:val="24"/>
        </w:rPr>
        <w:t>目标基金基本情</w:t>
      </w:r>
      <w:r>
        <w:rPr>
          <w:rFonts w:hAnsi="宋体" w:hint="eastAsia"/>
          <w:szCs w:val="24"/>
        </w:rPr>
        <w:t>况</w:t>
      </w:r>
      <w:bookmarkEnd w:id="41"/>
      <w:bookmarkEnd w:id="42"/>
      <w:bookmarkEnd w:id="43"/>
      <w:bookmarkEnd w:id="44"/>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000000">
        <w:trPr>
          <w:divId w:val="476337535"/>
          <w:trHeight w:val="64"/>
        </w:trPr>
        <w:tc>
          <w:tcPr>
            <w:tcW w:w="1677" w:type="pct"/>
            <w:tcBorders>
              <w:top w:val="single" w:sz="4" w:space="0" w:color="000000"/>
              <w:left w:val="single" w:sz="4" w:space="0" w:color="000000"/>
              <w:bottom w:val="single" w:sz="4" w:space="0" w:color="000000"/>
              <w:right w:val="single" w:sz="4" w:space="0" w:color="000000"/>
            </w:tcBorders>
            <w:hideMark/>
          </w:tcPr>
          <w:p w:rsidR="00906F97" w:rsidRDefault="00906F97">
            <w:pPr>
              <w:widowControl/>
              <w:spacing w:line="315" w:lineRule="atLeast"/>
              <w:jc w:val="left"/>
              <w:rPr>
                <w:rFonts w:hint="eastAsia"/>
              </w:rPr>
            </w:pPr>
            <w:r>
              <w:rPr>
                <w:rFonts w:asciiTheme="minorEastAsia" w:eastAsiaTheme="minorEastAsia" w:hAnsiTheme="minorEastAsia" w:hint="eastAsia"/>
              </w:rPr>
              <w:t>基金名称</w:t>
            </w:r>
            <w:r>
              <w:rPr>
                <w:rFonts w:asciiTheme="minorEastAsia" w:eastAsiaTheme="minorEastAsia" w:hAnsiTheme="minorEastAsia" w:hint="eastAsia"/>
              </w:rPr>
              <w:t xml:space="preserve"> </w:t>
            </w:r>
          </w:p>
        </w:tc>
        <w:tc>
          <w:tcPr>
            <w:tcW w:w="3823" w:type="pct"/>
            <w:tcBorders>
              <w:top w:val="single" w:sz="4" w:space="0" w:color="000000"/>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摩根中证</w:t>
            </w:r>
            <w:r>
              <w:rPr>
                <w:rFonts w:asciiTheme="minorEastAsia" w:eastAsiaTheme="minorEastAsia" w:hAnsiTheme="minorEastAsia" w:hint="eastAsia"/>
              </w:rPr>
              <w:t>A500</w:t>
            </w:r>
            <w:r>
              <w:rPr>
                <w:rFonts w:asciiTheme="minorEastAsia" w:eastAsiaTheme="minorEastAsia" w:hAnsiTheme="minorEastAsia" w:hint="eastAsia"/>
              </w:rPr>
              <w:t>交易型开放式指数证券投资基</w:t>
            </w:r>
            <w:r>
              <w:rPr>
                <w:rFonts w:asciiTheme="minorEastAsia" w:eastAsiaTheme="minorEastAsia" w:hAnsiTheme="minorEastAsia" w:hint="eastAsia"/>
              </w:rPr>
              <w:t>金</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56053</w:t>
            </w:r>
            <w:r>
              <w:rPr>
                <w:rFonts w:asciiTheme="minorEastAsia" w:eastAsiaTheme="minorEastAsia" w:hAnsiTheme="minorEastAsia" w:hint="eastAsia"/>
              </w:rPr>
              <w:t>0</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2024</w:t>
            </w:r>
            <w:r>
              <w:rPr>
                <w:rFonts w:asciiTheme="minorEastAsia" w:eastAsiaTheme="minorEastAsia" w:hAnsiTheme="minorEastAsia" w:hint="eastAsia"/>
              </w:rPr>
              <w:t>年</w:t>
            </w:r>
            <w:r>
              <w:rPr>
                <w:rFonts w:asciiTheme="minorEastAsia" w:eastAsiaTheme="minorEastAsia" w:hAnsiTheme="minorEastAsia" w:hint="eastAsia"/>
              </w:rPr>
              <w:t>9</w:t>
            </w:r>
            <w:r>
              <w:rPr>
                <w:rFonts w:asciiTheme="minorEastAsia" w:eastAsiaTheme="minorEastAsia" w:hAnsiTheme="minorEastAsia" w:hint="eastAsia"/>
              </w:rPr>
              <w:t>月</w:t>
            </w:r>
            <w:r>
              <w:rPr>
                <w:rFonts w:asciiTheme="minorEastAsia" w:eastAsiaTheme="minorEastAsia" w:hAnsiTheme="minorEastAsia" w:hint="eastAsia"/>
              </w:rPr>
              <w:t>24</w:t>
            </w:r>
            <w:r>
              <w:rPr>
                <w:rFonts w:asciiTheme="minorEastAsia" w:eastAsiaTheme="minorEastAsia" w:hAnsiTheme="minorEastAsia" w:hint="eastAsia"/>
              </w:rPr>
              <w:t>日</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基金份额上市的证券交易所</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上海证券交易</w:t>
            </w:r>
            <w:r>
              <w:rPr>
                <w:rFonts w:asciiTheme="minorEastAsia" w:eastAsiaTheme="minorEastAsia" w:hAnsiTheme="minorEastAsia" w:hint="eastAsia"/>
              </w:rPr>
              <w:t>所</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上市日期</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2024</w:t>
            </w:r>
            <w:r>
              <w:rPr>
                <w:rFonts w:asciiTheme="minorEastAsia" w:eastAsiaTheme="minorEastAsia" w:hAnsiTheme="minorEastAsia" w:hint="eastAsia"/>
              </w:rPr>
              <w:t>年</w:t>
            </w:r>
            <w:r>
              <w:rPr>
                <w:rFonts w:asciiTheme="minorEastAsia" w:eastAsiaTheme="minorEastAsia" w:hAnsiTheme="minorEastAsia" w:hint="eastAsia"/>
              </w:rPr>
              <w:t>10</w:t>
            </w:r>
            <w:r>
              <w:rPr>
                <w:rFonts w:asciiTheme="minorEastAsia" w:eastAsiaTheme="minorEastAsia" w:hAnsiTheme="minorEastAsia" w:hint="eastAsia"/>
              </w:rPr>
              <w:t>月</w:t>
            </w:r>
            <w:r>
              <w:rPr>
                <w:rFonts w:asciiTheme="minorEastAsia" w:eastAsiaTheme="minorEastAsia" w:hAnsiTheme="minorEastAsia" w:hint="eastAsia"/>
              </w:rPr>
              <w:t>15</w:t>
            </w:r>
            <w:r>
              <w:rPr>
                <w:rFonts w:asciiTheme="minorEastAsia" w:eastAsiaTheme="minorEastAsia" w:hAnsiTheme="minorEastAsia" w:hint="eastAsia"/>
              </w:rPr>
              <w:t>日</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基金管理人名称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476337535"/>
        </w:trPr>
        <w:tc>
          <w:tcPr>
            <w:tcW w:w="1677"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基金托管人名称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平安银行股份有限公</w:t>
            </w:r>
            <w:r>
              <w:rPr>
                <w:rFonts w:asciiTheme="minorEastAsia" w:eastAsiaTheme="minorEastAsia" w:hAnsiTheme="minorEastAsia" w:hint="eastAsia"/>
              </w:rPr>
              <w:t>司</w:t>
            </w:r>
          </w:p>
        </w:tc>
      </w:tr>
    </w:tbl>
    <w:p w:rsidR="00906F97" w:rsidRDefault="00906F97">
      <w:pPr>
        <w:pStyle w:val="XBRLTitle3"/>
        <w:numPr>
          <w:ilvl w:val="2"/>
          <w:numId w:val="2"/>
        </w:numPr>
        <w:spacing w:before="156"/>
        <w:ind w:left="0" w:firstLine="0"/>
      </w:pPr>
      <w:bookmarkStart w:id="45" w:name="_Toc17881667"/>
      <w:bookmarkStart w:id="46" w:name="_Toc492299864"/>
      <w:bookmarkStart w:id="47" w:name="_Toc466644448"/>
      <w:bookmarkStart w:id="48" w:name="_Toc475438079"/>
      <w:r>
        <w:rPr>
          <w:rFonts w:hAnsi="宋体" w:hint="eastAsia"/>
          <w:szCs w:val="24"/>
        </w:rPr>
        <w:t>目标基金</w:t>
      </w:r>
      <w:r>
        <w:rPr>
          <w:rFonts w:hint="eastAsia"/>
          <w:lang w:eastAsia="zh-CN"/>
        </w:rPr>
        <w:t>产品说</w:t>
      </w:r>
      <w:r>
        <w:rPr>
          <w:rFonts w:hint="eastAsia"/>
          <w:lang w:eastAsia="zh-CN"/>
        </w:rPr>
        <w:t>明</w:t>
      </w:r>
      <w:bookmarkEnd w:id="45"/>
      <w:bookmarkEnd w:id="46"/>
      <w:bookmarkEnd w:id="47"/>
      <w:bookmarkEnd w:id="48"/>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000000">
        <w:trPr>
          <w:divId w:val="737551814"/>
          <w:trHeight w:val="64"/>
        </w:trPr>
        <w:tc>
          <w:tcPr>
            <w:tcW w:w="1294" w:type="pct"/>
            <w:tcBorders>
              <w:top w:val="single" w:sz="4" w:space="0" w:color="000000"/>
              <w:left w:val="single" w:sz="4" w:space="0" w:color="000000"/>
              <w:bottom w:val="single" w:sz="4" w:space="0" w:color="000000"/>
              <w:right w:val="single" w:sz="4" w:space="0" w:color="000000"/>
            </w:tcBorders>
            <w:hideMark/>
          </w:tcPr>
          <w:p w:rsidR="00906F97" w:rsidRDefault="00906F97">
            <w:pPr>
              <w:widowControl/>
              <w:spacing w:line="315" w:lineRule="atLeast"/>
              <w:jc w:val="left"/>
              <w:rPr>
                <w:rFonts w:hint="eastAsia"/>
              </w:rPr>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706" w:type="pct"/>
            <w:tcBorders>
              <w:top w:val="single" w:sz="4" w:space="0" w:color="000000"/>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r>
              <w:rPr>
                <w:rFonts w:asciiTheme="minorEastAsia" w:eastAsiaTheme="minorEastAsia" w:hAnsiTheme="minorEastAsia" w:hint="eastAsia"/>
              </w:rPr>
              <w:t>。</w:t>
            </w:r>
          </w:p>
        </w:tc>
      </w:tr>
      <w:tr w:rsidR="00000000">
        <w:trPr>
          <w:divId w:val="737551814"/>
        </w:trPr>
        <w:tc>
          <w:tcPr>
            <w:tcW w:w="1294"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w:t>
            </w:r>
            <w:r>
              <w:rPr>
                <w:rFonts w:asciiTheme="minorEastAsia" w:eastAsiaTheme="minorEastAsia" w:hAnsiTheme="minorEastAsia" w:hint="eastAsia"/>
              </w:rPr>
              <w:t>0.2%</w:t>
            </w:r>
            <w:r>
              <w:rPr>
                <w:rFonts w:asciiTheme="minorEastAsia" w:eastAsiaTheme="minorEastAsia" w:hAnsiTheme="minorEastAsia" w:hint="eastAsia"/>
              </w:rPr>
              <w:t>，年跟踪误差不超过</w:t>
            </w:r>
            <w:r>
              <w:rPr>
                <w:rFonts w:asciiTheme="minorEastAsia" w:eastAsiaTheme="minorEastAsia" w:hAnsiTheme="minorEastAsia" w:hint="eastAsia"/>
              </w:rPr>
              <w:t>2%</w:t>
            </w:r>
            <w:r>
              <w:rPr>
                <w:rFonts w:asciiTheme="minorEastAsia" w:eastAsiaTheme="minorEastAsia" w:hAnsiTheme="minorEastAsia" w:hint="eastAsia"/>
              </w:rPr>
              <w:t>。</w:t>
            </w:r>
            <w:r>
              <w:rPr>
                <w:rFonts w:asciiTheme="minorEastAsia" w:eastAsiaTheme="minorEastAsia" w:hAnsiTheme="minorEastAsia" w:hint="eastAsia"/>
              </w:rPr>
              <w:br/>
              <w:t>1</w:t>
            </w:r>
            <w:r>
              <w:rPr>
                <w:rFonts w:asciiTheme="minorEastAsia" w:eastAsiaTheme="minorEastAsia" w:hAnsiTheme="minorEastAsia" w:hint="eastAsia"/>
              </w:rPr>
              <w:t>、复制策略</w:t>
            </w:r>
            <w:r>
              <w:rPr>
                <w:rFonts w:asciiTheme="minorEastAsia" w:eastAsiaTheme="minorEastAsia" w:hAnsiTheme="minorEastAsia" w:hint="eastAsia"/>
              </w:rPr>
              <w:br/>
            </w:r>
            <w:r>
              <w:rPr>
                <w:rFonts w:asciiTheme="minorEastAsia" w:eastAsiaTheme="minorEastAsia" w:hAnsiTheme="minorEastAsia" w:hint="eastAsia"/>
              </w:rP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）不定期调整</w:t>
            </w:r>
            <w:r>
              <w:rPr>
                <w:rFonts w:asciiTheme="minorEastAsia" w:eastAsiaTheme="minorEastAsia" w:hAnsiTheme="minorEastAsia" w:hint="eastAsia"/>
              </w:rPr>
              <w:t xml:space="preserve"> </w:t>
            </w:r>
            <w:r>
              <w:rPr>
                <w:rFonts w:asciiTheme="minorEastAsia" w:eastAsiaTheme="minorEastAsia" w:hAnsiTheme="minorEastAsia" w:hint="eastAsia"/>
              </w:rPr>
              <w:br/>
              <w:t>1</w:t>
            </w:r>
            <w:r>
              <w:rPr>
                <w:rFonts w:asciiTheme="minorEastAsia" w:eastAsiaTheme="minorEastAsia" w:hAnsiTheme="minorEastAsia" w:hint="eastAsia"/>
              </w:rPr>
              <w:t>）根据指数编制规则，当标的指数成份股因增发、送配等股权变动而需进行成份股权重调整时，本基金将根据标的指数权重比例的变化，进行相应调整。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2</w:t>
            </w:r>
            <w:r>
              <w:rPr>
                <w:rFonts w:asciiTheme="minorEastAsia" w:eastAsiaTheme="minorEastAsia" w:hAnsiTheme="minorEastAsia" w:hint="eastAsia"/>
              </w:rPr>
              <w:t>）当标的指数成份股因停牌、流动性不足等因素导致基金无法按照指数权重进行配置，基金管理人将综合考虑跟踪误差和投资者利益，选择相关股票进行适当的替代。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w:t>
            </w:r>
            <w:r>
              <w:rPr>
                <w:rFonts w:asciiTheme="minorEastAsia" w:eastAsiaTheme="minorEastAsia" w:hAnsiTheme="minorEastAsia" w:hint="eastAsia"/>
              </w:rPr>
              <w:t>）本基金将根据申购和赎回情况对股票投资组合进行调整，保证基金正常运行，从而有效跟踪标的指数。</w:t>
            </w:r>
            <w:r>
              <w:rPr>
                <w:rFonts w:asciiTheme="minorEastAsia" w:eastAsiaTheme="minorEastAsia" w:hAnsiTheme="minorEastAsia" w:hint="eastAsia"/>
              </w:rPr>
              <w:br/>
              <w:t>2</w:t>
            </w:r>
            <w:r>
              <w:rPr>
                <w:rFonts w:asciiTheme="minorEastAsia" w:eastAsiaTheme="minorEastAsia" w:hAnsiTheme="minorEastAsia" w:hint="eastAsia"/>
              </w:rPr>
              <w:t>、替代策略</w:t>
            </w:r>
            <w:r>
              <w:rPr>
                <w:rFonts w:asciiTheme="minorEastAsia" w:eastAsiaTheme="minorEastAsia" w:hAnsiTheme="minorEastAsia" w:hint="eastAsia"/>
              </w:rPr>
              <w:br/>
            </w:r>
            <w:r>
              <w:rPr>
                <w:rFonts w:asciiTheme="minorEastAsia" w:eastAsiaTheme="minorEastAsia" w:hAnsiTheme="minorEastAsia" w:hint="eastAsia"/>
              </w:rPr>
              <w:t>当预期成份股发生调整和成份股发生配股、增发、分红、长期停牌等行为时，或因基金的申购和赎回等对本基金跟踪标的指数的效果可能带来影响时，或因某些特殊情况导致流动性不足时，或法律法规的限制无法投资某</w:t>
            </w:r>
            <w:r>
              <w:rPr>
                <w:rFonts w:asciiTheme="minorEastAsia" w:eastAsiaTheme="minorEastAsia" w:hAnsiTheme="minorEastAsia" w:hint="eastAsia"/>
              </w:rPr>
              <w:t>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w:t>
            </w:r>
            <w:r>
              <w:rPr>
                <w:rFonts w:asciiTheme="minorEastAsia" w:eastAsiaTheme="minorEastAsia" w:hAnsiTheme="minorEastAsia" w:hint="eastAsia"/>
              </w:rPr>
              <w:t>、其他投资策略：包括股指期货投资策略、股票期权投资策略、债券投资策略、融资及转融通证券出借策略、存托凭证投资策略</w:t>
            </w:r>
            <w:r>
              <w:rPr>
                <w:rFonts w:asciiTheme="minorEastAsia" w:eastAsiaTheme="minorEastAsia" w:hAnsiTheme="minorEastAsia" w:hint="eastAsia"/>
              </w:rPr>
              <w:t>。</w:t>
            </w:r>
          </w:p>
        </w:tc>
      </w:tr>
      <w:tr w:rsidR="00000000">
        <w:trPr>
          <w:divId w:val="737551814"/>
        </w:trPr>
        <w:tc>
          <w:tcPr>
            <w:tcW w:w="1294"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本基金的业绩比较基准为标的指数，即中证</w:t>
            </w:r>
            <w:r>
              <w:rPr>
                <w:rFonts w:asciiTheme="minorEastAsia" w:eastAsiaTheme="minorEastAsia" w:hAnsiTheme="minorEastAsia" w:hint="eastAsia"/>
              </w:rPr>
              <w:t>A500</w:t>
            </w:r>
            <w:r>
              <w:rPr>
                <w:rFonts w:asciiTheme="minorEastAsia" w:eastAsiaTheme="minorEastAsia" w:hAnsiTheme="minorEastAsia" w:hint="eastAsia"/>
              </w:rPr>
              <w:t>指数收益率</w:t>
            </w:r>
            <w:r>
              <w:rPr>
                <w:rFonts w:asciiTheme="minorEastAsia" w:eastAsiaTheme="minorEastAsia" w:hAnsiTheme="minorEastAsia" w:hint="eastAsia"/>
              </w:rPr>
              <w:t>。</w:t>
            </w:r>
          </w:p>
        </w:tc>
      </w:tr>
      <w:tr w:rsidR="00000000">
        <w:trPr>
          <w:divId w:val="737551814"/>
        </w:trPr>
        <w:tc>
          <w:tcPr>
            <w:tcW w:w="1294" w:type="pct"/>
            <w:tcBorders>
              <w:top w:val="nil"/>
              <w:left w:val="single" w:sz="4" w:space="0" w:color="000000"/>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906F97" w:rsidRDefault="00906F97">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r>
              <w:rPr>
                <w:rFonts w:asciiTheme="minorEastAsia" w:eastAsiaTheme="minorEastAsia" w:hAnsiTheme="minorEastAsia" w:hint="eastAsia"/>
              </w:rPr>
              <w:t>。</w:t>
            </w:r>
          </w:p>
        </w:tc>
      </w:tr>
    </w:tbl>
    <w:p w:rsidR="00906F97" w:rsidRDefault="00906F97">
      <w:pPr>
        <w:pStyle w:val="XBRLTitle1"/>
        <w:spacing w:before="156"/>
        <w:ind w:left="425"/>
      </w:pPr>
      <w:bookmarkStart w:id="49" w:name="_Toc17881668"/>
      <w:bookmarkStart w:id="50" w:name="_Toc492299865"/>
      <w:bookmarkStart w:id="51" w:name="_Toc466644449"/>
      <w:bookmarkStart w:id="52" w:name="_Toc447872911"/>
      <w:bookmarkStart w:id="53" w:name="_Toc438646455"/>
      <w:bookmarkStart w:id="54" w:name="_Toc512627217"/>
      <w:bookmarkStart w:id="55" w:name="_Toc512694297"/>
      <w:bookmarkEnd w:id="39"/>
      <w:r>
        <w:rPr>
          <w:rFonts w:hAnsi="宋体" w:hint="eastAsia"/>
        </w:rPr>
        <w:t>主要财务指标和基金净值表</w:t>
      </w:r>
      <w:r>
        <w:rPr>
          <w:rFonts w:hAnsi="宋体" w:hint="eastAsia"/>
        </w:rPr>
        <w:t>现</w:t>
      </w:r>
      <w:bookmarkEnd w:id="49"/>
      <w:bookmarkEnd w:id="50"/>
      <w:bookmarkEnd w:id="51"/>
      <w:bookmarkEnd w:id="52"/>
      <w:bookmarkEnd w:id="53"/>
      <w:bookmarkEnd w:id="54"/>
      <w:bookmarkEnd w:id="55"/>
      <w:r>
        <w:rPr>
          <w:rFonts w:hAnsi="宋体" w:hint="eastAsia"/>
        </w:rPr>
        <w:t xml:space="preserve"> </w:t>
      </w:r>
    </w:p>
    <w:p w:rsidR="00906F97" w:rsidRDefault="00906F97">
      <w:pPr>
        <w:pStyle w:val="XBRLTitle2"/>
        <w:spacing w:before="156"/>
        <w:ind w:left="454"/>
        <w:rPr>
          <w:rFonts w:hint="eastAsia"/>
        </w:rPr>
      </w:pPr>
      <w:bookmarkStart w:id="56" w:name="_Toc17881669"/>
      <w:r>
        <w:rPr>
          <w:rFonts w:hAnsi="宋体" w:hint="eastAsia"/>
        </w:rPr>
        <w:t>主要财务指</w:t>
      </w:r>
      <w:r>
        <w:rPr>
          <w:rFonts w:hAnsi="宋体" w:hint="eastAsia"/>
        </w:rPr>
        <w:t>标</w:t>
      </w:r>
      <w:bookmarkEnd w:id="31"/>
      <w:bookmarkEnd w:id="32"/>
      <w:bookmarkEnd w:id="33"/>
      <w:bookmarkEnd w:id="34"/>
      <w:bookmarkEnd w:id="35"/>
      <w:bookmarkEnd w:id="36"/>
      <w:bookmarkEnd w:id="56"/>
    </w:p>
    <w:p w:rsidR="00906F97" w:rsidRDefault="00906F97">
      <w:pPr>
        <w:jc w:val="right"/>
        <w:divId w:val="29098242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5"/>
        <w:gridCol w:w="1869"/>
        <w:gridCol w:w="1869"/>
        <w:gridCol w:w="1816"/>
        <w:gridCol w:w="1816"/>
      </w:tblGrid>
      <w:tr w:rsidR="00000000">
        <w:trPr>
          <w:divId w:val="29098242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06F97" w:rsidRDefault="00906F9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06F97" w:rsidRDefault="00906F9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9098242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6F97" w:rsidRDefault="00906F9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6F97" w:rsidRDefault="00906F97">
            <w:pPr>
              <w:jc w:val="center"/>
              <w:rPr>
                <w:rFonts w:hint="eastAsia"/>
              </w:rPr>
            </w:pPr>
            <w:r>
              <w:rPr>
                <w:rFonts w:ascii="宋体" w:hAnsi="宋体" w:hint="eastAsia"/>
                <w:szCs w:val="24"/>
                <w:lang w:eastAsia="zh-Hans"/>
              </w:rPr>
              <w:t>摩根中证</w:t>
            </w:r>
            <w:r>
              <w:rPr>
                <w:rFonts w:ascii="宋体" w:hAnsi="宋体" w:hint="eastAsia"/>
                <w:szCs w:val="24"/>
                <w:lang w:eastAsia="zh-Hans"/>
              </w:rPr>
              <w:t>A500ETF</w:t>
            </w:r>
            <w:r>
              <w:rPr>
                <w:rFonts w:ascii="宋体" w:hAnsi="宋体" w:hint="eastAsia"/>
                <w:szCs w:val="24"/>
                <w:lang w:eastAsia="zh-Hans"/>
              </w:rPr>
              <w:t>联接</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6F97" w:rsidRDefault="00906F97">
            <w:pPr>
              <w:jc w:val="center"/>
            </w:pPr>
            <w:r>
              <w:rPr>
                <w:rFonts w:ascii="宋体" w:hAnsi="宋体" w:hint="eastAsia"/>
                <w:szCs w:val="24"/>
                <w:lang w:eastAsia="zh-Hans"/>
              </w:rPr>
              <w:t>摩根中证</w:t>
            </w:r>
            <w:r>
              <w:rPr>
                <w:rFonts w:ascii="宋体" w:hAnsi="宋体" w:hint="eastAsia"/>
                <w:szCs w:val="24"/>
                <w:lang w:eastAsia="zh-Hans"/>
              </w:rPr>
              <w:t>A500ETF</w:t>
            </w:r>
            <w:r>
              <w:rPr>
                <w:rFonts w:ascii="宋体" w:hAnsi="宋体" w:hint="eastAsia"/>
                <w:szCs w:val="24"/>
                <w:lang w:eastAsia="zh-Hans"/>
              </w:rPr>
              <w:t>联接</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6F97" w:rsidRDefault="00906F97">
            <w:pPr>
              <w:jc w:val="center"/>
            </w:pPr>
            <w:r>
              <w:rPr>
                <w:rFonts w:ascii="宋体" w:hAnsi="宋体" w:hint="eastAsia"/>
                <w:szCs w:val="24"/>
                <w:lang w:eastAsia="zh-Hans"/>
              </w:rPr>
              <w:t>摩根中证</w:t>
            </w:r>
            <w:r>
              <w:rPr>
                <w:rFonts w:ascii="宋体" w:hAnsi="宋体" w:hint="eastAsia"/>
                <w:szCs w:val="24"/>
                <w:lang w:eastAsia="zh-Hans"/>
              </w:rPr>
              <w:t>A500ETF</w:t>
            </w:r>
            <w:r>
              <w:rPr>
                <w:rFonts w:ascii="宋体" w:hAnsi="宋体" w:hint="eastAsia"/>
                <w:szCs w:val="24"/>
                <w:lang w:eastAsia="zh-Hans"/>
              </w:rPr>
              <w:t>联接</w:t>
            </w:r>
            <w:r>
              <w:rPr>
                <w:rFonts w:ascii="宋体" w:hAnsi="宋体" w:hint="eastAsia"/>
                <w:szCs w:val="24"/>
                <w:lang w:eastAsia="zh-Hans"/>
              </w:rPr>
              <w:t>I</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6F97" w:rsidRDefault="00906F97">
            <w:pPr>
              <w:jc w:val="center"/>
            </w:pPr>
            <w:r>
              <w:rPr>
                <w:rFonts w:ascii="宋体" w:hAnsi="宋体" w:hint="eastAsia"/>
                <w:szCs w:val="24"/>
                <w:lang w:eastAsia="zh-Hans"/>
              </w:rPr>
              <w:t>摩根中证</w:t>
            </w:r>
            <w:r>
              <w:rPr>
                <w:rFonts w:ascii="宋体" w:hAnsi="宋体" w:hint="eastAsia"/>
                <w:szCs w:val="24"/>
                <w:lang w:eastAsia="zh-Hans"/>
              </w:rPr>
              <w:t>A500ETF</w:t>
            </w:r>
            <w:r>
              <w:rPr>
                <w:rFonts w:ascii="宋体" w:hAnsi="宋体" w:hint="eastAsia"/>
                <w:szCs w:val="24"/>
                <w:lang w:eastAsia="zh-Hans"/>
              </w:rPr>
              <w:t>联接</w:t>
            </w:r>
            <w:r>
              <w:rPr>
                <w:rFonts w:ascii="宋体" w:hAnsi="宋体" w:hint="eastAsia"/>
                <w:szCs w:val="24"/>
                <w:lang w:eastAsia="zh-Hans"/>
              </w:rPr>
              <w:t>Y</w:t>
            </w:r>
          </w:p>
        </w:tc>
      </w:tr>
      <w:tr w:rsidR="00000000">
        <w:trPr>
          <w:divId w:val="2909824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rPr>
                <w:rFonts w:hint="eastAsia"/>
              </w:rPr>
            </w:pPr>
            <w:r>
              <w:rPr>
                <w:rFonts w:ascii="宋体" w:hAnsi="宋体" w:hint="eastAsia"/>
                <w:szCs w:val="24"/>
                <w:lang w:eastAsia="zh-Hans"/>
              </w:rPr>
              <w:t>8,882,817.3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19,816,731.2</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192,839.3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338,032.6</w:t>
            </w:r>
            <w:r>
              <w:rPr>
                <w:rFonts w:ascii="宋体" w:hAnsi="宋体" w:hint="eastAsia"/>
                <w:szCs w:val="24"/>
                <w:lang w:eastAsia="zh-Hans"/>
              </w:rPr>
              <w:t>9</w:t>
            </w:r>
          </w:p>
        </w:tc>
      </w:tr>
      <w:tr w:rsidR="00000000">
        <w:trPr>
          <w:divId w:val="2909824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rPr>
                <w:rFonts w:hint="eastAsia"/>
              </w:rPr>
            </w:pPr>
            <w:r>
              <w:rPr>
                <w:rFonts w:ascii="宋体" w:hAnsi="宋体" w:hint="eastAsia"/>
                <w:szCs w:val="24"/>
                <w:lang w:eastAsia="zh-Hans"/>
              </w:rPr>
              <w:t>52,586,535.8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117,795,587.1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1,564,035.9</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1,972,139.1</w:t>
            </w:r>
            <w:r>
              <w:rPr>
                <w:rFonts w:ascii="宋体" w:hAnsi="宋体" w:hint="eastAsia"/>
                <w:szCs w:val="24"/>
                <w:lang w:eastAsia="zh-Hans"/>
              </w:rPr>
              <w:t>3</w:t>
            </w:r>
          </w:p>
        </w:tc>
      </w:tr>
      <w:tr w:rsidR="00000000">
        <w:trPr>
          <w:divId w:val="2909824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rPr>
                <w:rFonts w:hint="eastAsia"/>
              </w:rPr>
            </w:pPr>
            <w:r>
              <w:rPr>
                <w:rFonts w:ascii="宋体" w:hAnsi="宋体" w:hint="eastAsia"/>
                <w:szCs w:val="24"/>
                <w:lang w:eastAsia="zh-Hans"/>
              </w:rPr>
              <w:t>0.161</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0.162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0.202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0.162</w:t>
            </w:r>
            <w:r>
              <w:rPr>
                <w:rFonts w:ascii="宋体" w:hAnsi="宋体" w:hint="eastAsia"/>
                <w:szCs w:val="24"/>
                <w:lang w:eastAsia="zh-Hans"/>
              </w:rPr>
              <w:t>6</w:t>
            </w:r>
          </w:p>
        </w:tc>
      </w:tr>
      <w:tr w:rsidR="00000000">
        <w:trPr>
          <w:divId w:val="2909824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rPr>
                <w:rFonts w:hint="eastAsia"/>
              </w:rPr>
            </w:pPr>
            <w:r>
              <w:rPr>
                <w:rFonts w:ascii="宋体" w:hAnsi="宋体" w:hint="eastAsia"/>
                <w:szCs w:val="24"/>
                <w:lang w:eastAsia="zh-Hans"/>
              </w:rPr>
              <w:t>421,999,146.0</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897,226,150.3</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16,235,574.4</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15,806,320.0</w:t>
            </w:r>
            <w:r>
              <w:rPr>
                <w:rFonts w:ascii="宋体" w:hAnsi="宋体" w:hint="eastAsia"/>
                <w:szCs w:val="24"/>
                <w:lang w:eastAsia="zh-Hans"/>
              </w:rPr>
              <w:t>0</w:t>
            </w:r>
          </w:p>
        </w:tc>
      </w:tr>
      <w:tr w:rsidR="00000000">
        <w:trPr>
          <w:divId w:val="2909824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rPr>
                <w:rFonts w:hint="eastAsia"/>
              </w:rPr>
            </w:pPr>
            <w:r>
              <w:rPr>
                <w:rFonts w:ascii="宋体" w:hAnsi="宋体" w:hint="eastAsia"/>
                <w:szCs w:val="24"/>
                <w:lang w:eastAsia="zh-Hans"/>
              </w:rPr>
              <w:t>1.300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1.296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1.298</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6F97" w:rsidRDefault="00906F97">
            <w:pPr>
              <w:jc w:val="right"/>
            </w:pPr>
            <w:r>
              <w:rPr>
                <w:rFonts w:ascii="宋体" w:hAnsi="宋体" w:hint="eastAsia"/>
                <w:szCs w:val="24"/>
                <w:lang w:eastAsia="zh-Hans"/>
              </w:rPr>
              <w:t>1.300</w:t>
            </w:r>
            <w:r>
              <w:rPr>
                <w:rFonts w:ascii="宋体" w:hAnsi="宋体" w:hint="eastAsia"/>
                <w:szCs w:val="24"/>
                <w:lang w:eastAsia="zh-Hans"/>
              </w:rPr>
              <w:t>3</w:t>
            </w:r>
          </w:p>
        </w:tc>
      </w:tr>
    </w:tbl>
    <w:p w:rsidR="00906F97" w:rsidRDefault="00906F97">
      <w:pPr>
        <w:wordWrap w:val="0"/>
        <w:spacing w:line="360" w:lineRule="auto"/>
        <w:jc w:val="left"/>
        <w:divId w:val="1566143225"/>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906F97" w:rsidRDefault="00906F97">
      <w:pPr>
        <w:pStyle w:val="XBRLTitle2"/>
        <w:spacing w:before="156"/>
        <w:ind w:left="454"/>
      </w:pPr>
      <w:bookmarkStart w:id="57" w:name="_Toc17881670"/>
      <w:bookmarkStart w:id="58" w:name="_Toc492299867"/>
      <w:bookmarkStart w:id="59" w:name="_Toc466644451"/>
      <w:bookmarkStart w:id="60" w:name="_Toc447872913"/>
      <w:bookmarkStart w:id="61" w:name="_Toc438646457"/>
      <w:bookmarkStart w:id="62" w:name="_Toc512627219"/>
      <w:bookmarkStart w:id="63" w:name="_Toc512694299"/>
      <w:r>
        <w:rPr>
          <w:rFonts w:hAnsi="宋体" w:hint="eastAsia"/>
        </w:rPr>
        <w:t>基金净值表</w:t>
      </w:r>
      <w:r>
        <w:rPr>
          <w:rFonts w:hAnsi="宋体" w:hint="eastAsia"/>
        </w:rPr>
        <w:t>现</w:t>
      </w:r>
      <w:bookmarkEnd w:id="57"/>
      <w:bookmarkEnd w:id="58"/>
      <w:bookmarkEnd w:id="59"/>
      <w:bookmarkEnd w:id="60"/>
      <w:bookmarkEnd w:id="61"/>
      <w:bookmarkEnd w:id="62"/>
      <w:bookmarkEnd w:id="63"/>
      <w:r>
        <w:rPr>
          <w:rFonts w:hAnsi="宋体" w:hint="eastAsia"/>
        </w:rPr>
        <w:t xml:space="preserve"> </w:t>
      </w:r>
    </w:p>
    <w:p w:rsidR="00906F97" w:rsidRDefault="00906F97">
      <w:pPr>
        <w:pStyle w:val="XBRLTitle3"/>
        <w:numPr>
          <w:ilvl w:val="2"/>
          <w:numId w:val="2"/>
        </w:numPr>
        <w:spacing w:before="156"/>
        <w:ind w:left="0" w:firstLine="0"/>
        <w:rPr>
          <w:rFonts w:hint="eastAsia"/>
        </w:rPr>
      </w:pPr>
      <w:bookmarkStart w:id="64" w:name="_Toc17881671"/>
      <w:bookmarkStart w:id="65" w:name="_Toc492299868"/>
      <w:bookmarkStart w:id="66" w:name="_Toc466644452"/>
      <w:bookmarkStart w:id="67" w:name="_Toc447872914"/>
      <w:r>
        <w:rPr>
          <w:rFonts w:hAnsi="宋体" w:hint="eastAsia"/>
        </w:rPr>
        <w:t>基金份额净值增长率及其与同期业绩比较基准收益率的比</w:t>
      </w:r>
      <w:r>
        <w:rPr>
          <w:rFonts w:hAnsi="宋体" w:hint="eastAsia"/>
        </w:rPr>
        <w:t>较</w:t>
      </w:r>
      <w:bookmarkEnd w:id="64"/>
      <w:bookmarkEnd w:id="65"/>
      <w:bookmarkEnd w:id="66"/>
      <w:bookmarkEnd w:id="67"/>
      <w:r>
        <w:rPr>
          <w:rFonts w:hint="eastAsia"/>
          <w:lang w:eastAsia="zh-CN"/>
        </w:rPr>
        <w:t xml:space="preserve"> </w:t>
      </w:r>
    </w:p>
    <w:p w:rsidR="00906F97" w:rsidRDefault="00906F97">
      <w:pPr>
        <w:spacing w:line="360" w:lineRule="auto"/>
        <w:jc w:val="center"/>
        <w:divId w:val="668404559"/>
        <w:rPr>
          <w:rFonts w:hint="eastAsia"/>
        </w:rPr>
      </w:pPr>
      <w:r>
        <w:rPr>
          <w:rFonts w:ascii="宋体" w:hAnsi="宋体" w:hint="eastAsia"/>
        </w:rPr>
        <w:t>摩根中证</w:t>
      </w:r>
      <w:r>
        <w:rPr>
          <w:rFonts w:ascii="宋体" w:hAnsi="宋体" w:hint="eastAsia"/>
        </w:rPr>
        <w:t>A500ETF</w:t>
      </w:r>
      <w:r>
        <w:rPr>
          <w:rFonts w:ascii="宋体" w:hAnsi="宋体" w:hint="eastAsia"/>
        </w:rPr>
        <w:t>联接</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6840455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②－④</w:t>
            </w:r>
            <w:r>
              <w:rPr>
                <w:rFonts w:ascii="宋体" w:hAnsi="宋体" w:hint="eastAsia"/>
              </w:rPr>
              <w:t xml:space="preserve"> </w:t>
            </w:r>
          </w:p>
        </w:tc>
      </w:tr>
      <w:tr w:rsidR="00000000">
        <w:trPr>
          <w:divId w:val="6684045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13.9</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6684045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11.5</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6684045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35.5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34.5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6684045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30.8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28.4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2.4</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bl>
    <w:p w:rsidR="00906F97" w:rsidRDefault="00906F97">
      <w:pPr>
        <w:spacing w:line="360" w:lineRule="auto"/>
        <w:jc w:val="center"/>
        <w:divId w:val="1932082797"/>
      </w:pPr>
      <w:r>
        <w:rPr>
          <w:rFonts w:ascii="宋体" w:hAnsi="宋体" w:hint="eastAsia"/>
        </w:rPr>
        <w:t>摩根中证</w:t>
      </w:r>
      <w:r>
        <w:rPr>
          <w:rFonts w:ascii="宋体" w:hAnsi="宋体" w:hint="eastAsia"/>
        </w:rPr>
        <w:t>A500ETF</w:t>
      </w:r>
      <w:r>
        <w:rPr>
          <w:rFonts w:ascii="宋体" w:hAnsi="宋体" w:hint="eastAsia"/>
        </w:rPr>
        <w:t>联接</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93208279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9320827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9320827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11.4</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9320827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35.3</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34.5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9320827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30.4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28.4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2.0</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bl>
    <w:p w:rsidR="00906F97" w:rsidRDefault="00906F97">
      <w:pPr>
        <w:spacing w:line="360" w:lineRule="auto"/>
        <w:jc w:val="center"/>
        <w:divId w:val="1576360998"/>
      </w:pPr>
      <w:r>
        <w:rPr>
          <w:rFonts w:ascii="宋体" w:hAnsi="宋体" w:hint="eastAsia"/>
        </w:rPr>
        <w:t>摩根中证</w:t>
      </w:r>
      <w:r>
        <w:rPr>
          <w:rFonts w:ascii="宋体" w:hAnsi="宋体" w:hint="eastAsia"/>
        </w:rPr>
        <w:t>A500ETF</w:t>
      </w:r>
      <w:r>
        <w:rPr>
          <w:rFonts w:ascii="宋体" w:hAnsi="宋体" w:hint="eastAsia"/>
        </w:rPr>
        <w:t>联接</w:t>
      </w:r>
      <w:r>
        <w:rPr>
          <w:rFonts w:ascii="宋体" w:hAnsi="宋体" w:hint="eastAsia"/>
        </w:rPr>
        <w:t>I</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7636099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76360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576360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76360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35.4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34.5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76360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35.5</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33.1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2.3</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906F97" w:rsidRDefault="00906F97">
      <w:pPr>
        <w:spacing w:line="360" w:lineRule="auto"/>
        <w:jc w:val="center"/>
        <w:divId w:val="453712050"/>
      </w:pPr>
      <w:r>
        <w:rPr>
          <w:rFonts w:ascii="宋体" w:hAnsi="宋体" w:hint="eastAsia"/>
        </w:rPr>
        <w:t>摩根中证</w:t>
      </w:r>
      <w:r>
        <w:rPr>
          <w:rFonts w:ascii="宋体" w:hAnsi="宋体" w:hint="eastAsia"/>
        </w:rPr>
        <w:t>A500ETF</w:t>
      </w:r>
      <w:r>
        <w:rPr>
          <w:rFonts w:ascii="宋体" w:hAnsi="宋体" w:hint="eastAsia"/>
        </w:rPr>
        <w:t>联接</w:t>
      </w:r>
      <w:r>
        <w:rPr>
          <w:rFonts w:ascii="宋体" w:hAnsi="宋体" w:hint="eastAsia"/>
        </w:rPr>
        <w:t>Y</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45371205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453712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0.4</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453712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11.3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453712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35.6</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34.5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453712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36.5</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34.0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6F97" w:rsidRDefault="00906F97">
            <w:pPr>
              <w:spacing w:line="360" w:lineRule="auto"/>
              <w:jc w:val="right"/>
            </w:pPr>
            <w:r>
              <w:rPr>
                <w:rFonts w:ascii="宋体" w:hAnsi="宋体" w:hint="eastAsia"/>
              </w:rPr>
              <w:t>2.5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bl>
    <w:p w:rsidR="00906F97" w:rsidRDefault="00906F97">
      <w:pPr>
        <w:pStyle w:val="XBRLTitle3"/>
        <w:numPr>
          <w:ilvl w:val="2"/>
          <w:numId w:val="2"/>
        </w:numPr>
        <w:spacing w:before="156"/>
        <w:ind w:left="0" w:firstLine="0"/>
      </w:pPr>
      <w:bookmarkStart w:id="68" w:name="_Toc17881672"/>
      <w:bookmarkStart w:id="69" w:name="_Toc492299869"/>
      <w:bookmarkStart w:id="70" w:name="_Toc466644453"/>
      <w:bookmarkStart w:id="71" w:name="_Toc447872915"/>
      <w:r>
        <w:rPr>
          <w:rFonts w:hAnsi="宋体" w:hint="eastAsia"/>
        </w:rPr>
        <w:t>自基金合同生效以</w:t>
      </w:r>
      <w:r>
        <w:rPr>
          <w:rFonts w:hAnsi="宋体" w:hint="eastAsia"/>
        </w:rPr>
        <w:t>来</w:t>
      </w:r>
      <w:r>
        <w:rPr>
          <w:rFonts w:hAnsi="宋体" w:hint="eastAsia"/>
        </w:rPr>
        <w:t>基金累计净值增长率变动及其与同期业绩比较基准收益率变动的比</w:t>
      </w:r>
      <w:r>
        <w:rPr>
          <w:rFonts w:hAnsi="宋体" w:hint="eastAsia"/>
        </w:rPr>
        <w:t>较</w:t>
      </w:r>
      <w:bookmarkEnd w:id="68"/>
      <w:bookmarkEnd w:id="69"/>
      <w:bookmarkEnd w:id="70"/>
      <w:bookmarkEnd w:id="71"/>
      <w:r>
        <w:rPr>
          <w:rStyle w:val="spelle"/>
          <w:rFonts w:hAnsi="宋体" w:hint="eastAsia"/>
        </w:rPr>
        <w:t xml:space="preserve"> </w:t>
      </w:r>
    </w:p>
    <w:p w:rsidR="00906F97" w:rsidRDefault="00906F97">
      <w:pPr>
        <w:spacing w:line="360" w:lineRule="auto"/>
        <w:jc w:val="left"/>
        <w:divId w:val="1677151885"/>
        <w:rPr>
          <w:rFonts w:hint="eastAsia"/>
        </w:rPr>
      </w:pPr>
      <w:bookmarkStart w:id="72" w:name="m07_04_07_09_tab"/>
      <w:bookmarkStart w:id="73" w:name="m07_04_07_09"/>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6F97" w:rsidRDefault="00906F97">
      <w:pPr>
        <w:spacing w:line="360" w:lineRule="auto"/>
        <w:jc w:val="left"/>
        <w:divId w:val="6896778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6F97" w:rsidRDefault="00906F97">
      <w:pPr>
        <w:spacing w:line="360" w:lineRule="auto"/>
        <w:jc w:val="left"/>
        <w:divId w:val="518659026"/>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6F97" w:rsidRDefault="00906F97">
      <w:pPr>
        <w:spacing w:line="360" w:lineRule="auto"/>
        <w:jc w:val="left"/>
        <w:divId w:val="1737120312"/>
      </w:pPr>
      <w:r>
        <w:rPr>
          <w:rFonts w:ascii="宋体" w:hAnsi="宋体" w:hint="eastAsia"/>
          <w:noProof/>
        </w:rPr>
        <w:drawing>
          <wp:inline distT="0" distB="0" distL="0" distR="0">
            <wp:extent cx="5226050" cy="3009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6F97" w:rsidRDefault="00906F9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2024</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日起增加</w:t>
      </w:r>
      <w:r>
        <w:rPr>
          <w:rFonts w:ascii="宋体" w:hAnsi="宋体" w:hint="eastAsia"/>
          <w:lang w:eastAsia="zh-Hans"/>
        </w:rPr>
        <w:t>I</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2024</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日起增加</w:t>
      </w:r>
      <w:r>
        <w:rPr>
          <w:rFonts w:ascii="宋体" w:hAnsi="宋体" w:hint="eastAsia"/>
          <w:lang w:eastAsia="zh-Hans"/>
        </w:rPr>
        <w:t>Y</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 xml:space="preserve"> </w:t>
      </w:r>
      <w:bookmarkEnd w:id="15"/>
      <w:bookmarkEnd w:id="72"/>
      <w:bookmarkEnd w:id="73"/>
    </w:p>
    <w:p w:rsidR="00906F97" w:rsidRDefault="00906F97">
      <w:pPr>
        <w:pStyle w:val="XBRLTitle1"/>
        <w:spacing w:before="156"/>
        <w:ind w:left="425"/>
      </w:pPr>
      <w:bookmarkStart w:id="74" w:name="_Toc17881674"/>
      <w:bookmarkStart w:id="75" w:name="_Toc492299870"/>
      <w:bookmarkStart w:id="76" w:name="_Toc466644454"/>
      <w:bookmarkStart w:id="77" w:name="_Toc447872916"/>
      <w:bookmarkStart w:id="78" w:name="_Toc438646458"/>
      <w:bookmarkStart w:id="79" w:name="_Toc512627220"/>
      <w:bookmarkStart w:id="80" w:name="_Toc512694300"/>
      <w:r>
        <w:rPr>
          <w:rFonts w:hAnsi="宋体" w:hint="eastAsia"/>
        </w:rPr>
        <w:t>管理人报</w:t>
      </w:r>
      <w:r>
        <w:rPr>
          <w:rFonts w:hAnsi="宋体" w:hint="eastAsia"/>
        </w:rPr>
        <w:t>告</w:t>
      </w:r>
      <w:bookmarkEnd w:id="74"/>
      <w:bookmarkEnd w:id="75"/>
      <w:bookmarkEnd w:id="76"/>
      <w:bookmarkEnd w:id="77"/>
      <w:bookmarkEnd w:id="78"/>
      <w:bookmarkEnd w:id="79"/>
      <w:bookmarkEnd w:id="80"/>
      <w:r>
        <w:rPr>
          <w:rFonts w:hAnsi="宋体" w:hint="eastAsia"/>
        </w:rPr>
        <w:t xml:space="preserve"> </w:t>
      </w:r>
    </w:p>
    <w:p w:rsidR="00906F97" w:rsidRDefault="00906F97">
      <w:pPr>
        <w:pStyle w:val="XBRLTitle2"/>
        <w:spacing w:before="156"/>
        <w:ind w:left="454"/>
        <w:rPr>
          <w:rFonts w:hint="eastAsia"/>
        </w:rPr>
      </w:pPr>
      <w:bookmarkStart w:id="81" w:name="_Toc17881675"/>
      <w:bookmarkStart w:id="82" w:name="_Toc492299871"/>
      <w:bookmarkStart w:id="83" w:name="_Toc466644455"/>
      <w:bookmarkStart w:id="84" w:name="_Toc447872917"/>
      <w:bookmarkStart w:id="85" w:name="_Toc438646459"/>
      <w:bookmarkStart w:id="86" w:name="_Toc512627221"/>
      <w:bookmarkStart w:id="87" w:name="_Toc512694301"/>
      <w:r>
        <w:rPr>
          <w:rFonts w:hAnsi="宋体" w:hint="eastAsia"/>
        </w:rPr>
        <w:t>基金经理（或基金经理小组）简</w:t>
      </w:r>
      <w:r>
        <w:rPr>
          <w:rFonts w:hAnsi="宋体" w:hint="eastAsia"/>
        </w:rPr>
        <w:t>介</w:t>
      </w:r>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30836920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30836920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6F97" w:rsidRDefault="00906F9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6F97" w:rsidRDefault="00906F9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6F97" w:rsidRDefault="00906F9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6F97" w:rsidRDefault="00906F97">
            <w:pPr>
              <w:widowControl/>
              <w:jc w:val="left"/>
            </w:pPr>
          </w:p>
        </w:tc>
      </w:tr>
      <w:tr w:rsidR="00000000">
        <w:trPr>
          <w:divId w:val="30836920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szCs w:val="24"/>
                <w:lang w:eastAsia="zh-Hans"/>
              </w:rPr>
              <w:t>韩秀</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szCs w:val="24"/>
                <w:lang w:eastAsia="zh-Hans"/>
              </w:rPr>
              <w:t>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szCs w:val="24"/>
                <w:lang w:eastAsia="zh-Hans"/>
              </w:rPr>
              <w:t>韩秀一先生曾任中国国际金融股份有限公司资产管理部分析员。自</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月加入摩根基金管理（中国）有限公司（原上投摩根基金管理有限公司），历任研究员、研究员兼投资经理助理，现任指数及量化投资部基金经理</w:t>
            </w:r>
            <w:r>
              <w:rPr>
                <w:rFonts w:ascii="宋体" w:hAnsi="宋体" w:hint="eastAsia"/>
                <w:szCs w:val="24"/>
                <w:lang w:eastAsia="zh-Hans"/>
              </w:rPr>
              <w:t>。</w:t>
            </w:r>
          </w:p>
        </w:tc>
      </w:tr>
    </w:tbl>
    <w:p w:rsidR="00906F97" w:rsidRDefault="00906F97">
      <w:pPr>
        <w:wordWrap w:val="0"/>
        <w:spacing w:line="360" w:lineRule="auto"/>
        <w:jc w:val="left"/>
        <w:divId w:val="192729869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06F97" w:rsidRDefault="00906F97">
      <w:pPr>
        <w:pStyle w:val="XBRLTitle2"/>
        <w:spacing w:before="156"/>
        <w:ind w:left="454"/>
      </w:pPr>
      <w:bookmarkStart w:id="89" w:name="_Toc17881676"/>
      <w:bookmarkStart w:id="90" w:name="_Toc492299872"/>
      <w:bookmarkStart w:id="91" w:name="_Toc466644456"/>
      <w:bookmarkStart w:id="92" w:name="_Toc447872918"/>
      <w:bookmarkStart w:id="93" w:name="_Toc438646460"/>
      <w:bookmarkStart w:id="94" w:name="_Toc512627222"/>
      <w:bookmarkStart w:id="95" w:name="_Toc512694302"/>
      <w:bookmarkStart w:id="96" w:name="m402"/>
      <w:r>
        <w:rPr>
          <w:rFonts w:hAnsi="宋体" w:hint="eastAsia"/>
          <w:lang w:eastAsia="zh-CN"/>
        </w:rPr>
        <w:t>管理人对报告期内本基金运作遵规守信情况的说</w:t>
      </w:r>
      <w:r>
        <w:rPr>
          <w:rFonts w:hAnsi="宋体" w:hint="eastAsia"/>
          <w:lang w:eastAsia="zh-CN"/>
        </w:rPr>
        <w:t>明</w:t>
      </w:r>
      <w:bookmarkEnd w:id="89"/>
      <w:bookmarkEnd w:id="90"/>
      <w:bookmarkEnd w:id="91"/>
      <w:bookmarkEnd w:id="92"/>
      <w:bookmarkEnd w:id="93"/>
      <w:bookmarkEnd w:id="94"/>
      <w:bookmarkEnd w:id="95"/>
      <w:r>
        <w:rPr>
          <w:rFonts w:hAnsi="宋体" w:hint="eastAsia"/>
        </w:rPr>
        <w:t xml:space="preserve"> </w:t>
      </w:r>
      <w:bookmarkEnd w:id="96"/>
    </w:p>
    <w:p w:rsidR="00906F97" w:rsidRDefault="00906F97">
      <w:pPr>
        <w:spacing w:line="360" w:lineRule="auto"/>
        <w:ind w:firstLineChars="200" w:firstLine="420"/>
        <w:jc w:val="left"/>
        <w:rPr>
          <w:rFonts w:hint="eastAsia"/>
        </w:rPr>
      </w:pPr>
      <w:bookmarkStart w:id="9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906F97" w:rsidRDefault="00906F97">
      <w:pPr>
        <w:pStyle w:val="XBRLTitle2"/>
        <w:spacing w:before="156"/>
        <w:ind w:left="454"/>
      </w:pPr>
      <w:bookmarkStart w:id="98" w:name="m403"/>
      <w:bookmarkStart w:id="99" w:name="_Toc492299873"/>
      <w:bookmarkStart w:id="100" w:name="_Toc466644457"/>
      <w:bookmarkStart w:id="101" w:name="_Toc447872919"/>
      <w:bookmarkStart w:id="102" w:name="_Toc438646462"/>
      <w:bookmarkStart w:id="103" w:name="_Toc512627223"/>
      <w:bookmarkStart w:id="104" w:name="_Toc512694303"/>
      <w:bookmarkStart w:id="105" w:name="_Toc17881677"/>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r>
        <w:rPr>
          <w:rFonts w:hAnsi="宋体" w:hint="eastAsia"/>
        </w:rPr>
        <w:t xml:space="preserve"> </w:t>
      </w:r>
    </w:p>
    <w:p w:rsidR="00906F97" w:rsidRDefault="00906F97">
      <w:pPr>
        <w:pStyle w:val="XBRLTitle3"/>
        <w:numPr>
          <w:ilvl w:val="2"/>
          <w:numId w:val="2"/>
        </w:numPr>
        <w:spacing w:before="156"/>
        <w:ind w:left="0" w:firstLine="0"/>
        <w:rPr>
          <w:rFonts w:hint="eastAsia"/>
        </w:rPr>
      </w:pPr>
      <w:bookmarkStart w:id="106" w:name="_Toc17881678"/>
      <w:bookmarkStart w:id="107" w:name="_Toc492299874"/>
      <w:bookmarkStart w:id="108" w:name="_Toc466644458"/>
      <w:bookmarkStart w:id="109" w:name="_Toc447872920"/>
      <w:r>
        <w:rPr>
          <w:rFonts w:hAnsi="宋体" w:hint="eastAsia"/>
        </w:rPr>
        <w:t>公平交易制度的执行情</w:t>
      </w:r>
      <w:r>
        <w:rPr>
          <w:rFonts w:hAnsi="宋体" w:hint="eastAsia"/>
        </w:rPr>
        <w:t>况</w:t>
      </w:r>
      <w:bookmarkEnd w:id="106"/>
      <w:bookmarkEnd w:id="107"/>
      <w:bookmarkEnd w:id="108"/>
      <w:bookmarkEnd w:id="109"/>
    </w:p>
    <w:p w:rsidR="00906F97" w:rsidRDefault="00906F9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06F97" w:rsidRDefault="00906F97">
      <w:pPr>
        <w:pStyle w:val="XBRLTitle3"/>
        <w:numPr>
          <w:ilvl w:val="2"/>
          <w:numId w:val="2"/>
        </w:numPr>
        <w:spacing w:before="156"/>
        <w:ind w:left="0" w:firstLine="0"/>
      </w:pPr>
      <w:bookmarkStart w:id="110" w:name="_Toc17881679"/>
      <w:bookmarkStart w:id="111" w:name="_Toc492299875"/>
      <w:bookmarkStart w:id="112" w:name="_Toc466644459"/>
      <w:bookmarkStart w:id="113" w:name="_Toc447872921"/>
      <w:bookmarkStart w:id="114" w:name="m404_01_0578"/>
      <w:bookmarkEnd w:id="97"/>
      <w:r>
        <w:rPr>
          <w:rFonts w:hAnsi="宋体" w:hint="eastAsia"/>
        </w:rPr>
        <w:t>异常交易行为的专项说</w:t>
      </w:r>
      <w:r>
        <w:rPr>
          <w:rFonts w:hAnsi="宋体" w:hint="eastAsia"/>
        </w:rPr>
        <w:t>明</w:t>
      </w:r>
      <w:bookmarkEnd w:id="110"/>
      <w:bookmarkEnd w:id="111"/>
      <w:bookmarkEnd w:id="112"/>
      <w:bookmarkEnd w:id="113"/>
    </w:p>
    <w:p w:rsidR="00906F97" w:rsidRDefault="00906F9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06F97" w:rsidRDefault="00906F97">
      <w:pPr>
        <w:pStyle w:val="XBRLTitle2"/>
        <w:spacing w:before="156"/>
        <w:ind w:left="454"/>
      </w:pPr>
      <w:bookmarkStart w:id="115" w:name="_Toc17881680"/>
      <w:bookmarkStart w:id="116" w:name="_Toc492299876"/>
      <w:bookmarkStart w:id="117" w:name="_Toc466644460"/>
      <w:bookmarkStart w:id="118" w:name="_Toc447872922"/>
      <w:bookmarkStart w:id="119" w:name="_Toc438646463"/>
      <w:bookmarkStart w:id="120" w:name="_Toc512627224"/>
      <w:bookmarkStart w:id="121" w:name="_Toc512694304"/>
      <w:bookmarkEnd w:id="114"/>
      <w:r>
        <w:rPr>
          <w:rFonts w:hAnsi="宋体" w:hint="eastAsia"/>
        </w:rPr>
        <w:t>报告期内基金的投资策略和运作分</w:t>
      </w:r>
      <w:r>
        <w:rPr>
          <w:rFonts w:hAnsi="宋体" w:hint="eastAsia"/>
        </w:rPr>
        <w:t>析</w:t>
      </w:r>
      <w:bookmarkEnd w:id="115"/>
      <w:bookmarkEnd w:id="116"/>
      <w:bookmarkEnd w:id="117"/>
      <w:bookmarkEnd w:id="118"/>
      <w:bookmarkEnd w:id="119"/>
      <w:bookmarkEnd w:id="120"/>
      <w:bookmarkEnd w:id="121"/>
      <w:r>
        <w:rPr>
          <w:rFonts w:hAnsi="宋体" w:hint="eastAsia"/>
        </w:rPr>
        <w:t xml:space="preserve"> </w:t>
      </w:r>
    </w:p>
    <w:p w:rsidR="00906F97" w:rsidRDefault="00906F97">
      <w:pPr>
        <w:spacing w:line="360" w:lineRule="auto"/>
        <w:ind w:firstLineChars="200" w:firstLine="420"/>
        <w:jc w:val="left"/>
        <w:rPr>
          <w:rFonts w:hint="eastAsia"/>
        </w:rPr>
      </w:pPr>
      <w:bookmarkStart w:id="122" w:name="m405_01_2550"/>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股市场走出震荡上行行情，但内部结构分化。科创</w:t>
      </w:r>
      <w:r>
        <w:rPr>
          <w:rFonts w:ascii="宋体" w:hAnsi="宋体" w:cs="宋体" w:hint="eastAsia"/>
          <w:color w:val="000000"/>
          <w:kern w:val="0"/>
        </w:rPr>
        <w:t>50</w:t>
      </w:r>
      <w:r>
        <w:rPr>
          <w:rFonts w:ascii="宋体" w:hAnsi="宋体" w:cs="宋体" w:hint="eastAsia"/>
          <w:color w:val="000000"/>
          <w:kern w:val="0"/>
        </w:rPr>
        <w:t>单季大涨超</w:t>
      </w:r>
      <w:r>
        <w:rPr>
          <w:rFonts w:ascii="宋体" w:hAnsi="宋体" w:cs="宋体" w:hint="eastAsia"/>
          <w:color w:val="000000"/>
          <w:kern w:val="0"/>
        </w:rPr>
        <w:t>75%</w:t>
      </w:r>
      <w:r>
        <w:rPr>
          <w:rFonts w:ascii="宋体" w:hAnsi="宋体" w:cs="宋体" w:hint="eastAsia"/>
          <w:color w:val="000000"/>
          <w:kern w:val="0"/>
        </w:rPr>
        <w:t>创历史新高，</w:t>
      </w:r>
      <w:r>
        <w:rPr>
          <w:rFonts w:ascii="宋体" w:hAnsi="宋体" w:cs="宋体" w:hint="eastAsia"/>
          <w:color w:val="000000"/>
          <w:kern w:val="0"/>
        </w:rPr>
        <w:t>AI</w:t>
      </w:r>
      <w:r>
        <w:rPr>
          <w:rFonts w:ascii="宋体" w:hAnsi="宋体" w:cs="宋体" w:hint="eastAsia"/>
          <w:color w:val="000000"/>
          <w:kern w:val="0"/>
        </w:rPr>
        <w:t>算力链成为市场唯一主线，资金持续从传统板块向科技赛道迁移。全市场日均成交额约</w:t>
      </w:r>
      <w:r>
        <w:rPr>
          <w:rFonts w:ascii="宋体" w:hAnsi="宋体" w:cs="宋体" w:hint="eastAsia"/>
          <w:color w:val="000000"/>
          <w:kern w:val="0"/>
        </w:rPr>
        <w:t>2.7</w:t>
      </w:r>
      <w:r>
        <w:rPr>
          <w:rFonts w:ascii="宋体" w:hAnsi="宋体" w:cs="宋体" w:hint="eastAsia"/>
          <w:color w:val="000000"/>
          <w:kern w:val="0"/>
        </w:rPr>
        <w:t>万亿元，融资余额突破</w:t>
      </w:r>
      <w:r>
        <w:rPr>
          <w:rFonts w:ascii="宋体" w:hAnsi="宋体" w:cs="宋体" w:hint="eastAsia"/>
          <w:color w:val="000000"/>
          <w:kern w:val="0"/>
        </w:rPr>
        <w:t>3</w:t>
      </w:r>
      <w:r>
        <w:rPr>
          <w:rFonts w:ascii="宋体" w:hAnsi="宋体" w:cs="宋体" w:hint="eastAsia"/>
          <w:color w:val="000000"/>
          <w:kern w:val="0"/>
        </w:rPr>
        <w:t>万亿元，市场流动性充裕但赚钱效应高度集中于少数科技龙头。传统消费、金融、红利板块显著承压，市场</w:t>
      </w:r>
      <w:r>
        <w:rPr>
          <w:rFonts w:ascii="宋体" w:hAnsi="宋体" w:cs="宋体" w:hint="eastAsia"/>
          <w:color w:val="000000"/>
          <w:kern w:val="0"/>
        </w:rPr>
        <w:t>"K</w:t>
      </w:r>
      <w:r>
        <w:rPr>
          <w:rFonts w:ascii="宋体" w:hAnsi="宋体" w:cs="宋体" w:hint="eastAsia"/>
          <w:color w:val="000000"/>
          <w:kern w:val="0"/>
        </w:rPr>
        <w:t>型</w:t>
      </w:r>
      <w:r>
        <w:rPr>
          <w:rFonts w:ascii="宋体" w:hAnsi="宋体" w:cs="宋体" w:hint="eastAsia"/>
          <w:color w:val="000000"/>
          <w:kern w:val="0"/>
        </w:rPr>
        <w:t>"</w:t>
      </w:r>
      <w:r>
        <w:rPr>
          <w:rFonts w:ascii="宋体" w:hAnsi="宋体" w:cs="宋体" w:hint="eastAsia"/>
          <w:color w:val="000000"/>
          <w:kern w:val="0"/>
        </w:rPr>
        <w:t>走势特征明显。二季度中证</w:t>
      </w:r>
      <w:r>
        <w:rPr>
          <w:rFonts w:ascii="宋体" w:hAnsi="宋体" w:cs="宋体" w:hint="eastAsia"/>
          <w:color w:val="000000"/>
          <w:kern w:val="0"/>
        </w:rPr>
        <w:t>A500</w:t>
      </w:r>
      <w:r>
        <w:rPr>
          <w:rFonts w:ascii="宋体" w:hAnsi="宋体" w:cs="宋体" w:hint="eastAsia"/>
          <w:color w:val="000000"/>
          <w:kern w:val="0"/>
        </w:rPr>
        <w:t>上涨</w:t>
      </w:r>
      <w:r>
        <w:rPr>
          <w:rFonts w:ascii="宋体" w:hAnsi="宋体" w:cs="宋体" w:hint="eastAsia"/>
          <w:color w:val="000000"/>
          <w:kern w:val="0"/>
        </w:rPr>
        <w:t>14.26%</w:t>
      </w:r>
      <w:r>
        <w:rPr>
          <w:rFonts w:ascii="宋体" w:hAnsi="宋体" w:cs="宋体" w:hint="eastAsia"/>
          <w:color w:val="000000"/>
          <w:kern w:val="0"/>
        </w:rPr>
        <w:t>，对沪深</w:t>
      </w:r>
      <w:r>
        <w:rPr>
          <w:rFonts w:ascii="宋体" w:hAnsi="宋体" w:cs="宋体" w:hint="eastAsia"/>
          <w:color w:val="000000"/>
          <w:kern w:val="0"/>
        </w:rPr>
        <w:t>300</w:t>
      </w:r>
      <w:r>
        <w:rPr>
          <w:rFonts w:ascii="宋体" w:hAnsi="宋体" w:cs="宋体" w:hint="eastAsia"/>
          <w:color w:val="000000"/>
          <w:kern w:val="0"/>
        </w:rPr>
        <w:t>继续取得显著超额收益，单季度跑赢</w:t>
      </w:r>
      <w:r>
        <w:rPr>
          <w:rFonts w:ascii="宋体" w:hAnsi="宋体" w:cs="宋体" w:hint="eastAsia"/>
          <w:color w:val="000000"/>
          <w:kern w:val="0"/>
        </w:rPr>
        <w:t>2.36%</w:t>
      </w:r>
      <w:r>
        <w:rPr>
          <w:rFonts w:ascii="宋体" w:hAnsi="宋体" w:cs="宋体" w:hint="eastAsia"/>
          <w:color w:val="000000"/>
          <w:kern w:val="0"/>
        </w:rPr>
        <w:t>。从指数在</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w:t>
      </w:r>
      <w:r>
        <w:rPr>
          <w:rFonts w:ascii="宋体" w:hAnsi="宋体" w:cs="宋体" w:hint="eastAsia"/>
          <w:color w:val="000000"/>
          <w:kern w:val="0"/>
        </w:rPr>
        <w:t>月</w:t>
      </w:r>
      <w:r>
        <w:rPr>
          <w:rFonts w:ascii="宋体" w:hAnsi="宋体" w:cs="宋体" w:hint="eastAsia"/>
          <w:color w:val="000000"/>
          <w:kern w:val="0"/>
        </w:rPr>
        <w:t>23</w:t>
      </w:r>
      <w:r>
        <w:rPr>
          <w:rFonts w:ascii="宋体" w:hAnsi="宋体" w:cs="宋体" w:hint="eastAsia"/>
          <w:color w:val="000000"/>
          <w:kern w:val="0"/>
        </w:rPr>
        <w:t>日发布以来，中证</w:t>
      </w:r>
      <w:r>
        <w:rPr>
          <w:rFonts w:ascii="宋体" w:hAnsi="宋体" w:cs="宋体" w:hint="eastAsia"/>
          <w:color w:val="000000"/>
          <w:kern w:val="0"/>
        </w:rPr>
        <w:t>A500</w:t>
      </w:r>
      <w:r>
        <w:rPr>
          <w:rFonts w:ascii="宋体" w:hAnsi="宋体" w:cs="宋体" w:hint="eastAsia"/>
          <w:color w:val="000000"/>
          <w:kern w:val="0"/>
        </w:rPr>
        <w:t>涨幅</w:t>
      </w:r>
      <w:r>
        <w:rPr>
          <w:rFonts w:ascii="宋体" w:hAnsi="宋体" w:cs="宋体" w:hint="eastAsia"/>
          <w:color w:val="000000"/>
          <w:kern w:val="0"/>
        </w:rPr>
        <w:t>69.89%</w:t>
      </w:r>
      <w:r>
        <w:rPr>
          <w:rFonts w:ascii="宋体" w:hAnsi="宋体" w:cs="宋体" w:hint="eastAsia"/>
          <w:color w:val="000000"/>
          <w:kern w:val="0"/>
        </w:rPr>
        <w:t>，沪深</w:t>
      </w:r>
      <w:r>
        <w:rPr>
          <w:rFonts w:ascii="宋体" w:hAnsi="宋体" w:cs="宋体" w:hint="eastAsia"/>
          <w:color w:val="000000"/>
          <w:kern w:val="0"/>
        </w:rPr>
        <w:t>300</w:t>
      </w:r>
      <w:r>
        <w:rPr>
          <w:rFonts w:ascii="宋体" w:hAnsi="宋体" w:cs="宋体" w:hint="eastAsia"/>
          <w:color w:val="000000"/>
          <w:kern w:val="0"/>
        </w:rPr>
        <w:t>涨幅</w:t>
      </w:r>
      <w:r>
        <w:rPr>
          <w:rFonts w:ascii="宋体" w:hAnsi="宋体" w:cs="宋体" w:hint="eastAsia"/>
          <w:color w:val="000000"/>
          <w:kern w:val="0"/>
        </w:rPr>
        <w:t>55.56%</w:t>
      </w:r>
      <w:r>
        <w:rPr>
          <w:rFonts w:ascii="宋体" w:hAnsi="宋体" w:cs="宋体" w:hint="eastAsia"/>
          <w:color w:val="000000"/>
          <w:kern w:val="0"/>
        </w:rPr>
        <w:t>，超额收益</w:t>
      </w:r>
      <w:r>
        <w:rPr>
          <w:rFonts w:ascii="宋体" w:hAnsi="宋体" w:cs="宋体" w:hint="eastAsia"/>
          <w:color w:val="000000"/>
          <w:kern w:val="0"/>
        </w:rPr>
        <w:t>14.33%</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截止到</w:t>
      </w:r>
      <w:r>
        <w:rPr>
          <w:rFonts w:ascii="宋体" w:hAnsi="宋体" w:cs="宋体" w:hint="eastAsia"/>
          <w:color w:val="000000"/>
          <w:kern w:val="0"/>
        </w:rPr>
        <w:t>2026</w:t>
      </w:r>
      <w:r>
        <w:rPr>
          <w:rFonts w:ascii="宋体" w:hAnsi="宋体" w:cs="宋体" w:hint="eastAsia"/>
          <w:color w:val="000000"/>
          <w:kern w:val="0"/>
        </w:rPr>
        <w:t>年二季度末，中证</w:t>
      </w:r>
      <w:r>
        <w:rPr>
          <w:rFonts w:ascii="宋体" w:hAnsi="宋体" w:cs="宋体" w:hint="eastAsia"/>
          <w:color w:val="000000"/>
          <w:kern w:val="0"/>
        </w:rPr>
        <w:t>A500</w:t>
      </w:r>
      <w:r>
        <w:rPr>
          <w:rFonts w:ascii="宋体" w:hAnsi="宋体" w:cs="宋体" w:hint="eastAsia"/>
          <w:color w:val="000000"/>
          <w:kern w:val="0"/>
        </w:rPr>
        <w:t>指数最新估值为</w:t>
      </w:r>
      <w:r>
        <w:rPr>
          <w:rFonts w:ascii="宋体" w:hAnsi="宋体" w:cs="宋体" w:hint="eastAsia"/>
          <w:color w:val="000000"/>
          <w:kern w:val="0"/>
        </w:rPr>
        <w:t>17.14</w:t>
      </w:r>
      <w:r>
        <w:rPr>
          <w:rFonts w:ascii="宋体" w:hAnsi="宋体" w:cs="宋体" w:hint="eastAsia"/>
          <w:color w:val="000000"/>
          <w:kern w:val="0"/>
        </w:rPr>
        <w:t>，股息率维持在</w:t>
      </w:r>
      <w:r>
        <w:rPr>
          <w:rFonts w:ascii="宋体" w:hAnsi="宋体" w:cs="宋体" w:hint="eastAsia"/>
          <w:color w:val="000000"/>
          <w:kern w:val="0"/>
        </w:rPr>
        <w:t>2.34%</w:t>
      </w:r>
      <w:r>
        <w:rPr>
          <w:rFonts w:ascii="宋体" w:hAnsi="宋体" w:cs="宋体" w:hint="eastAsia"/>
          <w:color w:val="000000"/>
          <w:kern w:val="0"/>
        </w:rPr>
        <w:t>近，仍旧处于有性价比的配置区间。二季度国内十年期国债利率小幅回落，从</w:t>
      </w:r>
      <w:r>
        <w:rPr>
          <w:rFonts w:ascii="宋体" w:hAnsi="宋体" w:cs="宋体" w:hint="eastAsia"/>
          <w:color w:val="000000"/>
          <w:kern w:val="0"/>
        </w:rPr>
        <w:t>1.81%</w:t>
      </w:r>
      <w:r>
        <w:rPr>
          <w:rFonts w:ascii="宋体" w:hAnsi="宋体" w:cs="宋体" w:hint="eastAsia"/>
          <w:color w:val="000000"/>
          <w:kern w:val="0"/>
        </w:rPr>
        <w:t>回落到</w:t>
      </w:r>
      <w:r>
        <w:rPr>
          <w:rFonts w:ascii="宋体" w:hAnsi="宋体" w:cs="宋体" w:hint="eastAsia"/>
          <w:color w:val="000000"/>
          <w:kern w:val="0"/>
        </w:rPr>
        <w:t>1.72%</w:t>
      </w:r>
      <w:r>
        <w:rPr>
          <w:rFonts w:ascii="宋体" w:hAnsi="宋体" w:cs="宋体" w:hint="eastAsia"/>
          <w:color w:val="000000"/>
          <w:kern w:val="0"/>
        </w:rPr>
        <w:t>左右，使得大盘蓝筹资产仍然有着比较强的吸引力。伴随着成本改善、股东回报力度和稳定度增强，行业龙头的</w:t>
      </w:r>
      <w:r>
        <w:rPr>
          <w:rFonts w:ascii="宋体" w:hAnsi="宋体" w:cs="宋体" w:hint="eastAsia"/>
          <w:color w:val="000000"/>
          <w:kern w:val="0"/>
        </w:rPr>
        <w:t>ROE</w:t>
      </w:r>
      <w:r>
        <w:rPr>
          <w:rFonts w:ascii="宋体" w:hAnsi="宋体" w:cs="宋体" w:hint="eastAsia"/>
          <w:color w:val="000000"/>
          <w:kern w:val="0"/>
        </w:rPr>
        <w:t>已领先全</w:t>
      </w:r>
      <w:r>
        <w:rPr>
          <w:rFonts w:ascii="宋体" w:hAnsi="宋体" w:cs="宋体" w:hint="eastAsia"/>
          <w:color w:val="000000"/>
          <w:kern w:val="0"/>
        </w:rPr>
        <w:t xml:space="preserve"> A</w:t>
      </w:r>
      <w:r>
        <w:rPr>
          <w:rFonts w:ascii="宋体" w:hAnsi="宋体" w:cs="宋体" w:hint="eastAsia"/>
          <w:color w:val="000000"/>
          <w:kern w:val="0"/>
        </w:rPr>
        <w:t>非金融开始回升，市场的重估逻辑有望从流动性驱动到增长潜力驱动。</w:t>
      </w:r>
      <w:r>
        <w:rPr>
          <w:rFonts w:ascii="宋体" w:hAnsi="宋体" w:cs="宋体" w:hint="eastAsia"/>
          <w:color w:val="000000"/>
          <w:kern w:val="0"/>
        </w:rPr>
        <w:br/>
      </w:r>
      <w:r>
        <w:rPr>
          <w:rFonts w:ascii="宋体" w:hAnsi="宋体" w:cs="宋体" w:hint="eastAsia"/>
          <w:color w:val="000000"/>
          <w:kern w:val="0"/>
        </w:rPr>
        <w:t xml:space="preserve">　　公募基金改革背景下政策强调公募产品相对基准的超额收益，并设立奖惩制度，未来基准指数的重要性有望进一步提升，中证</w:t>
      </w:r>
      <w:r>
        <w:rPr>
          <w:rFonts w:ascii="宋体" w:hAnsi="宋体" w:cs="宋体" w:hint="eastAsia"/>
          <w:color w:val="000000"/>
          <w:kern w:val="0"/>
        </w:rPr>
        <w:t>A500</w:t>
      </w:r>
      <w:r>
        <w:rPr>
          <w:rFonts w:ascii="宋体" w:hAnsi="宋体" w:cs="宋体" w:hint="eastAsia"/>
          <w:color w:val="000000"/>
          <w:kern w:val="0"/>
        </w:rPr>
        <w:t>作为兼具均衡和代表性的宽基指数，有望看到主动权益基金基准向中证</w:t>
      </w:r>
      <w:r>
        <w:rPr>
          <w:rFonts w:ascii="宋体" w:hAnsi="宋体" w:cs="宋体" w:hint="eastAsia"/>
          <w:color w:val="000000"/>
          <w:kern w:val="0"/>
        </w:rPr>
        <w:t>A500</w:t>
      </w:r>
      <w:r>
        <w:rPr>
          <w:rFonts w:ascii="宋体" w:hAnsi="宋体" w:cs="宋体" w:hint="eastAsia"/>
          <w:color w:val="000000"/>
          <w:kern w:val="0"/>
        </w:rPr>
        <w:t>转移。中证</w:t>
      </w:r>
      <w:r>
        <w:rPr>
          <w:rFonts w:ascii="宋体" w:hAnsi="宋体" w:cs="宋体" w:hint="eastAsia"/>
          <w:color w:val="000000"/>
          <w:kern w:val="0"/>
        </w:rPr>
        <w:t>A500</w:t>
      </w:r>
      <w:r>
        <w:rPr>
          <w:rFonts w:ascii="宋体" w:hAnsi="宋体" w:cs="宋体" w:hint="eastAsia"/>
          <w:color w:val="000000"/>
          <w:kern w:val="0"/>
        </w:rPr>
        <w:t>当前</w:t>
      </w:r>
      <w:r>
        <w:rPr>
          <w:rFonts w:ascii="宋体" w:hAnsi="宋体" w:cs="宋体" w:hint="eastAsia"/>
          <w:color w:val="000000"/>
          <w:kern w:val="0"/>
        </w:rPr>
        <w:t>PETTM</w:t>
      </w:r>
      <w:r>
        <w:rPr>
          <w:rFonts w:ascii="宋体" w:hAnsi="宋体" w:cs="宋体" w:hint="eastAsia"/>
          <w:color w:val="000000"/>
          <w:kern w:val="0"/>
        </w:rPr>
        <w:t>处于近</w:t>
      </w:r>
      <w:r>
        <w:rPr>
          <w:rFonts w:ascii="宋体" w:hAnsi="宋体" w:cs="宋体" w:hint="eastAsia"/>
          <w:color w:val="000000"/>
          <w:kern w:val="0"/>
        </w:rPr>
        <w:t>10</w:t>
      </w:r>
      <w:r>
        <w:rPr>
          <w:rFonts w:ascii="宋体" w:hAnsi="宋体" w:cs="宋体" w:hint="eastAsia"/>
          <w:color w:val="000000"/>
          <w:kern w:val="0"/>
        </w:rPr>
        <w:t>年中位数附近，显著低于科创</w:t>
      </w:r>
      <w:r>
        <w:rPr>
          <w:rFonts w:ascii="宋体" w:hAnsi="宋体" w:cs="宋体" w:hint="eastAsia"/>
          <w:color w:val="000000"/>
          <w:kern w:val="0"/>
        </w:rPr>
        <w:t>50</w:t>
      </w:r>
      <w:r>
        <w:rPr>
          <w:rFonts w:ascii="宋体" w:hAnsi="宋体" w:cs="宋体" w:hint="eastAsia"/>
          <w:color w:val="000000"/>
          <w:kern w:val="0"/>
        </w:rPr>
        <w:t>、中证</w:t>
      </w:r>
      <w:r>
        <w:rPr>
          <w:rFonts w:ascii="宋体" w:hAnsi="宋体" w:cs="宋体" w:hint="eastAsia"/>
          <w:color w:val="000000"/>
          <w:kern w:val="0"/>
        </w:rPr>
        <w:t>1000</w:t>
      </w:r>
      <w:r>
        <w:rPr>
          <w:rFonts w:ascii="宋体" w:hAnsi="宋体" w:cs="宋体" w:hint="eastAsia"/>
          <w:color w:val="000000"/>
          <w:kern w:val="0"/>
        </w:rPr>
        <w:t>、中证</w:t>
      </w:r>
      <w:r>
        <w:rPr>
          <w:rFonts w:ascii="宋体" w:hAnsi="宋体" w:cs="宋体" w:hint="eastAsia"/>
          <w:color w:val="000000"/>
          <w:kern w:val="0"/>
        </w:rPr>
        <w:t>2000</w:t>
      </w:r>
      <w:r>
        <w:rPr>
          <w:rFonts w:ascii="宋体" w:hAnsi="宋体" w:cs="宋体" w:hint="eastAsia"/>
          <w:color w:val="000000"/>
          <w:kern w:val="0"/>
        </w:rPr>
        <w:t>等指数</w:t>
      </w:r>
      <w:r>
        <w:rPr>
          <w:rFonts w:ascii="宋体" w:hAnsi="宋体" w:cs="宋体" w:hint="eastAsia"/>
          <w:color w:val="000000"/>
          <w:kern w:val="0"/>
        </w:rPr>
        <w:t>。</w:t>
      </w:r>
    </w:p>
    <w:p w:rsidR="00906F97" w:rsidRDefault="00906F97">
      <w:pPr>
        <w:pStyle w:val="XBRLTitle2"/>
        <w:spacing w:before="156"/>
        <w:ind w:left="454"/>
      </w:pPr>
      <w:bookmarkStart w:id="123" w:name="_Toc17881681"/>
      <w:bookmarkStart w:id="124" w:name="_Toc466644462"/>
      <w:bookmarkStart w:id="125" w:name="_Toc447872924"/>
      <w:bookmarkStart w:id="126" w:name="_Toc492299877"/>
      <w:bookmarkStart w:id="127" w:name="_Toc512627225"/>
      <w:bookmarkStart w:id="128" w:name="_Toc512694305"/>
      <w:bookmarkStart w:id="129" w:name="m405_01_2549"/>
      <w:bookmarkEnd w:id="122"/>
      <w:r>
        <w:rPr>
          <w:rFonts w:hint="eastAsia"/>
        </w:rPr>
        <w:t>报告期内基金的业绩表</w:t>
      </w:r>
      <w:r>
        <w:rPr>
          <w:rFonts w:hint="eastAsia"/>
        </w:rPr>
        <w:t>现</w:t>
      </w:r>
      <w:bookmarkEnd w:id="123"/>
      <w:bookmarkEnd w:id="124"/>
      <w:bookmarkEnd w:id="125"/>
      <w:bookmarkEnd w:id="126"/>
      <w:bookmarkEnd w:id="127"/>
      <w:bookmarkEnd w:id="128"/>
      <w:bookmarkEnd w:id="129"/>
    </w:p>
    <w:p w:rsidR="00906F97" w:rsidRDefault="00906F97">
      <w:pPr>
        <w:spacing w:line="360" w:lineRule="auto"/>
        <w:ind w:firstLineChars="200" w:firstLine="420"/>
        <w:rPr>
          <w:rFonts w:hint="eastAsia"/>
        </w:rPr>
      </w:pPr>
      <w:r>
        <w:rPr>
          <w:rFonts w:ascii="宋体" w:hAnsi="宋体" w:hint="eastAsia"/>
        </w:rPr>
        <w:t>本报告期摩根中证</w:t>
      </w:r>
      <w:r>
        <w:rPr>
          <w:rFonts w:ascii="宋体" w:hAnsi="宋体" w:hint="eastAsia"/>
        </w:rPr>
        <w:t>A500ETF</w:t>
      </w:r>
      <w:r>
        <w:rPr>
          <w:rFonts w:ascii="宋体" w:hAnsi="宋体" w:hint="eastAsia"/>
        </w:rPr>
        <w:t>联接</w:t>
      </w:r>
      <w:r>
        <w:rPr>
          <w:rFonts w:ascii="宋体" w:hAnsi="宋体" w:hint="eastAsia"/>
        </w:rPr>
        <w:t>A</w:t>
      </w:r>
      <w:r>
        <w:rPr>
          <w:rFonts w:ascii="宋体" w:hAnsi="宋体" w:hint="eastAsia"/>
        </w:rPr>
        <w:t>份额净值增长率为：</w:t>
      </w:r>
      <w:r>
        <w:rPr>
          <w:rFonts w:ascii="宋体" w:hAnsi="宋体" w:hint="eastAsia"/>
        </w:rPr>
        <w:t>13.94%</w:t>
      </w:r>
      <w:r>
        <w:rPr>
          <w:rFonts w:ascii="宋体" w:hAnsi="宋体" w:hint="eastAsia"/>
        </w:rPr>
        <w:t>，同期业绩比较基准收益率为：</w:t>
      </w:r>
      <w:r>
        <w:rPr>
          <w:rFonts w:ascii="宋体" w:hAnsi="宋体" w:hint="eastAsia"/>
        </w:rPr>
        <w:t>13.55%</w:t>
      </w:r>
      <w:r>
        <w:rPr>
          <w:rFonts w:ascii="宋体" w:hAnsi="宋体" w:hint="eastAsia"/>
        </w:rPr>
        <w:t>；</w:t>
      </w:r>
      <w:r>
        <w:rPr>
          <w:rFonts w:ascii="宋体" w:hAnsi="宋体" w:hint="eastAsia"/>
        </w:rPr>
        <w:br/>
      </w:r>
      <w:r>
        <w:rPr>
          <w:rFonts w:ascii="宋体" w:hAnsi="宋体" w:hint="eastAsia"/>
        </w:rPr>
        <w:t xml:space="preserve">　　摩根中证</w:t>
      </w:r>
      <w:r>
        <w:rPr>
          <w:rFonts w:ascii="宋体" w:hAnsi="宋体" w:hint="eastAsia"/>
        </w:rPr>
        <w:t>A500ETF</w:t>
      </w:r>
      <w:r>
        <w:rPr>
          <w:rFonts w:ascii="宋体" w:hAnsi="宋体" w:hint="eastAsia"/>
        </w:rPr>
        <w:t>联接</w:t>
      </w:r>
      <w:r>
        <w:rPr>
          <w:rFonts w:ascii="宋体" w:hAnsi="宋体" w:hint="eastAsia"/>
        </w:rPr>
        <w:t>C</w:t>
      </w:r>
      <w:r>
        <w:rPr>
          <w:rFonts w:ascii="宋体" w:hAnsi="宋体" w:hint="eastAsia"/>
        </w:rPr>
        <w:t>份额净值增长率为：</w:t>
      </w:r>
      <w:r>
        <w:rPr>
          <w:rFonts w:ascii="宋体" w:hAnsi="宋体" w:hint="eastAsia"/>
        </w:rPr>
        <w:t>13.89%</w:t>
      </w:r>
      <w:r>
        <w:rPr>
          <w:rFonts w:ascii="宋体" w:hAnsi="宋体" w:hint="eastAsia"/>
        </w:rPr>
        <w:t>，同期业绩比较基准收益率为：</w:t>
      </w:r>
      <w:r>
        <w:rPr>
          <w:rFonts w:ascii="宋体" w:hAnsi="宋体" w:hint="eastAsia"/>
        </w:rPr>
        <w:t>13.55%</w:t>
      </w:r>
      <w:r>
        <w:rPr>
          <w:rFonts w:ascii="宋体" w:hAnsi="宋体" w:hint="eastAsia"/>
        </w:rPr>
        <w:t>；</w:t>
      </w:r>
      <w:r>
        <w:rPr>
          <w:rFonts w:ascii="宋体" w:hAnsi="宋体" w:hint="eastAsia"/>
        </w:rPr>
        <w:br/>
      </w:r>
      <w:r>
        <w:rPr>
          <w:rFonts w:ascii="宋体" w:hAnsi="宋体" w:hint="eastAsia"/>
        </w:rPr>
        <w:t xml:space="preserve">　　摩根中证</w:t>
      </w:r>
      <w:r>
        <w:rPr>
          <w:rFonts w:ascii="宋体" w:hAnsi="宋体" w:hint="eastAsia"/>
        </w:rPr>
        <w:t>A500ETF</w:t>
      </w:r>
      <w:r>
        <w:rPr>
          <w:rFonts w:ascii="宋体" w:hAnsi="宋体" w:hint="eastAsia"/>
        </w:rPr>
        <w:t>联接</w:t>
      </w:r>
      <w:r>
        <w:rPr>
          <w:rFonts w:ascii="宋体" w:hAnsi="宋体" w:hint="eastAsia"/>
        </w:rPr>
        <w:t>I</w:t>
      </w:r>
      <w:r>
        <w:rPr>
          <w:rFonts w:ascii="宋体" w:hAnsi="宋体" w:hint="eastAsia"/>
        </w:rPr>
        <w:t>份额净值增长率为：</w:t>
      </w:r>
      <w:r>
        <w:rPr>
          <w:rFonts w:ascii="宋体" w:hAnsi="宋体" w:hint="eastAsia"/>
        </w:rPr>
        <w:t>13.93%</w:t>
      </w:r>
      <w:r>
        <w:rPr>
          <w:rFonts w:ascii="宋体" w:hAnsi="宋体" w:hint="eastAsia"/>
        </w:rPr>
        <w:t>，同期业绩比较基准收益率为：</w:t>
      </w:r>
      <w:r>
        <w:rPr>
          <w:rFonts w:ascii="宋体" w:hAnsi="宋体" w:hint="eastAsia"/>
        </w:rPr>
        <w:t>13.55%</w:t>
      </w:r>
      <w:r>
        <w:rPr>
          <w:rFonts w:ascii="宋体" w:hAnsi="宋体" w:hint="eastAsia"/>
        </w:rPr>
        <w:t>；</w:t>
      </w:r>
      <w:r>
        <w:rPr>
          <w:rFonts w:ascii="宋体" w:hAnsi="宋体" w:hint="eastAsia"/>
        </w:rPr>
        <w:br/>
      </w:r>
      <w:r>
        <w:rPr>
          <w:rFonts w:ascii="宋体" w:hAnsi="宋体" w:hint="eastAsia"/>
        </w:rPr>
        <w:t xml:space="preserve">　　摩根中证</w:t>
      </w:r>
      <w:r>
        <w:rPr>
          <w:rFonts w:ascii="宋体" w:hAnsi="宋体" w:hint="eastAsia"/>
        </w:rPr>
        <w:t>A500ETF</w:t>
      </w:r>
      <w:r>
        <w:rPr>
          <w:rFonts w:ascii="宋体" w:hAnsi="宋体" w:hint="eastAsia"/>
        </w:rPr>
        <w:t>联接</w:t>
      </w:r>
      <w:r>
        <w:rPr>
          <w:rFonts w:ascii="宋体" w:hAnsi="宋体" w:hint="eastAsia"/>
        </w:rPr>
        <w:t>Y</w:t>
      </w:r>
      <w:r>
        <w:rPr>
          <w:rFonts w:ascii="宋体" w:hAnsi="宋体" w:hint="eastAsia"/>
        </w:rPr>
        <w:t>份额净值增长率为：</w:t>
      </w:r>
      <w:r>
        <w:rPr>
          <w:rFonts w:ascii="宋体" w:hAnsi="宋体" w:hint="eastAsia"/>
        </w:rPr>
        <w:t>13.95%</w:t>
      </w:r>
      <w:r>
        <w:rPr>
          <w:rFonts w:ascii="宋体" w:hAnsi="宋体" w:hint="eastAsia"/>
        </w:rPr>
        <w:t>，同期业绩比较基准收益率为：</w:t>
      </w:r>
      <w:r>
        <w:rPr>
          <w:rFonts w:ascii="宋体" w:hAnsi="宋体" w:hint="eastAsia"/>
        </w:rPr>
        <w:t>13.55%</w:t>
      </w:r>
      <w:r>
        <w:rPr>
          <w:rFonts w:ascii="宋体" w:hAnsi="宋体" w:hint="eastAsia"/>
        </w:rPr>
        <w:t>。</w:t>
      </w:r>
    </w:p>
    <w:p w:rsidR="00906F97" w:rsidRDefault="00906F97">
      <w:pPr>
        <w:pStyle w:val="XBRLTitle2"/>
        <w:spacing w:before="156"/>
        <w:ind w:left="454"/>
      </w:pPr>
      <w:bookmarkStart w:id="130" w:name="m406"/>
      <w:bookmarkStart w:id="131" w:name="_Toc17881682"/>
      <w:bookmarkStart w:id="132" w:name="_Toc466644464"/>
      <w:bookmarkStart w:id="133" w:name="_Toc447872926"/>
      <w:bookmarkStart w:id="134" w:name="_Toc438646465"/>
      <w:bookmarkStart w:id="135" w:name="_Toc492299878"/>
      <w:bookmarkStart w:id="136" w:name="_Toc512627226"/>
      <w:bookmarkStart w:id="137" w:name="_Toc512694306"/>
      <w:bookmarkStart w:id="138" w:name="m407"/>
      <w:bookmarkEnd w:id="130"/>
      <w:r>
        <w:rPr>
          <w:rFonts w:hAnsi="宋体" w:hint="eastAsia"/>
        </w:rPr>
        <w:t>报告期内基金持有人数或基金资产净值预警说</w:t>
      </w:r>
      <w:r>
        <w:rPr>
          <w:rFonts w:hAnsi="宋体" w:hint="eastAsia"/>
        </w:rPr>
        <w:t>明</w:t>
      </w:r>
      <w:bookmarkEnd w:id="131"/>
      <w:bookmarkEnd w:id="132"/>
      <w:bookmarkEnd w:id="133"/>
      <w:bookmarkEnd w:id="134"/>
      <w:bookmarkEnd w:id="135"/>
      <w:bookmarkEnd w:id="136"/>
      <w:bookmarkEnd w:id="137"/>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06F97" w:rsidRDefault="00906F97">
      <w:pPr>
        <w:pStyle w:val="XBRLTitle1"/>
        <w:spacing w:before="156"/>
        <w:ind w:left="425"/>
      </w:pPr>
      <w:bookmarkStart w:id="139" w:name="_Toc17881683"/>
      <w:bookmarkStart w:id="140" w:name="_Toc492299879"/>
      <w:bookmarkStart w:id="141" w:name="_Toc466644465"/>
      <w:bookmarkStart w:id="142" w:name="_Toc447872927"/>
      <w:bookmarkStart w:id="143" w:name="_Toc438646466"/>
      <w:bookmarkStart w:id="144" w:name="_Toc512627227"/>
      <w:bookmarkStart w:id="145" w:name="_Toc512694307"/>
      <w:bookmarkEnd w:id="138"/>
      <w:r>
        <w:rPr>
          <w:rFonts w:hAnsi="宋体" w:hint="eastAsia"/>
        </w:rPr>
        <w:t>投资组合报</w:t>
      </w:r>
      <w:r>
        <w:rPr>
          <w:rFonts w:hAnsi="宋体" w:hint="eastAsia"/>
        </w:rPr>
        <w:t>告</w:t>
      </w:r>
      <w:bookmarkEnd w:id="139"/>
      <w:bookmarkEnd w:id="140"/>
      <w:bookmarkEnd w:id="141"/>
      <w:bookmarkEnd w:id="142"/>
      <w:bookmarkEnd w:id="143"/>
      <w:bookmarkEnd w:id="144"/>
      <w:bookmarkEnd w:id="145"/>
      <w:r>
        <w:rPr>
          <w:rFonts w:hAnsi="宋体" w:hint="eastAsia"/>
        </w:rPr>
        <w:t xml:space="preserve"> </w:t>
      </w:r>
    </w:p>
    <w:p w:rsidR="00906F97" w:rsidRDefault="00906F97">
      <w:pPr>
        <w:pStyle w:val="XBRLTitle2"/>
        <w:spacing w:before="156"/>
        <w:ind w:left="454"/>
        <w:rPr>
          <w:rFonts w:hint="eastAsia"/>
        </w:rPr>
      </w:pPr>
      <w:bookmarkStart w:id="146" w:name="_Toc17881684"/>
      <w:bookmarkStart w:id="147" w:name="_Toc512627228"/>
      <w:bookmarkStart w:id="148" w:name="_Toc492299880"/>
      <w:bookmarkStart w:id="149" w:name="_Toc466644466"/>
      <w:bookmarkStart w:id="150" w:name="_Toc447872928"/>
      <w:bookmarkStart w:id="151" w:name="_Toc438646467"/>
      <w:bookmarkStart w:id="152" w:name="_Toc512694308"/>
      <w:bookmarkStart w:id="153" w:name="m501"/>
      <w:r>
        <w:rPr>
          <w:rFonts w:hAnsi="宋体" w:hint="eastAsia"/>
        </w:rPr>
        <w:t>报告期末基金资产组合情</w:t>
      </w:r>
      <w:r>
        <w:rPr>
          <w:rFonts w:hAnsi="宋体" w:hint="eastAsia"/>
        </w:rPr>
        <w:t>况</w:t>
      </w:r>
      <w:bookmarkEnd w:id="146"/>
      <w:bookmarkEnd w:id="147"/>
      <w:bookmarkEnd w:id="148"/>
      <w:bookmarkEnd w:id="149"/>
      <w:bookmarkEnd w:id="150"/>
      <w:bookmarkEnd w:id="151"/>
      <w:bookmarkEnd w:id="15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6F97" w:rsidRDefault="00906F97">
            <w:pPr>
              <w:jc w:val="center"/>
              <w:rPr>
                <w:rFonts w:hint="eastAsia"/>
              </w:rPr>
            </w:pPr>
            <w:bookmarkStart w:id="154" w:name="m08QD_01_tab"/>
            <w:bookmarkEnd w:id="15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906F97" w:rsidRDefault="00906F9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906F97" w:rsidRDefault="00906F9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906F97" w:rsidRDefault="00906F9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1,276,105,237.5</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93.7</w:t>
            </w:r>
            <w:r>
              <w:rPr>
                <w:rFonts w:ascii="宋体" w:hAnsi="宋体" w:hint="eastAsia"/>
                <w:szCs w:val="24"/>
                <w:lang w:eastAsia="zh-Hans"/>
              </w:rPr>
              <w:t>8</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81,792,078.6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6.0</w:t>
            </w:r>
            <w:r>
              <w:rPr>
                <w:rFonts w:ascii="宋体" w:hAnsi="宋体" w:hint="eastAsia"/>
                <w:szCs w:val="24"/>
                <w:lang w:eastAsia="zh-Hans"/>
              </w:rPr>
              <w:t>1</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2,803,678.0</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0.2</w:t>
            </w:r>
            <w:r>
              <w:rPr>
                <w:rFonts w:ascii="宋体" w:hAnsi="宋体" w:hint="eastAsia"/>
                <w:szCs w:val="24"/>
                <w:lang w:eastAsia="zh-Hans"/>
              </w:rPr>
              <w:t>1</w:t>
            </w:r>
          </w:p>
        </w:tc>
      </w:tr>
      <w:tr w:rsidR="00000000">
        <w:trPr>
          <w:divId w:val="145524529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6F97" w:rsidRDefault="00906F9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906F97" w:rsidRDefault="00906F9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1,360,700,994.2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906F97" w:rsidRDefault="00906F97">
            <w:pPr>
              <w:jc w:val="right"/>
            </w:pPr>
            <w:r>
              <w:rPr>
                <w:rFonts w:ascii="宋体" w:hAnsi="宋体" w:hint="eastAsia"/>
                <w:szCs w:val="24"/>
                <w:lang w:eastAsia="zh-Hans"/>
              </w:rPr>
              <w:t>100.0</w:t>
            </w:r>
            <w:r>
              <w:rPr>
                <w:rFonts w:ascii="宋体" w:hAnsi="宋体" w:hint="eastAsia"/>
                <w:szCs w:val="24"/>
                <w:lang w:eastAsia="zh-Hans"/>
              </w:rPr>
              <w:t>0</w:t>
            </w:r>
          </w:p>
        </w:tc>
      </w:tr>
    </w:tbl>
    <w:p w:rsidR="00906F97" w:rsidRDefault="00906F97">
      <w:pPr>
        <w:pStyle w:val="XBRLTitle2"/>
        <w:spacing w:before="156"/>
        <w:ind w:left="454"/>
      </w:pPr>
      <w:bookmarkStart w:id="155" w:name="_Toc17881685"/>
      <w:bookmarkStart w:id="156" w:name="_Toc492299881"/>
      <w:bookmarkStart w:id="157" w:name="_Toc438646468"/>
      <w:bookmarkStart w:id="158" w:name="_Toc475467580"/>
      <w:bookmarkStart w:id="159" w:name="_Toc512627229"/>
      <w:bookmarkStart w:id="160" w:name="_Toc512694309"/>
      <w:bookmarkEnd w:id="153"/>
      <w:r>
        <w:rPr>
          <w:rFonts w:hAnsi="宋体" w:hint="eastAsia"/>
        </w:rPr>
        <w:t>报告期末按行业分类的股票投资组</w:t>
      </w:r>
      <w:r>
        <w:rPr>
          <w:rFonts w:hAnsi="宋体" w:hint="eastAsia"/>
        </w:rPr>
        <w:t>合</w:t>
      </w:r>
      <w:bookmarkEnd w:id="155"/>
      <w:r>
        <w:rPr>
          <w:rFonts w:hAnsi="宋体" w:hint="eastAsia"/>
          <w:lang w:eastAsia="zh-CN"/>
        </w:rPr>
        <w:t xml:space="preserve"> </w:t>
      </w:r>
    </w:p>
    <w:p w:rsidR="00906F97" w:rsidRDefault="00906F97">
      <w:pPr>
        <w:pStyle w:val="XBRLTitle3"/>
        <w:numPr>
          <w:ilvl w:val="2"/>
          <w:numId w:val="2"/>
        </w:numPr>
        <w:spacing w:before="156"/>
        <w:ind w:left="0" w:firstLine="0"/>
        <w:rPr>
          <w:rFonts w:hint="eastAsia"/>
        </w:rPr>
      </w:pPr>
      <w:bookmarkStart w:id="161" w:name="_Toc17881686"/>
      <w:bookmarkStart w:id="162" w:name="_Toc492299882"/>
      <w:bookmarkStart w:id="163" w:name="_Toc475467581"/>
      <w:r>
        <w:rPr>
          <w:rFonts w:hAnsi="宋体" w:hint="eastAsia"/>
        </w:rPr>
        <w:t>报告期末按行业分类的境内股票投资组</w:t>
      </w:r>
      <w:r>
        <w:rPr>
          <w:rFonts w:hAnsi="宋体" w:hint="eastAsia"/>
        </w:rPr>
        <w:t>合</w:t>
      </w:r>
      <w:bookmarkEnd w:id="161"/>
      <w:r>
        <w:rPr>
          <w:rFonts w:hint="eastAsia"/>
          <w:lang w:eastAsia="zh-CN"/>
        </w:rPr>
        <w:t xml:space="preserve"> </w:t>
      </w:r>
    </w:p>
    <w:p w:rsidR="00906F97" w:rsidRDefault="00906F97">
      <w:pPr>
        <w:spacing w:line="360" w:lineRule="auto"/>
        <w:ind w:firstLineChars="200" w:firstLine="420"/>
        <w:divId w:val="374618735"/>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906F97" w:rsidRDefault="00906F97">
      <w:pPr>
        <w:pStyle w:val="XBRLTitle3"/>
        <w:numPr>
          <w:ilvl w:val="2"/>
          <w:numId w:val="2"/>
        </w:numPr>
        <w:spacing w:before="156"/>
        <w:ind w:left="0" w:firstLine="0"/>
      </w:pPr>
      <w:bookmarkStart w:id="164" w:name="_Toc17881687"/>
      <w:bookmarkStart w:id="165" w:name="_Toc492299883"/>
      <w:bookmarkStart w:id="166" w:name="_Toc475467582"/>
      <w:bookmarkStart w:id="167" w:name="m502_tab"/>
      <w:r>
        <w:rPr>
          <w:rFonts w:hAnsi="宋体" w:hint="eastAsia"/>
        </w:rPr>
        <w:t>报告期末按行业分类的港股通投资股票投资组</w:t>
      </w:r>
      <w:r>
        <w:rPr>
          <w:rFonts w:hAnsi="宋体" w:hint="eastAsia"/>
        </w:rPr>
        <w:t>合</w:t>
      </w:r>
      <w:bookmarkEnd w:id="164"/>
      <w:bookmarkEnd w:id="165"/>
      <w:bookmarkEnd w:id="166"/>
      <w:r>
        <w:rPr>
          <w:rFonts w:hint="eastAsia"/>
          <w:szCs w:val="24"/>
        </w:rPr>
        <w:t xml:space="preserve"> </w:t>
      </w:r>
    </w:p>
    <w:p w:rsidR="00906F97" w:rsidRDefault="00906F97">
      <w:pPr>
        <w:spacing w:line="360" w:lineRule="auto"/>
        <w:ind w:firstLineChars="200" w:firstLine="420"/>
        <w:divId w:val="151784605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906F97" w:rsidRDefault="00906F97">
      <w:pPr>
        <w:pStyle w:val="XBRLTitle2"/>
        <w:spacing w:before="156"/>
        <w:ind w:left="454"/>
      </w:pPr>
      <w:bookmarkStart w:id="168" w:name="_Toc1788168512"/>
      <w:r>
        <w:rPr>
          <w:rFonts w:hAnsi="宋体" w:hint="eastAsia"/>
        </w:rPr>
        <w:t>期末按公允价值占基金资产净值比例大小排序的股票投资明</w:t>
      </w:r>
      <w:r>
        <w:rPr>
          <w:rFonts w:hAnsi="宋体" w:hint="eastAsia"/>
        </w:rPr>
        <w:t>细</w:t>
      </w:r>
      <w:bookmarkEnd w:id="156"/>
      <w:bookmarkEnd w:id="157"/>
      <w:bookmarkEnd w:id="158"/>
      <w:bookmarkEnd w:id="159"/>
      <w:bookmarkEnd w:id="160"/>
      <w:bookmarkEnd w:id="168"/>
      <w:r>
        <w:rPr>
          <w:rFonts w:hAnsi="宋体" w:hint="eastAsia"/>
          <w:lang w:eastAsia="zh-CN"/>
        </w:rPr>
        <w:t xml:space="preserve"> </w:t>
      </w:r>
    </w:p>
    <w:p w:rsidR="00906F97" w:rsidRDefault="00906F97">
      <w:pPr>
        <w:pStyle w:val="XBRLTitle3"/>
        <w:numPr>
          <w:ilvl w:val="2"/>
          <w:numId w:val="2"/>
        </w:numPr>
        <w:spacing w:before="156"/>
        <w:ind w:left="0" w:firstLine="0"/>
        <w:rPr>
          <w:rFonts w:hint="eastAsia"/>
        </w:rPr>
      </w:pPr>
      <w:bookmarkStart w:id="169" w:name="_Toc1788168513"/>
      <w:r>
        <w:rPr>
          <w:rFonts w:hAnsi="宋体" w:hint="eastAsia"/>
        </w:rPr>
        <w:t>报告期末按公允价值占基金资产净值比例大小排序的前十名股票投资明</w:t>
      </w:r>
      <w:r>
        <w:rPr>
          <w:rFonts w:hAnsi="宋体" w:hint="eastAsia"/>
        </w:rPr>
        <w:t>细</w:t>
      </w:r>
      <w:bookmarkEnd w:id="162"/>
      <w:bookmarkEnd w:id="163"/>
      <w:bookmarkEnd w:id="169"/>
      <w:r>
        <w:rPr>
          <w:rFonts w:hint="eastAsia"/>
          <w:lang w:eastAsia="zh-CN"/>
        </w:rPr>
        <w:t xml:space="preserve"> </w:t>
      </w:r>
    </w:p>
    <w:p w:rsidR="00906F97" w:rsidRDefault="00906F97">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906F97" w:rsidRDefault="00906F97">
      <w:pPr>
        <w:pStyle w:val="XBRLTitle2"/>
        <w:spacing w:before="156"/>
        <w:ind w:left="454"/>
      </w:pPr>
      <w:bookmarkStart w:id="170" w:name="_Toc17881689"/>
      <w:bookmarkStart w:id="171" w:name="_Toc512627231"/>
      <w:bookmarkStart w:id="172" w:name="_Toc492299885"/>
      <w:bookmarkStart w:id="173" w:name="_Toc466644469"/>
      <w:bookmarkStart w:id="174" w:name="_Toc447872931"/>
      <w:bookmarkStart w:id="175" w:name="_Toc438646471"/>
      <w:bookmarkStart w:id="176" w:name="_Toc512694311"/>
      <w:bookmarkStart w:id="177" w:name="m505"/>
      <w:bookmarkEnd w:id="167"/>
      <w:r>
        <w:rPr>
          <w:rFonts w:hAnsi="宋体" w:hint="eastAsia"/>
        </w:rPr>
        <w:t>报告期末按债券品种分类的债券投资组</w:t>
      </w:r>
      <w:r>
        <w:rPr>
          <w:rFonts w:hAnsi="宋体" w:hint="eastAsia"/>
        </w:rPr>
        <w:t>合</w:t>
      </w:r>
      <w:bookmarkEnd w:id="170"/>
      <w:bookmarkEnd w:id="171"/>
      <w:bookmarkEnd w:id="172"/>
      <w:bookmarkEnd w:id="173"/>
      <w:bookmarkEnd w:id="174"/>
      <w:bookmarkEnd w:id="175"/>
      <w:bookmarkEnd w:id="176"/>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178" w:name="m08QD_06"/>
      <w:bookmarkEnd w:id="178"/>
      <w:r>
        <w:rPr>
          <w:rFonts w:ascii="宋体" w:hAnsi="宋体" w:hint="eastAsia"/>
        </w:rPr>
        <w:t xml:space="preserve"> </w:t>
      </w:r>
    </w:p>
    <w:p w:rsidR="00906F97" w:rsidRDefault="00906F97">
      <w:pPr>
        <w:pStyle w:val="XBRLTitle2"/>
        <w:spacing w:before="156"/>
        <w:ind w:left="454"/>
      </w:pPr>
      <w:bookmarkStart w:id="179" w:name="_Toc17881690"/>
      <w:bookmarkStart w:id="180" w:name="_Toc512627232"/>
      <w:bookmarkStart w:id="181" w:name="_Toc492299886"/>
      <w:bookmarkStart w:id="182" w:name="_Toc466644470"/>
      <w:bookmarkStart w:id="183" w:name="_Toc447872932"/>
      <w:bookmarkStart w:id="184" w:name="_Toc438646472"/>
      <w:bookmarkStart w:id="185" w:name="_Toc512694312"/>
      <w:bookmarkStart w:id="186" w:name="m506"/>
      <w:bookmarkEnd w:id="177"/>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79"/>
      <w:bookmarkEnd w:id="180"/>
      <w:bookmarkEnd w:id="181"/>
      <w:bookmarkEnd w:id="182"/>
      <w:bookmarkEnd w:id="183"/>
      <w:bookmarkEnd w:id="184"/>
      <w:bookmarkEnd w:id="185"/>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906F97" w:rsidRDefault="00906F97">
      <w:pPr>
        <w:pStyle w:val="XBRLTitle2"/>
        <w:spacing w:before="156"/>
        <w:ind w:left="454"/>
      </w:pPr>
      <w:bookmarkStart w:id="187" w:name="_Toc17881691"/>
      <w:bookmarkStart w:id="188" w:name="_Toc512627233"/>
      <w:bookmarkStart w:id="189" w:name="_Toc492299887"/>
      <w:bookmarkStart w:id="190" w:name="_Toc466644471"/>
      <w:bookmarkStart w:id="191" w:name="_Toc447872933"/>
      <w:bookmarkStart w:id="192" w:name="_Toc438646473"/>
      <w:bookmarkStart w:id="193" w:name="_Toc512694313"/>
      <w:bookmarkStart w:id="194" w:name="m507"/>
      <w:bookmarkEnd w:id="186"/>
      <w:r>
        <w:rPr>
          <w:rFonts w:hAnsi="宋体" w:hint="eastAsia"/>
        </w:rPr>
        <w:t>报告期末按公允价值占基金资产净值比例大小排序的前十名资产支持证券投资明</w:t>
      </w:r>
      <w:r>
        <w:rPr>
          <w:rFonts w:hAnsi="宋体" w:hint="eastAsia"/>
        </w:rPr>
        <w:t>细</w:t>
      </w:r>
      <w:bookmarkEnd w:id="187"/>
      <w:bookmarkEnd w:id="188"/>
      <w:bookmarkEnd w:id="189"/>
      <w:bookmarkEnd w:id="190"/>
      <w:bookmarkEnd w:id="191"/>
      <w:bookmarkEnd w:id="192"/>
      <w:bookmarkEnd w:id="193"/>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06F97" w:rsidRDefault="00906F97">
      <w:pPr>
        <w:pStyle w:val="XBRLTitle2"/>
        <w:spacing w:before="156"/>
        <w:ind w:left="454"/>
      </w:pPr>
      <w:bookmarkStart w:id="195" w:name="_Toc17881692"/>
      <w:bookmarkStart w:id="196" w:name="_Toc512627234"/>
      <w:bookmarkStart w:id="197" w:name="_Toc492299888"/>
      <w:bookmarkStart w:id="198" w:name="_Toc466644472"/>
      <w:bookmarkStart w:id="199" w:name="_Toc447872934"/>
      <w:bookmarkStart w:id="200" w:name="_Toc438646474"/>
      <w:bookmarkStart w:id="201" w:name="_Toc512694314"/>
      <w:bookmarkStart w:id="202" w:name="m508"/>
      <w:bookmarkEnd w:id="19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95"/>
      <w:bookmarkEnd w:id="196"/>
      <w:bookmarkEnd w:id="197"/>
      <w:bookmarkEnd w:id="198"/>
      <w:bookmarkEnd w:id="199"/>
      <w:bookmarkEnd w:id="200"/>
      <w:bookmarkEnd w:id="201"/>
      <w:r>
        <w:rPr>
          <w:rFonts w:hAnsi="宋体" w:hint="eastAsia"/>
        </w:rPr>
        <w:t xml:space="preserve"> </w:t>
      </w:r>
    </w:p>
    <w:p w:rsidR="00906F97" w:rsidRDefault="00906F97">
      <w:pPr>
        <w:spacing w:line="360" w:lineRule="auto"/>
        <w:ind w:firstLineChars="200" w:firstLine="420"/>
        <w:divId w:val="182284351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906F97" w:rsidRDefault="00906F97">
      <w:pPr>
        <w:pStyle w:val="XBRLTitle2"/>
        <w:spacing w:before="156"/>
        <w:ind w:left="454"/>
      </w:pPr>
      <w:bookmarkStart w:id="203" w:name="_Toc17881693"/>
      <w:bookmarkStart w:id="204" w:name="_Toc512627235"/>
      <w:bookmarkStart w:id="205" w:name="_Toc492299889"/>
      <w:bookmarkStart w:id="206" w:name="_Toc466644473"/>
      <w:bookmarkStart w:id="207" w:name="_Toc447872935"/>
      <w:bookmarkStart w:id="208" w:name="_Toc438646475"/>
      <w:bookmarkStart w:id="209" w:name="_Toc512694315"/>
      <w:bookmarkStart w:id="210" w:name="m509"/>
      <w:bookmarkEnd w:id="202"/>
      <w:r>
        <w:rPr>
          <w:rFonts w:hAnsi="宋体" w:hint="eastAsia"/>
        </w:rPr>
        <w:t>报告期末按公允价值占基金资产净值比例大小排序的前</w:t>
      </w:r>
      <w:r>
        <w:rPr>
          <w:rFonts w:hAnsi="宋体" w:hint="eastAsia"/>
          <w:lang w:eastAsia="zh-CN"/>
        </w:rPr>
        <w:t>五</w:t>
      </w:r>
      <w:r>
        <w:rPr>
          <w:rFonts w:hAnsi="宋体" w:hint="eastAsia"/>
        </w:rPr>
        <w:t>名</w:t>
      </w:r>
      <w:r>
        <w:rPr>
          <w:rFonts w:hAnsi="宋体" w:hint="eastAsia"/>
          <w:lang w:eastAsia="zh-CN"/>
        </w:rPr>
        <w:t>权</w:t>
      </w:r>
      <w:r>
        <w:rPr>
          <w:rFonts w:hAnsi="宋体" w:hint="eastAsia"/>
          <w:lang w:eastAsia="zh-CN"/>
        </w:rPr>
        <w:t>证</w:t>
      </w:r>
      <w:r>
        <w:rPr>
          <w:rFonts w:hAnsi="宋体" w:hint="eastAsia"/>
        </w:rPr>
        <w:t>投资明</w:t>
      </w:r>
      <w:r>
        <w:rPr>
          <w:rFonts w:hAnsi="宋体" w:hint="eastAsia"/>
        </w:rPr>
        <w:t>细</w:t>
      </w:r>
      <w:bookmarkEnd w:id="203"/>
      <w:bookmarkEnd w:id="204"/>
      <w:bookmarkEnd w:id="205"/>
      <w:bookmarkEnd w:id="206"/>
      <w:bookmarkEnd w:id="207"/>
      <w:bookmarkEnd w:id="208"/>
      <w:bookmarkEnd w:id="209"/>
      <w:r>
        <w:rPr>
          <w:rFonts w:hAnsi="宋体" w:hint="eastAsia"/>
        </w:rPr>
        <w:t xml:space="preserve"> </w:t>
      </w:r>
    </w:p>
    <w:p w:rsidR="00906F97" w:rsidRDefault="00906F97">
      <w:pPr>
        <w:spacing w:line="360" w:lineRule="auto"/>
        <w:ind w:firstLineChars="200" w:firstLine="420"/>
        <w:divId w:val="82143484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906F97" w:rsidRDefault="00906F97">
      <w:pPr>
        <w:pStyle w:val="XBRLTitle2"/>
        <w:spacing w:before="156"/>
        <w:ind w:left="454"/>
      </w:pPr>
      <w:bookmarkStart w:id="211" w:name="_Toc17881694"/>
      <w:bookmarkStart w:id="212" w:name="_Toc512627236"/>
      <w:bookmarkStart w:id="213" w:name="_Toc492299890"/>
      <w:bookmarkStart w:id="214" w:name="_Toc466644474"/>
      <w:bookmarkStart w:id="215" w:name="_Toc512694316"/>
      <w:r>
        <w:rPr>
          <w:rFonts w:hAnsi="宋体" w:hint="eastAsia"/>
          <w:kern w:val="2"/>
        </w:rPr>
        <w:t>报告期末按公允价值占基金资产净值比例大小排序的前十名基金投资明</w:t>
      </w:r>
      <w:r>
        <w:rPr>
          <w:rFonts w:hAnsi="宋体" w:hint="eastAsia"/>
          <w:kern w:val="2"/>
        </w:rPr>
        <w:t>细</w:t>
      </w:r>
      <w:bookmarkEnd w:id="211"/>
      <w:bookmarkEnd w:id="212"/>
      <w:bookmarkEnd w:id="213"/>
      <w:bookmarkEnd w:id="214"/>
      <w:bookmarkEnd w:id="215"/>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098"/>
        <w:gridCol w:w="1162"/>
        <w:gridCol w:w="1081"/>
        <w:gridCol w:w="1153"/>
        <w:gridCol w:w="1148"/>
        <w:gridCol w:w="1896"/>
        <w:gridCol w:w="1297"/>
      </w:tblGrid>
      <w:tr w:rsidR="00000000">
        <w:trPr>
          <w:divId w:val="159931121"/>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ind w:firstLineChars="50" w:firstLine="105"/>
              <w:jc w:val="center"/>
              <w:rPr>
                <w:rFonts w:hint="eastAsia"/>
              </w:rPr>
            </w:pPr>
            <w:bookmarkStart w:id="216" w:name="OLE_LINK41"/>
            <w:bookmarkStart w:id="217" w:name="OLE_LINK42"/>
            <w:bookmarkStart w:id="218" w:name="OLE_LINK45"/>
            <w:bookmarkStart w:id="219" w:name="OLE_LINK46"/>
            <w:bookmarkStart w:id="220"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公允价值（元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15993112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lang w:eastAsia="zh-Hans"/>
              </w:rPr>
              <w:t>摩根中证</w:t>
            </w:r>
            <w:r>
              <w:rPr>
                <w:rFonts w:hint="eastAsia"/>
                <w:kern w:val="2"/>
                <w:sz w:val="21"/>
                <w:lang w:eastAsia="zh-Hans"/>
              </w:rPr>
              <w:t>A500ET</w:t>
            </w:r>
            <w:r>
              <w:rPr>
                <w:rFonts w:hint="eastAsia"/>
                <w:kern w:val="2"/>
                <w:sz w:val="21"/>
                <w:lang w:eastAsia="zh-Hans"/>
              </w:rPr>
              <w: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lang w:eastAsia="zh-Hans"/>
              </w:rPr>
              <w:t>交易型开放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center"/>
              <w:rPr>
                <w:rFonts w:hint="eastAsia"/>
              </w:rPr>
            </w:pPr>
            <w:r>
              <w:rPr>
                <w:rFonts w:hint="eastAsia"/>
                <w:kern w:val="2"/>
                <w:sz w:val="21"/>
                <w:lang w:eastAsia="zh-Hans"/>
              </w:rPr>
              <w:t>摩根基金管理（中国）有限公</w:t>
            </w:r>
            <w:r>
              <w:rPr>
                <w:rFonts w:hint="eastAsia"/>
                <w:kern w:val="2"/>
                <w:sz w:val="21"/>
                <w:lang w:eastAsia="zh-Hans"/>
              </w:rPr>
              <w:t>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right"/>
              <w:rPr>
                <w:rFonts w:hint="eastAsia"/>
              </w:rPr>
            </w:pPr>
            <w:r>
              <w:rPr>
                <w:rFonts w:hint="eastAsia"/>
                <w:kern w:val="2"/>
                <w:sz w:val="21"/>
                <w:lang w:eastAsia="zh-Hans"/>
              </w:rPr>
              <w:t>1,276,105,237.5</w:t>
            </w:r>
            <w:r>
              <w:rPr>
                <w:rFonts w:hint="eastAsia"/>
                <w:kern w:val="2"/>
                <w:sz w:val="21"/>
                <w:lang w:eastAsia="zh-Hans"/>
              </w:rPr>
              <w:t>8</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06F97" w:rsidRDefault="00906F97">
            <w:pPr>
              <w:pStyle w:val="a5"/>
              <w:spacing w:before="0" w:beforeAutospacing="0" w:after="0" w:afterAutospacing="0"/>
              <w:jc w:val="right"/>
              <w:rPr>
                <w:rFonts w:hint="eastAsia"/>
              </w:rPr>
            </w:pPr>
            <w:r>
              <w:rPr>
                <w:rFonts w:hint="eastAsia"/>
                <w:kern w:val="2"/>
                <w:sz w:val="21"/>
                <w:lang w:eastAsia="zh-Hans"/>
              </w:rPr>
              <w:t>94.4</w:t>
            </w:r>
            <w:r>
              <w:rPr>
                <w:rFonts w:hint="eastAsia"/>
                <w:kern w:val="2"/>
                <w:sz w:val="21"/>
                <w:lang w:eastAsia="zh-Hans"/>
              </w:rPr>
              <w:t>4</w:t>
            </w:r>
            <w:bookmarkEnd w:id="216"/>
            <w:bookmarkEnd w:id="217"/>
            <w:bookmarkEnd w:id="218"/>
            <w:bookmarkEnd w:id="219"/>
            <w:bookmarkEnd w:id="220"/>
          </w:p>
        </w:tc>
      </w:tr>
    </w:tbl>
    <w:p w:rsidR="00906F97" w:rsidRDefault="00906F97">
      <w:pPr>
        <w:pStyle w:val="XBRLTitle2"/>
        <w:spacing w:before="156"/>
        <w:ind w:left="454"/>
        <w:rPr>
          <w:rFonts w:hint="eastAsia"/>
        </w:rPr>
      </w:pPr>
      <w:bookmarkStart w:id="221" w:name="_Toc17881695"/>
      <w:bookmarkStart w:id="222" w:name="_Toc492299891"/>
      <w:bookmarkStart w:id="223" w:name="_Toc466644475"/>
      <w:bookmarkStart w:id="224" w:name="_Toc447872936"/>
      <w:bookmarkStart w:id="225" w:name="_Toc512627237"/>
      <w:bookmarkStart w:id="226" w:name="_Toc512694317"/>
      <w:r>
        <w:rPr>
          <w:rFonts w:hAnsi="宋体" w:hint="eastAsia"/>
        </w:rPr>
        <w:t>报告期末本基金投资的股指期货交易情况说</w:t>
      </w:r>
      <w:r>
        <w:rPr>
          <w:rFonts w:hAnsi="宋体" w:hint="eastAsia"/>
        </w:rPr>
        <w:t>明</w:t>
      </w:r>
      <w:bookmarkEnd w:id="221"/>
      <w:bookmarkEnd w:id="222"/>
      <w:bookmarkEnd w:id="223"/>
      <w:bookmarkEnd w:id="224"/>
      <w:bookmarkEnd w:id="225"/>
      <w:bookmarkEnd w:id="226"/>
      <w:r>
        <w:rPr>
          <w:rFonts w:hAnsi="宋体" w:hint="eastAsia"/>
        </w:rPr>
        <w:t xml:space="preserve"> </w:t>
      </w:r>
      <w:bookmarkEnd w:id="210"/>
    </w:p>
    <w:p w:rsidR="00906F97" w:rsidRDefault="00906F97">
      <w:pPr>
        <w:spacing w:line="360" w:lineRule="auto"/>
        <w:ind w:firstLineChars="200" w:firstLine="420"/>
        <w:divId w:val="164411574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906F97" w:rsidRDefault="00906F97">
      <w:pPr>
        <w:pStyle w:val="XBRLTitle2"/>
        <w:spacing w:before="156"/>
        <w:ind w:left="454"/>
      </w:pPr>
      <w:bookmarkStart w:id="227" w:name="_Toc17881698"/>
      <w:bookmarkStart w:id="228" w:name="_Toc492299894"/>
      <w:bookmarkStart w:id="229" w:name="_Toc466644478"/>
      <w:bookmarkStart w:id="230" w:name="_Toc447872939"/>
      <w:bookmarkStart w:id="231" w:name="_Toc512627238"/>
      <w:bookmarkStart w:id="232" w:name="_Toc512694318"/>
      <w:bookmarkStart w:id="233" w:name="_Toc438646476"/>
      <w:r>
        <w:rPr>
          <w:rFonts w:hAnsi="宋体" w:hint="eastAsia"/>
        </w:rPr>
        <w:t>报告期末本基金投资的国债期货交易情况说</w:t>
      </w:r>
      <w:r>
        <w:rPr>
          <w:rFonts w:hAnsi="宋体" w:hint="eastAsia"/>
        </w:rPr>
        <w:t>明</w:t>
      </w:r>
      <w:bookmarkEnd w:id="227"/>
      <w:bookmarkEnd w:id="228"/>
      <w:bookmarkEnd w:id="229"/>
      <w:bookmarkEnd w:id="230"/>
      <w:bookmarkEnd w:id="231"/>
      <w:bookmarkEnd w:id="232"/>
      <w:bookmarkEnd w:id="233"/>
      <w:r>
        <w:rPr>
          <w:rFonts w:hAnsi="宋体" w:hint="eastAsia"/>
        </w:rPr>
        <w:t xml:space="preserve"> </w:t>
      </w:r>
    </w:p>
    <w:p w:rsidR="00906F97" w:rsidRDefault="00906F97">
      <w:pPr>
        <w:spacing w:line="360" w:lineRule="auto"/>
        <w:ind w:firstLineChars="200" w:firstLine="420"/>
        <w:divId w:val="157119546"/>
        <w:rPr>
          <w:rFonts w:hint="eastAsia"/>
        </w:rPr>
      </w:pPr>
      <w:bookmarkStart w:id="234" w:name="m510_01_1597"/>
      <w:bookmarkStart w:id="235" w:name="m510_01_1598"/>
      <w:bookmarkEnd w:id="234"/>
      <w:r>
        <w:rPr>
          <w:rFonts w:ascii="宋体" w:hAnsi="宋体" w:hint="eastAsia"/>
          <w:szCs w:val="21"/>
          <w:lang w:eastAsia="zh-Hans"/>
        </w:rPr>
        <w:t>本基金本报告期末未持有国债期货</w:t>
      </w:r>
      <w:r>
        <w:rPr>
          <w:rFonts w:ascii="宋体" w:hAnsi="宋体" w:hint="eastAsia"/>
          <w:szCs w:val="21"/>
          <w:lang w:eastAsia="zh-Hans"/>
        </w:rPr>
        <w:t>。</w:t>
      </w:r>
    </w:p>
    <w:p w:rsidR="00906F97" w:rsidRDefault="00906F97">
      <w:pPr>
        <w:pStyle w:val="XBRLTitle2"/>
        <w:spacing w:before="156"/>
        <w:ind w:left="454"/>
      </w:pPr>
      <w:bookmarkStart w:id="236" w:name="_Toc17881702"/>
      <w:bookmarkStart w:id="237" w:name="_Toc492299898"/>
      <w:bookmarkStart w:id="238" w:name="_Toc466644482"/>
      <w:bookmarkStart w:id="239" w:name="_Toc447872943"/>
      <w:bookmarkStart w:id="240" w:name="_Toc512627239"/>
      <w:bookmarkStart w:id="241" w:name="_Toc512694319"/>
      <w:r>
        <w:rPr>
          <w:rFonts w:hint="eastAsia"/>
        </w:rPr>
        <w:t>投资组合报告附</w:t>
      </w:r>
      <w:r>
        <w:rPr>
          <w:rFonts w:hint="eastAsia"/>
        </w:rPr>
        <w:t>注</w:t>
      </w:r>
      <w:bookmarkEnd w:id="236"/>
      <w:bookmarkEnd w:id="237"/>
      <w:bookmarkEnd w:id="238"/>
      <w:bookmarkEnd w:id="239"/>
      <w:bookmarkEnd w:id="240"/>
      <w:bookmarkEnd w:id="241"/>
    </w:p>
    <w:p w:rsidR="00906F97" w:rsidRDefault="00906F97">
      <w:pPr>
        <w:pStyle w:val="XBRLTitle3"/>
        <w:numPr>
          <w:ilvl w:val="2"/>
          <w:numId w:val="2"/>
        </w:numPr>
        <w:spacing w:before="156"/>
        <w:ind w:left="0" w:firstLine="0"/>
        <w:rPr>
          <w:rFonts w:hint="eastAsia"/>
        </w:rPr>
      </w:pPr>
      <w:bookmarkStart w:id="242" w:name="_Toc512519515"/>
      <w:bookmarkStart w:id="243" w:name="_Toc481075083"/>
      <w:bookmarkStart w:id="244" w:name="_Toc490050036"/>
      <w:bookmarkStart w:id="245" w:name="_Toc513295927"/>
      <w:bookmarkStart w:id="246" w:name="_Toc17881703"/>
      <w:r>
        <w:rPr>
          <w:rFonts w:hAnsi="宋体" w:hint="eastAsia"/>
        </w:rPr>
        <w:t> </w:t>
      </w:r>
      <w:r>
        <w:rPr>
          <w:rFonts w:hint="eastAsia"/>
          <w:lang w:eastAsia="zh-CN"/>
        </w:rPr>
        <w:t xml:space="preserve"> </w:t>
      </w:r>
      <w:bookmarkEnd w:id="242"/>
      <w:bookmarkEnd w:id="243"/>
      <w:bookmarkEnd w:id="244"/>
      <w:bookmarkEnd w:id="245"/>
      <w:bookmarkEnd w:id="246"/>
    </w:p>
    <w:p w:rsidR="00906F97" w:rsidRDefault="00906F9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906F97" w:rsidRDefault="00906F97">
      <w:pPr>
        <w:pStyle w:val="XBRLTitle3"/>
        <w:numPr>
          <w:ilvl w:val="2"/>
          <w:numId w:val="2"/>
        </w:numPr>
        <w:spacing w:before="156"/>
        <w:ind w:left="0" w:firstLine="0"/>
      </w:pPr>
      <w:bookmarkStart w:id="247" w:name="_Toc512519516"/>
      <w:bookmarkStart w:id="248" w:name="_Toc481075084"/>
      <w:bookmarkStart w:id="249" w:name="_Toc490050037"/>
      <w:bookmarkStart w:id="250" w:name="_Toc513295928"/>
      <w:bookmarkStart w:id="251" w:name="_Toc17881704"/>
      <w:r>
        <w:rPr>
          <w:rFonts w:hAnsi="宋体" w:hint="eastAsia"/>
        </w:rPr>
        <w:t> </w:t>
      </w:r>
      <w:r>
        <w:rPr>
          <w:rFonts w:hint="eastAsia"/>
          <w:lang w:eastAsia="zh-CN"/>
        </w:rPr>
        <w:t xml:space="preserve"> </w:t>
      </w:r>
      <w:bookmarkEnd w:id="247"/>
      <w:bookmarkEnd w:id="248"/>
      <w:bookmarkEnd w:id="249"/>
      <w:bookmarkEnd w:id="250"/>
      <w:bookmarkEnd w:id="251"/>
    </w:p>
    <w:p w:rsidR="00906F97" w:rsidRDefault="00906F9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06F97" w:rsidRDefault="00906F97">
      <w:pPr>
        <w:pStyle w:val="XBRLTitle3"/>
        <w:numPr>
          <w:ilvl w:val="2"/>
          <w:numId w:val="2"/>
        </w:numPr>
        <w:spacing w:before="156"/>
        <w:ind w:left="0" w:firstLine="0"/>
      </w:pPr>
      <w:bookmarkStart w:id="252" w:name="_Toc17881705"/>
      <w:bookmarkStart w:id="253" w:name="_Toc492299901"/>
      <w:bookmarkStart w:id="254" w:name="_Toc466644485"/>
      <w:bookmarkStart w:id="255" w:name="_Toc447872946"/>
      <w:bookmarkStart w:id="256" w:name="m510_02"/>
      <w:bookmarkEnd w:id="235"/>
      <w:r>
        <w:rPr>
          <w:rFonts w:hAnsi="宋体" w:hint="eastAsia"/>
        </w:rPr>
        <w:t>其他资产构</w:t>
      </w:r>
      <w:r>
        <w:rPr>
          <w:rFonts w:hAnsi="宋体" w:hint="eastAsia"/>
        </w:rPr>
        <w:t>成</w:t>
      </w:r>
      <w:bookmarkEnd w:id="252"/>
      <w:bookmarkEnd w:id="253"/>
      <w:bookmarkEnd w:id="254"/>
      <w:bookmarkEnd w:id="2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8693207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6F97" w:rsidRDefault="00906F97">
            <w:pPr>
              <w:jc w:val="center"/>
            </w:pPr>
            <w:r>
              <w:rPr>
                <w:rFonts w:ascii="宋体" w:hAnsi="宋体" w:hint="eastAsia"/>
              </w:rPr>
              <w:t>金额（元</w:t>
            </w:r>
            <w:r>
              <w:rPr>
                <w:rFonts w:ascii="宋体" w:hAnsi="宋体" w:hint="eastAsia"/>
              </w:rPr>
              <w:t>）</w:t>
            </w:r>
            <w:r>
              <w:t xml:space="preserve"> </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2,803,678.0</w:t>
            </w:r>
            <w:r>
              <w:rPr>
                <w:rFonts w:ascii="宋体" w:hAnsi="宋体" w:hint="eastAsia"/>
              </w:rPr>
              <w:t>1</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w:t>
            </w:r>
          </w:p>
        </w:tc>
      </w:tr>
      <w:tr w:rsidR="00000000">
        <w:trPr>
          <w:divId w:val="28693207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rPr>
              <w:t>2,803,678.0</w:t>
            </w:r>
            <w:r>
              <w:rPr>
                <w:rFonts w:ascii="宋体" w:hAnsi="宋体" w:hint="eastAsia"/>
              </w:rPr>
              <w:t>1</w:t>
            </w:r>
          </w:p>
        </w:tc>
      </w:tr>
    </w:tbl>
    <w:p w:rsidR="00906F97" w:rsidRDefault="00906F97">
      <w:pPr>
        <w:pStyle w:val="XBRLTitle3"/>
        <w:numPr>
          <w:ilvl w:val="2"/>
          <w:numId w:val="2"/>
        </w:numPr>
        <w:spacing w:before="156"/>
        <w:ind w:left="0" w:firstLine="0"/>
      </w:pPr>
      <w:bookmarkStart w:id="257" w:name="_Toc17881706"/>
      <w:bookmarkStart w:id="258" w:name="_Toc492299902"/>
      <w:bookmarkStart w:id="259" w:name="_Toc466644486"/>
      <w:bookmarkStart w:id="260" w:name="_Toc447872947"/>
      <w:bookmarkStart w:id="261" w:name="m510_03"/>
      <w:bookmarkEnd w:id="256"/>
      <w:r>
        <w:rPr>
          <w:rFonts w:hAnsi="宋体" w:hint="eastAsia"/>
        </w:rPr>
        <w:t>报告期末持有的处于转股期的可转换债券明</w:t>
      </w:r>
      <w:r>
        <w:rPr>
          <w:rFonts w:hAnsi="宋体" w:hint="eastAsia"/>
        </w:rPr>
        <w:t>细</w:t>
      </w:r>
      <w:bookmarkEnd w:id="257"/>
      <w:bookmarkEnd w:id="258"/>
      <w:bookmarkEnd w:id="259"/>
      <w:bookmarkEnd w:id="260"/>
    </w:p>
    <w:p w:rsidR="00906F97" w:rsidRDefault="00906F9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06F97" w:rsidRDefault="00906F97">
      <w:pPr>
        <w:pStyle w:val="XBRLTitle3"/>
        <w:numPr>
          <w:ilvl w:val="2"/>
          <w:numId w:val="2"/>
        </w:numPr>
        <w:spacing w:before="156"/>
        <w:ind w:left="0" w:firstLine="0"/>
      </w:pPr>
      <w:bookmarkStart w:id="262" w:name="_Toc17881707"/>
      <w:bookmarkStart w:id="263" w:name="_Toc492299903"/>
      <w:bookmarkStart w:id="264" w:name="_Toc466644487"/>
      <w:bookmarkStart w:id="265" w:name="_Toc447872948"/>
      <w:bookmarkStart w:id="266" w:name="m510_04"/>
      <w:bookmarkEnd w:id="261"/>
      <w:r>
        <w:rPr>
          <w:rFonts w:hAnsi="宋体" w:hint="eastAsia"/>
        </w:rPr>
        <w:t>报告期末前十名股票中存在流通受限情况的说</w:t>
      </w:r>
      <w:r>
        <w:rPr>
          <w:rFonts w:hAnsi="宋体" w:hint="eastAsia"/>
        </w:rPr>
        <w:t>明</w:t>
      </w:r>
      <w:bookmarkEnd w:id="262"/>
      <w:bookmarkEnd w:id="263"/>
      <w:bookmarkEnd w:id="264"/>
      <w:bookmarkEnd w:id="265"/>
    </w:p>
    <w:p w:rsidR="00906F97" w:rsidRDefault="00906F97">
      <w:pPr>
        <w:spacing w:line="360" w:lineRule="auto"/>
        <w:ind w:firstLineChars="200" w:firstLine="420"/>
        <w:jc w:val="left"/>
        <w:divId w:val="593435395"/>
        <w:rPr>
          <w:rFonts w:hint="eastAsia"/>
        </w:rPr>
      </w:pPr>
      <w:r>
        <w:rPr>
          <w:rFonts w:ascii="宋体" w:hAnsi="宋体" w:hint="eastAsia"/>
        </w:rPr>
        <w:t>本基金本报告期末前十名股票中不存在流通受限情况</w:t>
      </w:r>
      <w:r>
        <w:rPr>
          <w:rFonts w:ascii="宋体" w:hAnsi="宋体" w:hint="eastAsia"/>
        </w:rPr>
        <w:t>。</w:t>
      </w:r>
      <w:bookmarkEnd w:id="16"/>
      <w:bookmarkEnd w:id="17"/>
      <w:bookmarkEnd w:id="18"/>
      <w:bookmarkEnd w:id="19"/>
      <w:bookmarkEnd w:id="20"/>
    </w:p>
    <w:p w:rsidR="00906F97" w:rsidRDefault="00906F97">
      <w:pPr>
        <w:pStyle w:val="XBRLTitle3"/>
        <w:numPr>
          <w:ilvl w:val="2"/>
          <w:numId w:val="2"/>
        </w:numPr>
        <w:spacing w:before="156"/>
        <w:ind w:left="0" w:firstLine="0"/>
      </w:pPr>
      <w:bookmarkStart w:id="267" w:name="_Toc17881708"/>
      <w:bookmarkStart w:id="268" w:name="_Toc492299904"/>
      <w:bookmarkStart w:id="269" w:name="_Toc466644488"/>
      <w:bookmarkStart w:id="270" w:name="_Toc447872949"/>
      <w:bookmarkStart w:id="271" w:name="m510_05_1678"/>
      <w:bookmarkEnd w:id="266"/>
      <w:r>
        <w:rPr>
          <w:rFonts w:hAnsi="宋体" w:hint="eastAsia"/>
        </w:rPr>
        <w:t>投资组合报告附注的其他文字描述部</w:t>
      </w:r>
      <w:r>
        <w:rPr>
          <w:rFonts w:hAnsi="宋体" w:hint="eastAsia"/>
        </w:rPr>
        <w:t>分</w:t>
      </w:r>
      <w:bookmarkEnd w:id="267"/>
      <w:bookmarkEnd w:id="268"/>
      <w:bookmarkEnd w:id="269"/>
      <w:bookmarkEnd w:id="270"/>
      <w:r>
        <w:rPr>
          <w:rFonts w:hint="eastAsia"/>
          <w:sz w:val="21"/>
        </w:rPr>
        <w:t xml:space="preserve"> </w:t>
      </w:r>
    </w:p>
    <w:p w:rsidR="00906F97" w:rsidRDefault="00906F9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906F97" w:rsidRDefault="00906F97">
      <w:pPr>
        <w:pStyle w:val="XBRLTitle1"/>
        <w:spacing w:before="156"/>
        <w:ind w:left="425"/>
      </w:pPr>
      <w:bookmarkStart w:id="272" w:name="_Toc17881709"/>
      <w:bookmarkStart w:id="273" w:name="_Toc512627240"/>
      <w:bookmarkStart w:id="274" w:name="_Toc492299905"/>
      <w:bookmarkStart w:id="275" w:name="_Toc466644489"/>
      <w:bookmarkStart w:id="276" w:name="_Toc447872950"/>
      <w:bookmarkStart w:id="277" w:name="_Toc438646477"/>
      <w:bookmarkStart w:id="278" w:name="_Toc512694320"/>
      <w:bookmarkStart w:id="279" w:name="m601"/>
      <w:bookmarkEnd w:id="271"/>
      <w:r>
        <w:rPr>
          <w:rFonts w:hAnsi="宋体" w:hint="eastAsia"/>
        </w:rPr>
        <w:t>开放式基金份额变</w:t>
      </w:r>
      <w:r>
        <w:rPr>
          <w:rFonts w:hAnsi="宋体" w:hint="eastAsia"/>
        </w:rPr>
        <w:t>动</w:t>
      </w:r>
      <w:bookmarkEnd w:id="272"/>
      <w:bookmarkEnd w:id="273"/>
      <w:bookmarkEnd w:id="274"/>
      <w:bookmarkEnd w:id="275"/>
      <w:bookmarkEnd w:id="276"/>
      <w:bookmarkEnd w:id="277"/>
      <w:bookmarkEnd w:id="278"/>
      <w:r>
        <w:rPr>
          <w:rFonts w:hAnsi="宋体" w:hint="eastAsia"/>
        </w:rPr>
        <w:t xml:space="preserve"> </w:t>
      </w:r>
    </w:p>
    <w:p w:rsidR="00906F97" w:rsidRDefault="00906F97">
      <w:pPr>
        <w:jc w:val="right"/>
        <w:rPr>
          <w:rFonts w:hint="eastAsia"/>
        </w:rPr>
      </w:pPr>
      <w:bookmarkStart w:id="280" w:name="m601_tab"/>
      <w:r>
        <w:rPr>
          <w:rFonts w:ascii="宋体" w:hAnsi="宋体" w:hint="eastAsia"/>
        </w:rPr>
        <w:t xml:space="preserve">                                                                             </w:t>
      </w:r>
    </w:p>
    <w:p w:rsidR="00906F97" w:rsidRDefault="00906F97">
      <w:pPr>
        <w:wordWrap w:val="0"/>
        <w:spacing w:line="360" w:lineRule="auto"/>
        <w:jc w:val="right"/>
        <w:divId w:val="82189726"/>
      </w:pPr>
      <w:bookmarkStart w:id="281"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480"/>
        <w:gridCol w:w="1480"/>
        <w:gridCol w:w="1375"/>
        <w:gridCol w:w="1375"/>
      </w:tblGrid>
      <w:tr w:rsidR="00000000">
        <w:trPr>
          <w:divId w:val="8218972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282" w:name="m10_01" w:colFirst="1" w:colLast="4"/>
            <w:bookmarkEnd w:id="281"/>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F97" w:rsidRDefault="00906F97">
            <w:pPr>
              <w:ind w:right="3"/>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F97" w:rsidRDefault="00906F97">
            <w:pPr>
              <w:ind w:right="3"/>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F97" w:rsidRDefault="00906F97">
            <w:pPr>
              <w:ind w:right="3"/>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I</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F97" w:rsidRDefault="00906F97">
            <w:pPr>
              <w:ind w:right="3"/>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Y</w:t>
            </w:r>
            <w:r>
              <w:rPr>
                <w:rFonts w:ascii="宋体" w:hAnsi="宋体" w:hint="eastAsia"/>
                <w:kern w:val="0"/>
                <w:szCs w:val="24"/>
                <w:lang w:eastAsia="zh-Hans"/>
              </w:rPr>
              <w:t xml:space="preserve"> </w:t>
            </w:r>
          </w:p>
        </w:tc>
      </w:tr>
      <w:tr w:rsidR="00000000">
        <w:trPr>
          <w:divId w:val="8218972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347,296,233.2</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776,636,381.3</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6,594,130.4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12,206,249.1</w:t>
            </w:r>
            <w:r>
              <w:rPr>
                <w:rFonts w:ascii="宋体" w:hAnsi="宋体" w:hint="eastAsia"/>
              </w:rPr>
              <w:t>1</w:t>
            </w:r>
          </w:p>
        </w:tc>
      </w:tr>
      <w:tr w:rsidR="00000000">
        <w:trPr>
          <w:divId w:val="8218972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109,356,333.3</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78,564,082.2</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11,280,531.3</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2,371,259.5</w:t>
            </w:r>
            <w:r>
              <w:rPr>
                <w:rFonts w:ascii="宋体" w:hAnsi="宋体" w:hint="eastAsia"/>
              </w:rPr>
              <w:t>2</w:t>
            </w:r>
          </w:p>
        </w:tc>
      </w:tr>
      <w:tr w:rsidR="00000000">
        <w:trPr>
          <w:divId w:val="8218972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132,096,779.1</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162,876,712.3</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5,368,962.8</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2,421,400.7</w:t>
            </w:r>
            <w:r>
              <w:rPr>
                <w:rFonts w:ascii="宋体" w:hAnsi="宋体" w:hint="eastAsia"/>
              </w:rPr>
              <w:t>3</w:t>
            </w:r>
          </w:p>
        </w:tc>
      </w:tr>
      <w:tr w:rsidR="00000000">
        <w:trPr>
          <w:divId w:val="8218972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w:t>
            </w:r>
          </w:p>
        </w:tc>
      </w:tr>
      <w:tr w:rsidR="00000000">
        <w:trPr>
          <w:divId w:val="8218972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324,555,787.4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692,323,751.3</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12,505,698.9</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6F97" w:rsidRDefault="00906F97">
            <w:pPr>
              <w:jc w:val="right"/>
            </w:pPr>
            <w:r>
              <w:rPr>
                <w:rFonts w:ascii="宋体" w:hAnsi="宋体" w:hint="eastAsia"/>
              </w:rPr>
              <w:t>12,156,107.9</w:t>
            </w:r>
            <w:r>
              <w:rPr>
                <w:rFonts w:ascii="宋体" w:hAnsi="宋体" w:hint="eastAsia"/>
              </w:rPr>
              <w:t>0</w:t>
            </w:r>
          </w:p>
        </w:tc>
      </w:tr>
    </w:tbl>
    <w:p w:rsidR="00906F97" w:rsidRDefault="00906F97">
      <w:pPr>
        <w:spacing w:line="360" w:lineRule="auto"/>
        <w:jc w:val="left"/>
        <w:divId w:val="8218972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82"/>
      <w:r>
        <w:rPr>
          <w:rFonts w:ascii="宋体" w:hAnsi="宋体" w:hint="eastAsia"/>
        </w:rPr>
        <w:t xml:space="preserve"> </w:t>
      </w:r>
    </w:p>
    <w:p w:rsidR="00906F97" w:rsidRDefault="00906F97">
      <w:pPr>
        <w:pStyle w:val="XBRLTitle1"/>
        <w:spacing w:before="156"/>
        <w:ind w:left="425"/>
      </w:pPr>
      <w:bookmarkStart w:id="283" w:name="_Toc17881710"/>
      <w:bookmarkStart w:id="284" w:name="_Toc492299906"/>
      <w:bookmarkStart w:id="285" w:name="_Toc466644490"/>
      <w:bookmarkStart w:id="286" w:name="_Toc447872951"/>
      <w:bookmarkStart w:id="287" w:name="_Toc438646478"/>
      <w:bookmarkStart w:id="288" w:name="_Toc512627241"/>
      <w:bookmarkStart w:id="289" w:name="_Toc512694321"/>
      <w:bookmarkStart w:id="290" w:name="m7manage01"/>
      <w:bookmarkEnd w:id="279"/>
      <w:bookmarkEnd w:id="280"/>
      <w:r>
        <w:rPr>
          <w:rFonts w:hint="eastAsia"/>
        </w:rPr>
        <w:t>基金管理人运用固有资金投资本基金情</w:t>
      </w:r>
      <w:r>
        <w:rPr>
          <w:rFonts w:hint="eastAsia"/>
        </w:rPr>
        <w:t>况</w:t>
      </w:r>
      <w:bookmarkEnd w:id="283"/>
      <w:bookmarkEnd w:id="284"/>
      <w:bookmarkEnd w:id="285"/>
      <w:bookmarkEnd w:id="286"/>
      <w:bookmarkEnd w:id="287"/>
      <w:bookmarkEnd w:id="288"/>
      <w:bookmarkEnd w:id="289"/>
      <w:bookmarkEnd w:id="290"/>
    </w:p>
    <w:p w:rsidR="00906F97" w:rsidRDefault="00906F97">
      <w:pPr>
        <w:pStyle w:val="XBRLTitle2"/>
        <w:spacing w:before="156"/>
        <w:ind w:left="454"/>
        <w:rPr>
          <w:rFonts w:hint="eastAsia"/>
        </w:rPr>
      </w:pPr>
      <w:bookmarkStart w:id="291" w:name="_Toc17881711"/>
      <w:bookmarkStart w:id="292" w:name="_Toc492299907"/>
      <w:bookmarkStart w:id="293" w:name="_Toc466644491"/>
      <w:bookmarkStart w:id="294" w:name="_Toc458599606"/>
      <w:bookmarkStart w:id="295" w:name="_Toc462325491"/>
      <w:bookmarkStart w:id="296" w:name="_Toc512627242"/>
      <w:bookmarkStart w:id="297" w:name="_Toc512694322"/>
      <w:r>
        <w:rPr>
          <w:rFonts w:hint="eastAsia"/>
        </w:rPr>
        <w:t>基金管理人持有本基金份额变动情</w:t>
      </w:r>
      <w:r>
        <w:rPr>
          <w:rFonts w:hint="eastAsia"/>
        </w:rPr>
        <w:t>况</w:t>
      </w:r>
      <w:bookmarkEnd w:id="291"/>
      <w:bookmarkEnd w:id="292"/>
      <w:bookmarkEnd w:id="293"/>
      <w:bookmarkEnd w:id="294"/>
      <w:bookmarkEnd w:id="295"/>
      <w:bookmarkEnd w:id="296"/>
      <w:bookmarkEnd w:id="297"/>
      <w:r>
        <w:rPr>
          <w:rFonts w:hint="eastAsia"/>
          <w:lang w:eastAsia="zh-CN"/>
        </w:rPr>
        <w:t xml:space="preserve"> </w:t>
      </w:r>
    </w:p>
    <w:p w:rsidR="00906F97" w:rsidRDefault="00906F97">
      <w:pPr>
        <w:wordWrap w:val="0"/>
        <w:spacing w:line="360" w:lineRule="auto"/>
        <w:jc w:val="right"/>
        <w:divId w:val="2090418662"/>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0"/>
        <w:gridCol w:w="1767"/>
        <w:gridCol w:w="1767"/>
        <w:gridCol w:w="1767"/>
        <w:gridCol w:w="884"/>
      </w:tblGrid>
      <w:tr w:rsidR="00000000">
        <w:trPr>
          <w:divId w:val="2090418662"/>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I</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6F97" w:rsidRDefault="00906F97">
            <w:pPr>
              <w:jc w:val="center"/>
            </w:pPr>
            <w:r>
              <w:rPr>
                <w:rFonts w:ascii="宋体" w:hAnsi="宋体" w:hint="eastAsia"/>
                <w:lang w:eastAsia="zh-Hans"/>
              </w:rPr>
              <w:t>摩根中证</w:t>
            </w:r>
            <w:r>
              <w:rPr>
                <w:rFonts w:ascii="宋体" w:hAnsi="宋体" w:hint="eastAsia"/>
                <w:lang w:eastAsia="zh-Hans"/>
              </w:rPr>
              <w:t>A500ETF</w:t>
            </w:r>
            <w:r>
              <w:rPr>
                <w:rFonts w:ascii="宋体" w:hAnsi="宋体" w:hint="eastAsia"/>
                <w:lang w:eastAsia="zh-Hans"/>
              </w:rPr>
              <w:t>联接</w:t>
            </w:r>
            <w:r>
              <w:rPr>
                <w:rFonts w:ascii="宋体" w:hAnsi="宋体" w:hint="eastAsia"/>
                <w:lang w:eastAsia="zh-Hans"/>
              </w:rPr>
              <w:t>Y</w:t>
            </w:r>
            <w:r>
              <w:rPr>
                <w:rFonts w:ascii="宋体" w:hAnsi="宋体" w:hint="eastAsia"/>
                <w:color w:val="000000"/>
              </w:rPr>
              <w:t xml:space="preserve"> </w:t>
            </w:r>
          </w:p>
        </w:tc>
      </w:tr>
      <w:tr w:rsidR="00000000">
        <w:trPr>
          <w:divId w:val="209041866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rPr>
                <w:rFonts w:hint="eastAsia"/>
              </w:rPr>
            </w:pPr>
            <w:r>
              <w:rPr>
                <w:rFonts w:ascii="宋体" w:hAnsi="宋体" w:hint="eastAsia"/>
                <w:kern w:val="0"/>
                <w:szCs w:val="24"/>
                <w:lang w:eastAsia="zh-Hans"/>
              </w:rPr>
              <w:t>1,162,224.4</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kern w:val="0"/>
                <w:szCs w:val="24"/>
                <w:lang w:eastAsia="zh-Hans"/>
              </w:rPr>
              <w:t>-</w:t>
            </w:r>
          </w:p>
        </w:tc>
      </w:tr>
      <w:tr w:rsidR="00000000">
        <w:trPr>
          <w:divId w:val="209041866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szCs w:val="24"/>
                <w:lang w:eastAsia="zh-Hans"/>
              </w:rPr>
              <w:t>-</w:t>
            </w:r>
          </w:p>
        </w:tc>
      </w:tr>
      <w:tr w:rsidR="00000000">
        <w:trPr>
          <w:divId w:val="209041866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r>
      <w:tr w:rsidR="00000000">
        <w:trPr>
          <w:divId w:val="209041866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rPr>
                <w:rFonts w:hint="eastAsia"/>
              </w:rPr>
            </w:pPr>
            <w:r>
              <w:rPr>
                <w:rFonts w:ascii="宋体" w:hAnsi="宋体" w:hint="eastAsia"/>
                <w:lang w:eastAsia="zh-Hans"/>
              </w:rPr>
              <w:t>1,162,224.4</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r>
      <w:tr w:rsidR="00000000">
        <w:trPr>
          <w:divId w:val="209041866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rPr>
                <w:rFonts w:hint="eastAsia"/>
              </w:rPr>
            </w:pPr>
            <w:r>
              <w:rPr>
                <w:rFonts w:ascii="宋体" w:hAnsi="宋体" w:hint="eastAsia"/>
                <w:lang w:eastAsia="zh-Hans"/>
              </w:rPr>
              <w:t>0.1</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6F97" w:rsidRDefault="00906F97">
            <w:pPr>
              <w:jc w:val="right"/>
            </w:pPr>
            <w:r>
              <w:rPr>
                <w:rFonts w:ascii="宋体" w:hAnsi="宋体" w:hint="eastAsia"/>
                <w:lang w:eastAsia="zh-Hans"/>
              </w:rPr>
              <w:t>-</w:t>
            </w:r>
          </w:p>
        </w:tc>
      </w:tr>
    </w:tbl>
    <w:p w:rsidR="00906F97" w:rsidRDefault="00906F97">
      <w:pPr>
        <w:pStyle w:val="XBRLTitle2"/>
        <w:spacing w:before="156"/>
        <w:ind w:left="454"/>
      </w:pPr>
      <w:bookmarkStart w:id="298" w:name="_Toc17881712"/>
      <w:bookmarkStart w:id="299" w:name="_Toc492299908"/>
      <w:bookmarkStart w:id="300" w:name="_Toc466644492"/>
      <w:bookmarkStart w:id="301" w:name="_Toc458599607"/>
      <w:bookmarkStart w:id="302" w:name="_Toc462325492"/>
      <w:bookmarkStart w:id="303" w:name="_Toc512627243"/>
      <w:bookmarkStart w:id="304" w:name="_Toc512694323"/>
      <w:r>
        <w:rPr>
          <w:rFonts w:hint="eastAsia"/>
        </w:rPr>
        <w:t>基金管理人运用固有资金投资本基金交易明</w:t>
      </w:r>
      <w:r>
        <w:rPr>
          <w:rFonts w:hint="eastAsia"/>
        </w:rPr>
        <w:t>细</w:t>
      </w:r>
      <w:bookmarkEnd w:id="298"/>
      <w:bookmarkEnd w:id="299"/>
      <w:bookmarkEnd w:id="300"/>
      <w:bookmarkEnd w:id="301"/>
      <w:bookmarkEnd w:id="302"/>
      <w:bookmarkEnd w:id="303"/>
      <w:bookmarkEnd w:id="304"/>
      <w:r>
        <w:rPr>
          <w:rFonts w:hint="eastAsia"/>
          <w:lang w:eastAsia="zh-CN"/>
        </w:rPr>
        <w:t xml:space="preserve"> </w:t>
      </w:r>
    </w:p>
    <w:p w:rsidR="00906F97" w:rsidRDefault="00906F97">
      <w:pPr>
        <w:spacing w:line="360" w:lineRule="auto"/>
        <w:ind w:firstLineChars="200" w:firstLine="420"/>
        <w:jc w:val="left"/>
        <w:divId w:val="107112451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906F97" w:rsidRDefault="00906F97">
      <w:pPr>
        <w:pStyle w:val="XBRLTitle1"/>
        <w:spacing w:before="156"/>
        <w:ind w:left="425"/>
      </w:pPr>
      <w:bookmarkStart w:id="305" w:name="_Toc17881714"/>
      <w:bookmarkStart w:id="306" w:name="_Toc479856294"/>
      <w:bookmarkStart w:id="307" w:name="_Toc492299909"/>
      <w:bookmarkStart w:id="308" w:name="_Toc512627244"/>
      <w:bookmarkStart w:id="309" w:name="_Toc512694324"/>
      <w:bookmarkStart w:id="310" w:name="m701"/>
      <w:r>
        <w:rPr>
          <w:rFonts w:hint="eastAsia"/>
        </w:rPr>
        <w:t>影响投资者决策的其他重要信</w:t>
      </w:r>
      <w:r>
        <w:rPr>
          <w:rFonts w:hint="eastAsia"/>
        </w:rPr>
        <w:t>息</w:t>
      </w:r>
      <w:bookmarkEnd w:id="305"/>
      <w:bookmarkEnd w:id="306"/>
      <w:bookmarkEnd w:id="307"/>
      <w:bookmarkEnd w:id="308"/>
      <w:bookmarkEnd w:id="309"/>
      <w:r>
        <w:rPr>
          <w:rFonts w:hint="eastAsia"/>
          <w:lang w:eastAsia="zh-CN"/>
        </w:rPr>
        <w:t xml:space="preserve"> </w:t>
      </w:r>
    </w:p>
    <w:p w:rsidR="00906F97" w:rsidRDefault="00906F97">
      <w:pPr>
        <w:pStyle w:val="XBRLTitle2"/>
        <w:spacing w:before="156"/>
        <w:ind w:left="454"/>
        <w:rPr>
          <w:rFonts w:hint="eastAsia"/>
        </w:rPr>
      </w:pPr>
      <w:bookmarkStart w:id="311" w:name="_Toc17881715"/>
      <w:bookmarkStart w:id="312" w:name="_Toc492299910"/>
      <w:bookmarkStart w:id="313" w:name="_Toc512627245"/>
      <w:bookmarkStart w:id="314" w:name="_Toc512694325"/>
      <w:r>
        <w:rPr>
          <w:rFonts w:hint="eastAsia"/>
          <w:kern w:val="0"/>
        </w:rPr>
        <w:t>报告期内单一投资者持有基金份额比例达到或超过</w:t>
      </w:r>
      <w:r>
        <w:rPr>
          <w:rFonts w:hint="eastAsia"/>
          <w:kern w:val="0"/>
        </w:rPr>
        <w:t>20%</w:t>
      </w:r>
      <w:r>
        <w:rPr>
          <w:rFonts w:hint="eastAsia"/>
          <w:kern w:val="0"/>
        </w:rPr>
        <w:t>的情</w:t>
      </w:r>
      <w:r>
        <w:rPr>
          <w:rFonts w:hint="eastAsia"/>
          <w:kern w:val="0"/>
        </w:rPr>
        <w:t>况</w:t>
      </w:r>
      <w:bookmarkEnd w:id="311"/>
      <w:bookmarkEnd w:id="312"/>
      <w:bookmarkEnd w:id="313"/>
      <w:bookmarkEnd w:id="314"/>
      <w:r>
        <w:rPr>
          <w:rFonts w:hint="eastAsia"/>
          <w:kern w:val="0"/>
          <w:lang w:eastAsia="zh-CN"/>
        </w:rPr>
        <w:t xml:space="preserve"> </w:t>
      </w:r>
    </w:p>
    <w:bookmarkEnd w:id="21"/>
    <w:bookmarkEnd w:id="37"/>
    <w:bookmarkEnd w:id="38"/>
    <w:p w:rsidR="00906F97" w:rsidRDefault="00906F97">
      <w:pPr>
        <w:spacing w:line="360" w:lineRule="auto"/>
        <w:ind w:firstLineChars="200" w:firstLine="420"/>
        <w:divId w:val="1929263152"/>
        <w:rPr>
          <w:rFonts w:ascii="宋体" w:hAnsi="宋体" w:hint="eastAsia"/>
          <w:szCs w:val="21"/>
          <w:lang w:eastAsia="zh-Hans"/>
        </w:rPr>
      </w:pPr>
      <w:r>
        <w:rPr>
          <w:rFonts w:ascii="宋体" w:hAnsi="宋体" w:hint="eastAsia"/>
          <w:szCs w:val="21"/>
          <w:lang w:eastAsia="zh-Hans"/>
        </w:rPr>
        <w:t>无。</w:t>
      </w:r>
    </w:p>
    <w:p w:rsidR="00906F97" w:rsidRDefault="00906F97">
      <w:pPr>
        <w:pStyle w:val="XBRLTitle1"/>
        <w:spacing w:before="156"/>
        <w:ind w:left="425"/>
        <w:rPr>
          <w:rFonts w:hint="eastAsia"/>
        </w:rPr>
      </w:pPr>
      <w:bookmarkStart w:id="315" w:name="_Toc17881717"/>
      <w:bookmarkStart w:id="316" w:name="_Toc466644495"/>
      <w:bookmarkStart w:id="317" w:name="_Toc447872955"/>
      <w:bookmarkStart w:id="318" w:name="_Toc438646481"/>
      <w:bookmarkStart w:id="319" w:name="_Toc492299912"/>
      <w:bookmarkStart w:id="320" w:name="_Toc512627247"/>
      <w:bookmarkStart w:id="321" w:name="_Toc512694327"/>
      <w:bookmarkEnd w:id="310"/>
      <w:r>
        <w:rPr>
          <w:rFonts w:hint="eastAsia"/>
        </w:rPr>
        <w:t>备查文件目</w:t>
      </w:r>
      <w:r>
        <w:rPr>
          <w:rFonts w:hint="eastAsia"/>
        </w:rPr>
        <w:t>录</w:t>
      </w:r>
      <w:bookmarkEnd w:id="315"/>
      <w:bookmarkEnd w:id="316"/>
      <w:bookmarkEnd w:id="317"/>
      <w:bookmarkEnd w:id="318"/>
      <w:bookmarkEnd w:id="319"/>
      <w:bookmarkEnd w:id="320"/>
      <w:bookmarkEnd w:id="321"/>
    </w:p>
    <w:p w:rsidR="00906F97" w:rsidRDefault="00906F97">
      <w:pPr>
        <w:pStyle w:val="XBRLTitle2"/>
        <w:spacing w:before="156"/>
        <w:ind w:left="454"/>
        <w:rPr>
          <w:rFonts w:hint="eastAsia"/>
        </w:rPr>
      </w:pPr>
      <w:bookmarkStart w:id="322" w:name="_Toc438646482"/>
      <w:bookmarkStart w:id="323" w:name="_Toc17881718"/>
      <w:bookmarkStart w:id="324" w:name="_Toc492299913"/>
      <w:bookmarkStart w:id="325" w:name="_Toc466644496"/>
      <w:bookmarkStart w:id="326" w:name="_Toc447872956"/>
      <w:bookmarkStart w:id="327" w:name="_Toc512627248"/>
      <w:bookmarkStart w:id="328" w:name="_Toc512694328"/>
      <w:bookmarkStart w:id="329" w:name="m801_01_1733"/>
      <w:r>
        <w:rPr>
          <w:rFonts w:hAnsi="宋体" w:hint="eastAsia"/>
        </w:rPr>
        <w:t>备查文件目</w:t>
      </w:r>
      <w:r>
        <w:rPr>
          <w:rFonts w:hAnsi="宋体" w:hint="eastAsia"/>
        </w:rPr>
        <w:t>录</w:t>
      </w:r>
      <w:bookmarkEnd w:id="322"/>
      <w:bookmarkEnd w:id="323"/>
      <w:bookmarkEnd w:id="324"/>
      <w:bookmarkEnd w:id="325"/>
      <w:bookmarkEnd w:id="326"/>
      <w:bookmarkEnd w:id="327"/>
      <w:bookmarkEnd w:id="328"/>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cs="宋体" w:hint="eastAsia"/>
          <w:color w:val="000000"/>
          <w:kern w:val="0"/>
        </w:rPr>
        <w:t>（一）中国证监会准予摩根中证</w:t>
      </w:r>
      <w:r>
        <w:rPr>
          <w:rFonts w:ascii="宋体" w:hAnsi="宋体" w:cs="宋体" w:hint="eastAsia"/>
          <w:color w:val="000000"/>
          <w:kern w:val="0"/>
        </w:rPr>
        <w:t>A500</w:t>
      </w:r>
      <w:r>
        <w:rPr>
          <w:rFonts w:ascii="宋体" w:hAnsi="宋体" w:cs="宋体" w:hint="eastAsia"/>
          <w:color w:val="000000"/>
          <w:kern w:val="0"/>
        </w:rPr>
        <w:t>交易型开放式指数证券投资基金联接基金募集注册的文件</w:t>
      </w:r>
      <w:r>
        <w:rPr>
          <w:rFonts w:ascii="宋体" w:hAnsi="宋体" w:cs="宋体" w:hint="eastAsia"/>
          <w:color w:val="000000"/>
          <w:kern w:val="0"/>
        </w:rPr>
        <w:br/>
      </w:r>
      <w:r>
        <w:rPr>
          <w:rFonts w:ascii="宋体" w:hAnsi="宋体" w:cs="宋体" w:hint="eastAsia"/>
          <w:color w:val="000000"/>
          <w:kern w:val="0"/>
        </w:rPr>
        <w:t xml:space="preserve">　　（二）摩根中证</w:t>
      </w:r>
      <w:r>
        <w:rPr>
          <w:rFonts w:ascii="宋体" w:hAnsi="宋体" w:cs="宋体" w:hint="eastAsia"/>
          <w:color w:val="000000"/>
          <w:kern w:val="0"/>
        </w:rPr>
        <w:t>A500</w:t>
      </w:r>
      <w:r>
        <w:rPr>
          <w:rFonts w:ascii="宋体" w:hAnsi="宋体" w:cs="宋体" w:hint="eastAsia"/>
          <w:color w:val="000000"/>
          <w:kern w:val="0"/>
        </w:rPr>
        <w:t>交易型开放式指数证券投资基金联接基金基金合同</w:t>
      </w:r>
      <w:r>
        <w:rPr>
          <w:rFonts w:ascii="宋体" w:hAnsi="宋体" w:cs="宋体" w:hint="eastAsia"/>
          <w:color w:val="000000"/>
          <w:kern w:val="0"/>
        </w:rPr>
        <w:br/>
      </w:r>
      <w:r>
        <w:rPr>
          <w:rFonts w:ascii="宋体" w:hAnsi="宋体" w:cs="宋体" w:hint="eastAsia"/>
          <w:color w:val="000000"/>
          <w:kern w:val="0"/>
        </w:rPr>
        <w:t xml:space="preserve">　　（三）摩根中证</w:t>
      </w:r>
      <w:r>
        <w:rPr>
          <w:rFonts w:ascii="宋体" w:hAnsi="宋体" w:cs="宋体" w:hint="eastAsia"/>
          <w:color w:val="000000"/>
          <w:kern w:val="0"/>
        </w:rPr>
        <w:t>A500</w:t>
      </w:r>
      <w:r>
        <w:rPr>
          <w:rFonts w:ascii="宋体" w:hAnsi="宋体" w:cs="宋体" w:hint="eastAsia"/>
          <w:color w:val="000000"/>
          <w:kern w:val="0"/>
        </w:rPr>
        <w:t>交易型开放式指数证券投资基金联接基金托管协议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906F97" w:rsidRDefault="00906F97">
      <w:pPr>
        <w:pStyle w:val="XBRLTitle2"/>
        <w:spacing w:before="156"/>
        <w:ind w:left="454"/>
      </w:pPr>
      <w:bookmarkStart w:id="330" w:name="_Toc438646483"/>
      <w:bookmarkStart w:id="331" w:name="_Toc17881719"/>
      <w:bookmarkStart w:id="332" w:name="_Toc492299914"/>
      <w:bookmarkStart w:id="333" w:name="_Toc466644497"/>
      <w:bookmarkStart w:id="334" w:name="_Toc447872957"/>
      <w:bookmarkStart w:id="335" w:name="_Toc512627249"/>
      <w:bookmarkStart w:id="336" w:name="_Toc512694329"/>
      <w:bookmarkStart w:id="337" w:name="m801_01_1734"/>
      <w:bookmarkEnd w:id="329"/>
      <w:r>
        <w:rPr>
          <w:rFonts w:hAnsi="宋体" w:hint="eastAsia"/>
        </w:rPr>
        <w:t>存放地</w:t>
      </w:r>
      <w:r>
        <w:rPr>
          <w:rFonts w:hAnsi="宋体" w:hint="eastAsia"/>
        </w:rPr>
        <w:t>点</w:t>
      </w:r>
      <w:bookmarkEnd w:id="330"/>
      <w:bookmarkEnd w:id="331"/>
      <w:bookmarkEnd w:id="332"/>
      <w:bookmarkEnd w:id="333"/>
      <w:bookmarkEnd w:id="334"/>
      <w:bookmarkEnd w:id="335"/>
      <w:bookmarkEnd w:id="336"/>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06F97" w:rsidRDefault="00906F97">
      <w:pPr>
        <w:pStyle w:val="XBRLTitle2"/>
        <w:spacing w:before="156"/>
        <w:ind w:left="454"/>
      </w:pPr>
      <w:bookmarkStart w:id="338" w:name="_Toc438646484"/>
      <w:bookmarkStart w:id="339" w:name="_Toc17881720"/>
      <w:bookmarkStart w:id="340" w:name="_Toc492299915"/>
      <w:bookmarkStart w:id="341" w:name="_Toc466644498"/>
      <w:bookmarkStart w:id="342" w:name="_Toc447872958"/>
      <w:bookmarkStart w:id="343" w:name="_Toc512627250"/>
      <w:bookmarkStart w:id="344" w:name="_Toc512694330"/>
      <w:bookmarkStart w:id="345" w:name="m801_01_1735"/>
      <w:bookmarkEnd w:id="337"/>
      <w:r>
        <w:rPr>
          <w:rFonts w:hAnsi="宋体" w:hint="eastAsia"/>
        </w:rPr>
        <w:t>查阅方</w:t>
      </w:r>
      <w:r>
        <w:rPr>
          <w:rFonts w:hAnsi="宋体" w:hint="eastAsia"/>
        </w:rPr>
        <w:t>式</w:t>
      </w:r>
      <w:bookmarkEnd w:id="338"/>
      <w:bookmarkEnd w:id="339"/>
      <w:bookmarkEnd w:id="340"/>
      <w:bookmarkEnd w:id="341"/>
      <w:bookmarkEnd w:id="342"/>
      <w:bookmarkEnd w:id="343"/>
      <w:bookmarkEnd w:id="344"/>
      <w:r>
        <w:rPr>
          <w:rFonts w:hAnsi="宋体" w:hint="eastAsia"/>
        </w:rPr>
        <w:t xml:space="preserve"> </w:t>
      </w:r>
    </w:p>
    <w:p w:rsidR="00906F97" w:rsidRDefault="00906F9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2"/>
      <w:r>
        <w:rPr>
          <w:rFonts w:ascii="宋体" w:hAnsi="宋体" w:cs="宋体" w:hint="eastAsia"/>
          <w:color w:val="000000"/>
          <w:kern w:val="0"/>
        </w:rPr>
        <w:t xml:space="preserve"> </w:t>
      </w:r>
    </w:p>
    <w:bookmarkEnd w:id="345"/>
    <w:p w:rsidR="00906F97" w:rsidRDefault="00906F97">
      <w:pPr>
        <w:jc w:val="right"/>
        <w:rPr>
          <w:rFonts w:ascii="宋体" w:hAnsi="宋体"/>
          <w:sz w:val="24"/>
        </w:rPr>
      </w:pPr>
      <w:r>
        <w:rPr>
          <w:rFonts w:ascii="宋体" w:hAnsi="宋体" w:hint="eastAsia"/>
          <w:sz w:val="24"/>
        </w:rPr>
        <w:t xml:space="preserve">　</w:t>
      </w:r>
      <w:r>
        <w:rPr>
          <w:rFonts w:ascii="宋体" w:hAnsi="宋体" w:hint="eastAsia"/>
          <w:sz w:val="24"/>
        </w:rPr>
        <w:t xml:space="preserve"> </w:t>
      </w:r>
    </w:p>
    <w:p w:rsidR="00906F97" w:rsidRDefault="00906F97">
      <w:pPr>
        <w:ind w:firstLineChars="600" w:firstLine="1687"/>
        <w:jc w:val="left"/>
        <w:rPr>
          <w:rFonts w:hint="eastAsia"/>
        </w:rPr>
      </w:pPr>
      <w:r>
        <w:rPr>
          <w:rFonts w:ascii="宋体" w:hAnsi="宋体" w:hint="eastAsia"/>
          <w:b/>
          <w:bCs/>
          <w:sz w:val="28"/>
          <w:szCs w:val="30"/>
        </w:rPr>
        <w:t xml:space="preserve">　</w:t>
      </w:r>
      <w:r>
        <w:rPr>
          <w:rFonts w:ascii="宋体" w:hAnsi="宋体" w:hint="eastAsia"/>
          <w:b/>
          <w:bCs/>
          <w:sz w:val="28"/>
          <w:szCs w:val="30"/>
        </w:rPr>
        <w:t xml:space="preserve"> </w:t>
      </w:r>
    </w:p>
    <w:p w:rsidR="00906F97" w:rsidRDefault="00906F9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906F97" w:rsidRDefault="00906F9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906F97">
      <w:headerReference w:type="default" r:id="rId12"/>
      <w:footerReference w:type="defaul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F97" w:rsidRDefault="00906F97">
      <w:pPr>
        <w:rPr>
          <w:szCs w:val="21"/>
        </w:rPr>
      </w:pPr>
      <w:r>
        <w:rPr>
          <w:szCs w:val="21"/>
        </w:rPr>
        <w:separator/>
      </w:r>
      <w:r>
        <w:rPr>
          <w:szCs w:val="21"/>
        </w:rPr>
        <w:t xml:space="preserve"> </w:t>
      </w:r>
    </w:p>
  </w:endnote>
  <w:endnote w:type="continuationSeparator" w:id="0">
    <w:p w:rsidR="00906F97" w:rsidRDefault="00906F9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F97" w:rsidRDefault="00906F9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F97" w:rsidRDefault="00906F97">
      <w:pPr>
        <w:rPr>
          <w:szCs w:val="21"/>
        </w:rPr>
      </w:pPr>
      <w:r>
        <w:rPr>
          <w:szCs w:val="21"/>
        </w:rPr>
        <w:separator/>
      </w:r>
      <w:r>
        <w:rPr>
          <w:szCs w:val="21"/>
        </w:rPr>
        <w:t xml:space="preserve"> </w:t>
      </w:r>
    </w:p>
  </w:footnote>
  <w:footnote w:type="continuationSeparator" w:id="0">
    <w:p w:rsidR="00906F97" w:rsidRDefault="00906F9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F97" w:rsidRDefault="00906F97">
    <w:pPr>
      <w:pStyle w:val="aa"/>
      <w:jc w:val="right"/>
    </w:pPr>
    <w:r>
      <w:rPr>
        <w:rFonts w:ascii="宋体" w:hAnsi="宋体" w:hint="eastAsia"/>
      </w:rPr>
      <w:t>摩根中证</w:t>
    </w:r>
    <w:r>
      <w:rPr>
        <w:rFonts w:ascii="宋体" w:hAnsi="宋体" w:hint="eastAsia"/>
      </w:rPr>
      <w:t>A500</w:t>
    </w:r>
    <w:r>
      <w:rPr>
        <w:rFonts w:ascii="宋体" w:hAnsi="宋体" w:hint="eastAsia"/>
      </w:rPr>
      <w:t>交易型开放式指数证券投资基金联接基金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A332285A"/>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suff w:val="space"/>
      <w:lvlText w:val="%1.%2.%3"/>
      <w:lvlJc w:val="left"/>
      <w:pPr>
        <w:ind w:left="908"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38160240">
    <w:abstractNumId w:val="0"/>
  </w:num>
  <w:num w:numId="2" w16cid:durableId="1313487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37F4C"/>
    <w:rsid w:val="00584843"/>
    <w:rsid w:val="00737F4C"/>
    <w:rsid w:val="00906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annotation text"/>
    <w:basedOn w:val="a"/>
    <w:link w:val="13"/>
    <w:uiPriority w:val="99"/>
    <w:semiHidden/>
    <w:unhideWhenUsed/>
    <w:pPr>
      <w:jc w:val="left"/>
    </w:pPr>
  </w:style>
  <w:style w:type="character" w:customStyle="1" w:styleId="a9">
    <w:name w:val="批注文字 字符"/>
    <w:basedOn w:val="a0"/>
    <w:link w:val="a8"/>
    <w:uiPriority w:val="99"/>
    <w:semiHidden/>
    <w:rPr>
      <w:kern w:val="2"/>
      <w:sz w:val="21"/>
    </w:rPr>
  </w:style>
  <w:style w:type="paragraph" w:styleId="aa">
    <w:name w:val="header"/>
    <w:basedOn w:val="a"/>
    <w:link w:val="14"/>
    <w:uiPriority w:val="9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Pr>
      <w:kern w:val="2"/>
      <w:sz w:val="18"/>
      <w:szCs w:val="18"/>
    </w:rPr>
  </w:style>
  <w:style w:type="paragraph" w:styleId="ac">
    <w:name w:val="footer"/>
    <w:basedOn w:val="a"/>
    <w:link w:val="15"/>
    <w:uiPriority w:val="99"/>
    <w:pPr>
      <w:tabs>
        <w:tab w:val="center" w:pos="4153"/>
        <w:tab w:val="right" w:pos="8306"/>
      </w:tabs>
      <w:snapToGrid w:val="0"/>
      <w:jc w:val="left"/>
    </w:pPr>
    <w:rPr>
      <w:sz w:val="18"/>
      <w:szCs w:val="18"/>
    </w:rPr>
  </w:style>
  <w:style w:type="character" w:customStyle="1" w:styleId="ad">
    <w:name w:val="页脚 字符"/>
    <w:basedOn w:val="a0"/>
    <w:link w:val="ac"/>
    <w:uiPriority w:val="99"/>
    <w:rPr>
      <w:kern w:val="2"/>
      <w:sz w:val="18"/>
      <w:szCs w:val="18"/>
    </w:rPr>
  </w:style>
  <w:style w:type="paragraph" w:styleId="ae">
    <w:name w:val="Title"/>
    <w:basedOn w:val="1"/>
    <w:next w:val="2"/>
    <w:link w:val="16"/>
    <w:uiPriority w:val="10"/>
    <w:qFormat/>
    <w:pPr>
      <w:keepNext w:val="0"/>
      <w:keepLines w:val="0"/>
      <w:spacing w:before="240" w:after="60" w:line="240" w:lineRule="auto"/>
      <w:jc w:val="center"/>
    </w:pPr>
    <w:rPr>
      <w:rFonts w:ascii="Cambria" w:hAnsi="Cambria"/>
      <w:kern w:val="0"/>
      <w:sz w:val="32"/>
      <w:szCs w:val="32"/>
    </w:rPr>
  </w:style>
  <w:style w:type="character" w:customStyle="1" w:styleId="af">
    <w:name w:val="标题 字符"/>
    <w:basedOn w:val="a0"/>
    <w:link w:val="ae"/>
    <w:uiPriority w:val="10"/>
    <w:rPr>
      <w:rFonts w:asciiTheme="majorHAnsi" w:eastAsiaTheme="majorEastAsia" w:hAnsiTheme="majorHAnsi" w:cstheme="majorBidi"/>
      <w:spacing w:val="-10"/>
      <w:kern w:val="28"/>
      <w:sz w:val="56"/>
      <w:szCs w:val="56"/>
    </w:rPr>
  </w:style>
  <w:style w:type="paragraph" w:styleId="af0">
    <w:name w:val="Subtitle"/>
    <w:basedOn w:val="2"/>
    <w:next w:val="3"/>
    <w:link w:val="17"/>
    <w:qFormat/>
    <w:pPr>
      <w:spacing w:before="240" w:after="60" w:line="312" w:lineRule="auto"/>
      <w:jc w:val="left"/>
    </w:pPr>
    <w:rPr>
      <w:rFonts w:cs="Times New Roman"/>
      <w:bCs w:val="0"/>
      <w:kern w:val="28"/>
      <w:sz w:val="24"/>
    </w:rPr>
  </w:style>
  <w:style w:type="character" w:customStyle="1" w:styleId="af1">
    <w:name w:val="副标题 字符"/>
    <w:basedOn w:val="a0"/>
    <w:link w:val="af0"/>
    <w:rPr>
      <w:rFonts w:asciiTheme="majorHAnsi" w:eastAsiaTheme="majorEastAsia" w:hAnsiTheme="majorHAnsi" w:cstheme="majorBidi"/>
      <w:color w:val="595959" w:themeColor="text1" w:themeTint="A6"/>
      <w:spacing w:val="15"/>
      <w:kern w:val="2"/>
      <w:sz w:val="28"/>
      <w:szCs w:val="28"/>
    </w:rPr>
  </w:style>
  <w:style w:type="paragraph" w:styleId="af2">
    <w:name w:val="Date"/>
    <w:basedOn w:val="a"/>
    <w:next w:val="a"/>
    <w:link w:val="18"/>
    <w:rPr>
      <w:rFonts w:ascii="宋体"/>
      <w:sz w:val="32"/>
      <w:lang w:val="x-none" w:eastAsia="x-none"/>
    </w:rPr>
  </w:style>
  <w:style w:type="character" w:customStyle="1" w:styleId="af3">
    <w:name w:val="日期 字符"/>
    <w:basedOn w:val="a0"/>
    <w:link w:val="af2"/>
    <w:rPr>
      <w:kern w:val="2"/>
      <w:sz w:val="21"/>
    </w:rPr>
  </w:style>
  <w:style w:type="paragraph" w:styleId="af4">
    <w:name w:val="Document Map"/>
    <w:basedOn w:val="a"/>
    <w:link w:val="19"/>
    <w:pPr>
      <w:shd w:val="clear" w:color="auto" w:fill="000080"/>
    </w:pPr>
  </w:style>
  <w:style w:type="character" w:customStyle="1" w:styleId="af5">
    <w:name w:val="文档结构图 字符"/>
    <w:basedOn w:val="a0"/>
    <w:link w:val="af4"/>
    <w:rPr>
      <w:rFonts w:ascii="Microsoft YaHei UI" w:eastAsia="Microsoft YaHei UI"/>
      <w:kern w:val="2"/>
      <w:sz w:val="18"/>
      <w:szCs w:val="18"/>
    </w:rPr>
  </w:style>
  <w:style w:type="paragraph" w:styleId="af6">
    <w:name w:val="Balloon Text"/>
    <w:basedOn w:val="a"/>
    <w:link w:val="1a"/>
    <w:uiPriority w:val="99"/>
    <w:semiHidden/>
    <w:unhideWhenUsed/>
    <w:rPr>
      <w:sz w:val="18"/>
      <w:szCs w:val="18"/>
    </w:rPr>
  </w:style>
  <w:style w:type="character" w:customStyle="1" w:styleId="af7">
    <w:name w:val="批注框文本 字符"/>
    <w:basedOn w:val="a0"/>
    <w:link w:val="af6"/>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f0"/>
    <w:next w:val="4"/>
    <w:qFormat/>
    <w:pPr>
      <w:numPr>
        <w:ilvl w:val="5"/>
        <w:numId w:val="2"/>
      </w:numPr>
      <w:spacing w:beforeLines="50" w:before="0" w:after="0" w:line="240" w:lineRule="auto"/>
      <w:ind w:left="2042"/>
      <w:outlineLvl w:val="9"/>
    </w:pPr>
    <w:rPr>
      <w:bCs/>
    </w:rPr>
  </w:style>
  <w:style w:type="paragraph" w:customStyle="1" w:styleId="af8">
    <w:name w:val="次标题"/>
    <w:basedOn w:val="3"/>
    <w:next w:val="a"/>
    <w:pPr>
      <w:spacing w:before="120" w:after="120"/>
      <w:jc w:val="left"/>
    </w:pPr>
    <w:rPr>
      <w:rFonts w:ascii="宋体" w:hAnsi="宋体"/>
      <w:sz w:val="21"/>
    </w:rPr>
  </w:style>
  <w:style w:type="paragraph" w:customStyle="1" w:styleId="XBRL6">
    <w:name w:val="XBRL标题6"/>
    <w:basedOn w:val="af0"/>
    <w:next w:val="4"/>
    <w:qFormat/>
    <w:pPr>
      <w:spacing w:beforeLines="50" w:before="0" w:after="0" w:line="240" w:lineRule="auto"/>
      <w:outlineLvl w:val="9"/>
    </w:pPr>
    <w:rPr>
      <w:bCs/>
    </w:rPr>
  </w:style>
  <w:style w:type="paragraph" w:customStyle="1" w:styleId="XBRL2">
    <w:name w:val="XBRL标题2"/>
    <w:basedOn w:val="af0"/>
    <w:next w:val="4"/>
    <w:qFormat/>
    <w:pPr>
      <w:spacing w:beforeLines="50" w:before="0" w:after="0" w:line="240" w:lineRule="auto"/>
    </w:pPr>
    <w:rPr>
      <w:bCs/>
    </w:rPr>
  </w:style>
  <w:style w:type="paragraph" w:customStyle="1" w:styleId="XBRL3">
    <w:name w:val="XBRL标题3"/>
    <w:basedOn w:val="af0"/>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f0"/>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f0"/>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f0"/>
    <w:next w:val="4"/>
    <w:qFormat/>
    <w:pPr>
      <w:spacing w:beforeLines="50" w:before="0" w:after="0" w:line="240" w:lineRule="auto"/>
      <w:outlineLvl w:val="9"/>
    </w:pPr>
    <w:rPr>
      <w:bCs/>
    </w:rPr>
  </w:style>
  <w:style w:type="paragraph" w:customStyle="1" w:styleId="XBRL4">
    <w:name w:val="XBRL标题4"/>
    <w:basedOn w:val="af0"/>
    <w:next w:val="4"/>
    <w:qFormat/>
    <w:pPr>
      <w:spacing w:beforeLines="50" w:before="0" w:after="0" w:line="240" w:lineRule="auto"/>
      <w:outlineLvl w:val="9"/>
    </w:pPr>
    <w:rPr>
      <w:bCs/>
    </w:rPr>
  </w:style>
  <w:style w:type="paragraph" w:customStyle="1" w:styleId="XBRLTitle4">
    <w:name w:val="XBRLTitle4"/>
    <w:basedOn w:val="af0"/>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f0"/>
    <w:next w:val="4"/>
    <w:autoRedefine/>
    <w:qFormat/>
    <w:pPr>
      <w:keepNext w:val="0"/>
      <w:keepLines w:val="0"/>
      <w:spacing w:beforeLines="50" w:before="0" w:after="0" w:line="240" w:lineRule="auto"/>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9">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批注文字 字符1"/>
    <w:basedOn w:val="a0"/>
    <w:link w:val="a8"/>
    <w:uiPriority w:val="99"/>
    <w:semiHidden/>
    <w:locked/>
    <w:rPr>
      <w:kern w:val="2"/>
      <w:sz w:val="21"/>
    </w:rPr>
  </w:style>
  <w:style w:type="character" w:customStyle="1" w:styleId="14">
    <w:name w:val="页眉 字符1"/>
    <w:basedOn w:val="a0"/>
    <w:link w:val="aa"/>
    <w:locked/>
    <w:rPr>
      <w:kern w:val="2"/>
      <w:sz w:val="18"/>
      <w:szCs w:val="18"/>
    </w:rPr>
  </w:style>
  <w:style w:type="character" w:customStyle="1" w:styleId="15">
    <w:name w:val="页脚 字符1"/>
    <w:basedOn w:val="a0"/>
    <w:link w:val="ac"/>
    <w:uiPriority w:val="99"/>
    <w:locked/>
    <w:rPr>
      <w:kern w:val="2"/>
      <w:sz w:val="18"/>
      <w:szCs w:val="18"/>
    </w:rPr>
  </w:style>
  <w:style w:type="character" w:customStyle="1" w:styleId="16">
    <w:name w:val="标题 字符1"/>
    <w:link w:val="ae"/>
    <w:uiPriority w:val="10"/>
    <w:locked/>
    <w:rPr>
      <w:rFonts w:ascii="Cambria" w:hAnsi="Cambria" w:cs="Times New Roman" w:hint="default"/>
      <w:b/>
      <w:bCs/>
      <w:sz w:val="32"/>
      <w:szCs w:val="32"/>
    </w:rPr>
  </w:style>
  <w:style w:type="character" w:customStyle="1" w:styleId="17">
    <w:name w:val="副标题 字符1"/>
    <w:link w:val="af0"/>
    <w:locked/>
    <w:rPr>
      <w:rFonts w:ascii="Cambria" w:eastAsia="宋体" w:hAnsi="Cambria" w:cs="Times New Roman" w:hint="default"/>
      <w:b/>
      <w:bCs w:val="0"/>
      <w:kern w:val="28"/>
      <w:sz w:val="24"/>
      <w:szCs w:val="32"/>
    </w:rPr>
  </w:style>
  <w:style w:type="character" w:customStyle="1" w:styleId="18">
    <w:name w:val="日期 字符1"/>
    <w:link w:val="af2"/>
    <w:locked/>
    <w:rPr>
      <w:rFonts w:ascii="宋体" w:eastAsia="宋体" w:hAnsi="宋体" w:hint="eastAsia"/>
      <w:kern w:val="2"/>
      <w:sz w:val="32"/>
    </w:rPr>
  </w:style>
  <w:style w:type="character" w:customStyle="1" w:styleId="19">
    <w:name w:val="文档结构图 字符1"/>
    <w:basedOn w:val="a0"/>
    <w:link w:val="af4"/>
    <w:locked/>
    <w:rPr>
      <w:rFonts w:ascii="宋体" w:eastAsia="宋体" w:hAnsi="宋体" w:hint="eastAsia"/>
      <w:kern w:val="2"/>
      <w:sz w:val="18"/>
      <w:szCs w:val="18"/>
    </w:rPr>
  </w:style>
  <w:style w:type="character" w:customStyle="1" w:styleId="1a">
    <w:name w:val="批注框文本 字符1"/>
    <w:basedOn w:val="a0"/>
    <w:link w:val="af6"/>
    <w:uiPriority w:val="99"/>
    <w:semiHidden/>
    <w:locked/>
    <w:rPr>
      <w:kern w:val="2"/>
      <w:sz w:val="18"/>
      <w:szCs w:val="18"/>
    </w:rPr>
  </w:style>
  <w:style w:type="table" w:styleId="afa">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0">
    <w:name w:val="页眉 Char"/>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7788">
      <w:marLeft w:val="0"/>
      <w:marRight w:val="0"/>
      <w:marTop w:val="0"/>
      <w:marBottom w:val="0"/>
      <w:divBdr>
        <w:top w:val="none" w:sz="0" w:space="0" w:color="auto"/>
        <w:left w:val="none" w:sz="0" w:space="0" w:color="auto"/>
        <w:bottom w:val="none" w:sz="0" w:space="0" w:color="auto"/>
        <w:right w:val="none" w:sz="0" w:space="0" w:color="auto"/>
      </w:divBdr>
    </w:div>
    <w:div w:id="82189726">
      <w:marLeft w:val="0"/>
      <w:marRight w:val="0"/>
      <w:marTop w:val="0"/>
      <w:marBottom w:val="0"/>
      <w:divBdr>
        <w:top w:val="none" w:sz="0" w:space="0" w:color="auto"/>
        <w:left w:val="none" w:sz="0" w:space="0" w:color="auto"/>
        <w:bottom w:val="none" w:sz="0" w:space="0" w:color="auto"/>
        <w:right w:val="none" w:sz="0" w:space="0" w:color="auto"/>
      </w:divBdr>
    </w:div>
    <w:div w:id="93600564">
      <w:marLeft w:val="0"/>
      <w:marRight w:val="0"/>
      <w:marTop w:val="0"/>
      <w:marBottom w:val="0"/>
      <w:divBdr>
        <w:top w:val="none" w:sz="0" w:space="0" w:color="auto"/>
        <w:left w:val="none" w:sz="0" w:space="0" w:color="auto"/>
        <w:bottom w:val="none" w:sz="0" w:space="0" w:color="auto"/>
        <w:right w:val="none" w:sz="0" w:space="0" w:color="auto"/>
      </w:divBdr>
      <w:divsChild>
        <w:div w:id="668404559">
          <w:marLeft w:val="0"/>
          <w:marRight w:val="0"/>
          <w:marTop w:val="0"/>
          <w:marBottom w:val="0"/>
          <w:divBdr>
            <w:top w:val="none" w:sz="0" w:space="0" w:color="auto"/>
            <w:left w:val="none" w:sz="0" w:space="0" w:color="auto"/>
            <w:bottom w:val="none" w:sz="0" w:space="0" w:color="auto"/>
            <w:right w:val="none" w:sz="0" w:space="0" w:color="auto"/>
          </w:divBdr>
        </w:div>
        <w:div w:id="1932082797">
          <w:marLeft w:val="0"/>
          <w:marRight w:val="0"/>
          <w:marTop w:val="0"/>
          <w:marBottom w:val="0"/>
          <w:divBdr>
            <w:top w:val="none" w:sz="0" w:space="0" w:color="auto"/>
            <w:left w:val="none" w:sz="0" w:space="0" w:color="auto"/>
            <w:bottom w:val="none" w:sz="0" w:space="0" w:color="auto"/>
            <w:right w:val="none" w:sz="0" w:space="0" w:color="auto"/>
          </w:divBdr>
        </w:div>
        <w:div w:id="1576360998">
          <w:marLeft w:val="0"/>
          <w:marRight w:val="0"/>
          <w:marTop w:val="0"/>
          <w:marBottom w:val="0"/>
          <w:divBdr>
            <w:top w:val="none" w:sz="0" w:space="0" w:color="auto"/>
            <w:left w:val="none" w:sz="0" w:space="0" w:color="auto"/>
            <w:bottom w:val="none" w:sz="0" w:space="0" w:color="auto"/>
            <w:right w:val="none" w:sz="0" w:space="0" w:color="auto"/>
          </w:divBdr>
        </w:div>
        <w:div w:id="453712050">
          <w:marLeft w:val="0"/>
          <w:marRight w:val="0"/>
          <w:marTop w:val="0"/>
          <w:marBottom w:val="0"/>
          <w:divBdr>
            <w:top w:val="none" w:sz="0" w:space="0" w:color="auto"/>
            <w:left w:val="none" w:sz="0" w:space="0" w:color="auto"/>
            <w:bottom w:val="none" w:sz="0" w:space="0" w:color="auto"/>
            <w:right w:val="none" w:sz="0" w:space="0" w:color="auto"/>
          </w:divBdr>
        </w:div>
      </w:divsChild>
    </w:div>
    <w:div w:id="157119546">
      <w:marLeft w:val="0"/>
      <w:marRight w:val="0"/>
      <w:marTop w:val="0"/>
      <w:marBottom w:val="0"/>
      <w:divBdr>
        <w:top w:val="none" w:sz="0" w:space="0" w:color="auto"/>
        <w:left w:val="none" w:sz="0" w:space="0" w:color="auto"/>
        <w:bottom w:val="none" w:sz="0" w:space="0" w:color="auto"/>
        <w:right w:val="none" w:sz="0" w:space="0" w:color="auto"/>
      </w:divBdr>
    </w:div>
    <w:div w:id="221209990">
      <w:marLeft w:val="0"/>
      <w:marRight w:val="0"/>
      <w:marTop w:val="0"/>
      <w:marBottom w:val="0"/>
      <w:divBdr>
        <w:top w:val="none" w:sz="0" w:space="0" w:color="auto"/>
        <w:left w:val="none" w:sz="0" w:space="0" w:color="auto"/>
        <w:bottom w:val="none" w:sz="0" w:space="0" w:color="auto"/>
        <w:right w:val="none" w:sz="0" w:space="0" w:color="auto"/>
      </w:divBdr>
      <w:divsChild>
        <w:div w:id="476337535">
          <w:marLeft w:val="0"/>
          <w:marRight w:val="0"/>
          <w:marTop w:val="0"/>
          <w:marBottom w:val="0"/>
          <w:divBdr>
            <w:top w:val="none" w:sz="0" w:space="0" w:color="auto"/>
            <w:left w:val="none" w:sz="0" w:space="0" w:color="auto"/>
            <w:bottom w:val="none" w:sz="0" w:space="0" w:color="auto"/>
            <w:right w:val="none" w:sz="0" w:space="0" w:color="auto"/>
          </w:divBdr>
        </w:div>
      </w:divsChild>
    </w:div>
    <w:div w:id="374618735">
      <w:marLeft w:val="0"/>
      <w:marRight w:val="0"/>
      <w:marTop w:val="0"/>
      <w:marBottom w:val="0"/>
      <w:divBdr>
        <w:top w:val="none" w:sz="0" w:space="0" w:color="auto"/>
        <w:left w:val="none" w:sz="0" w:space="0" w:color="auto"/>
        <w:bottom w:val="none" w:sz="0" w:space="0" w:color="auto"/>
        <w:right w:val="none" w:sz="0" w:space="0" w:color="auto"/>
      </w:divBdr>
    </w:div>
    <w:div w:id="518659026">
      <w:marLeft w:val="0"/>
      <w:marRight w:val="0"/>
      <w:marTop w:val="0"/>
      <w:marBottom w:val="0"/>
      <w:divBdr>
        <w:top w:val="none" w:sz="0" w:space="0" w:color="auto"/>
        <w:left w:val="none" w:sz="0" w:space="0" w:color="auto"/>
        <w:bottom w:val="none" w:sz="0" w:space="0" w:color="auto"/>
        <w:right w:val="none" w:sz="0" w:space="0" w:color="auto"/>
      </w:divBdr>
    </w:div>
    <w:div w:id="542327763">
      <w:marLeft w:val="0"/>
      <w:marRight w:val="0"/>
      <w:marTop w:val="0"/>
      <w:marBottom w:val="0"/>
      <w:divBdr>
        <w:top w:val="none" w:sz="0" w:space="0" w:color="auto"/>
        <w:left w:val="none" w:sz="0" w:space="0" w:color="auto"/>
        <w:bottom w:val="none" w:sz="0" w:space="0" w:color="auto"/>
        <w:right w:val="none" w:sz="0" w:space="0" w:color="auto"/>
      </w:divBdr>
      <w:divsChild>
        <w:div w:id="286932073">
          <w:marLeft w:val="0"/>
          <w:marRight w:val="0"/>
          <w:marTop w:val="0"/>
          <w:marBottom w:val="0"/>
          <w:divBdr>
            <w:top w:val="none" w:sz="0" w:space="0" w:color="auto"/>
            <w:left w:val="none" w:sz="0" w:space="0" w:color="auto"/>
            <w:bottom w:val="none" w:sz="0" w:space="0" w:color="auto"/>
            <w:right w:val="none" w:sz="0" w:space="0" w:color="auto"/>
          </w:divBdr>
        </w:div>
      </w:divsChild>
    </w:div>
    <w:div w:id="593435395">
      <w:marLeft w:val="0"/>
      <w:marRight w:val="0"/>
      <w:marTop w:val="0"/>
      <w:marBottom w:val="0"/>
      <w:divBdr>
        <w:top w:val="none" w:sz="0" w:space="0" w:color="auto"/>
        <w:left w:val="none" w:sz="0" w:space="0" w:color="auto"/>
        <w:bottom w:val="none" w:sz="0" w:space="0" w:color="auto"/>
        <w:right w:val="none" w:sz="0" w:space="0" w:color="auto"/>
      </w:divBdr>
    </w:div>
    <w:div w:id="638264396">
      <w:marLeft w:val="0"/>
      <w:marRight w:val="0"/>
      <w:marTop w:val="0"/>
      <w:marBottom w:val="0"/>
      <w:divBdr>
        <w:top w:val="none" w:sz="0" w:space="0" w:color="auto"/>
        <w:left w:val="none" w:sz="0" w:space="0" w:color="auto"/>
        <w:bottom w:val="none" w:sz="0" w:space="0" w:color="auto"/>
        <w:right w:val="none" w:sz="0" w:space="0" w:color="auto"/>
      </w:divBdr>
      <w:divsChild>
        <w:div w:id="1455245294">
          <w:marLeft w:val="0"/>
          <w:marRight w:val="0"/>
          <w:marTop w:val="0"/>
          <w:marBottom w:val="0"/>
          <w:divBdr>
            <w:top w:val="none" w:sz="0" w:space="0" w:color="auto"/>
            <w:left w:val="none" w:sz="0" w:space="0" w:color="auto"/>
            <w:bottom w:val="none" w:sz="0" w:space="0" w:color="auto"/>
            <w:right w:val="none" w:sz="0" w:space="0" w:color="auto"/>
          </w:divBdr>
        </w:div>
      </w:divsChild>
    </w:div>
    <w:div w:id="821434841">
      <w:marLeft w:val="0"/>
      <w:marRight w:val="0"/>
      <w:marTop w:val="0"/>
      <w:marBottom w:val="0"/>
      <w:divBdr>
        <w:top w:val="none" w:sz="0" w:space="0" w:color="auto"/>
        <w:left w:val="none" w:sz="0" w:space="0" w:color="auto"/>
        <w:bottom w:val="none" w:sz="0" w:space="0" w:color="auto"/>
        <w:right w:val="none" w:sz="0" w:space="0" w:color="auto"/>
      </w:divBdr>
    </w:div>
    <w:div w:id="899369844">
      <w:marLeft w:val="0"/>
      <w:marRight w:val="0"/>
      <w:marTop w:val="0"/>
      <w:marBottom w:val="0"/>
      <w:divBdr>
        <w:top w:val="none" w:sz="0" w:space="0" w:color="auto"/>
        <w:left w:val="none" w:sz="0" w:space="0" w:color="auto"/>
        <w:bottom w:val="none" w:sz="0" w:space="0" w:color="auto"/>
        <w:right w:val="none" w:sz="0" w:space="0" w:color="auto"/>
      </w:divBdr>
      <w:divsChild>
        <w:div w:id="2090418662">
          <w:marLeft w:val="0"/>
          <w:marRight w:val="0"/>
          <w:marTop w:val="0"/>
          <w:marBottom w:val="0"/>
          <w:divBdr>
            <w:top w:val="none" w:sz="0" w:space="0" w:color="auto"/>
            <w:left w:val="none" w:sz="0" w:space="0" w:color="auto"/>
            <w:bottom w:val="none" w:sz="0" w:space="0" w:color="auto"/>
            <w:right w:val="none" w:sz="0" w:space="0" w:color="auto"/>
          </w:divBdr>
        </w:div>
      </w:divsChild>
    </w:div>
    <w:div w:id="1071124511">
      <w:marLeft w:val="0"/>
      <w:marRight w:val="0"/>
      <w:marTop w:val="0"/>
      <w:marBottom w:val="0"/>
      <w:divBdr>
        <w:top w:val="none" w:sz="0" w:space="0" w:color="auto"/>
        <w:left w:val="none" w:sz="0" w:space="0" w:color="auto"/>
        <w:bottom w:val="none" w:sz="0" w:space="0" w:color="auto"/>
        <w:right w:val="none" w:sz="0" w:space="0" w:color="auto"/>
      </w:divBdr>
    </w:div>
    <w:div w:id="1100294614">
      <w:marLeft w:val="0"/>
      <w:marRight w:val="0"/>
      <w:marTop w:val="0"/>
      <w:marBottom w:val="0"/>
      <w:divBdr>
        <w:top w:val="none" w:sz="0" w:space="0" w:color="auto"/>
        <w:left w:val="none" w:sz="0" w:space="0" w:color="auto"/>
        <w:bottom w:val="none" w:sz="0" w:space="0" w:color="auto"/>
        <w:right w:val="none" w:sz="0" w:space="0" w:color="auto"/>
      </w:divBdr>
      <w:divsChild>
        <w:div w:id="737551814">
          <w:marLeft w:val="0"/>
          <w:marRight w:val="0"/>
          <w:marTop w:val="0"/>
          <w:marBottom w:val="0"/>
          <w:divBdr>
            <w:top w:val="none" w:sz="0" w:space="0" w:color="auto"/>
            <w:left w:val="none" w:sz="0" w:space="0" w:color="auto"/>
            <w:bottom w:val="none" w:sz="0" w:space="0" w:color="auto"/>
            <w:right w:val="none" w:sz="0" w:space="0" w:color="auto"/>
          </w:divBdr>
        </w:div>
      </w:divsChild>
    </w:div>
    <w:div w:id="1517846053">
      <w:marLeft w:val="0"/>
      <w:marRight w:val="0"/>
      <w:marTop w:val="0"/>
      <w:marBottom w:val="0"/>
      <w:divBdr>
        <w:top w:val="none" w:sz="0" w:space="0" w:color="auto"/>
        <w:left w:val="none" w:sz="0" w:space="0" w:color="auto"/>
        <w:bottom w:val="none" w:sz="0" w:space="0" w:color="auto"/>
        <w:right w:val="none" w:sz="0" w:space="0" w:color="auto"/>
      </w:divBdr>
    </w:div>
    <w:div w:id="1566143225">
      <w:marLeft w:val="0"/>
      <w:marRight w:val="0"/>
      <w:marTop w:val="0"/>
      <w:marBottom w:val="0"/>
      <w:divBdr>
        <w:top w:val="none" w:sz="0" w:space="0" w:color="auto"/>
        <w:left w:val="none" w:sz="0" w:space="0" w:color="auto"/>
        <w:bottom w:val="none" w:sz="0" w:space="0" w:color="auto"/>
        <w:right w:val="none" w:sz="0" w:space="0" w:color="auto"/>
      </w:divBdr>
      <w:divsChild>
        <w:div w:id="290982421">
          <w:marLeft w:val="0"/>
          <w:marRight w:val="0"/>
          <w:marTop w:val="0"/>
          <w:marBottom w:val="0"/>
          <w:divBdr>
            <w:top w:val="none" w:sz="0" w:space="0" w:color="auto"/>
            <w:left w:val="none" w:sz="0" w:space="0" w:color="auto"/>
            <w:bottom w:val="none" w:sz="0" w:space="0" w:color="auto"/>
            <w:right w:val="none" w:sz="0" w:space="0" w:color="auto"/>
          </w:divBdr>
        </w:div>
      </w:divsChild>
    </w:div>
    <w:div w:id="1644115745">
      <w:marLeft w:val="0"/>
      <w:marRight w:val="0"/>
      <w:marTop w:val="0"/>
      <w:marBottom w:val="0"/>
      <w:divBdr>
        <w:top w:val="none" w:sz="0" w:space="0" w:color="auto"/>
        <w:left w:val="none" w:sz="0" w:space="0" w:color="auto"/>
        <w:bottom w:val="none" w:sz="0" w:space="0" w:color="auto"/>
        <w:right w:val="none" w:sz="0" w:space="0" w:color="auto"/>
      </w:divBdr>
    </w:div>
    <w:div w:id="1677151885">
      <w:marLeft w:val="0"/>
      <w:marRight w:val="0"/>
      <w:marTop w:val="0"/>
      <w:marBottom w:val="0"/>
      <w:divBdr>
        <w:top w:val="none" w:sz="0" w:space="0" w:color="auto"/>
        <w:left w:val="none" w:sz="0" w:space="0" w:color="auto"/>
        <w:bottom w:val="none" w:sz="0" w:space="0" w:color="auto"/>
        <w:right w:val="none" w:sz="0" w:space="0" w:color="auto"/>
      </w:divBdr>
    </w:div>
    <w:div w:id="1737120312">
      <w:marLeft w:val="0"/>
      <w:marRight w:val="0"/>
      <w:marTop w:val="0"/>
      <w:marBottom w:val="0"/>
      <w:divBdr>
        <w:top w:val="none" w:sz="0" w:space="0" w:color="auto"/>
        <w:left w:val="none" w:sz="0" w:space="0" w:color="auto"/>
        <w:bottom w:val="none" w:sz="0" w:space="0" w:color="auto"/>
        <w:right w:val="none" w:sz="0" w:space="0" w:color="auto"/>
      </w:divBdr>
    </w:div>
    <w:div w:id="1822843512">
      <w:marLeft w:val="0"/>
      <w:marRight w:val="0"/>
      <w:marTop w:val="0"/>
      <w:marBottom w:val="0"/>
      <w:divBdr>
        <w:top w:val="none" w:sz="0" w:space="0" w:color="auto"/>
        <w:left w:val="none" w:sz="0" w:space="0" w:color="auto"/>
        <w:bottom w:val="none" w:sz="0" w:space="0" w:color="auto"/>
        <w:right w:val="none" w:sz="0" w:space="0" w:color="auto"/>
      </w:divBdr>
    </w:div>
    <w:div w:id="1927298698">
      <w:marLeft w:val="0"/>
      <w:marRight w:val="0"/>
      <w:marTop w:val="0"/>
      <w:marBottom w:val="0"/>
      <w:divBdr>
        <w:top w:val="none" w:sz="0" w:space="0" w:color="auto"/>
        <w:left w:val="none" w:sz="0" w:space="0" w:color="auto"/>
        <w:bottom w:val="none" w:sz="0" w:space="0" w:color="auto"/>
        <w:right w:val="none" w:sz="0" w:space="0" w:color="auto"/>
      </w:divBdr>
      <w:divsChild>
        <w:div w:id="308369203">
          <w:marLeft w:val="0"/>
          <w:marRight w:val="0"/>
          <w:marTop w:val="0"/>
          <w:marBottom w:val="0"/>
          <w:divBdr>
            <w:top w:val="none" w:sz="0" w:space="0" w:color="auto"/>
            <w:left w:val="none" w:sz="0" w:space="0" w:color="auto"/>
            <w:bottom w:val="none" w:sz="0" w:space="0" w:color="auto"/>
            <w:right w:val="none" w:sz="0" w:space="0" w:color="auto"/>
          </w:divBdr>
        </w:div>
      </w:divsChild>
    </w:div>
    <w:div w:id="1929263152">
      <w:marLeft w:val="0"/>
      <w:marRight w:val="0"/>
      <w:marTop w:val="0"/>
      <w:marBottom w:val="0"/>
      <w:divBdr>
        <w:top w:val="none" w:sz="0" w:space="0" w:color="auto"/>
        <w:left w:val="none" w:sz="0" w:space="0" w:color="auto"/>
        <w:bottom w:val="none" w:sz="0" w:space="0" w:color="auto"/>
        <w:right w:val="none" w:sz="0" w:space="0" w:color="auto"/>
      </w:divBdr>
    </w:div>
    <w:div w:id="1938175440">
      <w:marLeft w:val="0"/>
      <w:marRight w:val="0"/>
      <w:marTop w:val="0"/>
      <w:marBottom w:val="0"/>
      <w:divBdr>
        <w:top w:val="none" w:sz="0" w:space="0" w:color="auto"/>
        <w:left w:val="none" w:sz="0" w:space="0" w:color="auto"/>
        <w:bottom w:val="none" w:sz="0" w:space="0" w:color="auto"/>
        <w:right w:val="none" w:sz="0" w:space="0" w:color="auto"/>
      </w:divBdr>
    </w:div>
    <w:div w:id="1943099300">
      <w:marLeft w:val="0"/>
      <w:marRight w:val="0"/>
      <w:marTop w:val="0"/>
      <w:marBottom w:val="0"/>
      <w:divBdr>
        <w:top w:val="none" w:sz="0" w:space="0" w:color="auto"/>
        <w:left w:val="none" w:sz="0" w:space="0" w:color="auto"/>
        <w:bottom w:val="none" w:sz="0" w:space="0" w:color="auto"/>
        <w:right w:val="none" w:sz="0" w:space="0" w:color="auto"/>
      </w:divBdr>
      <w:divsChild>
        <w:div w:id="1599311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F255-8C29-4B5D-8D37-A49299DB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1369</Words>
  <Characters>7805</Characters>
  <Application>Microsoft Office Word</Application>
  <DocSecurity>4</DocSecurity>
  <Lines>65</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