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7C0809" w:rsidRDefault="007C0809">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7C0809" w:rsidRDefault="007C080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7C0809" w:rsidRDefault="007C0809">
      <w:pPr>
        <w:spacing w:line="360" w:lineRule="auto"/>
        <w:jc w:val="center"/>
        <w:rPr>
          <w:rFonts w:hint="eastAsia"/>
        </w:rPr>
      </w:pPr>
      <w:r>
        <w:rPr>
          <w:rFonts w:ascii="宋体" w:hAnsi="宋体" w:hint="eastAsia"/>
          <w:b/>
          <w:bCs/>
          <w:color w:val="000000" w:themeColor="text1"/>
          <w:sz w:val="48"/>
          <w:szCs w:val="30"/>
        </w:rPr>
        <w:t>摩根</w:t>
      </w:r>
      <w:r>
        <w:rPr>
          <w:rFonts w:ascii="宋体" w:hAnsi="宋体" w:hint="eastAsia"/>
          <w:b/>
          <w:bCs/>
          <w:color w:val="000000" w:themeColor="text1"/>
          <w:sz w:val="48"/>
          <w:szCs w:val="30"/>
        </w:rPr>
        <w:t>90</w:t>
      </w:r>
      <w:r>
        <w:rPr>
          <w:rFonts w:ascii="宋体" w:hAnsi="宋体" w:hint="eastAsia"/>
          <w:b/>
          <w:bCs/>
          <w:color w:val="000000" w:themeColor="text1"/>
          <w:sz w:val="48"/>
          <w:szCs w:val="30"/>
        </w:rPr>
        <w:t>天持有期债券型证券投资基金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7C0809" w:rsidRDefault="007C080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7C0809" w:rsidRDefault="007C080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C0809" w:rsidRDefault="007C080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7C0809" w:rsidRDefault="007C080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7C0809" w:rsidRDefault="007C080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7C0809" w:rsidRDefault="007C0809">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7C0809" w:rsidRDefault="007C0809">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7C0809" w:rsidRDefault="007C0809">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74826052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7C0809" w:rsidRDefault="007C080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szCs w:val="24"/>
                <w:lang w:eastAsia="zh-Hans"/>
              </w:rPr>
              <w:t>摩根</w:t>
            </w:r>
            <w:r>
              <w:rPr>
                <w:rFonts w:ascii="宋体" w:hAnsi="宋体" w:hint="eastAsia"/>
                <w:szCs w:val="24"/>
                <w:lang w:eastAsia="zh-Hans"/>
              </w:rPr>
              <w:t>90</w:t>
            </w:r>
            <w:r>
              <w:rPr>
                <w:rFonts w:ascii="宋体" w:hAnsi="宋体" w:hint="eastAsia"/>
                <w:szCs w:val="24"/>
                <w:lang w:eastAsia="zh-Hans"/>
              </w:rPr>
              <w:t>天持有期债</w:t>
            </w:r>
            <w:r>
              <w:rPr>
                <w:rFonts w:ascii="宋体" w:hAnsi="宋体" w:hint="eastAsia"/>
                <w:szCs w:val="24"/>
                <w:lang w:eastAsia="zh-Hans"/>
              </w:rPr>
              <w:t>券</w:t>
            </w:r>
            <w:r>
              <w:rPr>
                <w:rFonts w:ascii="宋体" w:hAnsi="宋体" w:hint="eastAsia"/>
                <w:lang w:eastAsia="zh-Hans"/>
              </w:rPr>
              <w:t xml:space="preserve"> </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02230</w:t>
            </w:r>
            <w:r>
              <w:rPr>
                <w:rFonts w:ascii="宋体" w:hAnsi="宋体" w:hint="eastAsia"/>
                <w:lang w:eastAsia="zh-Hans"/>
              </w:rPr>
              <w:t>7</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契约型开放</w:t>
            </w:r>
            <w:r>
              <w:rPr>
                <w:rFonts w:ascii="宋体" w:hAnsi="宋体" w:hint="eastAsia"/>
                <w:lang w:eastAsia="zh-Hans"/>
              </w:rPr>
              <w:t>式</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2025</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13,667,421.8</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本基金在控制风险和保持较高流动性的前提下，追求基金资产的稳健增值</w:t>
            </w:r>
            <w:r>
              <w:rPr>
                <w:rFonts w:ascii="宋体" w:hAnsi="宋体" w:hint="eastAsia"/>
                <w:lang w:eastAsia="zh-Hans"/>
              </w:rPr>
              <w:t>。</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 xml:space="preserve">本基金将在分析和判断国内外宏观经济形势、市场利率走势、信用利差状况和债券市场供求关系等因素的基础上，动态调整组合久期和债券的结构，并通过自下而上精选债券，获取稳定的投资收益。　</w:t>
            </w:r>
            <w:r>
              <w:rPr>
                <w:rFonts w:ascii="宋体" w:hAnsi="宋体" w:hint="eastAsia"/>
                <w:lang w:eastAsia="zh-Hans"/>
              </w:rPr>
              <w:br/>
            </w:r>
            <w:r>
              <w:rPr>
                <w:rFonts w:ascii="宋体" w:hAnsi="宋体" w:hint="eastAsia"/>
                <w:lang w:eastAsia="zh-Hans"/>
              </w:rPr>
              <w:t xml:space="preserve">　</w:t>
            </w:r>
            <w:r>
              <w:rPr>
                <w:rFonts w:ascii="宋体" w:hAnsi="宋体" w:hint="eastAsia"/>
                <w:lang w:eastAsia="zh-Hans"/>
              </w:rPr>
              <w:t>1</w:t>
            </w:r>
            <w:r>
              <w:rPr>
                <w:rFonts w:ascii="宋体" w:hAnsi="宋体" w:hint="eastAsia"/>
                <w:lang w:eastAsia="zh-Hans"/>
              </w:rPr>
              <w:t xml:space="preserve">、债券类属配置策略　</w:t>
            </w:r>
            <w:r>
              <w:rPr>
                <w:rFonts w:ascii="宋体" w:hAnsi="宋体" w:hint="eastAsia"/>
                <w:lang w:eastAsia="zh-Hans"/>
              </w:rPr>
              <w:br/>
            </w:r>
            <w:r>
              <w:rPr>
                <w:rFonts w:ascii="宋体" w:hAnsi="宋体" w:hint="eastAsia"/>
                <w:lang w:eastAsia="zh-Hans"/>
              </w:rPr>
              <w:t xml:space="preserve">本基金将对不同类型固定收益品种的信用风险、税负水平、市场流动性、市场风险等因素进行分析，研究同期限的国债、金融债、企业债、交易所和银行间市场投资品种的利差和变化趋势，评估不同债券板块之间的相对投资价值，确定债券类属配置策略，并根据市场变化及时进行调整。　</w:t>
            </w:r>
            <w:r>
              <w:rPr>
                <w:rFonts w:ascii="宋体" w:hAnsi="宋体" w:hint="eastAsia"/>
                <w:lang w:eastAsia="zh-Hans"/>
              </w:rPr>
              <w:br/>
              <w:t>2</w:t>
            </w:r>
            <w:r>
              <w:rPr>
                <w:rFonts w:ascii="宋体" w:hAnsi="宋体" w:hint="eastAsia"/>
                <w:lang w:eastAsia="zh-Hans"/>
              </w:rPr>
              <w:t xml:space="preserve">、久期管理策略　</w:t>
            </w:r>
            <w:r>
              <w:rPr>
                <w:rFonts w:ascii="宋体" w:hAnsi="宋体" w:hint="eastAsia"/>
                <w:lang w:eastAsia="zh-Hans"/>
              </w:rPr>
              <w:br/>
            </w:r>
            <w:r>
              <w:rPr>
                <w:rFonts w:ascii="宋体" w:hAnsi="宋体" w:hint="eastAsia"/>
                <w:lang w:eastAsia="zh-Hans"/>
              </w:rPr>
              <w:t xml:space="preserve">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　</w:t>
            </w:r>
            <w:r>
              <w:rPr>
                <w:rFonts w:ascii="宋体" w:hAnsi="宋体" w:hint="eastAsia"/>
                <w:lang w:eastAsia="zh-Hans"/>
              </w:rPr>
              <w:br/>
              <w:t>3</w:t>
            </w:r>
            <w:r>
              <w:rPr>
                <w:rFonts w:ascii="宋体" w:hAnsi="宋体" w:hint="eastAsia"/>
                <w:lang w:eastAsia="zh-Hans"/>
              </w:rPr>
              <w:t xml:space="preserve">、收益率曲线策略　</w:t>
            </w:r>
            <w:r>
              <w:rPr>
                <w:rFonts w:ascii="宋体" w:hAnsi="宋体" w:hint="eastAsia"/>
                <w:lang w:eastAsia="zh-Hans"/>
              </w:rPr>
              <w:br/>
            </w:r>
            <w:r>
              <w:rPr>
                <w:rFonts w:ascii="宋体" w:hAnsi="宋体" w:hint="eastAsia"/>
                <w:lang w:eastAsia="zh-Hans"/>
              </w:rPr>
              <w:t xml:space="preserve">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　</w:t>
            </w:r>
            <w:r>
              <w:rPr>
                <w:rFonts w:ascii="宋体" w:hAnsi="宋体" w:hint="eastAsia"/>
                <w:lang w:eastAsia="zh-Hans"/>
              </w:rPr>
              <w:br/>
              <w:t>4</w:t>
            </w:r>
            <w:r>
              <w:rPr>
                <w:rFonts w:ascii="宋体" w:hAnsi="宋体" w:hint="eastAsia"/>
                <w:lang w:eastAsia="zh-Hans"/>
              </w:rPr>
              <w:t xml:space="preserve">、信用债（含资产支持证券）投资策略　</w:t>
            </w:r>
            <w:r>
              <w:rPr>
                <w:rFonts w:ascii="宋体" w:hAnsi="宋体" w:hint="eastAsia"/>
                <w:lang w:eastAsia="zh-Hans"/>
              </w:rPr>
              <w:br/>
            </w:r>
            <w:r>
              <w:rPr>
                <w:rFonts w:ascii="宋体" w:hAnsi="宋体" w:hint="eastAsia"/>
                <w:lang w:eastAsia="zh-Hans"/>
              </w:rPr>
              <w:t>本基金将深入挖掘信用债的投资价值，利用</w:t>
            </w:r>
            <w:r>
              <w:rPr>
                <w:rFonts w:ascii="宋体" w:hAnsi="宋体" w:hint="eastAsia"/>
                <w:lang w:eastAsia="zh-Hans"/>
              </w:rPr>
              <w:t xml:space="preserve">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　</w:t>
            </w:r>
            <w:r>
              <w:rPr>
                <w:rFonts w:ascii="宋体" w:hAnsi="宋体" w:hint="eastAsia"/>
                <w:lang w:eastAsia="zh-Hans"/>
              </w:rPr>
              <w:br/>
            </w:r>
            <w:r>
              <w:rPr>
                <w:rFonts w:ascii="宋体" w:hAnsi="宋体" w:hint="eastAsia"/>
                <w:lang w:eastAsia="zh-Hans"/>
              </w:rPr>
              <w:t xml:space="preserve">本基金将在严格控制组合投资风险的前提下投资于资产支持证券。本基金综合考虑市场利率、发行条款、支持资产的构成及质量等因素，主要从资产池信用状况、违约相关性、历史违约记录和损失比例、证券的信用增强方式、利差补偿程度等方面对资产支持证券的风险与收益状况进行评估，在严格控制风险的情况下，确定资产合理配置比例，在保证资产安全性的前提条件下，以期获得长期稳定收益。　</w:t>
            </w:r>
            <w:r>
              <w:rPr>
                <w:rFonts w:ascii="宋体" w:hAnsi="宋体" w:hint="eastAsia"/>
                <w:lang w:eastAsia="zh-Hans"/>
              </w:rPr>
              <w:br/>
              <w:t>5</w:t>
            </w:r>
            <w:r>
              <w:rPr>
                <w:rFonts w:ascii="宋体" w:hAnsi="宋体" w:hint="eastAsia"/>
                <w:lang w:eastAsia="zh-Hans"/>
              </w:rPr>
              <w:t xml:space="preserve">、可转换债券和可交换债券投资策略　</w:t>
            </w:r>
            <w:r>
              <w:rPr>
                <w:rFonts w:ascii="宋体" w:hAnsi="宋体" w:hint="eastAsia"/>
                <w:lang w:eastAsia="zh-Hans"/>
              </w:rPr>
              <w:br/>
            </w:r>
            <w:r>
              <w:rPr>
                <w:rFonts w:ascii="宋体" w:hAnsi="宋体" w:hint="eastAsia"/>
                <w:lang w:eastAsia="zh-Hans"/>
              </w:rPr>
              <w:t xml:space="preserve">可转换债券（含分离交易可转债）兼具权益类证券与固定收益类证券的特性，具有抵御下行风险、分享股票价格上涨收益的特点。可转换债券的选择结合其债性和股性特征，在对公司基本面和转债条款深入研究的基础上进行估值分析，投资于公司基本面优良、具有较高安全边际和良好流动性的可转换债券，获取稳健的投资回报。　</w:t>
            </w:r>
            <w:r>
              <w:rPr>
                <w:rFonts w:ascii="宋体" w:hAnsi="宋体" w:hint="eastAsia"/>
                <w:lang w:eastAsia="zh-Hans"/>
              </w:rPr>
              <w:br/>
            </w:r>
            <w:r>
              <w:rPr>
                <w:rFonts w:ascii="宋体" w:hAnsi="宋体" w:hint="eastAsia"/>
                <w:lang w:eastAsia="zh-Hans"/>
              </w:rPr>
              <w:t>可交换债券与可转换债券的区别在于换股期间用于交换的股票并非自身新发的股票，而是发行人持有的其他上市公司的股票。可交换债券同样具有股</w:t>
            </w:r>
            <w:r>
              <w:rPr>
                <w:rFonts w:ascii="宋体" w:hAnsi="宋体" w:hint="eastAsia"/>
                <w:lang w:eastAsia="zh-Hans"/>
              </w:rPr>
              <w:t xml:space="preserve">性和债性，其中债性与可转换债券相同，即选择持有可交换债券至到期以获取票面价值和票面利息；而对于股性的分析则需关注目标公司的股票价值。本基金将通过对目标公司股票的投资价值分析和可交换债券的纯债部分价值分析综合开展投资决策。　</w:t>
            </w:r>
            <w:r>
              <w:rPr>
                <w:rFonts w:ascii="宋体" w:hAnsi="宋体" w:hint="eastAsia"/>
                <w:lang w:eastAsia="zh-Hans"/>
              </w:rPr>
              <w:br/>
            </w:r>
            <w:r>
              <w:rPr>
                <w:rFonts w:ascii="宋体" w:hAnsi="宋体" w:hint="eastAsia"/>
                <w:lang w:eastAsia="zh-Hans"/>
              </w:rPr>
              <w:t>可转换债券（含分离交易可转债）及可交换债券的投资比例不高于基金资产的</w:t>
            </w:r>
            <w:r>
              <w:rPr>
                <w:rFonts w:ascii="宋体" w:hAnsi="宋体" w:hint="eastAsia"/>
                <w:lang w:eastAsia="zh-Hans"/>
              </w:rPr>
              <w:t>20%</w:t>
            </w:r>
            <w:r>
              <w:rPr>
                <w:rFonts w:ascii="宋体" w:hAnsi="宋体" w:hint="eastAsia"/>
                <w:lang w:eastAsia="zh-Hans"/>
              </w:rPr>
              <w:t xml:space="preserve">。　</w:t>
            </w:r>
            <w:r>
              <w:rPr>
                <w:rFonts w:ascii="宋体" w:hAnsi="宋体" w:hint="eastAsia"/>
                <w:lang w:eastAsia="zh-Hans"/>
              </w:rPr>
              <w:br/>
              <w:t>6</w:t>
            </w:r>
            <w:r>
              <w:rPr>
                <w:rFonts w:ascii="宋体" w:hAnsi="宋体" w:hint="eastAsia"/>
                <w:lang w:eastAsia="zh-Hans"/>
              </w:rPr>
              <w:t xml:space="preserve">、信用衍生品投资策略　</w:t>
            </w:r>
            <w:r>
              <w:rPr>
                <w:rFonts w:ascii="宋体" w:hAnsi="宋体" w:hint="eastAsia"/>
                <w:lang w:eastAsia="zh-Hans"/>
              </w:rPr>
              <w:br/>
            </w:r>
            <w:r>
              <w:rPr>
                <w:rFonts w:ascii="宋体" w:hAnsi="宋体" w:hint="eastAsia"/>
                <w:lang w:eastAsia="zh-Hans"/>
              </w:rPr>
              <w:t xml:space="preserve">本基金按照风险管理原则，以风险对冲为目的，参与信用衍生品交易。本基金将根据所持标的债券等固定收益品种的投资策略，审慎开展信用衍生品投资，合理确定信用衍生品的投资金额、期限以及信用风险敞口等。　</w:t>
            </w:r>
            <w:r>
              <w:rPr>
                <w:rFonts w:ascii="宋体" w:hAnsi="宋体" w:hint="eastAsia"/>
                <w:lang w:eastAsia="zh-Hans"/>
              </w:rPr>
              <w:br/>
              <w:t>7</w:t>
            </w:r>
            <w:r>
              <w:rPr>
                <w:rFonts w:ascii="宋体" w:hAnsi="宋体" w:hint="eastAsia"/>
                <w:lang w:eastAsia="zh-Hans"/>
              </w:rPr>
              <w:t xml:space="preserve">、其他投资策略　</w:t>
            </w:r>
            <w:r>
              <w:rPr>
                <w:rFonts w:ascii="宋体" w:hAnsi="宋体" w:hint="eastAsia"/>
                <w:lang w:eastAsia="zh-Hans"/>
              </w:rPr>
              <w:br/>
            </w:r>
            <w:r>
              <w:rPr>
                <w:rFonts w:ascii="宋体" w:hAnsi="宋体" w:hint="eastAsia"/>
                <w:lang w:eastAsia="zh-Hans"/>
              </w:rPr>
              <w:t>包括：回购策略、国债期货投资策</w:t>
            </w:r>
            <w:r>
              <w:rPr>
                <w:rFonts w:ascii="宋体" w:hAnsi="宋体" w:hint="eastAsia"/>
                <w:lang w:eastAsia="zh-Hans"/>
              </w:rPr>
              <w:t>略</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中债综合全价（总值）指数收益率</w:t>
            </w:r>
            <w:r>
              <w:rPr>
                <w:rFonts w:ascii="宋体" w:hAnsi="宋体" w:hint="eastAsia"/>
                <w:lang w:eastAsia="zh-Hans"/>
              </w:rPr>
              <w:t>*80%+</w:t>
            </w:r>
            <w:r>
              <w:rPr>
                <w:rFonts w:ascii="宋体" w:hAnsi="宋体" w:hint="eastAsia"/>
                <w:lang w:eastAsia="zh-Hans"/>
              </w:rPr>
              <w:t>一年期定期存款基准利率</w:t>
            </w:r>
            <w:r>
              <w:rPr>
                <w:rFonts w:ascii="宋体" w:hAnsi="宋体" w:hint="eastAsia"/>
                <w:lang w:eastAsia="zh-Hans"/>
              </w:rPr>
              <w:t>(</w:t>
            </w:r>
            <w:r>
              <w:rPr>
                <w:rFonts w:ascii="宋体" w:hAnsi="宋体" w:hint="eastAsia"/>
                <w:lang w:eastAsia="zh-Hans"/>
              </w:rPr>
              <w:t>税后</w:t>
            </w:r>
            <w:r>
              <w:rPr>
                <w:rFonts w:ascii="宋体" w:hAnsi="宋体" w:hint="eastAsia"/>
                <w:lang w:eastAsia="zh-Hans"/>
              </w:rPr>
              <w:t>)*20</w:t>
            </w:r>
            <w:r>
              <w:rPr>
                <w:rFonts w:ascii="宋体" w:hAnsi="宋体" w:hint="eastAsia"/>
                <w:lang w:eastAsia="zh-Hans"/>
              </w:rPr>
              <w:t>%</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本基金为债券型基金，一般而言，其长期平均风险和预期收益率低于股票型基金、混合型基金，高于货币市场基金</w:t>
            </w:r>
            <w:r>
              <w:rPr>
                <w:rFonts w:ascii="宋体" w:hAnsi="宋体" w:hint="eastAsia"/>
                <w:lang w:eastAsia="zh-Hans"/>
              </w:rPr>
              <w:t>。</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74826052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174826052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lang w:eastAsia="zh-Hans"/>
              </w:rPr>
              <w:t>摩根</w:t>
            </w:r>
            <w:r>
              <w:rPr>
                <w:rFonts w:ascii="宋体" w:hAnsi="宋体" w:hint="eastAsia"/>
                <w:lang w:eastAsia="zh-Hans"/>
              </w:rPr>
              <w:t>90</w:t>
            </w:r>
            <w:r>
              <w:rPr>
                <w:rFonts w:ascii="宋体" w:hAnsi="宋体" w:hint="eastAsia"/>
                <w:lang w:eastAsia="zh-Hans"/>
              </w:rPr>
              <w:t>天持有期债券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lang w:eastAsia="zh-Hans"/>
              </w:rPr>
              <w:t>摩根</w:t>
            </w:r>
            <w:r>
              <w:rPr>
                <w:rFonts w:ascii="宋体" w:hAnsi="宋体" w:hint="eastAsia"/>
                <w:lang w:eastAsia="zh-Hans"/>
              </w:rPr>
              <w:t>90</w:t>
            </w:r>
            <w:r>
              <w:rPr>
                <w:rFonts w:ascii="宋体" w:hAnsi="宋体" w:hint="eastAsia"/>
                <w:lang w:eastAsia="zh-Hans"/>
              </w:rPr>
              <w:t>天持有期债券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174826052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lang w:eastAsia="zh-Hans"/>
              </w:rPr>
              <w:t>02230</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lang w:eastAsia="zh-Hans"/>
              </w:rPr>
              <w:t>02230</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174826052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C0809" w:rsidRDefault="007C080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lang w:eastAsia="zh-Hans"/>
              </w:rPr>
              <w:t>3,710,377.9</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lang w:eastAsia="zh-Hans"/>
              </w:rPr>
              <w:t>9,957,043.9</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7C0809" w:rsidRDefault="007C0809">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7C0809" w:rsidRDefault="007C0809">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7C0809" w:rsidRDefault="007C0809">
      <w:pPr>
        <w:jc w:val="right"/>
        <w:divId w:val="201707726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01707726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C0809" w:rsidRDefault="007C080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C0809" w:rsidRDefault="007C080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01707726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C0809" w:rsidRDefault="007C0809">
            <w:pPr>
              <w:jc w:val="center"/>
              <w:rPr>
                <w:rFonts w:hint="eastAsia"/>
              </w:rPr>
            </w:pPr>
            <w:r>
              <w:rPr>
                <w:rFonts w:ascii="宋体" w:hAnsi="宋体" w:hint="eastAsia"/>
                <w:szCs w:val="24"/>
                <w:lang w:eastAsia="zh-Hans"/>
              </w:rPr>
              <w:t>摩根</w:t>
            </w:r>
            <w:r>
              <w:rPr>
                <w:rFonts w:ascii="宋体" w:hAnsi="宋体" w:hint="eastAsia"/>
                <w:szCs w:val="24"/>
                <w:lang w:eastAsia="zh-Hans"/>
              </w:rPr>
              <w:t>90</w:t>
            </w:r>
            <w:r>
              <w:rPr>
                <w:rFonts w:ascii="宋体" w:hAnsi="宋体" w:hint="eastAsia"/>
                <w:szCs w:val="24"/>
                <w:lang w:eastAsia="zh-Hans"/>
              </w:rPr>
              <w:t>天持有期债券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C0809" w:rsidRDefault="007C0809">
            <w:pPr>
              <w:jc w:val="center"/>
            </w:pPr>
            <w:r>
              <w:rPr>
                <w:rFonts w:ascii="宋体" w:hAnsi="宋体" w:hint="eastAsia"/>
                <w:szCs w:val="24"/>
                <w:lang w:eastAsia="zh-Hans"/>
              </w:rPr>
              <w:t>摩根</w:t>
            </w:r>
            <w:r>
              <w:rPr>
                <w:rFonts w:ascii="宋体" w:hAnsi="宋体" w:hint="eastAsia"/>
                <w:szCs w:val="24"/>
                <w:lang w:eastAsia="zh-Hans"/>
              </w:rPr>
              <w:t>90</w:t>
            </w:r>
            <w:r>
              <w:rPr>
                <w:rFonts w:ascii="宋体" w:hAnsi="宋体" w:hint="eastAsia"/>
                <w:szCs w:val="24"/>
                <w:lang w:eastAsia="zh-Hans"/>
              </w:rPr>
              <w:t>天持有期债券</w:t>
            </w:r>
            <w:r>
              <w:rPr>
                <w:rFonts w:ascii="宋体" w:hAnsi="宋体" w:hint="eastAsia"/>
                <w:szCs w:val="24"/>
                <w:lang w:eastAsia="zh-Hans"/>
              </w:rPr>
              <w:t>C</w:t>
            </w:r>
          </w:p>
        </w:tc>
      </w:tr>
      <w:tr w:rsidR="00000000">
        <w:trPr>
          <w:divId w:val="20170772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rPr>
                <w:rFonts w:hint="eastAsia"/>
              </w:rPr>
            </w:pPr>
            <w:r>
              <w:rPr>
                <w:rFonts w:ascii="宋体" w:hAnsi="宋体" w:hint="eastAsia"/>
                <w:szCs w:val="24"/>
                <w:lang w:eastAsia="zh-Hans"/>
              </w:rPr>
              <w:t>88,605.8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pPr>
            <w:r>
              <w:rPr>
                <w:rFonts w:ascii="宋体" w:hAnsi="宋体" w:hint="eastAsia"/>
                <w:szCs w:val="24"/>
                <w:lang w:eastAsia="zh-Hans"/>
              </w:rPr>
              <w:t>86,450.6</w:t>
            </w:r>
            <w:r>
              <w:rPr>
                <w:rFonts w:ascii="宋体" w:hAnsi="宋体" w:hint="eastAsia"/>
                <w:szCs w:val="24"/>
                <w:lang w:eastAsia="zh-Hans"/>
              </w:rPr>
              <w:t>2</w:t>
            </w:r>
          </w:p>
        </w:tc>
      </w:tr>
      <w:tr w:rsidR="00000000">
        <w:trPr>
          <w:divId w:val="20170772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rPr>
                <w:rFonts w:hint="eastAsia"/>
              </w:rPr>
            </w:pPr>
            <w:r>
              <w:rPr>
                <w:rFonts w:ascii="宋体" w:hAnsi="宋体" w:hint="eastAsia"/>
                <w:szCs w:val="24"/>
                <w:lang w:eastAsia="zh-Hans"/>
              </w:rPr>
              <w:t>60,121.9</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pPr>
            <w:r>
              <w:rPr>
                <w:rFonts w:ascii="宋体" w:hAnsi="宋体" w:hint="eastAsia"/>
                <w:szCs w:val="24"/>
                <w:lang w:eastAsia="zh-Hans"/>
              </w:rPr>
              <w:t>58,482.7</w:t>
            </w:r>
            <w:r>
              <w:rPr>
                <w:rFonts w:ascii="宋体" w:hAnsi="宋体" w:hint="eastAsia"/>
                <w:szCs w:val="24"/>
                <w:lang w:eastAsia="zh-Hans"/>
              </w:rPr>
              <w:t>4</w:t>
            </w:r>
          </w:p>
        </w:tc>
      </w:tr>
      <w:tr w:rsidR="00000000">
        <w:trPr>
          <w:divId w:val="20170772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rPr>
                <w:rFonts w:hint="eastAsia"/>
              </w:rPr>
            </w:pPr>
            <w:r>
              <w:rPr>
                <w:rFonts w:ascii="宋体" w:hAnsi="宋体" w:hint="eastAsia"/>
                <w:szCs w:val="24"/>
                <w:lang w:eastAsia="zh-Hans"/>
              </w:rPr>
              <w:t>0.002</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pPr>
            <w:r>
              <w:rPr>
                <w:rFonts w:ascii="宋体" w:hAnsi="宋体" w:hint="eastAsia"/>
                <w:szCs w:val="24"/>
                <w:lang w:eastAsia="zh-Hans"/>
              </w:rPr>
              <w:t>0.002</w:t>
            </w:r>
            <w:r>
              <w:rPr>
                <w:rFonts w:ascii="宋体" w:hAnsi="宋体" w:hint="eastAsia"/>
                <w:szCs w:val="24"/>
                <w:lang w:eastAsia="zh-Hans"/>
              </w:rPr>
              <w:t>5</w:t>
            </w:r>
          </w:p>
        </w:tc>
      </w:tr>
      <w:tr w:rsidR="00000000">
        <w:trPr>
          <w:divId w:val="20170772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rPr>
                <w:rFonts w:hint="eastAsia"/>
              </w:rPr>
            </w:pPr>
            <w:r>
              <w:rPr>
                <w:rFonts w:ascii="宋体" w:hAnsi="宋体" w:hint="eastAsia"/>
                <w:szCs w:val="24"/>
                <w:lang w:eastAsia="zh-Hans"/>
              </w:rPr>
              <w:t>3,816,855.8</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pPr>
            <w:r>
              <w:rPr>
                <w:rFonts w:ascii="宋体" w:hAnsi="宋体" w:hint="eastAsia"/>
                <w:szCs w:val="24"/>
                <w:lang w:eastAsia="zh-Hans"/>
              </w:rPr>
              <w:t>10,214,475.6</w:t>
            </w:r>
            <w:r>
              <w:rPr>
                <w:rFonts w:ascii="宋体" w:hAnsi="宋体" w:hint="eastAsia"/>
                <w:szCs w:val="24"/>
                <w:lang w:eastAsia="zh-Hans"/>
              </w:rPr>
              <w:t>9</w:t>
            </w:r>
          </w:p>
        </w:tc>
      </w:tr>
      <w:tr w:rsidR="00000000">
        <w:trPr>
          <w:divId w:val="20170772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rPr>
                <w:rFonts w:hint="eastAsia"/>
              </w:rPr>
            </w:pPr>
            <w:r>
              <w:rPr>
                <w:rFonts w:ascii="宋体" w:hAnsi="宋体" w:hint="eastAsia"/>
                <w:szCs w:val="24"/>
                <w:lang w:eastAsia="zh-Hans"/>
              </w:rPr>
              <w:t>1.028</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C0809" w:rsidRDefault="007C0809">
            <w:pPr>
              <w:jc w:val="right"/>
            </w:pPr>
            <w:r>
              <w:rPr>
                <w:rFonts w:ascii="宋体" w:hAnsi="宋体" w:hint="eastAsia"/>
                <w:szCs w:val="24"/>
                <w:lang w:eastAsia="zh-Hans"/>
              </w:rPr>
              <w:t>1.025</w:t>
            </w:r>
            <w:r>
              <w:rPr>
                <w:rFonts w:ascii="宋体" w:hAnsi="宋体" w:hint="eastAsia"/>
                <w:szCs w:val="24"/>
                <w:lang w:eastAsia="zh-Hans"/>
              </w:rPr>
              <w:t>9</w:t>
            </w:r>
          </w:p>
        </w:tc>
      </w:tr>
    </w:tbl>
    <w:p w:rsidR="007C0809" w:rsidRDefault="007C0809">
      <w:pPr>
        <w:wordWrap w:val="0"/>
        <w:spacing w:line="360" w:lineRule="auto"/>
        <w:jc w:val="left"/>
        <w:divId w:val="98397322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7C0809" w:rsidRDefault="007C0809">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7C0809" w:rsidRDefault="007C0809">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7C0809" w:rsidRDefault="007C0809">
      <w:pPr>
        <w:spacing w:line="360" w:lineRule="auto"/>
        <w:jc w:val="center"/>
        <w:divId w:val="1619485980"/>
        <w:rPr>
          <w:rFonts w:hint="eastAsia"/>
        </w:rPr>
      </w:pPr>
      <w:r>
        <w:rPr>
          <w:rFonts w:ascii="宋体" w:hAnsi="宋体" w:hint="eastAsia"/>
        </w:rPr>
        <w:t>摩根</w:t>
      </w:r>
      <w:r>
        <w:rPr>
          <w:rFonts w:ascii="宋体" w:hAnsi="宋体" w:hint="eastAsia"/>
        </w:rPr>
        <w:t>90</w:t>
      </w:r>
      <w:r>
        <w:rPr>
          <w:rFonts w:ascii="宋体" w:hAnsi="宋体" w:hint="eastAsia"/>
        </w:rPr>
        <w:t>天持有期债券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1948598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②－④</w:t>
            </w:r>
            <w:r>
              <w:rPr>
                <w:rFonts w:ascii="宋体" w:hAnsi="宋体" w:hint="eastAsia"/>
              </w:rPr>
              <w:t xml:space="preserve"> </w:t>
            </w:r>
          </w:p>
        </w:tc>
      </w:tr>
      <w:tr w:rsidR="00000000">
        <w:trPr>
          <w:divId w:val="16194859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-0.2</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6194859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6194859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2.2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2.3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6194859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2.8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1.9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bl>
    <w:p w:rsidR="007C0809" w:rsidRDefault="007C0809">
      <w:pPr>
        <w:spacing w:line="360" w:lineRule="auto"/>
        <w:jc w:val="center"/>
        <w:divId w:val="63575926"/>
      </w:pPr>
      <w:r>
        <w:rPr>
          <w:rFonts w:ascii="宋体" w:hAnsi="宋体" w:hint="eastAsia"/>
        </w:rPr>
        <w:t>摩根</w:t>
      </w:r>
      <w:r>
        <w:rPr>
          <w:rFonts w:ascii="宋体" w:hAnsi="宋体" w:hint="eastAsia"/>
        </w:rPr>
        <w:t>90</w:t>
      </w:r>
      <w:r>
        <w:rPr>
          <w:rFonts w:ascii="宋体" w:hAnsi="宋体" w:hint="eastAsia"/>
        </w:rPr>
        <w:t>天持有期债券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357592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63575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63575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63575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2.1</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63575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2.5</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C0809" w:rsidRDefault="007C0809">
            <w:pPr>
              <w:spacing w:line="360" w:lineRule="auto"/>
              <w:jc w:val="right"/>
            </w:pPr>
            <w:r>
              <w:rPr>
                <w:rFonts w:ascii="宋体" w:hAnsi="宋体" w:hint="eastAsia"/>
              </w:rPr>
              <w:t>1.6</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bl>
    <w:p w:rsidR="007C0809" w:rsidRDefault="007C0809">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7C0809" w:rsidRDefault="007C0809">
      <w:pPr>
        <w:spacing w:line="360" w:lineRule="auto"/>
        <w:jc w:val="left"/>
        <w:divId w:val="164254061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C0809" w:rsidRDefault="007C0809">
      <w:pPr>
        <w:spacing w:line="360" w:lineRule="auto"/>
        <w:jc w:val="left"/>
        <w:divId w:val="175886626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C0809" w:rsidRDefault="007C080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 xml:space="preserve"> </w:t>
      </w:r>
    </w:p>
    <w:p w:rsidR="007C0809" w:rsidRDefault="007C0809">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7C0809" w:rsidRDefault="007C0809">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85973210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85973210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pPr>
          </w:p>
        </w:tc>
      </w:tr>
      <w:tr w:rsidR="00000000">
        <w:trPr>
          <w:divId w:val="185973210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14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bl>
    <w:p w:rsidR="007C0809" w:rsidRDefault="007C0809">
      <w:pPr>
        <w:wordWrap w:val="0"/>
        <w:spacing w:line="360" w:lineRule="auto"/>
        <w:jc w:val="left"/>
        <w:divId w:val="93999652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7C0809" w:rsidRDefault="007C0809">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7C0809" w:rsidRDefault="007C0809">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7C0809" w:rsidRDefault="007C0809">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7C0809" w:rsidRDefault="007C0809">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7C0809" w:rsidRDefault="007C080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7C0809" w:rsidRDefault="007C0809">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7C0809" w:rsidRDefault="007C080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7C0809" w:rsidRDefault="007C0809">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本基金在二季度保持了中性偏高久期，聚焦于金融债和政金债，保持了较好的流动性，同时辅以波段操作，取得了较为稳健的回报。</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7C0809" w:rsidRDefault="007C0809">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7C0809" w:rsidRDefault="007C0809">
      <w:pPr>
        <w:spacing w:line="360" w:lineRule="auto"/>
        <w:ind w:firstLineChars="200" w:firstLine="420"/>
        <w:rPr>
          <w:rFonts w:hint="eastAsia"/>
        </w:rPr>
      </w:pPr>
      <w:r>
        <w:rPr>
          <w:rFonts w:ascii="宋体" w:hAnsi="宋体" w:hint="eastAsia"/>
        </w:rPr>
        <w:t>本报告期摩根</w:t>
      </w:r>
      <w:r>
        <w:rPr>
          <w:rFonts w:ascii="宋体" w:hAnsi="宋体" w:hint="eastAsia"/>
        </w:rPr>
        <w:t>90</w:t>
      </w:r>
      <w:r>
        <w:rPr>
          <w:rFonts w:ascii="宋体" w:hAnsi="宋体" w:hint="eastAsia"/>
        </w:rPr>
        <w:t>天持有期债券</w:t>
      </w:r>
      <w:r>
        <w:rPr>
          <w:rFonts w:ascii="宋体" w:hAnsi="宋体" w:hint="eastAsia"/>
        </w:rPr>
        <w:t>A</w:t>
      </w:r>
      <w:r>
        <w:rPr>
          <w:rFonts w:ascii="宋体" w:hAnsi="宋体" w:hint="eastAsia"/>
        </w:rPr>
        <w:t>份额净值增长率为：</w:t>
      </w:r>
      <w:r>
        <w:rPr>
          <w:rFonts w:ascii="宋体" w:hAnsi="宋体" w:hint="eastAsia"/>
        </w:rPr>
        <w:t>0.30%</w:t>
      </w:r>
      <w:r>
        <w:rPr>
          <w:rFonts w:ascii="宋体" w:hAnsi="宋体" w:hint="eastAsia"/>
        </w:rPr>
        <w:t>，同期业绩比较基准收益率为：</w:t>
      </w:r>
      <w:r>
        <w:rPr>
          <w:rFonts w:ascii="宋体" w:hAnsi="宋体" w:hint="eastAsia"/>
        </w:rPr>
        <w:t>0.57%</w:t>
      </w:r>
      <w:r>
        <w:rPr>
          <w:rFonts w:ascii="宋体" w:hAnsi="宋体" w:hint="eastAsia"/>
        </w:rPr>
        <w:t>；</w:t>
      </w:r>
      <w:r>
        <w:rPr>
          <w:rFonts w:ascii="宋体" w:hAnsi="宋体" w:hint="eastAsia"/>
        </w:rPr>
        <w:br/>
      </w:r>
      <w:r>
        <w:rPr>
          <w:rFonts w:ascii="宋体" w:hAnsi="宋体" w:hint="eastAsia"/>
        </w:rPr>
        <w:t xml:space="preserve">　　摩根</w:t>
      </w:r>
      <w:r>
        <w:rPr>
          <w:rFonts w:ascii="宋体" w:hAnsi="宋体" w:hint="eastAsia"/>
        </w:rPr>
        <w:t>90</w:t>
      </w:r>
      <w:r>
        <w:rPr>
          <w:rFonts w:ascii="宋体" w:hAnsi="宋体" w:hint="eastAsia"/>
        </w:rPr>
        <w:t>天持有期债券</w:t>
      </w:r>
      <w:r>
        <w:rPr>
          <w:rFonts w:ascii="宋体" w:hAnsi="宋体" w:hint="eastAsia"/>
        </w:rPr>
        <w:t>C</w:t>
      </w:r>
      <w:r>
        <w:rPr>
          <w:rFonts w:ascii="宋体" w:hAnsi="宋体" w:hint="eastAsia"/>
        </w:rPr>
        <w:t>份额净值增长率为：</w:t>
      </w:r>
      <w:r>
        <w:rPr>
          <w:rFonts w:ascii="宋体" w:hAnsi="宋体" w:hint="eastAsia"/>
        </w:rPr>
        <w:t>0.23%</w:t>
      </w:r>
      <w:r>
        <w:rPr>
          <w:rFonts w:ascii="宋体" w:hAnsi="宋体" w:hint="eastAsia"/>
        </w:rPr>
        <w:t>，同期业绩比较基准收益率为：</w:t>
      </w:r>
      <w:r>
        <w:rPr>
          <w:rFonts w:ascii="宋体" w:hAnsi="宋体" w:hint="eastAsia"/>
        </w:rPr>
        <w:t>0.57%</w:t>
      </w:r>
      <w:r>
        <w:rPr>
          <w:rFonts w:ascii="宋体" w:hAnsi="宋体" w:hint="eastAsia"/>
        </w:rPr>
        <w:t>。</w:t>
      </w:r>
    </w:p>
    <w:p w:rsidR="007C0809" w:rsidRDefault="007C0809">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7C0809" w:rsidRDefault="007C0809">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7C0809" w:rsidRDefault="007C0809">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13,324,719.0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88.5</w:t>
            </w:r>
            <w:r>
              <w:rPr>
                <w:rFonts w:ascii="宋体" w:hAnsi="宋体" w:hint="eastAsia"/>
                <w:szCs w:val="24"/>
                <w:lang w:eastAsia="zh-Hans"/>
              </w:rPr>
              <w:t>2</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13,324,719.0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88.5</w:t>
            </w:r>
            <w:r>
              <w:rPr>
                <w:rFonts w:ascii="宋体" w:hAnsi="宋体" w:hint="eastAsia"/>
                <w:szCs w:val="24"/>
                <w:lang w:eastAsia="zh-Hans"/>
              </w:rPr>
              <w:t>2</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1,445,928.8</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9.6</w:t>
            </w:r>
            <w:r>
              <w:rPr>
                <w:rFonts w:ascii="宋体" w:hAnsi="宋体" w:hint="eastAsia"/>
                <w:szCs w:val="24"/>
                <w:lang w:eastAsia="zh-Hans"/>
              </w:rPr>
              <w:t>1</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281,799.1</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1.8</w:t>
            </w:r>
            <w:r>
              <w:rPr>
                <w:rFonts w:ascii="宋体" w:hAnsi="宋体" w:hint="eastAsia"/>
                <w:szCs w:val="24"/>
                <w:lang w:eastAsia="zh-Hans"/>
              </w:rPr>
              <w:t>7</w:t>
            </w:r>
          </w:p>
        </w:tc>
      </w:tr>
      <w:tr w:rsidR="00000000">
        <w:trPr>
          <w:divId w:val="188582347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7C0809" w:rsidRDefault="007C080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15,052,446.9</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100.0</w:t>
            </w:r>
            <w:r>
              <w:rPr>
                <w:rFonts w:ascii="宋体" w:hAnsi="宋体" w:hint="eastAsia"/>
                <w:szCs w:val="24"/>
                <w:lang w:eastAsia="zh-Hans"/>
              </w:rPr>
              <w:t>0</w:t>
            </w:r>
          </w:p>
        </w:tc>
      </w:tr>
    </w:tbl>
    <w:p w:rsidR="007C0809" w:rsidRDefault="007C0809">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7C0809" w:rsidRDefault="007C0809">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7C0809" w:rsidRDefault="007C0809">
      <w:pPr>
        <w:spacing w:line="360" w:lineRule="auto"/>
        <w:ind w:firstLineChars="200" w:firstLine="420"/>
        <w:divId w:val="13001052"/>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7C0809" w:rsidRDefault="007C0809">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7C0809" w:rsidRDefault="007C0809">
      <w:pPr>
        <w:spacing w:line="360" w:lineRule="auto"/>
        <w:ind w:firstLineChars="200" w:firstLine="420"/>
        <w:divId w:val="793139788"/>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7C0809" w:rsidRDefault="007C0809">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7C0809" w:rsidRDefault="007C0809">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7C0809" w:rsidRDefault="007C0809">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7C0809" w:rsidRDefault="007C0809">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2,522,725.6</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17.9</w:t>
            </w:r>
            <w:r>
              <w:rPr>
                <w:rFonts w:ascii="宋体" w:hAnsi="宋体" w:hint="eastAsia"/>
                <w:szCs w:val="24"/>
                <w:lang w:eastAsia="zh-Hans"/>
              </w:rPr>
              <w:t>8</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6,208,795.3</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44.2</w:t>
            </w:r>
            <w:r>
              <w:rPr>
                <w:rFonts w:ascii="宋体" w:hAnsi="宋体" w:hint="eastAsia"/>
                <w:szCs w:val="24"/>
                <w:lang w:eastAsia="zh-Hans"/>
              </w:rPr>
              <w:t>5</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5,173,219.1</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36.8</w:t>
            </w:r>
            <w:r>
              <w:rPr>
                <w:rFonts w:ascii="宋体" w:hAnsi="宋体" w:hint="eastAsia"/>
                <w:szCs w:val="24"/>
                <w:lang w:eastAsia="zh-Hans"/>
              </w:rPr>
              <w:t>7</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4,593,198.0</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32.7</w:t>
            </w:r>
            <w:r>
              <w:rPr>
                <w:rFonts w:ascii="宋体" w:hAnsi="宋体" w:hint="eastAsia"/>
                <w:szCs w:val="24"/>
                <w:lang w:eastAsia="zh-Hans"/>
              </w:rPr>
              <w:t>4</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w:t>
            </w:r>
          </w:p>
        </w:tc>
      </w:tr>
      <w:tr w:rsidR="00000000">
        <w:trPr>
          <w:divId w:val="24060383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7C0809" w:rsidRDefault="007C0809">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13,324,719.0</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7C0809" w:rsidRDefault="007C0809">
            <w:pPr>
              <w:jc w:val="right"/>
            </w:pPr>
            <w:r>
              <w:rPr>
                <w:rFonts w:ascii="宋体" w:hAnsi="宋体" w:hint="eastAsia"/>
                <w:szCs w:val="24"/>
                <w:lang w:eastAsia="zh-Hans"/>
              </w:rPr>
              <w:t>94.9</w:t>
            </w:r>
            <w:r>
              <w:rPr>
                <w:rFonts w:ascii="宋体" w:hAnsi="宋体" w:hint="eastAsia"/>
                <w:szCs w:val="24"/>
                <w:lang w:eastAsia="zh-Hans"/>
              </w:rPr>
              <w:t>6</w:t>
            </w:r>
          </w:p>
        </w:tc>
      </w:tr>
    </w:tbl>
    <w:p w:rsidR="007C0809" w:rsidRDefault="007C0809">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1513392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15133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21031</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21</w:t>
            </w:r>
            <w:r>
              <w:rPr>
                <w:rFonts w:ascii="宋体" w:hAnsi="宋体" w:hint="eastAsia"/>
                <w:szCs w:val="24"/>
                <w:lang w:eastAsia="zh-Hans"/>
              </w:rPr>
              <w:t>进出</w:t>
            </w:r>
            <w:r>
              <w:rPr>
                <w:rFonts w:ascii="宋体" w:hAnsi="宋体" w:hint="eastAsia"/>
                <w:szCs w:val="24"/>
                <w:lang w:eastAsia="zh-Hans"/>
              </w:rPr>
              <w:t>1</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5,173,219.1</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36.8</w:t>
            </w:r>
            <w:r>
              <w:rPr>
                <w:rFonts w:ascii="宋体" w:hAnsi="宋体" w:hint="eastAsia"/>
                <w:szCs w:val="24"/>
                <w:lang w:eastAsia="zh-Hans"/>
              </w:rPr>
              <w:t>7</w:t>
            </w:r>
          </w:p>
        </w:tc>
      </w:tr>
      <w:tr w:rsidR="00000000">
        <w:trPr>
          <w:divId w:val="415133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24005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铁工</w:t>
            </w:r>
            <w:r>
              <w:rPr>
                <w:rFonts w:ascii="宋体" w:hAnsi="宋体" w:hint="eastAsia"/>
                <w:szCs w:val="24"/>
                <w:lang w:eastAsia="zh-Hans"/>
              </w:rPr>
              <w:t>YK1</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1,432,053.4</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10.2</w:t>
            </w:r>
            <w:r>
              <w:rPr>
                <w:rFonts w:ascii="宋体" w:hAnsi="宋体" w:hint="eastAsia"/>
                <w:szCs w:val="24"/>
                <w:lang w:eastAsia="zh-Hans"/>
              </w:rPr>
              <w:t>1</w:t>
            </w:r>
          </w:p>
        </w:tc>
      </w:tr>
      <w:tr w:rsidR="00000000">
        <w:trPr>
          <w:divId w:val="415133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11582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23JTYK0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1,430,704.8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10.2</w:t>
            </w:r>
            <w:r>
              <w:rPr>
                <w:rFonts w:ascii="宋体" w:hAnsi="宋体" w:hint="eastAsia"/>
                <w:szCs w:val="24"/>
                <w:lang w:eastAsia="zh-Hans"/>
              </w:rPr>
              <w:t>0</w:t>
            </w:r>
          </w:p>
        </w:tc>
      </w:tr>
      <w:tr w:rsidR="00000000">
        <w:trPr>
          <w:divId w:val="415133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24004</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23</w:t>
            </w:r>
            <w:r>
              <w:rPr>
                <w:rFonts w:ascii="宋体" w:hAnsi="宋体" w:hint="eastAsia"/>
                <w:szCs w:val="24"/>
                <w:lang w:eastAsia="zh-Hans"/>
              </w:rPr>
              <w:t>皖交</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1,429,275.9</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10.1</w:t>
            </w:r>
            <w:r>
              <w:rPr>
                <w:rFonts w:ascii="宋体" w:hAnsi="宋体" w:hint="eastAsia"/>
                <w:szCs w:val="24"/>
                <w:lang w:eastAsia="zh-Hans"/>
              </w:rPr>
              <w:t>9</w:t>
            </w:r>
          </w:p>
        </w:tc>
      </w:tr>
      <w:tr w:rsidR="00000000">
        <w:trPr>
          <w:divId w:val="415133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24240001</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szCs w:val="24"/>
                <w:lang w:eastAsia="zh-Hans"/>
              </w:rPr>
              <w:t>24</w:t>
            </w:r>
            <w:r>
              <w:rPr>
                <w:rFonts w:ascii="宋体" w:hAnsi="宋体" w:hint="eastAsia"/>
                <w:szCs w:val="24"/>
                <w:lang w:eastAsia="zh-Hans"/>
              </w:rPr>
              <w:t>民生银行永续债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1,035,576.1</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szCs w:val="24"/>
                <w:lang w:eastAsia="zh-Hans"/>
              </w:rPr>
              <w:t>7.3</w:t>
            </w:r>
            <w:r>
              <w:rPr>
                <w:rFonts w:ascii="宋体" w:hAnsi="宋体" w:hint="eastAsia"/>
                <w:szCs w:val="24"/>
                <w:lang w:eastAsia="zh-Hans"/>
              </w:rPr>
              <w:t>8</w:t>
            </w:r>
          </w:p>
        </w:tc>
      </w:tr>
    </w:tbl>
    <w:p w:rsidR="007C0809" w:rsidRDefault="007C0809">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7C0809" w:rsidRDefault="007C0809">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7C0809" w:rsidRDefault="007C0809">
      <w:pPr>
        <w:spacing w:line="360" w:lineRule="auto"/>
        <w:ind w:firstLineChars="200" w:firstLine="420"/>
        <w:divId w:val="16679428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7C0809" w:rsidRDefault="007C0809">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7C0809" w:rsidRDefault="007C0809">
      <w:pPr>
        <w:spacing w:line="360" w:lineRule="auto"/>
        <w:ind w:firstLineChars="200" w:firstLine="420"/>
        <w:divId w:val="74240785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7C0809" w:rsidRDefault="007C0809">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7C0809" w:rsidRDefault="007C0809">
      <w:pPr>
        <w:spacing w:line="360" w:lineRule="auto"/>
        <w:ind w:firstLineChars="200" w:firstLine="420"/>
        <w:divId w:val="40599862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7C0809" w:rsidRDefault="007C0809">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7C0809" w:rsidRDefault="007C0809">
      <w:pPr>
        <w:spacing w:line="360" w:lineRule="auto"/>
        <w:ind w:firstLineChars="200" w:firstLine="420"/>
        <w:divId w:val="43725966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7C0809" w:rsidRDefault="007C0809">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7C0809" w:rsidRDefault="007C0809">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7C0809" w:rsidRDefault="007C0809">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中国民生银行股份有限公司报告编制日前一年内曾受到国家金融监督管理总局宁波监管局、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7C0809" w:rsidRDefault="007C0809">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7C0809" w:rsidRDefault="007C080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7C0809" w:rsidRDefault="007C0809">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8298587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jc w:val="center"/>
            </w:pPr>
            <w:r>
              <w:rPr>
                <w:rFonts w:ascii="宋体" w:hAnsi="宋体" w:hint="eastAsia"/>
              </w:rPr>
              <w:t>金额（元</w:t>
            </w:r>
            <w:r>
              <w:rPr>
                <w:rFonts w:ascii="宋体" w:hAnsi="宋体" w:hint="eastAsia"/>
              </w:rPr>
              <w:t>）</w:t>
            </w:r>
            <w:r>
              <w:t xml:space="preserve"> </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5,810.1</w:t>
            </w:r>
            <w:r>
              <w:rPr>
                <w:rFonts w:ascii="宋体" w:hAnsi="宋体" w:hint="eastAsia"/>
              </w:rPr>
              <w:t>4</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275,830.8</w:t>
            </w:r>
            <w:r>
              <w:rPr>
                <w:rFonts w:ascii="宋体" w:hAnsi="宋体" w:hint="eastAsia"/>
              </w:rPr>
              <w:t>9</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158.1</w:t>
            </w:r>
            <w:r>
              <w:rPr>
                <w:rFonts w:ascii="宋体" w:hAnsi="宋体" w:hint="eastAsia"/>
              </w:rPr>
              <w:t>0</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w:t>
            </w:r>
          </w:p>
        </w:tc>
      </w:tr>
      <w:tr w:rsidR="00000000">
        <w:trPr>
          <w:divId w:val="158298587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jc w:val="right"/>
            </w:pPr>
            <w:r>
              <w:rPr>
                <w:rFonts w:ascii="宋体" w:hAnsi="宋体" w:hint="eastAsia"/>
              </w:rPr>
              <w:t>281,799.1</w:t>
            </w:r>
            <w:r>
              <w:rPr>
                <w:rFonts w:ascii="宋体" w:hAnsi="宋体" w:hint="eastAsia"/>
              </w:rPr>
              <w:t>3</w:t>
            </w:r>
          </w:p>
        </w:tc>
      </w:tr>
    </w:tbl>
    <w:p w:rsidR="007C0809" w:rsidRDefault="007C0809">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7C0809" w:rsidRDefault="007C0809">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7C0809" w:rsidRDefault="007C0809">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7C0809" w:rsidRDefault="007C0809">
      <w:pPr>
        <w:spacing w:line="360" w:lineRule="auto"/>
        <w:ind w:firstLineChars="200" w:firstLine="420"/>
        <w:jc w:val="left"/>
        <w:divId w:val="144549409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7C0809" w:rsidRDefault="007C0809">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7C0809" w:rsidRDefault="007C080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7C0809" w:rsidRDefault="007C0809">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7C0809" w:rsidRDefault="007C0809">
      <w:pPr>
        <w:wordWrap w:val="0"/>
        <w:spacing w:line="360" w:lineRule="auto"/>
        <w:jc w:val="right"/>
        <w:divId w:val="2099402665"/>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209940266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ind w:right="3"/>
              <w:jc w:val="center"/>
            </w:pPr>
            <w:r>
              <w:rPr>
                <w:rFonts w:ascii="宋体" w:hAnsi="宋体" w:hint="eastAsia"/>
                <w:lang w:eastAsia="zh-Hans"/>
              </w:rPr>
              <w:t>摩根</w:t>
            </w:r>
            <w:r>
              <w:rPr>
                <w:rFonts w:ascii="宋体" w:hAnsi="宋体" w:hint="eastAsia"/>
                <w:lang w:eastAsia="zh-Hans"/>
              </w:rPr>
              <w:t>90</w:t>
            </w:r>
            <w:r>
              <w:rPr>
                <w:rFonts w:ascii="宋体" w:hAnsi="宋体" w:hint="eastAsia"/>
                <w:lang w:eastAsia="zh-Hans"/>
              </w:rPr>
              <w:t>天持有期债券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0809" w:rsidRDefault="007C0809">
            <w:pPr>
              <w:ind w:right="3"/>
              <w:jc w:val="center"/>
            </w:pPr>
            <w:r>
              <w:rPr>
                <w:rFonts w:ascii="宋体" w:hAnsi="宋体" w:hint="eastAsia"/>
                <w:lang w:eastAsia="zh-Hans"/>
              </w:rPr>
              <w:t>摩根</w:t>
            </w:r>
            <w:r>
              <w:rPr>
                <w:rFonts w:ascii="宋体" w:hAnsi="宋体" w:hint="eastAsia"/>
                <w:lang w:eastAsia="zh-Hans"/>
              </w:rPr>
              <w:t>90</w:t>
            </w:r>
            <w:r>
              <w:rPr>
                <w:rFonts w:ascii="宋体" w:hAnsi="宋体" w:hint="eastAsia"/>
                <w:lang w:eastAsia="zh-Hans"/>
              </w:rPr>
              <w:t>天持有期债券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09940266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24,143,893.0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27,300,438.8</w:t>
            </w:r>
            <w:r>
              <w:rPr>
                <w:rFonts w:ascii="宋体" w:hAnsi="宋体" w:hint="eastAsia"/>
              </w:rPr>
              <w:t>4</w:t>
            </w:r>
          </w:p>
        </w:tc>
      </w:tr>
      <w:tr w:rsidR="00000000">
        <w:trPr>
          <w:divId w:val="209940266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1,183,154.5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785,716.8</w:t>
            </w:r>
            <w:r>
              <w:rPr>
                <w:rFonts w:ascii="宋体" w:hAnsi="宋体" w:hint="eastAsia"/>
              </w:rPr>
              <w:t>7</w:t>
            </w:r>
          </w:p>
        </w:tc>
      </w:tr>
      <w:tr w:rsidR="00000000">
        <w:trPr>
          <w:divId w:val="209940266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21,616,669.7</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18,129,111.7</w:t>
            </w:r>
            <w:r>
              <w:rPr>
                <w:rFonts w:ascii="宋体" w:hAnsi="宋体" w:hint="eastAsia"/>
              </w:rPr>
              <w:t>9</w:t>
            </w:r>
          </w:p>
        </w:tc>
      </w:tr>
      <w:tr w:rsidR="00000000">
        <w:trPr>
          <w:divId w:val="209940266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w:t>
            </w:r>
          </w:p>
        </w:tc>
      </w:tr>
      <w:tr w:rsidR="00000000">
        <w:trPr>
          <w:divId w:val="209940266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3,710,377.9</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C0809" w:rsidRDefault="007C0809">
            <w:pPr>
              <w:jc w:val="right"/>
            </w:pPr>
            <w:r>
              <w:rPr>
                <w:rFonts w:ascii="宋体" w:hAnsi="宋体" w:hint="eastAsia"/>
              </w:rPr>
              <w:t>9,957,043.9</w:t>
            </w:r>
            <w:r>
              <w:rPr>
                <w:rFonts w:ascii="宋体" w:hAnsi="宋体" w:hint="eastAsia"/>
              </w:rPr>
              <w:t>2</w:t>
            </w:r>
          </w:p>
        </w:tc>
      </w:tr>
    </w:tbl>
    <w:p w:rsidR="007C0809" w:rsidRDefault="007C0809">
      <w:pPr>
        <w:spacing w:line="360" w:lineRule="auto"/>
        <w:jc w:val="left"/>
        <w:divId w:val="209940266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7C0809" w:rsidRDefault="007C0809">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7C0809" w:rsidRDefault="007C0809">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7C0809" w:rsidRDefault="007C0809">
      <w:pPr>
        <w:spacing w:line="360" w:lineRule="auto"/>
        <w:ind w:firstLineChars="200" w:firstLine="420"/>
        <w:jc w:val="left"/>
        <w:divId w:val="287585171"/>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7C0809" w:rsidRDefault="007C0809">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7C0809" w:rsidRDefault="007C0809">
      <w:pPr>
        <w:spacing w:line="360" w:lineRule="auto"/>
        <w:ind w:firstLineChars="200" w:firstLine="420"/>
        <w:jc w:val="left"/>
        <w:divId w:val="60673410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7C0809" w:rsidRDefault="007C0809">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7C0809" w:rsidRDefault="007C0809">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10"/>
        <w:gridCol w:w="1064"/>
        <w:gridCol w:w="1395"/>
        <w:gridCol w:w="1195"/>
        <w:gridCol w:w="1395"/>
        <w:gridCol w:w="1159"/>
        <w:gridCol w:w="1377"/>
      </w:tblGrid>
      <w:tr w:rsidR="00000000">
        <w:trPr>
          <w:divId w:val="1749231165"/>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74923116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0809" w:rsidRDefault="007C0809">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期初</w:t>
            </w:r>
            <w:r>
              <w:rPr>
                <w:rFonts w:ascii="宋体" w:hAnsi="宋体" w:hint="eastAsia"/>
                <w:color w:val="000000"/>
                <w:kern w:val="0"/>
              </w:rPr>
              <w:t xml:space="preserve"> </w:t>
            </w:r>
          </w:p>
          <w:p w:rsidR="007C0809" w:rsidRDefault="007C08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申购</w:t>
            </w:r>
            <w:r>
              <w:rPr>
                <w:rFonts w:ascii="宋体" w:hAnsi="宋体" w:hint="eastAsia"/>
                <w:color w:val="000000"/>
                <w:kern w:val="0"/>
              </w:rPr>
              <w:t xml:space="preserve"> </w:t>
            </w:r>
          </w:p>
          <w:p w:rsidR="007C0809" w:rsidRDefault="007C08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赎回</w:t>
            </w:r>
            <w:r>
              <w:rPr>
                <w:rFonts w:ascii="宋体" w:hAnsi="宋体" w:hint="eastAsia"/>
                <w:color w:val="000000"/>
                <w:kern w:val="0"/>
              </w:rPr>
              <w:t xml:space="preserve"> </w:t>
            </w:r>
          </w:p>
          <w:p w:rsidR="007C0809" w:rsidRDefault="007C08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0809" w:rsidRDefault="007C0809">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749231165"/>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center"/>
            </w:pPr>
            <w:r>
              <w:rPr>
                <w:rFonts w:ascii="宋体" w:hAnsi="宋体" w:hint="eastAsia"/>
                <w:color w:val="000000"/>
                <w:szCs w:val="21"/>
              </w:rPr>
              <w:t>20260401-2026061</w:t>
            </w:r>
            <w:r>
              <w:rPr>
                <w:rFonts w:ascii="宋体" w:hAnsi="宋体" w:hint="eastAsia"/>
                <w:color w:val="000000"/>
                <w:szCs w:val="21"/>
              </w:rPr>
              <w:t>6</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right"/>
            </w:pPr>
            <w:r>
              <w:rPr>
                <w:rFonts w:ascii="宋体" w:hAnsi="宋体" w:hint="eastAsia"/>
                <w:color w:val="000000"/>
                <w:szCs w:val="21"/>
              </w:rPr>
              <w:t>17,568,588.7</w:t>
            </w:r>
            <w:r>
              <w:rPr>
                <w:rFonts w:ascii="宋体" w:hAnsi="宋体" w:hint="eastAsia"/>
                <w:color w:val="000000"/>
                <w:szCs w:val="21"/>
              </w:rPr>
              <w:t>9</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right"/>
            </w:pPr>
            <w:r>
              <w:rPr>
                <w:rFonts w:ascii="宋体" w:hAnsi="宋体" w:hint="eastAsia"/>
                <w:color w:val="000000"/>
                <w:szCs w:val="21"/>
              </w:rPr>
              <w:t>17,568,588.7</w:t>
            </w:r>
            <w:r>
              <w:rPr>
                <w:rFonts w:ascii="宋体" w:hAnsi="宋体" w:hint="eastAsia"/>
                <w:color w:val="000000"/>
                <w:szCs w:val="21"/>
              </w:rPr>
              <w:t>9</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right"/>
            </w:pPr>
            <w:r>
              <w:rPr>
                <w:rFonts w:ascii="宋体" w:hAnsi="宋体" w:hint="eastAsia"/>
                <w:color w:val="000000"/>
                <w:szCs w:val="21"/>
              </w:rPr>
              <w:t>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right"/>
            </w:pPr>
            <w:r>
              <w:rPr>
                <w:rFonts w:ascii="宋体" w:hAnsi="宋体" w:hint="eastAsia"/>
                <w:color w:val="000000"/>
                <w:szCs w:val="21"/>
              </w:rPr>
              <w:t>0.0</w:t>
            </w:r>
            <w:r>
              <w:rPr>
                <w:rFonts w:ascii="宋体" w:hAnsi="宋体" w:hint="eastAsia"/>
                <w:color w:val="000000"/>
                <w:szCs w:val="21"/>
              </w:rPr>
              <w:t>0</w:t>
            </w:r>
            <w:r>
              <w:rPr>
                <w:szCs w:val="21"/>
              </w:rPr>
              <w:t>%</w:t>
            </w:r>
            <w:r>
              <w:t xml:space="preserve"> </w:t>
            </w:r>
          </w:p>
        </w:tc>
      </w:tr>
      <w:tr w:rsidR="00000000">
        <w:trPr>
          <w:divId w:val="174923116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74923116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C0809" w:rsidRDefault="007C0809">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7C0809" w:rsidRDefault="007C0809">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7C0809" w:rsidRDefault="007C0809">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cs="宋体" w:hint="eastAsia"/>
          <w:color w:val="000000"/>
          <w:kern w:val="0"/>
        </w:rPr>
        <w:t>（一）中国证监会准予摩根</w:t>
      </w:r>
      <w:r>
        <w:rPr>
          <w:rFonts w:ascii="宋体" w:hAnsi="宋体" w:cs="宋体" w:hint="eastAsia"/>
          <w:color w:val="000000"/>
          <w:kern w:val="0"/>
        </w:rPr>
        <w:t>90</w:t>
      </w:r>
      <w:r>
        <w:rPr>
          <w:rFonts w:ascii="宋体" w:hAnsi="宋体" w:cs="宋体" w:hint="eastAsia"/>
          <w:color w:val="000000"/>
          <w:kern w:val="0"/>
        </w:rPr>
        <w:t>天持有期债券型证券投资基金募集注册的文件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w:t>
      </w:r>
      <w:r>
        <w:rPr>
          <w:rFonts w:ascii="宋体" w:hAnsi="宋体" w:cs="宋体" w:hint="eastAsia"/>
          <w:color w:val="000000"/>
          <w:kern w:val="0"/>
        </w:rPr>
        <w:t>90</w:t>
      </w:r>
      <w:r>
        <w:rPr>
          <w:rFonts w:ascii="宋体" w:hAnsi="宋体" w:cs="宋体" w:hint="eastAsia"/>
          <w:color w:val="000000"/>
          <w:kern w:val="0"/>
        </w:rPr>
        <w:t>天持有期债券型证券投资基金基金合同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w:t>
      </w:r>
      <w:r>
        <w:rPr>
          <w:rFonts w:ascii="宋体" w:hAnsi="宋体" w:cs="宋体" w:hint="eastAsia"/>
          <w:color w:val="000000"/>
          <w:kern w:val="0"/>
        </w:rPr>
        <w:t>90</w:t>
      </w:r>
      <w:r>
        <w:rPr>
          <w:rFonts w:ascii="宋体" w:hAnsi="宋体" w:cs="宋体" w:hint="eastAsia"/>
          <w:color w:val="000000"/>
          <w:kern w:val="0"/>
        </w:rPr>
        <w:t>天持有期债券型证券投资基金托管协议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7C0809" w:rsidRDefault="007C0809">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7C0809" w:rsidRDefault="007C0809">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7C0809" w:rsidRDefault="007C080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7C0809" w:rsidRDefault="007C080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C0809" w:rsidRDefault="007C080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C0809" w:rsidRDefault="007C080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7C0809" w:rsidRDefault="007C080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7C0809">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809" w:rsidRDefault="007C0809">
      <w:pPr>
        <w:rPr>
          <w:szCs w:val="21"/>
        </w:rPr>
      </w:pPr>
      <w:r>
        <w:rPr>
          <w:szCs w:val="21"/>
        </w:rPr>
        <w:separator/>
      </w:r>
      <w:r>
        <w:rPr>
          <w:szCs w:val="21"/>
        </w:rPr>
        <w:t xml:space="preserve"> </w:t>
      </w:r>
    </w:p>
  </w:endnote>
  <w:endnote w:type="continuationSeparator" w:id="0">
    <w:p w:rsidR="007C0809" w:rsidRDefault="007C080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09" w:rsidRDefault="007C080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809" w:rsidRDefault="007C0809">
      <w:pPr>
        <w:rPr>
          <w:szCs w:val="21"/>
        </w:rPr>
      </w:pPr>
      <w:r>
        <w:rPr>
          <w:szCs w:val="21"/>
        </w:rPr>
        <w:separator/>
      </w:r>
      <w:r>
        <w:rPr>
          <w:szCs w:val="21"/>
        </w:rPr>
        <w:t xml:space="preserve"> </w:t>
      </w:r>
    </w:p>
  </w:footnote>
  <w:footnote w:type="continuationSeparator" w:id="0">
    <w:p w:rsidR="007C0809" w:rsidRDefault="007C080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09" w:rsidRDefault="007C0809">
    <w:pPr>
      <w:pStyle w:val="a8"/>
      <w:jc w:val="right"/>
    </w:pPr>
    <w:r>
      <w:rPr>
        <w:rFonts w:ascii="宋体" w:hAnsi="宋体" w:hint="eastAsia"/>
      </w:rPr>
      <w:t>摩根</w:t>
    </w:r>
    <w:r>
      <w:rPr>
        <w:rFonts w:ascii="宋体" w:hAnsi="宋体" w:hint="eastAsia"/>
      </w:rPr>
      <w:t>90</w:t>
    </w:r>
    <w:r>
      <w:rPr>
        <w:rFonts w:ascii="宋体" w:hAnsi="宋体" w:hint="eastAsia"/>
      </w:rPr>
      <w:t>天持有期债券型证券投资基金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989556831">
    <w:abstractNumId w:val="0"/>
  </w:num>
  <w:num w:numId="2" w16cid:durableId="792481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C4F87"/>
    <w:rsid w:val="00584843"/>
    <w:rsid w:val="007C0809"/>
    <w:rsid w:val="00CC4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1052">
      <w:marLeft w:val="0"/>
      <w:marRight w:val="0"/>
      <w:marTop w:val="0"/>
      <w:marBottom w:val="0"/>
      <w:divBdr>
        <w:top w:val="none" w:sz="0" w:space="0" w:color="auto"/>
        <w:left w:val="none" w:sz="0" w:space="0" w:color="auto"/>
        <w:bottom w:val="none" w:sz="0" w:space="0" w:color="auto"/>
        <w:right w:val="none" w:sz="0" w:space="0" w:color="auto"/>
      </w:divBdr>
    </w:div>
    <w:div w:id="39790403">
      <w:marLeft w:val="0"/>
      <w:marRight w:val="0"/>
      <w:marTop w:val="0"/>
      <w:marBottom w:val="0"/>
      <w:divBdr>
        <w:top w:val="none" w:sz="0" w:space="0" w:color="auto"/>
        <w:left w:val="none" w:sz="0" w:space="0" w:color="auto"/>
        <w:bottom w:val="none" w:sz="0" w:space="0" w:color="auto"/>
        <w:right w:val="none" w:sz="0" w:space="0" w:color="auto"/>
      </w:divBdr>
      <w:divsChild>
        <w:div w:id="1749231165">
          <w:marLeft w:val="0"/>
          <w:marRight w:val="0"/>
          <w:marTop w:val="0"/>
          <w:marBottom w:val="0"/>
          <w:divBdr>
            <w:top w:val="none" w:sz="0" w:space="0" w:color="auto"/>
            <w:left w:val="none" w:sz="0" w:space="0" w:color="auto"/>
            <w:bottom w:val="none" w:sz="0" w:space="0" w:color="auto"/>
            <w:right w:val="none" w:sz="0" w:space="0" w:color="auto"/>
          </w:divBdr>
        </w:div>
      </w:divsChild>
    </w:div>
    <w:div w:id="166794282">
      <w:marLeft w:val="0"/>
      <w:marRight w:val="0"/>
      <w:marTop w:val="0"/>
      <w:marBottom w:val="0"/>
      <w:divBdr>
        <w:top w:val="none" w:sz="0" w:space="0" w:color="auto"/>
        <w:left w:val="none" w:sz="0" w:space="0" w:color="auto"/>
        <w:bottom w:val="none" w:sz="0" w:space="0" w:color="auto"/>
        <w:right w:val="none" w:sz="0" w:space="0" w:color="auto"/>
      </w:divBdr>
    </w:div>
    <w:div w:id="240603837">
      <w:marLeft w:val="0"/>
      <w:marRight w:val="0"/>
      <w:marTop w:val="0"/>
      <w:marBottom w:val="0"/>
      <w:divBdr>
        <w:top w:val="none" w:sz="0" w:space="0" w:color="auto"/>
        <w:left w:val="none" w:sz="0" w:space="0" w:color="auto"/>
        <w:bottom w:val="none" w:sz="0" w:space="0" w:color="auto"/>
        <w:right w:val="none" w:sz="0" w:space="0" w:color="auto"/>
      </w:divBdr>
    </w:div>
    <w:div w:id="287585171">
      <w:marLeft w:val="0"/>
      <w:marRight w:val="0"/>
      <w:marTop w:val="0"/>
      <w:marBottom w:val="0"/>
      <w:divBdr>
        <w:top w:val="none" w:sz="0" w:space="0" w:color="auto"/>
        <w:left w:val="none" w:sz="0" w:space="0" w:color="auto"/>
        <w:bottom w:val="none" w:sz="0" w:space="0" w:color="auto"/>
        <w:right w:val="none" w:sz="0" w:space="0" w:color="auto"/>
      </w:divBdr>
    </w:div>
    <w:div w:id="344018291">
      <w:marLeft w:val="0"/>
      <w:marRight w:val="0"/>
      <w:marTop w:val="0"/>
      <w:marBottom w:val="0"/>
      <w:divBdr>
        <w:top w:val="none" w:sz="0" w:space="0" w:color="auto"/>
        <w:left w:val="none" w:sz="0" w:space="0" w:color="auto"/>
        <w:bottom w:val="none" w:sz="0" w:space="0" w:color="auto"/>
        <w:right w:val="none" w:sz="0" w:space="0" w:color="auto"/>
      </w:divBdr>
      <w:divsChild>
        <w:div w:id="1619485980">
          <w:marLeft w:val="0"/>
          <w:marRight w:val="0"/>
          <w:marTop w:val="0"/>
          <w:marBottom w:val="0"/>
          <w:divBdr>
            <w:top w:val="none" w:sz="0" w:space="0" w:color="auto"/>
            <w:left w:val="none" w:sz="0" w:space="0" w:color="auto"/>
            <w:bottom w:val="none" w:sz="0" w:space="0" w:color="auto"/>
            <w:right w:val="none" w:sz="0" w:space="0" w:color="auto"/>
          </w:divBdr>
        </w:div>
        <w:div w:id="63575926">
          <w:marLeft w:val="0"/>
          <w:marRight w:val="0"/>
          <w:marTop w:val="0"/>
          <w:marBottom w:val="0"/>
          <w:divBdr>
            <w:top w:val="none" w:sz="0" w:space="0" w:color="auto"/>
            <w:left w:val="none" w:sz="0" w:space="0" w:color="auto"/>
            <w:bottom w:val="none" w:sz="0" w:space="0" w:color="auto"/>
            <w:right w:val="none" w:sz="0" w:space="0" w:color="auto"/>
          </w:divBdr>
        </w:div>
      </w:divsChild>
    </w:div>
    <w:div w:id="405998627">
      <w:marLeft w:val="0"/>
      <w:marRight w:val="0"/>
      <w:marTop w:val="0"/>
      <w:marBottom w:val="0"/>
      <w:divBdr>
        <w:top w:val="none" w:sz="0" w:space="0" w:color="auto"/>
        <w:left w:val="none" w:sz="0" w:space="0" w:color="auto"/>
        <w:bottom w:val="none" w:sz="0" w:space="0" w:color="auto"/>
        <w:right w:val="none" w:sz="0" w:space="0" w:color="auto"/>
      </w:divBdr>
    </w:div>
    <w:div w:id="415133921">
      <w:marLeft w:val="0"/>
      <w:marRight w:val="0"/>
      <w:marTop w:val="0"/>
      <w:marBottom w:val="0"/>
      <w:divBdr>
        <w:top w:val="none" w:sz="0" w:space="0" w:color="auto"/>
        <w:left w:val="none" w:sz="0" w:space="0" w:color="auto"/>
        <w:bottom w:val="none" w:sz="0" w:space="0" w:color="auto"/>
        <w:right w:val="none" w:sz="0" w:space="0" w:color="auto"/>
      </w:divBdr>
    </w:div>
    <w:div w:id="437259663">
      <w:marLeft w:val="0"/>
      <w:marRight w:val="0"/>
      <w:marTop w:val="0"/>
      <w:marBottom w:val="0"/>
      <w:divBdr>
        <w:top w:val="none" w:sz="0" w:space="0" w:color="auto"/>
        <w:left w:val="none" w:sz="0" w:space="0" w:color="auto"/>
        <w:bottom w:val="none" w:sz="0" w:space="0" w:color="auto"/>
        <w:right w:val="none" w:sz="0" w:space="0" w:color="auto"/>
      </w:divBdr>
    </w:div>
    <w:div w:id="606734107">
      <w:marLeft w:val="0"/>
      <w:marRight w:val="0"/>
      <w:marTop w:val="0"/>
      <w:marBottom w:val="0"/>
      <w:divBdr>
        <w:top w:val="none" w:sz="0" w:space="0" w:color="auto"/>
        <w:left w:val="none" w:sz="0" w:space="0" w:color="auto"/>
        <w:bottom w:val="none" w:sz="0" w:space="0" w:color="auto"/>
        <w:right w:val="none" w:sz="0" w:space="0" w:color="auto"/>
      </w:divBdr>
    </w:div>
    <w:div w:id="742407850">
      <w:marLeft w:val="0"/>
      <w:marRight w:val="0"/>
      <w:marTop w:val="0"/>
      <w:marBottom w:val="0"/>
      <w:divBdr>
        <w:top w:val="none" w:sz="0" w:space="0" w:color="auto"/>
        <w:left w:val="none" w:sz="0" w:space="0" w:color="auto"/>
        <w:bottom w:val="none" w:sz="0" w:space="0" w:color="auto"/>
        <w:right w:val="none" w:sz="0" w:space="0" w:color="auto"/>
      </w:divBdr>
    </w:div>
    <w:div w:id="793139788">
      <w:marLeft w:val="0"/>
      <w:marRight w:val="0"/>
      <w:marTop w:val="0"/>
      <w:marBottom w:val="0"/>
      <w:divBdr>
        <w:top w:val="none" w:sz="0" w:space="0" w:color="auto"/>
        <w:left w:val="none" w:sz="0" w:space="0" w:color="auto"/>
        <w:bottom w:val="none" w:sz="0" w:space="0" w:color="auto"/>
        <w:right w:val="none" w:sz="0" w:space="0" w:color="auto"/>
      </w:divBdr>
    </w:div>
    <w:div w:id="939996522">
      <w:marLeft w:val="0"/>
      <w:marRight w:val="0"/>
      <w:marTop w:val="0"/>
      <w:marBottom w:val="0"/>
      <w:divBdr>
        <w:top w:val="none" w:sz="0" w:space="0" w:color="auto"/>
        <w:left w:val="none" w:sz="0" w:space="0" w:color="auto"/>
        <w:bottom w:val="none" w:sz="0" w:space="0" w:color="auto"/>
        <w:right w:val="none" w:sz="0" w:space="0" w:color="auto"/>
      </w:divBdr>
      <w:divsChild>
        <w:div w:id="1859732109">
          <w:marLeft w:val="0"/>
          <w:marRight w:val="0"/>
          <w:marTop w:val="0"/>
          <w:marBottom w:val="0"/>
          <w:divBdr>
            <w:top w:val="none" w:sz="0" w:space="0" w:color="auto"/>
            <w:left w:val="none" w:sz="0" w:space="0" w:color="auto"/>
            <w:bottom w:val="none" w:sz="0" w:space="0" w:color="auto"/>
            <w:right w:val="none" w:sz="0" w:space="0" w:color="auto"/>
          </w:divBdr>
        </w:div>
      </w:divsChild>
    </w:div>
    <w:div w:id="977027390">
      <w:marLeft w:val="0"/>
      <w:marRight w:val="0"/>
      <w:marTop w:val="0"/>
      <w:marBottom w:val="0"/>
      <w:divBdr>
        <w:top w:val="none" w:sz="0" w:space="0" w:color="auto"/>
        <w:left w:val="none" w:sz="0" w:space="0" w:color="auto"/>
        <w:bottom w:val="none" w:sz="0" w:space="0" w:color="auto"/>
        <w:right w:val="none" w:sz="0" w:space="0" w:color="auto"/>
      </w:divBdr>
      <w:divsChild>
        <w:div w:id="1885823478">
          <w:marLeft w:val="0"/>
          <w:marRight w:val="0"/>
          <w:marTop w:val="0"/>
          <w:marBottom w:val="0"/>
          <w:divBdr>
            <w:top w:val="none" w:sz="0" w:space="0" w:color="auto"/>
            <w:left w:val="none" w:sz="0" w:space="0" w:color="auto"/>
            <w:bottom w:val="none" w:sz="0" w:space="0" w:color="auto"/>
            <w:right w:val="none" w:sz="0" w:space="0" w:color="auto"/>
          </w:divBdr>
        </w:div>
      </w:divsChild>
    </w:div>
    <w:div w:id="983973223">
      <w:marLeft w:val="0"/>
      <w:marRight w:val="0"/>
      <w:marTop w:val="0"/>
      <w:marBottom w:val="0"/>
      <w:divBdr>
        <w:top w:val="none" w:sz="0" w:space="0" w:color="auto"/>
        <w:left w:val="none" w:sz="0" w:space="0" w:color="auto"/>
        <w:bottom w:val="none" w:sz="0" w:space="0" w:color="auto"/>
        <w:right w:val="none" w:sz="0" w:space="0" w:color="auto"/>
      </w:divBdr>
      <w:divsChild>
        <w:div w:id="2017077269">
          <w:marLeft w:val="0"/>
          <w:marRight w:val="0"/>
          <w:marTop w:val="0"/>
          <w:marBottom w:val="0"/>
          <w:divBdr>
            <w:top w:val="none" w:sz="0" w:space="0" w:color="auto"/>
            <w:left w:val="none" w:sz="0" w:space="0" w:color="auto"/>
            <w:bottom w:val="none" w:sz="0" w:space="0" w:color="auto"/>
            <w:right w:val="none" w:sz="0" w:space="0" w:color="auto"/>
          </w:divBdr>
        </w:div>
      </w:divsChild>
    </w:div>
    <w:div w:id="1445494096">
      <w:marLeft w:val="0"/>
      <w:marRight w:val="0"/>
      <w:marTop w:val="0"/>
      <w:marBottom w:val="0"/>
      <w:divBdr>
        <w:top w:val="none" w:sz="0" w:space="0" w:color="auto"/>
        <w:left w:val="none" w:sz="0" w:space="0" w:color="auto"/>
        <w:bottom w:val="none" w:sz="0" w:space="0" w:color="auto"/>
        <w:right w:val="none" w:sz="0" w:space="0" w:color="auto"/>
      </w:divBdr>
    </w:div>
    <w:div w:id="1555700727">
      <w:marLeft w:val="0"/>
      <w:marRight w:val="0"/>
      <w:marTop w:val="0"/>
      <w:marBottom w:val="0"/>
      <w:divBdr>
        <w:top w:val="none" w:sz="0" w:space="0" w:color="auto"/>
        <w:left w:val="none" w:sz="0" w:space="0" w:color="auto"/>
        <w:bottom w:val="none" w:sz="0" w:space="0" w:color="auto"/>
        <w:right w:val="none" w:sz="0" w:space="0" w:color="auto"/>
      </w:divBdr>
      <w:divsChild>
        <w:div w:id="1582985877">
          <w:marLeft w:val="0"/>
          <w:marRight w:val="0"/>
          <w:marTop w:val="0"/>
          <w:marBottom w:val="0"/>
          <w:divBdr>
            <w:top w:val="none" w:sz="0" w:space="0" w:color="auto"/>
            <w:left w:val="none" w:sz="0" w:space="0" w:color="auto"/>
            <w:bottom w:val="none" w:sz="0" w:space="0" w:color="auto"/>
            <w:right w:val="none" w:sz="0" w:space="0" w:color="auto"/>
          </w:divBdr>
        </w:div>
      </w:divsChild>
    </w:div>
    <w:div w:id="1642540618">
      <w:marLeft w:val="0"/>
      <w:marRight w:val="0"/>
      <w:marTop w:val="0"/>
      <w:marBottom w:val="0"/>
      <w:divBdr>
        <w:top w:val="none" w:sz="0" w:space="0" w:color="auto"/>
        <w:left w:val="none" w:sz="0" w:space="0" w:color="auto"/>
        <w:bottom w:val="none" w:sz="0" w:space="0" w:color="auto"/>
        <w:right w:val="none" w:sz="0" w:space="0" w:color="auto"/>
      </w:divBdr>
    </w:div>
    <w:div w:id="1748260520">
      <w:marLeft w:val="0"/>
      <w:marRight w:val="0"/>
      <w:marTop w:val="0"/>
      <w:marBottom w:val="0"/>
      <w:divBdr>
        <w:top w:val="none" w:sz="0" w:space="0" w:color="auto"/>
        <w:left w:val="none" w:sz="0" w:space="0" w:color="auto"/>
        <w:bottom w:val="none" w:sz="0" w:space="0" w:color="auto"/>
        <w:right w:val="none" w:sz="0" w:space="0" w:color="auto"/>
      </w:divBdr>
    </w:div>
    <w:div w:id="1758866260">
      <w:marLeft w:val="0"/>
      <w:marRight w:val="0"/>
      <w:marTop w:val="0"/>
      <w:marBottom w:val="0"/>
      <w:divBdr>
        <w:top w:val="none" w:sz="0" w:space="0" w:color="auto"/>
        <w:left w:val="none" w:sz="0" w:space="0" w:color="auto"/>
        <w:bottom w:val="none" w:sz="0" w:space="0" w:color="auto"/>
        <w:right w:val="none" w:sz="0" w:space="0" w:color="auto"/>
      </w:divBdr>
    </w:div>
    <w:div w:id="20994026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7169</Characters>
  <Application>Microsoft Office Word</Application>
  <DocSecurity>4</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