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6227"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4BD431C8"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2686A7AA"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16DAEEB7" w14:textId="77777777" w:rsidR="00881A82" w:rsidRPr="00473486" w:rsidRDefault="00881A82">
      <w:pPr>
        <w:autoSpaceDE w:val="0"/>
        <w:autoSpaceDN w:val="0"/>
        <w:adjustRightInd w:val="0"/>
        <w:spacing w:line="360" w:lineRule="auto"/>
        <w:jc w:val="left"/>
        <w:rPr>
          <w:rFonts w:eastAsiaTheme="minorEastAsia"/>
          <w:color w:val="000000" w:themeColor="text1"/>
          <w:kern w:val="0"/>
          <w:sz w:val="36"/>
          <w:szCs w:val="36"/>
        </w:rPr>
      </w:pPr>
    </w:p>
    <w:p w14:paraId="6804A0AB" w14:textId="77777777" w:rsidR="00881A82" w:rsidRPr="00473486" w:rsidRDefault="007D1E3A">
      <w:pPr>
        <w:spacing w:line="360" w:lineRule="auto"/>
        <w:jc w:val="center"/>
        <w:rPr>
          <w:rFonts w:eastAsiaTheme="minorEastAsia"/>
          <w:b/>
          <w:color w:val="000000" w:themeColor="text1"/>
          <w:sz w:val="36"/>
          <w:szCs w:val="36"/>
        </w:rPr>
      </w:pPr>
      <w:r w:rsidRPr="00473486">
        <w:rPr>
          <w:rFonts w:eastAsiaTheme="minorEastAsia"/>
          <w:b/>
          <w:color w:val="000000" w:themeColor="text1"/>
          <w:sz w:val="36"/>
          <w:szCs w:val="36"/>
        </w:rPr>
        <w:t>摩根中证同业存单</w:t>
      </w:r>
      <w:r w:rsidRPr="00473486">
        <w:rPr>
          <w:rFonts w:eastAsiaTheme="minorEastAsia"/>
          <w:b/>
          <w:color w:val="000000" w:themeColor="text1"/>
          <w:sz w:val="36"/>
          <w:szCs w:val="36"/>
        </w:rPr>
        <w:t>AAA</w:t>
      </w:r>
      <w:r w:rsidRPr="00473486">
        <w:rPr>
          <w:rFonts w:eastAsiaTheme="minorEastAsia"/>
          <w:b/>
          <w:color w:val="000000" w:themeColor="text1"/>
          <w:sz w:val="36"/>
          <w:szCs w:val="36"/>
        </w:rPr>
        <w:t>指数</w:t>
      </w:r>
      <w:r w:rsidRPr="00473486">
        <w:rPr>
          <w:rFonts w:eastAsiaTheme="minorEastAsia"/>
          <w:b/>
          <w:color w:val="000000" w:themeColor="text1"/>
          <w:sz w:val="36"/>
          <w:szCs w:val="36"/>
        </w:rPr>
        <w:t>7</w:t>
      </w:r>
      <w:r w:rsidRPr="00473486">
        <w:rPr>
          <w:rFonts w:eastAsiaTheme="minorEastAsia"/>
          <w:b/>
          <w:color w:val="000000" w:themeColor="text1"/>
          <w:sz w:val="36"/>
          <w:szCs w:val="36"/>
        </w:rPr>
        <w:t>天持有期证券投资基金</w:t>
      </w:r>
    </w:p>
    <w:p w14:paraId="1494B72F" w14:textId="77777777" w:rsidR="00881A82" w:rsidRPr="00473486" w:rsidRDefault="007D1E3A">
      <w:pPr>
        <w:spacing w:line="360" w:lineRule="auto"/>
        <w:jc w:val="center"/>
        <w:rPr>
          <w:rFonts w:eastAsiaTheme="minorEastAsia"/>
          <w:b/>
          <w:color w:val="000000" w:themeColor="text1"/>
          <w:sz w:val="36"/>
          <w:szCs w:val="36"/>
        </w:rPr>
      </w:pPr>
      <w:r w:rsidRPr="00473486">
        <w:rPr>
          <w:rFonts w:eastAsiaTheme="minorEastAsia"/>
          <w:b/>
          <w:color w:val="000000" w:themeColor="text1"/>
          <w:sz w:val="36"/>
          <w:szCs w:val="36"/>
        </w:rPr>
        <w:t>2024</w:t>
      </w:r>
      <w:r w:rsidRPr="00473486">
        <w:rPr>
          <w:rFonts w:eastAsiaTheme="minorEastAsia"/>
          <w:b/>
          <w:color w:val="000000" w:themeColor="text1"/>
          <w:sz w:val="36"/>
          <w:szCs w:val="36"/>
        </w:rPr>
        <w:t>年第</w:t>
      </w:r>
      <w:r w:rsidRPr="00473486">
        <w:rPr>
          <w:rFonts w:eastAsiaTheme="minorEastAsia"/>
          <w:b/>
          <w:color w:val="000000" w:themeColor="text1"/>
          <w:sz w:val="36"/>
          <w:szCs w:val="36"/>
        </w:rPr>
        <w:t>3</w:t>
      </w:r>
      <w:r w:rsidRPr="00473486">
        <w:rPr>
          <w:rFonts w:eastAsiaTheme="minorEastAsia"/>
          <w:b/>
          <w:color w:val="000000" w:themeColor="text1"/>
          <w:sz w:val="36"/>
          <w:szCs w:val="36"/>
        </w:rPr>
        <w:t>季度报告</w:t>
      </w:r>
    </w:p>
    <w:p w14:paraId="2844519B" w14:textId="77777777" w:rsidR="00881A82" w:rsidRPr="00473486" w:rsidRDefault="007D1E3A">
      <w:pPr>
        <w:spacing w:line="360" w:lineRule="auto"/>
        <w:jc w:val="center"/>
        <w:rPr>
          <w:rFonts w:eastAsiaTheme="minorEastAsia"/>
          <w:b/>
          <w:color w:val="000000" w:themeColor="text1"/>
          <w:sz w:val="36"/>
          <w:szCs w:val="36"/>
        </w:rPr>
      </w:pPr>
      <w:r w:rsidRPr="00473486">
        <w:rPr>
          <w:rFonts w:eastAsiaTheme="minorEastAsia"/>
          <w:b/>
          <w:color w:val="000000" w:themeColor="text1"/>
          <w:sz w:val="36"/>
          <w:szCs w:val="36"/>
        </w:rPr>
        <w:t>2024</w:t>
      </w:r>
      <w:r w:rsidRPr="00473486">
        <w:rPr>
          <w:rFonts w:eastAsiaTheme="minorEastAsia"/>
          <w:b/>
          <w:color w:val="000000" w:themeColor="text1"/>
          <w:sz w:val="36"/>
          <w:szCs w:val="36"/>
        </w:rPr>
        <w:t>年</w:t>
      </w:r>
      <w:r w:rsidRPr="00473486">
        <w:rPr>
          <w:rFonts w:eastAsiaTheme="minorEastAsia"/>
          <w:b/>
          <w:color w:val="000000" w:themeColor="text1"/>
          <w:sz w:val="36"/>
          <w:szCs w:val="36"/>
        </w:rPr>
        <w:t>9</w:t>
      </w:r>
      <w:r w:rsidRPr="00473486">
        <w:rPr>
          <w:rFonts w:eastAsiaTheme="minorEastAsia"/>
          <w:b/>
          <w:color w:val="000000" w:themeColor="text1"/>
          <w:sz w:val="36"/>
          <w:szCs w:val="36"/>
        </w:rPr>
        <w:t>月</w:t>
      </w:r>
      <w:r w:rsidRPr="00473486">
        <w:rPr>
          <w:rFonts w:eastAsiaTheme="minorEastAsia"/>
          <w:b/>
          <w:color w:val="000000" w:themeColor="text1"/>
          <w:sz w:val="36"/>
          <w:szCs w:val="36"/>
        </w:rPr>
        <w:t>30</w:t>
      </w:r>
      <w:r w:rsidRPr="00473486">
        <w:rPr>
          <w:rFonts w:eastAsiaTheme="minorEastAsia"/>
          <w:b/>
          <w:color w:val="000000" w:themeColor="text1"/>
          <w:sz w:val="36"/>
          <w:szCs w:val="36"/>
        </w:rPr>
        <w:t>日</w:t>
      </w:r>
    </w:p>
    <w:p w14:paraId="5FFB5E61" w14:textId="77777777" w:rsidR="00881A82" w:rsidRPr="00473486" w:rsidRDefault="00881A82">
      <w:pPr>
        <w:spacing w:line="360" w:lineRule="auto"/>
        <w:jc w:val="center"/>
        <w:rPr>
          <w:rFonts w:eastAsiaTheme="minorEastAsia"/>
          <w:b/>
          <w:color w:val="000000" w:themeColor="text1"/>
          <w:sz w:val="24"/>
        </w:rPr>
      </w:pPr>
    </w:p>
    <w:p w14:paraId="49609C7C" w14:textId="77777777" w:rsidR="00881A82" w:rsidRPr="00473486" w:rsidRDefault="00881A82">
      <w:pPr>
        <w:spacing w:line="360" w:lineRule="auto"/>
        <w:jc w:val="center"/>
        <w:rPr>
          <w:rFonts w:eastAsiaTheme="minorEastAsia"/>
          <w:b/>
          <w:color w:val="000000" w:themeColor="text1"/>
          <w:sz w:val="24"/>
        </w:rPr>
      </w:pPr>
    </w:p>
    <w:p w14:paraId="1A601472" w14:textId="77777777" w:rsidR="00881A82" w:rsidRPr="00473486" w:rsidRDefault="00881A82">
      <w:pPr>
        <w:spacing w:line="360" w:lineRule="auto"/>
        <w:jc w:val="center"/>
        <w:rPr>
          <w:rFonts w:eastAsiaTheme="minorEastAsia"/>
          <w:b/>
          <w:color w:val="000000" w:themeColor="text1"/>
          <w:sz w:val="24"/>
        </w:rPr>
      </w:pPr>
    </w:p>
    <w:p w14:paraId="72FD1342" w14:textId="77777777" w:rsidR="00881A82" w:rsidRPr="00473486" w:rsidRDefault="00881A82">
      <w:pPr>
        <w:spacing w:line="360" w:lineRule="auto"/>
        <w:jc w:val="center"/>
        <w:rPr>
          <w:rFonts w:eastAsiaTheme="minorEastAsia"/>
          <w:b/>
          <w:color w:val="000000" w:themeColor="text1"/>
          <w:sz w:val="24"/>
        </w:rPr>
      </w:pPr>
    </w:p>
    <w:p w14:paraId="71D8AD81" w14:textId="77777777" w:rsidR="00881A82" w:rsidRPr="00473486" w:rsidRDefault="00881A82">
      <w:pPr>
        <w:spacing w:line="360" w:lineRule="auto"/>
        <w:jc w:val="center"/>
        <w:rPr>
          <w:rFonts w:eastAsiaTheme="minorEastAsia"/>
          <w:b/>
          <w:color w:val="000000" w:themeColor="text1"/>
          <w:sz w:val="24"/>
        </w:rPr>
      </w:pPr>
    </w:p>
    <w:p w14:paraId="208528AC" w14:textId="77777777" w:rsidR="00881A82" w:rsidRPr="00473486" w:rsidRDefault="00881A82">
      <w:pPr>
        <w:spacing w:line="360" w:lineRule="auto"/>
        <w:jc w:val="center"/>
        <w:rPr>
          <w:rFonts w:eastAsiaTheme="minorEastAsia"/>
          <w:b/>
          <w:color w:val="000000" w:themeColor="text1"/>
          <w:sz w:val="24"/>
        </w:rPr>
      </w:pPr>
    </w:p>
    <w:p w14:paraId="2F761D3C" w14:textId="77777777" w:rsidR="00881A82" w:rsidRPr="00473486" w:rsidRDefault="00881A82">
      <w:pPr>
        <w:spacing w:line="360" w:lineRule="auto"/>
        <w:jc w:val="center"/>
        <w:rPr>
          <w:rFonts w:eastAsiaTheme="minorEastAsia"/>
          <w:b/>
          <w:color w:val="000000" w:themeColor="text1"/>
          <w:sz w:val="24"/>
        </w:rPr>
      </w:pPr>
    </w:p>
    <w:p w14:paraId="614C5CF6" w14:textId="77777777" w:rsidR="00881A82" w:rsidRPr="00473486" w:rsidRDefault="00881A82">
      <w:pPr>
        <w:spacing w:line="360" w:lineRule="auto"/>
        <w:jc w:val="center"/>
        <w:rPr>
          <w:rFonts w:eastAsiaTheme="minorEastAsia"/>
          <w:b/>
          <w:color w:val="000000" w:themeColor="text1"/>
          <w:sz w:val="24"/>
        </w:rPr>
      </w:pPr>
    </w:p>
    <w:p w14:paraId="49974539" w14:textId="77777777" w:rsidR="00881A82" w:rsidRPr="00473486" w:rsidRDefault="00881A82">
      <w:pPr>
        <w:spacing w:line="360" w:lineRule="auto"/>
        <w:jc w:val="center"/>
        <w:rPr>
          <w:rFonts w:eastAsiaTheme="minorEastAsia"/>
          <w:b/>
          <w:color w:val="000000" w:themeColor="text1"/>
          <w:sz w:val="24"/>
        </w:rPr>
      </w:pPr>
    </w:p>
    <w:p w14:paraId="4B477F36" w14:textId="77777777" w:rsidR="00881A82" w:rsidRPr="00473486" w:rsidRDefault="00881A82">
      <w:pPr>
        <w:spacing w:line="360" w:lineRule="auto"/>
        <w:jc w:val="center"/>
        <w:rPr>
          <w:rFonts w:eastAsiaTheme="minorEastAsia"/>
          <w:b/>
          <w:color w:val="000000" w:themeColor="text1"/>
          <w:sz w:val="24"/>
        </w:rPr>
      </w:pPr>
    </w:p>
    <w:p w14:paraId="10E81CDA" w14:textId="77777777" w:rsidR="00881A82" w:rsidRPr="00473486" w:rsidRDefault="00881A82">
      <w:pPr>
        <w:spacing w:line="360" w:lineRule="auto"/>
        <w:jc w:val="center"/>
        <w:rPr>
          <w:rFonts w:eastAsiaTheme="minorEastAsia"/>
          <w:b/>
          <w:color w:val="000000" w:themeColor="text1"/>
          <w:sz w:val="24"/>
        </w:rPr>
      </w:pPr>
    </w:p>
    <w:p w14:paraId="33A78FB1" w14:textId="77777777" w:rsidR="00881A82" w:rsidRPr="00473486" w:rsidRDefault="00881A82">
      <w:pPr>
        <w:spacing w:line="360" w:lineRule="auto"/>
        <w:jc w:val="center"/>
        <w:rPr>
          <w:rFonts w:eastAsiaTheme="minorEastAsia"/>
          <w:b/>
          <w:color w:val="000000" w:themeColor="text1"/>
          <w:sz w:val="24"/>
        </w:rPr>
      </w:pPr>
    </w:p>
    <w:p w14:paraId="3E40517E" w14:textId="77777777" w:rsidR="00881A82" w:rsidRPr="00473486" w:rsidRDefault="00881A82">
      <w:pPr>
        <w:spacing w:line="360" w:lineRule="auto"/>
        <w:jc w:val="center"/>
        <w:rPr>
          <w:rFonts w:eastAsiaTheme="minorEastAsia"/>
          <w:b/>
          <w:color w:val="000000" w:themeColor="text1"/>
          <w:sz w:val="24"/>
        </w:rPr>
      </w:pPr>
    </w:p>
    <w:p w14:paraId="44832098" w14:textId="77777777" w:rsidR="00881A82" w:rsidRPr="00473486" w:rsidRDefault="00881A82">
      <w:pPr>
        <w:spacing w:line="360" w:lineRule="auto"/>
        <w:jc w:val="center"/>
        <w:rPr>
          <w:rFonts w:eastAsiaTheme="minorEastAsia"/>
          <w:b/>
          <w:color w:val="000000" w:themeColor="text1"/>
          <w:sz w:val="24"/>
        </w:rPr>
      </w:pPr>
    </w:p>
    <w:p w14:paraId="75864E8B" w14:textId="77777777" w:rsidR="00881A82" w:rsidRPr="00473486" w:rsidRDefault="00881A82">
      <w:pPr>
        <w:spacing w:line="360" w:lineRule="auto"/>
        <w:rPr>
          <w:rFonts w:eastAsiaTheme="minorEastAsia"/>
          <w:b/>
          <w:color w:val="000000" w:themeColor="text1"/>
          <w:sz w:val="24"/>
        </w:rPr>
      </w:pPr>
    </w:p>
    <w:p w14:paraId="3C8016D8" w14:textId="77777777" w:rsidR="00881A82" w:rsidRPr="00473486" w:rsidRDefault="007D1E3A">
      <w:pPr>
        <w:spacing w:line="360" w:lineRule="auto"/>
        <w:ind w:firstLineChars="900" w:firstLine="2168"/>
        <w:rPr>
          <w:rFonts w:eastAsiaTheme="minorEastAsia"/>
          <w:b/>
          <w:color w:val="000000" w:themeColor="text1"/>
          <w:sz w:val="24"/>
        </w:rPr>
      </w:pPr>
      <w:r w:rsidRPr="00473486">
        <w:rPr>
          <w:rFonts w:eastAsiaTheme="minorEastAsia"/>
          <w:b/>
          <w:color w:val="000000" w:themeColor="text1"/>
          <w:sz w:val="24"/>
        </w:rPr>
        <w:t>基金管理人：摩根基金管理（中国）有限公司</w:t>
      </w:r>
    </w:p>
    <w:p w14:paraId="18F92920" w14:textId="77777777" w:rsidR="00881A82" w:rsidRPr="00473486" w:rsidRDefault="007D1E3A">
      <w:pPr>
        <w:spacing w:line="360" w:lineRule="auto"/>
        <w:ind w:firstLineChars="900" w:firstLine="2168"/>
        <w:rPr>
          <w:rFonts w:eastAsiaTheme="minorEastAsia"/>
          <w:b/>
          <w:color w:val="000000" w:themeColor="text1"/>
          <w:sz w:val="24"/>
        </w:rPr>
      </w:pPr>
      <w:r w:rsidRPr="00473486">
        <w:rPr>
          <w:rFonts w:eastAsiaTheme="minorEastAsia"/>
          <w:b/>
          <w:color w:val="000000" w:themeColor="text1"/>
          <w:sz w:val="24"/>
        </w:rPr>
        <w:t>基金托管人：交通银行股份有限公司</w:t>
      </w:r>
    </w:p>
    <w:p w14:paraId="29AB5D22" w14:textId="77777777" w:rsidR="00881A82" w:rsidRPr="00473486" w:rsidRDefault="007D1E3A">
      <w:pPr>
        <w:spacing w:line="360" w:lineRule="auto"/>
        <w:ind w:firstLineChars="900" w:firstLine="2168"/>
        <w:rPr>
          <w:rFonts w:eastAsiaTheme="minorEastAsia"/>
          <w:b/>
          <w:color w:val="000000" w:themeColor="text1"/>
          <w:sz w:val="24"/>
        </w:rPr>
        <w:sectPr w:rsidR="00881A82" w:rsidRPr="00473486">
          <w:headerReference w:type="default" r:id="rId7"/>
          <w:footerReference w:type="default" r:id="rId8"/>
          <w:pgSz w:w="11926" w:h="15840"/>
          <w:pgMar w:top="1418" w:right="1418" w:bottom="851" w:left="1418" w:header="851" w:footer="992" w:gutter="0"/>
          <w:cols w:space="720"/>
        </w:sectPr>
      </w:pPr>
      <w:r w:rsidRPr="00473486">
        <w:rPr>
          <w:rFonts w:eastAsiaTheme="minorEastAsia"/>
          <w:b/>
          <w:color w:val="000000" w:themeColor="text1"/>
          <w:sz w:val="24"/>
        </w:rPr>
        <w:t>报告送出日期：二〇二四年十月二十五日</w:t>
      </w:r>
    </w:p>
    <w:p w14:paraId="2E20B725" w14:textId="77777777" w:rsidR="00881A82" w:rsidRPr="00473486" w:rsidRDefault="007D1E3A">
      <w:pPr>
        <w:pStyle w:val="1"/>
        <w:spacing w:beforeLines="100" w:before="312" w:afterLines="100" w:after="312" w:line="360" w:lineRule="auto"/>
        <w:jc w:val="center"/>
        <w:rPr>
          <w:rFonts w:eastAsiaTheme="minorEastAsia"/>
          <w:b w:val="0"/>
          <w:color w:val="000000" w:themeColor="text1"/>
          <w:kern w:val="0"/>
          <w:sz w:val="24"/>
          <w:szCs w:val="24"/>
        </w:rPr>
      </w:pPr>
      <w:r w:rsidRPr="00473486">
        <w:rPr>
          <w:rFonts w:eastAsiaTheme="minorEastAsia"/>
          <w:color w:val="000000" w:themeColor="text1"/>
          <w:kern w:val="0"/>
          <w:sz w:val="24"/>
          <w:szCs w:val="24"/>
        </w:rPr>
        <w:lastRenderedPageBreak/>
        <w:t xml:space="preserve">§1  </w:t>
      </w:r>
      <w:r w:rsidRPr="00473486">
        <w:rPr>
          <w:rFonts w:eastAsiaTheme="minorEastAsia"/>
          <w:color w:val="000000" w:themeColor="text1"/>
          <w:kern w:val="0"/>
          <w:sz w:val="24"/>
          <w:szCs w:val="24"/>
        </w:rPr>
        <w:t>重要提示</w:t>
      </w:r>
    </w:p>
    <w:p w14:paraId="381EDF75"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14:paraId="136F5D41"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基金托管人交通银行股份有限公司根据本基金合同规定，于</w:t>
      </w:r>
      <w:r>
        <w:rPr>
          <w:rFonts w:eastAsiaTheme="minorEastAsia"/>
          <w:color w:val="000000" w:themeColor="text1"/>
          <w:szCs w:val="21"/>
        </w:rPr>
        <w:t>2024</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24</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14:paraId="3259409C"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14:paraId="25106AC7"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14:paraId="01DD206D"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14:paraId="1B3197B1"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本报告期自</w:t>
      </w:r>
      <w:r w:rsidRPr="00473486">
        <w:rPr>
          <w:rFonts w:eastAsiaTheme="minorEastAsia"/>
          <w:color w:val="000000" w:themeColor="text1"/>
          <w:szCs w:val="21"/>
        </w:rPr>
        <w:t>2024</w:t>
      </w:r>
      <w:r w:rsidRPr="00473486">
        <w:rPr>
          <w:rFonts w:eastAsiaTheme="minorEastAsia"/>
          <w:color w:val="000000" w:themeColor="text1"/>
          <w:szCs w:val="21"/>
        </w:rPr>
        <w:t>年</w:t>
      </w:r>
      <w:r w:rsidRPr="00473486">
        <w:rPr>
          <w:rFonts w:eastAsiaTheme="minorEastAsia"/>
          <w:color w:val="000000" w:themeColor="text1"/>
          <w:szCs w:val="21"/>
        </w:rPr>
        <w:t>7</w:t>
      </w:r>
      <w:r w:rsidRPr="00473486">
        <w:rPr>
          <w:rFonts w:eastAsiaTheme="minorEastAsia"/>
          <w:color w:val="000000" w:themeColor="text1"/>
          <w:szCs w:val="21"/>
        </w:rPr>
        <w:t>月</w:t>
      </w:r>
      <w:r w:rsidRPr="00473486">
        <w:rPr>
          <w:rFonts w:eastAsiaTheme="minorEastAsia"/>
          <w:color w:val="000000" w:themeColor="text1"/>
          <w:szCs w:val="21"/>
        </w:rPr>
        <w:t>1</w:t>
      </w:r>
      <w:r w:rsidRPr="00473486">
        <w:rPr>
          <w:rFonts w:eastAsiaTheme="minorEastAsia"/>
          <w:color w:val="000000" w:themeColor="text1"/>
          <w:szCs w:val="21"/>
        </w:rPr>
        <w:t>日起至</w:t>
      </w:r>
      <w:r w:rsidRPr="00473486">
        <w:rPr>
          <w:rFonts w:eastAsiaTheme="minorEastAsia"/>
          <w:color w:val="000000" w:themeColor="text1"/>
          <w:szCs w:val="21"/>
        </w:rPr>
        <w:t>9</w:t>
      </w:r>
      <w:r w:rsidRPr="00473486">
        <w:rPr>
          <w:rFonts w:eastAsiaTheme="minorEastAsia"/>
          <w:color w:val="000000" w:themeColor="text1"/>
          <w:szCs w:val="21"/>
        </w:rPr>
        <w:t>月</w:t>
      </w:r>
      <w:r w:rsidRPr="00473486">
        <w:rPr>
          <w:rFonts w:eastAsiaTheme="minorEastAsia"/>
          <w:color w:val="000000" w:themeColor="text1"/>
          <w:szCs w:val="21"/>
        </w:rPr>
        <w:t>30</w:t>
      </w:r>
      <w:r w:rsidRPr="00473486">
        <w:rPr>
          <w:rFonts w:eastAsiaTheme="minorEastAsia"/>
          <w:color w:val="000000" w:themeColor="text1"/>
          <w:szCs w:val="21"/>
        </w:rPr>
        <w:t>日止。</w:t>
      </w:r>
    </w:p>
    <w:p w14:paraId="58952D94"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§2  </w:t>
      </w:r>
      <w:r w:rsidRPr="00473486">
        <w:rPr>
          <w:rFonts w:eastAsiaTheme="minorEastAsia"/>
          <w:color w:val="000000" w:themeColor="text1"/>
          <w:kern w:val="0"/>
          <w:sz w:val="24"/>
          <w:szCs w:val="24"/>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479"/>
      </w:tblGrid>
      <w:tr w:rsidR="00881A82" w:rsidRPr="00473486" w14:paraId="7F73CB1C" w14:textId="77777777">
        <w:tc>
          <w:tcPr>
            <w:tcW w:w="2835" w:type="dxa"/>
            <w:vAlign w:val="center"/>
          </w:tcPr>
          <w:p w14:paraId="6E027429"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基金简称</w:t>
            </w:r>
          </w:p>
        </w:tc>
        <w:tc>
          <w:tcPr>
            <w:tcW w:w="5479" w:type="dxa"/>
            <w:vAlign w:val="center"/>
          </w:tcPr>
          <w:p w14:paraId="6F2F2A39"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摩根中证同业存单</w:t>
            </w:r>
            <w:r w:rsidRPr="00473486">
              <w:rPr>
                <w:rFonts w:eastAsiaTheme="minorEastAsia"/>
                <w:color w:val="000000" w:themeColor="text1"/>
                <w:kern w:val="0"/>
                <w:szCs w:val="21"/>
              </w:rPr>
              <w:t>AAA</w:t>
            </w:r>
            <w:r w:rsidRPr="00473486">
              <w:rPr>
                <w:rFonts w:eastAsiaTheme="minorEastAsia"/>
                <w:color w:val="000000" w:themeColor="text1"/>
                <w:kern w:val="0"/>
                <w:szCs w:val="21"/>
              </w:rPr>
              <w:t>指数</w:t>
            </w:r>
            <w:r w:rsidRPr="00473486">
              <w:rPr>
                <w:rFonts w:eastAsiaTheme="minorEastAsia"/>
                <w:color w:val="000000" w:themeColor="text1"/>
                <w:kern w:val="0"/>
                <w:szCs w:val="21"/>
              </w:rPr>
              <w:t>7</w:t>
            </w:r>
            <w:r w:rsidRPr="00473486">
              <w:rPr>
                <w:rFonts w:eastAsiaTheme="minorEastAsia"/>
                <w:color w:val="000000" w:themeColor="text1"/>
                <w:kern w:val="0"/>
                <w:szCs w:val="21"/>
              </w:rPr>
              <w:t>天持有期</w:t>
            </w:r>
          </w:p>
        </w:tc>
      </w:tr>
      <w:tr w:rsidR="00881A82" w:rsidRPr="00473486" w14:paraId="3AB3090C" w14:textId="77777777">
        <w:tc>
          <w:tcPr>
            <w:tcW w:w="2835" w:type="dxa"/>
            <w:tcBorders>
              <w:top w:val="single" w:sz="4" w:space="0" w:color="auto"/>
              <w:left w:val="single" w:sz="4" w:space="0" w:color="auto"/>
              <w:bottom w:val="single" w:sz="4" w:space="0" w:color="auto"/>
              <w:right w:val="single" w:sz="4" w:space="0" w:color="auto"/>
            </w:tcBorders>
            <w:vAlign w:val="center"/>
          </w:tcPr>
          <w:p w14:paraId="1843DB7F"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基金主代码</w:t>
            </w:r>
          </w:p>
        </w:tc>
        <w:tc>
          <w:tcPr>
            <w:tcW w:w="5479" w:type="dxa"/>
            <w:tcBorders>
              <w:top w:val="single" w:sz="4" w:space="0" w:color="auto"/>
              <w:left w:val="single" w:sz="4" w:space="0" w:color="auto"/>
              <w:bottom w:val="single" w:sz="4" w:space="0" w:color="auto"/>
              <w:right w:val="single" w:sz="4" w:space="0" w:color="auto"/>
            </w:tcBorders>
            <w:vAlign w:val="center"/>
          </w:tcPr>
          <w:p w14:paraId="7E486762"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019683</w:t>
            </w:r>
          </w:p>
        </w:tc>
      </w:tr>
      <w:tr w:rsidR="00881A82" w:rsidRPr="00473486" w14:paraId="774E4559" w14:textId="77777777">
        <w:tc>
          <w:tcPr>
            <w:tcW w:w="2835" w:type="dxa"/>
            <w:tcBorders>
              <w:top w:val="single" w:sz="4" w:space="0" w:color="auto"/>
              <w:left w:val="single" w:sz="4" w:space="0" w:color="auto"/>
              <w:bottom w:val="single" w:sz="4" w:space="0" w:color="auto"/>
              <w:right w:val="single" w:sz="4" w:space="0" w:color="auto"/>
            </w:tcBorders>
            <w:vAlign w:val="center"/>
          </w:tcPr>
          <w:p w14:paraId="016EE150"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14:paraId="15C66646"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019683</w:t>
            </w:r>
          </w:p>
        </w:tc>
      </w:tr>
      <w:tr w:rsidR="00881A82" w:rsidRPr="00473486" w14:paraId="3FEE95B9" w14:textId="77777777">
        <w:tc>
          <w:tcPr>
            <w:tcW w:w="2835" w:type="dxa"/>
            <w:vAlign w:val="center"/>
          </w:tcPr>
          <w:p w14:paraId="10C75C56"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基金运作方式</w:t>
            </w:r>
          </w:p>
        </w:tc>
        <w:tc>
          <w:tcPr>
            <w:tcW w:w="5479" w:type="dxa"/>
            <w:vAlign w:val="center"/>
          </w:tcPr>
          <w:p w14:paraId="4B2E07D0"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契约型开放式</w:t>
            </w:r>
          </w:p>
        </w:tc>
      </w:tr>
      <w:tr w:rsidR="00881A82" w:rsidRPr="00473486" w14:paraId="39B5C402" w14:textId="77777777">
        <w:tc>
          <w:tcPr>
            <w:tcW w:w="2835" w:type="dxa"/>
            <w:vAlign w:val="center"/>
          </w:tcPr>
          <w:p w14:paraId="3EF2A7E8"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基金合同生效日</w:t>
            </w:r>
          </w:p>
        </w:tc>
        <w:tc>
          <w:tcPr>
            <w:tcW w:w="5479" w:type="dxa"/>
            <w:vAlign w:val="center"/>
          </w:tcPr>
          <w:p w14:paraId="7E2056FB"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2023</w:t>
            </w:r>
            <w:r w:rsidRPr="00473486">
              <w:rPr>
                <w:rFonts w:eastAsiaTheme="minorEastAsia"/>
                <w:color w:val="000000" w:themeColor="text1"/>
                <w:kern w:val="0"/>
                <w:szCs w:val="21"/>
              </w:rPr>
              <w:t>年</w:t>
            </w:r>
            <w:r w:rsidRPr="00473486">
              <w:rPr>
                <w:rFonts w:eastAsiaTheme="minorEastAsia"/>
                <w:color w:val="000000" w:themeColor="text1"/>
                <w:kern w:val="0"/>
                <w:szCs w:val="21"/>
              </w:rPr>
              <w:t>12</w:t>
            </w:r>
            <w:r w:rsidRPr="00473486">
              <w:rPr>
                <w:rFonts w:eastAsiaTheme="minorEastAsia"/>
                <w:color w:val="000000" w:themeColor="text1"/>
                <w:kern w:val="0"/>
                <w:szCs w:val="21"/>
              </w:rPr>
              <w:t>月</w:t>
            </w:r>
            <w:r w:rsidRPr="00473486">
              <w:rPr>
                <w:rFonts w:eastAsiaTheme="minorEastAsia"/>
                <w:color w:val="000000" w:themeColor="text1"/>
                <w:kern w:val="0"/>
                <w:szCs w:val="21"/>
              </w:rPr>
              <w:t>18</w:t>
            </w:r>
            <w:r w:rsidRPr="00473486">
              <w:rPr>
                <w:rFonts w:eastAsiaTheme="minorEastAsia"/>
                <w:color w:val="000000" w:themeColor="text1"/>
                <w:kern w:val="0"/>
                <w:szCs w:val="21"/>
              </w:rPr>
              <w:t>日</w:t>
            </w:r>
          </w:p>
        </w:tc>
      </w:tr>
      <w:tr w:rsidR="00881A82" w:rsidRPr="00473486" w14:paraId="69FD8729" w14:textId="77777777">
        <w:tc>
          <w:tcPr>
            <w:tcW w:w="2835" w:type="dxa"/>
            <w:vAlign w:val="center"/>
          </w:tcPr>
          <w:p w14:paraId="0D2D5F11"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报告期末基金份额总额</w:t>
            </w:r>
          </w:p>
        </w:tc>
        <w:tc>
          <w:tcPr>
            <w:tcW w:w="5479" w:type="dxa"/>
            <w:vAlign w:val="center"/>
          </w:tcPr>
          <w:p w14:paraId="20A4B697"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282,570,871.44</w:t>
            </w:r>
            <w:r w:rsidRPr="00473486">
              <w:rPr>
                <w:rFonts w:eastAsiaTheme="minorEastAsia"/>
                <w:color w:val="000000" w:themeColor="text1"/>
                <w:kern w:val="0"/>
                <w:szCs w:val="21"/>
              </w:rPr>
              <w:t>份</w:t>
            </w:r>
          </w:p>
        </w:tc>
      </w:tr>
      <w:tr w:rsidR="00881A82" w:rsidRPr="00473486" w14:paraId="3660F7A1" w14:textId="77777777">
        <w:tc>
          <w:tcPr>
            <w:tcW w:w="2835" w:type="dxa"/>
            <w:vAlign w:val="center"/>
          </w:tcPr>
          <w:p w14:paraId="3E371499"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投资目标</w:t>
            </w:r>
          </w:p>
        </w:tc>
        <w:tc>
          <w:tcPr>
            <w:tcW w:w="5479" w:type="dxa"/>
            <w:vAlign w:val="center"/>
          </w:tcPr>
          <w:p w14:paraId="621E1037"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本基金通过指数化投资，争取在扣除各项费用之前获得与标的指数相似的总回报，追求跟踪偏离度及跟踪误差的最小化。</w:t>
            </w:r>
          </w:p>
        </w:tc>
      </w:tr>
      <w:tr w:rsidR="00881A82" w:rsidRPr="00473486" w14:paraId="26B77C4F" w14:textId="77777777">
        <w:tc>
          <w:tcPr>
            <w:tcW w:w="2835" w:type="dxa"/>
            <w:vAlign w:val="center"/>
          </w:tcPr>
          <w:p w14:paraId="4108B9AC"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投资策略</w:t>
            </w:r>
          </w:p>
        </w:tc>
        <w:tc>
          <w:tcPr>
            <w:tcW w:w="5479" w:type="dxa"/>
            <w:vAlign w:val="center"/>
          </w:tcPr>
          <w:p w14:paraId="06C7E1B1"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（一）资产配置策略</w:t>
            </w:r>
          </w:p>
          <w:p w14:paraId="3D29ED7C"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本基金将在降低跟踪误差和控制流动性风险的前提下构建指数化的投资组合。本基金投资于同业存单的比例不低于基金资产的</w:t>
            </w:r>
            <w:r>
              <w:rPr>
                <w:rFonts w:eastAsiaTheme="minorEastAsia"/>
                <w:color w:val="000000" w:themeColor="text1"/>
                <w:kern w:val="0"/>
                <w:szCs w:val="21"/>
              </w:rPr>
              <w:t>80%</w:t>
            </w:r>
            <w:r>
              <w:rPr>
                <w:rFonts w:eastAsiaTheme="minorEastAsia"/>
                <w:color w:val="000000" w:themeColor="text1"/>
                <w:kern w:val="0"/>
                <w:szCs w:val="21"/>
              </w:rPr>
              <w:t>，投资于标的指数成份券和备选成份券</w:t>
            </w:r>
            <w:r>
              <w:rPr>
                <w:rFonts w:eastAsiaTheme="minorEastAsia"/>
                <w:color w:val="000000" w:themeColor="text1"/>
                <w:kern w:val="0"/>
                <w:szCs w:val="21"/>
              </w:rPr>
              <w:lastRenderedPageBreak/>
              <w:t>的比例不低于非现金基金资产的</w:t>
            </w:r>
            <w:r>
              <w:rPr>
                <w:rFonts w:eastAsiaTheme="minorEastAsia"/>
                <w:color w:val="000000" w:themeColor="text1"/>
                <w:kern w:val="0"/>
                <w:szCs w:val="21"/>
              </w:rPr>
              <w:t>80%</w:t>
            </w:r>
            <w:r>
              <w:rPr>
                <w:rFonts w:eastAsiaTheme="minorEastAsia"/>
                <w:color w:val="000000" w:themeColor="text1"/>
                <w:kern w:val="0"/>
                <w:szCs w:val="21"/>
              </w:rPr>
              <w:t>。</w:t>
            </w:r>
          </w:p>
          <w:p w14:paraId="0C889201"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（二）抽样复制策略</w:t>
            </w:r>
          </w:p>
          <w:p w14:paraId="6E55EFAD"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本基金按待偿期将可投资同业存单进行分层，综合考虑同业存单发行人的信用资质、存单流动性及可获得性，在每个分层中选取一定数量个券，分配权重，使得组合每个分层的权重占比与</w:t>
            </w:r>
            <w:r>
              <w:rPr>
                <w:rFonts w:eastAsiaTheme="minorEastAsia"/>
                <w:color w:val="000000" w:themeColor="text1"/>
                <w:kern w:val="0"/>
                <w:szCs w:val="21"/>
              </w:rPr>
              <w:t>指数保持一致。本基金将定期对投资组合进行调整，以确保组合总体特征与标的指数相似，并缩小跟踪误差。当发生较大的申购赎回、组合中同业存单派息、存单到期以及市场波动剧烈等情况，导致投资组合与标的指数出现偏离，本基金将综合考虑市场流动性、交易成本、偏离程度等因素，对投资组合进行不定期的动态调整以缩小跟踪误差。</w:t>
            </w:r>
          </w:p>
          <w:p w14:paraId="71D8AC57"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（三）替代性策略</w:t>
            </w:r>
          </w:p>
          <w:p w14:paraId="20588669"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可以在成份券和备选成份券外寻找其他存单和债券构建替代组合，本基金将选取与成份券久期相近、剩余期限基本匹配的存单和债券进行替代。在力求跟踪误差最小化的前提下，本基金可采取适当方法，如</w:t>
            </w:r>
            <w:r>
              <w:rPr>
                <w:rFonts w:eastAsiaTheme="minorEastAsia"/>
                <w:color w:val="000000" w:themeColor="text1"/>
                <w:kern w:val="0"/>
                <w:szCs w:val="21"/>
              </w:rPr>
              <w:t>久期管理、期限结构配置、类别配置、骑乘、息差等优化策略对基金资产进行调整，降低交易成本，以期在规定的风险承受限度之内，尽量缩小跟踪误差。</w:t>
            </w:r>
          </w:p>
          <w:p w14:paraId="7F2926E8"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（四）资产支持证券投资策略</w:t>
            </w:r>
          </w:p>
          <w:p w14:paraId="68C69E65"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tc>
      </w:tr>
      <w:tr w:rsidR="00881A82" w:rsidRPr="00473486" w14:paraId="61602E02" w14:textId="77777777">
        <w:tc>
          <w:tcPr>
            <w:tcW w:w="2835" w:type="dxa"/>
            <w:vAlign w:val="center"/>
          </w:tcPr>
          <w:p w14:paraId="6828A096"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lastRenderedPageBreak/>
              <w:t>业绩比较基准</w:t>
            </w:r>
          </w:p>
        </w:tc>
        <w:tc>
          <w:tcPr>
            <w:tcW w:w="5479" w:type="dxa"/>
            <w:vAlign w:val="center"/>
          </w:tcPr>
          <w:p w14:paraId="79A59C0A"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中证同业存单</w:t>
            </w:r>
            <w:r w:rsidRPr="00473486">
              <w:rPr>
                <w:rFonts w:eastAsiaTheme="minorEastAsia"/>
                <w:color w:val="000000" w:themeColor="text1"/>
                <w:kern w:val="0"/>
                <w:szCs w:val="21"/>
              </w:rPr>
              <w:t>AAA</w:t>
            </w:r>
            <w:r w:rsidRPr="00473486">
              <w:rPr>
                <w:rFonts w:eastAsiaTheme="minorEastAsia"/>
                <w:color w:val="000000" w:themeColor="text1"/>
                <w:kern w:val="0"/>
                <w:szCs w:val="21"/>
              </w:rPr>
              <w:t>指数收益率</w:t>
            </w:r>
            <w:r w:rsidRPr="00473486">
              <w:rPr>
                <w:rFonts w:eastAsiaTheme="minorEastAsia"/>
                <w:color w:val="000000" w:themeColor="text1"/>
                <w:kern w:val="0"/>
                <w:szCs w:val="21"/>
              </w:rPr>
              <w:t>×95%+</w:t>
            </w:r>
            <w:r w:rsidRPr="00473486">
              <w:rPr>
                <w:rFonts w:eastAsiaTheme="minorEastAsia"/>
                <w:color w:val="000000" w:themeColor="text1"/>
                <w:kern w:val="0"/>
                <w:szCs w:val="21"/>
              </w:rPr>
              <w:t>银行人民币一年定期存款利率（税后）</w:t>
            </w:r>
            <w:r w:rsidRPr="00473486">
              <w:rPr>
                <w:rFonts w:eastAsiaTheme="minorEastAsia"/>
                <w:color w:val="000000" w:themeColor="text1"/>
                <w:kern w:val="0"/>
                <w:szCs w:val="21"/>
              </w:rPr>
              <w:t>×5%</w:t>
            </w:r>
          </w:p>
        </w:tc>
      </w:tr>
      <w:tr w:rsidR="00881A82" w:rsidRPr="00473486" w14:paraId="0773981D" w14:textId="77777777">
        <w:tc>
          <w:tcPr>
            <w:tcW w:w="2835" w:type="dxa"/>
            <w:vAlign w:val="center"/>
          </w:tcPr>
          <w:p w14:paraId="41D1DEAA"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风险收益特征</w:t>
            </w:r>
          </w:p>
        </w:tc>
        <w:tc>
          <w:tcPr>
            <w:tcW w:w="5479" w:type="dxa"/>
            <w:vAlign w:val="center"/>
          </w:tcPr>
          <w:p w14:paraId="2B57F4BA" w14:textId="77777777" w:rsidR="00F25156" w:rsidRDefault="00920FC0">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本基金预期风险与预期收益低于股票型基金、偏股混合型基金，高于货币市场基金。</w:t>
            </w:r>
          </w:p>
          <w:p w14:paraId="68545CA8"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本基金为指数型基金，主要采用抽样复制和动态最优化的方法跟踪标的指数的表现，具有与标的指数以及标的指数所代表的市场相似的风险收益特征。</w:t>
            </w:r>
          </w:p>
        </w:tc>
      </w:tr>
      <w:tr w:rsidR="00881A82" w:rsidRPr="00473486" w14:paraId="362166E2" w14:textId="77777777">
        <w:tc>
          <w:tcPr>
            <w:tcW w:w="2835" w:type="dxa"/>
            <w:vAlign w:val="center"/>
          </w:tcPr>
          <w:p w14:paraId="789F4668"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基金管理人</w:t>
            </w:r>
          </w:p>
        </w:tc>
        <w:tc>
          <w:tcPr>
            <w:tcW w:w="5479" w:type="dxa"/>
            <w:vAlign w:val="center"/>
          </w:tcPr>
          <w:p w14:paraId="115CF4A0"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摩根基金管理（中国）有限公司</w:t>
            </w:r>
          </w:p>
        </w:tc>
      </w:tr>
      <w:tr w:rsidR="00881A82" w:rsidRPr="00473486" w14:paraId="0F2B1D32" w14:textId="77777777">
        <w:tc>
          <w:tcPr>
            <w:tcW w:w="2835" w:type="dxa"/>
            <w:vAlign w:val="center"/>
          </w:tcPr>
          <w:p w14:paraId="3A74ADE4"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基金托管人</w:t>
            </w:r>
          </w:p>
        </w:tc>
        <w:tc>
          <w:tcPr>
            <w:tcW w:w="5479" w:type="dxa"/>
            <w:vAlign w:val="center"/>
          </w:tcPr>
          <w:p w14:paraId="293FC9BD" w14:textId="77777777" w:rsidR="00881A82" w:rsidRPr="00473486" w:rsidRDefault="007D1E3A">
            <w:pPr>
              <w:adjustRightInd w:val="0"/>
              <w:spacing w:before="29" w:line="360" w:lineRule="auto"/>
              <w:ind w:left="17"/>
              <w:rPr>
                <w:rFonts w:eastAsiaTheme="minorEastAsia"/>
                <w:color w:val="000000" w:themeColor="text1"/>
                <w:szCs w:val="21"/>
              </w:rPr>
            </w:pPr>
            <w:r w:rsidRPr="00473486">
              <w:rPr>
                <w:rFonts w:eastAsiaTheme="minorEastAsia"/>
                <w:color w:val="000000" w:themeColor="text1"/>
                <w:kern w:val="0"/>
                <w:szCs w:val="21"/>
              </w:rPr>
              <w:t>交通银行股份有限公司</w:t>
            </w:r>
          </w:p>
        </w:tc>
      </w:tr>
    </w:tbl>
    <w:p w14:paraId="040BD039"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§3  </w:t>
      </w:r>
      <w:r w:rsidRPr="00473486">
        <w:rPr>
          <w:rFonts w:eastAsiaTheme="minorEastAsia"/>
          <w:color w:val="000000" w:themeColor="text1"/>
          <w:kern w:val="0"/>
          <w:sz w:val="24"/>
          <w:szCs w:val="24"/>
        </w:rPr>
        <w:t>主要财务指标和基金净值表现</w:t>
      </w:r>
    </w:p>
    <w:p w14:paraId="543FD201"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3.1 </w:t>
      </w:r>
      <w:r w:rsidRPr="00473486">
        <w:rPr>
          <w:rFonts w:eastAsiaTheme="minorEastAsia"/>
          <w:b/>
          <w:color w:val="000000" w:themeColor="text1"/>
          <w:kern w:val="0"/>
          <w:sz w:val="24"/>
        </w:rPr>
        <w:t>主要财务指标</w:t>
      </w:r>
    </w:p>
    <w:p w14:paraId="2F684C27"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962"/>
      </w:tblGrid>
      <w:tr w:rsidR="00920FC0" w:rsidRPr="00473486" w14:paraId="5521A2B6" w14:textId="77777777" w:rsidTr="00920FC0">
        <w:tc>
          <w:tcPr>
            <w:tcW w:w="3402" w:type="dxa"/>
            <w:vAlign w:val="center"/>
          </w:tcPr>
          <w:p w14:paraId="4F3E3B33" w14:textId="77777777" w:rsidR="00881A82" w:rsidRPr="00473486" w:rsidRDefault="007D1E3A">
            <w:pPr>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主要财务指标</w:t>
            </w:r>
          </w:p>
        </w:tc>
        <w:tc>
          <w:tcPr>
            <w:tcW w:w="4962" w:type="dxa"/>
            <w:vAlign w:val="center"/>
          </w:tcPr>
          <w:p w14:paraId="2171F4DD" w14:textId="77777777" w:rsidR="00881A82" w:rsidRPr="00473486" w:rsidRDefault="007D1E3A">
            <w:pPr>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报告期</w:t>
            </w:r>
          </w:p>
          <w:p w14:paraId="2BCB73E4" w14:textId="77777777" w:rsidR="00881A82" w:rsidRPr="00473486" w:rsidRDefault="007D1E3A">
            <w:pPr>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(2024</w:t>
            </w:r>
            <w:r w:rsidRPr="00473486">
              <w:rPr>
                <w:rFonts w:eastAsiaTheme="minorEastAsia"/>
                <w:color w:val="000000" w:themeColor="text1"/>
                <w:szCs w:val="21"/>
              </w:rPr>
              <w:t>年</w:t>
            </w:r>
            <w:r w:rsidRPr="00473486">
              <w:rPr>
                <w:rFonts w:eastAsiaTheme="minorEastAsia"/>
                <w:color w:val="000000" w:themeColor="text1"/>
                <w:szCs w:val="21"/>
              </w:rPr>
              <w:t>7</w:t>
            </w:r>
            <w:r w:rsidRPr="00473486">
              <w:rPr>
                <w:rFonts w:eastAsiaTheme="minorEastAsia"/>
                <w:color w:val="000000" w:themeColor="text1"/>
                <w:szCs w:val="21"/>
              </w:rPr>
              <w:t>月</w:t>
            </w:r>
            <w:r w:rsidRPr="00473486">
              <w:rPr>
                <w:rFonts w:eastAsiaTheme="minorEastAsia"/>
                <w:color w:val="000000" w:themeColor="text1"/>
                <w:szCs w:val="21"/>
              </w:rPr>
              <w:t>1</w:t>
            </w:r>
            <w:r w:rsidRPr="00473486">
              <w:rPr>
                <w:rFonts w:eastAsiaTheme="minorEastAsia"/>
                <w:color w:val="000000" w:themeColor="text1"/>
                <w:szCs w:val="21"/>
              </w:rPr>
              <w:t>日</w:t>
            </w:r>
            <w:r w:rsidRPr="00473486">
              <w:rPr>
                <w:rFonts w:eastAsiaTheme="minorEastAsia"/>
                <w:color w:val="000000" w:themeColor="text1"/>
                <w:szCs w:val="21"/>
              </w:rPr>
              <w:t>-2024</w:t>
            </w:r>
            <w:r w:rsidRPr="00473486">
              <w:rPr>
                <w:rFonts w:eastAsiaTheme="minorEastAsia"/>
                <w:color w:val="000000" w:themeColor="text1"/>
                <w:szCs w:val="21"/>
              </w:rPr>
              <w:t>年</w:t>
            </w:r>
            <w:r w:rsidRPr="00473486">
              <w:rPr>
                <w:rFonts w:eastAsiaTheme="minorEastAsia"/>
                <w:color w:val="000000" w:themeColor="text1"/>
                <w:szCs w:val="21"/>
              </w:rPr>
              <w:t>9</w:t>
            </w:r>
            <w:r w:rsidRPr="00473486">
              <w:rPr>
                <w:rFonts w:eastAsiaTheme="minorEastAsia"/>
                <w:color w:val="000000" w:themeColor="text1"/>
                <w:szCs w:val="21"/>
              </w:rPr>
              <w:t>月</w:t>
            </w:r>
            <w:r w:rsidRPr="00473486">
              <w:rPr>
                <w:rFonts w:eastAsiaTheme="minorEastAsia"/>
                <w:color w:val="000000" w:themeColor="text1"/>
                <w:szCs w:val="21"/>
              </w:rPr>
              <w:t>30</w:t>
            </w:r>
            <w:r w:rsidRPr="00473486">
              <w:rPr>
                <w:rFonts w:eastAsiaTheme="minorEastAsia"/>
                <w:color w:val="000000" w:themeColor="text1"/>
                <w:szCs w:val="21"/>
              </w:rPr>
              <w:t>日</w:t>
            </w:r>
            <w:r w:rsidRPr="00473486">
              <w:rPr>
                <w:rFonts w:eastAsiaTheme="minorEastAsia"/>
                <w:color w:val="000000" w:themeColor="text1"/>
                <w:szCs w:val="21"/>
              </w:rPr>
              <w:t>)</w:t>
            </w:r>
          </w:p>
        </w:tc>
      </w:tr>
      <w:tr w:rsidR="00920FC0" w:rsidRPr="00473486" w14:paraId="4FA83480" w14:textId="77777777" w:rsidTr="00920FC0">
        <w:tc>
          <w:tcPr>
            <w:tcW w:w="3402" w:type="dxa"/>
            <w:vAlign w:val="center"/>
          </w:tcPr>
          <w:p w14:paraId="066C0B58"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1.</w:t>
            </w:r>
            <w:r w:rsidRPr="00473486">
              <w:rPr>
                <w:rFonts w:eastAsiaTheme="minorEastAsia"/>
                <w:color w:val="000000" w:themeColor="text1"/>
                <w:kern w:val="0"/>
                <w:szCs w:val="21"/>
              </w:rPr>
              <w:t>本期已实现收益</w:t>
            </w:r>
          </w:p>
        </w:tc>
        <w:tc>
          <w:tcPr>
            <w:tcW w:w="4962" w:type="dxa"/>
            <w:vAlign w:val="center"/>
          </w:tcPr>
          <w:p w14:paraId="79FBDFAB"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1,921,448.35</w:t>
            </w:r>
          </w:p>
        </w:tc>
      </w:tr>
      <w:tr w:rsidR="00920FC0" w:rsidRPr="00473486" w14:paraId="7743EE08" w14:textId="77777777" w:rsidTr="00920FC0">
        <w:tc>
          <w:tcPr>
            <w:tcW w:w="3402" w:type="dxa"/>
            <w:vAlign w:val="center"/>
          </w:tcPr>
          <w:p w14:paraId="02F30033"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2.</w:t>
            </w:r>
            <w:r w:rsidRPr="00473486">
              <w:rPr>
                <w:rFonts w:eastAsiaTheme="minorEastAsia"/>
                <w:color w:val="000000" w:themeColor="text1"/>
                <w:kern w:val="0"/>
                <w:szCs w:val="21"/>
              </w:rPr>
              <w:t>本期利润</w:t>
            </w:r>
          </w:p>
        </w:tc>
        <w:tc>
          <w:tcPr>
            <w:tcW w:w="4962" w:type="dxa"/>
            <w:vAlign w:val="center"/>
          </w:tcPr>
          <w:p w14:paraId="3F5B5502"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1,414,944.39</w:t>
            </w:r>
          </w:p>
        </w:tc>
      </w:tr>
      <w:tr w:rsidR="00920FC0" w:rsidRPr="00473486" w14:paraId="3DAF1A56" w14:textId="77777777" w:rsidTr="00920FC0">
        <w:tc>
          <w:tcPr>
            <w:tcW w:w="3402" w:type="dxa"/>
            <w:vAlign w:val="center"/>
          </w:tcPr>
          <w:p w14:paraId="040FABCF"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3.</w:t>
            </w:r>
            <w:r w:rsidRPr="00473486">
              <w:rPr>
                <w:rFonts w:eastAsiaTheme="minorEastAsia"/>
                <w:color w:val="000000" w:themeColor="text1"/>
                <w:kern w:val="0"/>
                <w:szCs w:val="21"/>
              </w:rPr>
              <w:t>加权平均基金份额本期利润</w:t>
            </w:r>
          </w:p>
        </w:tc>
        <w:tc>
          <w:tcPr>
            <w:tcW w:w="4962" w:type="dxa"/>
            <w:vAlign w:val="center"/>
          </w:tcPr>
          <w:p w14:paraId="683EE443"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0.0038</w:t>
            </w:r>
          </w:p>
        </w:tc>
      </w:tr>
      <w:tr w:rsidR="00920FC0" w:rsidRPr="00473486" w14:paraId="17B1CD8E" w14:textId="77777777" w:rsidTr="00920FC0">
        <w:tc>
          <w:tcPr>
            <w:tcW w:w="3402" w:type="dxa"/>
            <w:vAlign w:val="center"/>
          </w:tcPr>
          <w:p w14:paraId="01923C0C"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4.</w:t>
            </w:r>
            <w:r w:rsidRPr="00473486">
              <w:rPr>
                <w:rFonts w:eastAsiaTheme="minorEastAsia"/>
                <w:color w:val="000000" w:themeColor="text1"/>
                <w:kern w:val="0"/>
                <w:szCs w:val="21"/>
              </w:rPr>
              <w:t>期末基金资产净值</w:t>
            </w:r>
          </w:p>
        </w:tc>
        <w:tc>
          <w:tcPr>
            <w:tcW w:w="4962" w:type="dxa"/>
            <w:vAlign w:val="center"/>
          </w:tcPr>
          <w:p w14:paraId="621653ED"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286,954,400.71</w:t>
            </w:r>
          </w:p>
        </w:tc>
      </w:tr>
      <w:tr w:rsidR="00920FC0" w:rsidRPr="00473486" w14:paraId="2EAE1848" w14:textId="77777777" w:rsidTr="00920FC0">
        <w:trPr>
          <w:trHeight w:val="158"/>
        </w:trPr>
        <w:tc>
          <w:tcPr>
            <w:tcW w:w="3402" w:type="dxa"/>
            <w:vAlign w:val="center"/>
          </w:tcPr>
          <w:p w14:paraId="1B2788E5" w14:textId="77777777" w:rsidR="00881A82" w:rsidRPr="00473486" w:rsidRDefault="007D1E3A">
            <w:pPr>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5.</w:t>
            </w:r>
            <w:r w:rsidRPr="00473486">
              <w:rPr>
                <w:rFonts w:eastAsiaTheme="minorEastAsia"/>
                <w:color w:val="000000" w:themeColor="text1"/>
                <w:kern w:val="0"/>
                <w:szCs w:val="21"/>
              </w:rPr>
              <w:t>期末基金份额净值</w:t>
            </w:r>
          </w:p>
        </w:tc>
        <w:tc>
          <w:tcPr>
            <w:tcW w:w="4962" w:type="dxa"/>
            <w:vAlign w:val="center"/>
          </w:tcPr>
          <w:p w14:paraId="56BB7788" w14:textId="77777777" w:rsidR="00881A82" w:rsidRPr="00473486" w:rsidRDefault="007D1E3A">
            <w:pPr>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1.0155</w:t>
            </w:r>
          </w:p>
        </w:tc>
      </w:tr>
    </w:tbl>
    <w:p w14:paraId="67E6607D" w14:textId="77777777" w:rsidR="00F25156" w:rsidRDefault="00920FC0">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14:paraId="0C108F8D"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14:paraId="725FDC87" w14:textId="77777777" w:rsidR="00881A82" w:rsidRPr="00473486" w:rsidRDefault="00881A82">
      <w:pPr>
        <w:autoSpaceDE w:val="0"/>
        <w:autoSpaceDN w:val="0"/>
        <w:adjustRightInd w:val="0"/>
        <w:spacing w:line="360" w:lineRule="auto"/>
        <w:jc w:val="left"/>
        <w:rPr>
          <w:rFonts w:eastAsiaTheme="minorEastAsia"/>
          <w:color w:val="000000" w:themeColor="text1"/>
          <w:kern w:val="0"/>
          <w:szCs w:val="21"/>
        </w:rPr>
      </w:pPr>
    </w:p>
    <w:p w14:paraId="629C0BBF"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3.2 </w:t>
      </w:r>
      <w:r w:rsidRPr="00473486">
        <w:rPr>
          <w:rFonts w:eastAsiaTheme="minorEastAsia"/>
          <w:b/>
          <w:color w:val="000000" w:themeColor="text1"/>
          <w:kern w:val="0"/>
          <w:sz w:val="24"/>
        </w:rPr>
        <w:t>基金净值表现</w:t>
      </w:r>
    </w:p>
    <w:p w14:paraId="177B7D06"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3.2.1</w:t>
      </w:r>
      <w:r w:rsidRPr="00473486">
        <w:rPr>
          <w:rFonts w:eastAsiaTheme="minorEastAsia"/>
          <w:b/>
          <w:color w:val="000000" w:themeColor="text1"/>
          <w:kern w:val="0"/>
          <w:sz w:val="24"/>
        </w:rPr>
        <w:t>本报告期基金份额净值增长率及其与同期业绩比较基准收益率的比较</w:t>
      </w:r>
    </w:p>
    <w:tbl>
      <w:tblPr>
        <w:tblStyle w:val="afa"/>
        <w:tblW w:w="8420" w:type="dxa"/>
        <w:tblInd w:w="108" w:type="dxa"/>
        <w:tblLayout w:type="fixed"/>
        <w:tblLook w:val="04A0" w:firstRow="1" w:lastRow="0" w:firstColumn="1" w:lastColumn="0" w:noHBand="0" w:noVBand="1"/>
      </w:tblPr>
      <w:tblGrid>
        <w:gridCol w:w="1395"/>
        <w:gridCol w:w="1092"/>
        <w:gridCol w:w="1161"/>
        <w:gridCol w:w="1181"/>
        <w:gridCol w:w="1188"/>
        <w:gridCol w:w="1199"/>
        <w:gridCol w:w="1204"/>
      </w:tblGrid>
      <w:tr w:rsidR="00881A82" w:rsidRPr="00473486" w14:paraId="11EC06DF" w14:textId="77777777">
        <w:tc>
          <w:tcPr>
            <w:tcW w:w="1395" w:type="dxa"/>
            <w:vAlign w:val="center"/>
          </w:tcPr>
          <w:p w14:paraId="77781276"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阶段</w:t>
            </w:r>
          </w:p>
        </w:tc>
        <w:tc>
          <w:tcPr>
            <w:tcW w:w="1092" w:type="dxa"/>
            <w:vAlign w:val="center"/>
          </w:tcPr>
          <w:p w14:paraId="54693D6A"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净值增长</w:t>
            </w:r>
            <w:r w:rsidRPr="00473486">
              <w:rPr>
                <w:rFonts w:eastAsiaTheme="minorEastAsia"/>
                <w:color w:val="000000" w:themeColor="text1"/>
                <w:szCs w:val="21"/>
              </w:rPr>
              <w:lastRenderedPageBreak/>
              <w:t>率</w:t>
            </w:r>
            <w:r w:rsidRPr="00473486">
              <w:rPr>
                <w:rFonts w:ascii="宋体" w:hAnsi="宋体" w:cs="宋体" w:hint="eastAsia"/>
                <w:color w:val="000000" w:themeColor="text1"/>
                <w:szCs w:val="21"/>
              </w:rPr>
              <w:t>①</w:t>
            </w:r>
          </w:p>
        </w:tc>
        <w:tc>
          <w:tcPr>
            <w:tcW w:w="1161" w:type="dxa"/>
            <w:vAlign w:val="center"/>
          </w:tcPr>
          <w:p w14:paraId="6465F1C8"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净值增长</w:t>
            </w:r>
            <w:r w:rsidRPr="00473486">
              <w:rPr>
                <w:rFonts w:eastAsiaTheme="minorEastAsia"/>
                <w:color w:val="000000" w:themeColor="text1"/>
                <w:szCs w:val="21"/>
              </w:rPr>
              <w:lastRenderedPageBreak/>
              <w:t>率标准差</w:t>
            </w:r>
            <w:r w:rsidRPr="00473486">
              <w:rPr>
                <w:rFonts w:ascii="宋体" w:hAnsi="宋体" w:cs="宋体" w:hint="eastAsia"/>
                <w:color w:val="000000" w:themeColor="text1"/>
                <w:szCs w:val="21"/>
              </w:rPr>
              <w:t>②</w:t>
            </w:r>
          </w:p>
        </w:tc>
        <w:tc>
          <w:tcPr>
            <w:tcW w:w="1181" w:type="dxa"/>
            <w:vAlign w:val="center"/>
          </w:tcPr>
          <w:p w14:paraId="35F98389"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业绩比较</w:t>
            </w:r>
            <w:r w:rsidRPr="00473486">
              <w:rPr>
                <w:rFonts w:eastAsiaTheme="minorEastAsia"/>
                <w:color w:val="000000" w:themeColor="text1"/>
                <w:szCs w:val="21"/>
              </w:rPr>
              <w:lastRenderedPageBreak/>
              <w:t>基准收益率</w:t>
            </w:r>
            <w:r w:rsidRPr="00473486">
              <w:rPr>
                <w:rFonts w:ascii="宋体" w:hAnsi="宋体" w:cs="宋体" w:hint="eastAsia"/>
                <w:color w:val="000000" w:themeColor="text1"/>
                <w:szCs w:val="21"/>
              </w:rPr>
              <w:t>③</w:t>
            </w:r>
          </w:p>
        </w:tc>
        <w:tc>
          <w:tcPr>
            <w:tcW w:w="1188" w:type="dxa"/>
            <w:vAlign w:val="center"/>
          </w:tcPr>
          <w:p w14:paraId="4037FE9A"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业绩比较</w:t>
            </w:r>
            <w:r w:rsidRPr="00473486">
              <w:rPr>
                <w:rFonts w:eastAsiaTheme="minorEastAsia"/>
                <w:color w:val="000000" w:themeColor="text1"/>
                <w:szCs w:val="21"/>
              </w:rPr>
              <w:lastRenderedPageBreak/>
              <w:t>基准收益率标准差</w:t>
            </w:r>
            <w:r w:rsidRPr="00473486">
              <w:rPr>
                <w:rFonts w:ascii="宋体" w:hAnsi="宋体" w:cs="宋体" w:hint="eastAsia"/>
                <w:color w:val="000000" w:themeColor="text1"/>
                <w:szCs w:val="21"/>
              </w:rPr>
              <w:t>④</w:t>
            </w:r>
          </w:p>
        </w:tc>
        <w:tc>
          <w:tcPr>
            <w:tcW w:w="1199" w:type="dxa"/>
            <w:vAlign w:val="center"/>
          </w:tcPr>
          <w:p w14:paraId="3F2F3FFF"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ascii="宋体" w:hAnsi="宋体" w:cs="宋体" w:hint="eastAsia"/>
                <w:color w:val="000000" w:themeColor="text1"/>
                <w:szCs w:val="21"/>
              </w:rPr>
              <w:lastRenderedPageBreak/>
              <w:t>①</w:t>
            </w:r>
            <w:r w:rsidRPr="00473486">
              <w:rPr>
                <w:rFonts w:eastAsiaTheme="minorEastAsia"/>
                <w:color w:val="000000" w:themeColor="text1"/>
                <w:szCs w:val="21"/>
              </w:rPr>
              <w:t>-</w:t>
            </w:r>
            <w:r w:rsidRPr="00473486">
              <w:rPr>
                <w:rFonts w:ascii="宋体" w:hAnsi="宋体" w:cs="宋体" w:hint="eastAsia"/>
                <w:color w:val="000000" w:themeColor="text1"/>
                <w:szCs w:val="21"/>
              </w:rPr>
              <w:t>③</w:t>
            </w:r>
          </w:p>
        </w:tc>
        <w:tc>
          <w:tcPr>
            <w:tcW w:w="1204" w:type="dxa"/>
            <w:vAlign w:val="center"/>
          </w:tcPr>
          <w:p w14:paraId="12B7029D"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szCs w:val="21"/>
              </w:rPr>
            </w:pPr>
            <w:r w:rsidRPr="00473486">
              <w:rPr>
                <w:rFonts w:ascii="宋体" w:hAnsi="宋体" w:cs="宋体" w:hint="eastAsia"/>
                <w:color w:val="000000" w:themeColor="text1"/>
                <w:szCs w:val="21"/>
              </w:rPr>
              <w:t>②</w:t>
            </w:r>
            <w:r w:rsidRPr="00473486">
              <w:rPr>
                <w:rFonts w:eastAsiaTheme="minorEastAsia"/>
                <w:color w:val="000000" w:themeColor="text1"/>
                <w:szCs w:val="21"/>
              </w:rPr>
              <w:t>-</w:t>
            </w:r>
            <w:r w:rsidRPr="00473486">
              <w:rPr>
                <w:rFonts w:ascii="宋体" w:hAnsi="宋体" w:cs="宋体" w:hint="eastAsia"/>
                <w:color w:val="000000" w:themeColor="text1"/>
                <w:szCs w:val="21"/>
              </w:rPr>
              <w:t>④</w:t>
            </w:r>
          </w:p>
        </w:tc>
      </w:tr>
      <w:tr w:rsidR="00F25156" w14:paraId="7936BF04" w14:textId="77777777">
        <w:tc>
          <w:tcPr>
            <w:tcW w:w="1395" w:type="dxa"/>
            <w:vAlign w:val="center"/>
          </w:tcPr>
          <w:p w14:paraId="26D05794" w14:textId="77777777" w:rsidR="00F25156" w:rsidRDefault="00920FC0">
            <w:pPr>
              <w:jc w:val="left"/>
            </w:pPr>
            <w:r>
              <w:rPr>
                <w:rFonts w:eastAsiaTheme="minorEastAsia"/>
                <w:color w:val="000000" w:themeColor="text1"/>
                <w:szCs w:val="21"/>
              </w:rPr>
              <w:t>过去三个月</w:t>
            </w:r>
          </w:p>
        </w:tc>
        <w:tc>
          <w:tcPr>
            <w:tcW w:w="1092" w:type="dxa"/>
            <w:vAlign w:val="center"/>
          </w:tcPr>
          <w:p w14:paraId="21BC95F2" w14:textId="77777777" w:rsidR="00F25156" w:rsidRDefault="00920FC0">
            <w:pPr>
              <w:jc w:val="center"/>
            </w:pPr>
            <w:r>
              <w:rPr>
                <w:rFonts w:eastAsiaTheme="minorEastAsia"/>
                <w:color w:val="000000" w:themeColor="text1"/>
                <w:szCs w:val="21"/>
              </w:rPr>
              <w:t>0.37%</w:t>
            </w:r>
          </w:p>
        </w:tc>
        <w:tc>
          <w:tcPr>
            <w:tcW w:w="1161" w:type="dxa"/>
            <w:vAlign w:val="center"/>
          </w:tcPr>
          <w:p w14:paraId="5AD11BD6" w14:textId="77777777" w:rsidR="00F25156" w:rsidRDefault="00920FC0">
            <w:pPr>
              <w:jc w:val="center"/>
            </w:pPr>
            <w:r>
              <w:rPr>
                <w:rFonts w:eastAsiaTheme="minorEastAsia"/>
                <w:color w:val="000000" w:themeColor="text1"/>
                <w:szCs w:val="21"/>
              </w:rPr>
              <w:t>0.01%</w:t>
            </w:r>
          </w:p>
        </w:tc>
        <w:tc>
          <w:tcPr>
            <w:tcW w:w="1181" w:type="dxa"/>
            <w:vAlign w:val="center"/>
          </w:tcPr>
          <w:p w14:paraId="2325C00E" w14:textId="77777777" w:rsidR="00F25156" w:rsidRDefault="00920FC0">
            <w:pPr>
              <w:jc w:val="center"/>
            </w:pPr>
            <w:r>
              <w:rPr>
                <w:rFonts w:eastAsiaTheme="minorEastAsia"/>
                <w:color w:val="000000" w:themeColor="text1"/>
                <w:szCs w:val="21"/>
              </w:rPr>
              <w:t>0.49%</w:t>
            </w:r>
          </w:p>
        </w:tc>
        <w:tc>
          <w:tcPr>
            <w:tcW w:w="1188" w:type="dxa"/>
            <w:vAlign w:val="center"/>
          </w:tcPr>
          <w:p w14:paraId="7A458E5B" w14:textId="77777777" w:rsidR="00F25156" w:rsidRDefault="00920FC0">
            <w:pPr>
              <w:jc w:val="center"/>
            </w:pPr>
            <w:r>
              <w:rPr>
                <w:rFonts w:eastAsiaTheme="minorEastAsia"/>
                <w:color w:val="000000" w:themeColor="text1"/>
                <w:szCs w:val="21"/>
              </w:rPr>
              <w:t>0.01%</w:t>
            </w:r>
          </w:p>
        </w:tc>
        <w:tc>
          <w:tcPr>
            <w:tcW w:w="1199" w:type="dxa"/>
            <w:vAlign w:val="center"/>
          </w:tcPr>
          <w:p w14:paraId="59733EE1" w14:textId="77777777" w:rsidR="00F25156" w:rsidRDefault="00920FC0">
            <w:pPr>
              <w:jc w:val="center"/>
            </w:pPr>
            <w:r>
              <w:rPr>
                <w:rFonts w:eastAsiaTheme="minorEastAsia"/>
                <w:color w:val="000000" w:themeColor="text1"/>
                <w:szCs w:val="21"/>
              </w:rPr>
              <w:t>-0.12%</w:t>
            </w:r>
          </w:p>
        </w:tc>
        <w:tc>
          <w:tcPr>
            <w:tcW w:w="1204" w:type="dxa"/>
            <w:vAlign w:val="center"/>
          </w:tcPr>
          <w:p w14:paraId="35402777" w14:textId="77777777" w:rsidR="00F25156" w:rsidRDefault="00920FC0">
            <w:pPr>
              <w:jc w:val="center"/>
            </w:pPr>
            <w:r>
              <w:rPr>
                <w:rFonts w:eastAsiaTheme="minorEastAsia"/>
                <w:color w:val="000000" w:themeColor="text1"/>
                <w:szCs w:val="21"/>
              </w:rPr>
              <w:t>0.00%</w:t>
            </w:r>
          </w:p>
        </w:tc>
      </w:tr>
      <w:tr w:rsidR="00F25156" w14:paraId="132C1D17" w14:textId="77777777">
        <w:tc>
          <w:tcPr>
            <w:tcW w:w="1395" w:type="dxa"/>
            <w:vAlign w:val="center"/>
          </w:tcPr>
          <w:p w14:paraId="444B04E6" w14:textId="77777777" w:rsidR="00F25156" w:rsidRDefault="00920FC0">
            <w:pPr>
              <w:jc w:val="left"/>
            </w:pPr>
            <w:r>
              <w:rPr>
                <w:rFonts w:eastAsiaTheme="minorEastAsia"/>
                <w:color w:val="000000" w:themeColor="text1"/>
                <w:szCs w:val="21"/>
              </w:rPr>
              <w:t>过去六个月</w:t>
            </w:r>
          </w:p>
        </w:tc>
        <w:tc>
          <w:tcPr>
            <w:tcW w:w="1092" w:type="dxa"/>
            <w:vAlign w:val="center"/>
          </w:tcPr>
          <w:p w14:paraId="0D07BC8E" w14:textId="77777777" w:rsidR="00F25156" w:rsidRDefault="00920FC0">
            <w:pPr>
              <w:jc w:val="center"/>
            </w:pPr>
            <w:r>
              <w:rPr>
                <w:rFonts w:eastAsiaTheme="minorEastAsia"/>
                <w:color w:val="000000" w:themeColor="text1"/>
                <w:szCs w:val="21"/>
              </w:rPr>
              <w:t>0.88%</w:t>
            </w:r>
          </w:p>
        </w:tc>
        <w:tc>
          <w:tcPr>
            <w:tcW w:w="1161" w:type="dxa"/>
            <w:vAlign w:val="center"/>
          </w:tcPr>
          <w:p w14:paraId="7CD9549F" w14:textId="77777777" w:rsidR="00F25156" w:rsidRDefault="00920FC0">
            <w:pPr>
              <w:jc w:val="center"/>
            </w:pPr>
            <w:r>
              <w:rPr>
                <w:rFonts w:eastAsiaTheme="minorEastAsia"/>
                <w:color w:val="000000" w:themeColor="text1"/>
                <w:szCs w:val="21"/>
              </w:rPr>
              <w:t>0.01%</w:t>
            </w:r>
          </w:p>
        </w:tc>
        <w:tc>
          <w:tcPr>
            <w:tcW w:w="1181" w:type="dxa"/>
            <w:vAlign w:val="center"/>
          </w:tcPr>
          <w:p w14:paraId="38904B14" w14:textId="77777777" w:rsidR="00F25156" w:rsidRDefault="00920FC0">
            <w:pPr>
              <w:jc w:val="center"/>
            </w:pPr>
            <w:r>
              <w:rPr>
                <w:rFonts w:eastAsiaTheme="minorEastAsia"/>
                <w:color w:val="000000" w:themeColor="text1"/>
                <w:szCs w:val="21"/>
              </w:rPr>
              <w:t>1.11%</w:t>
            </w:r>
          </w:p>
        </w:tc>
        <w:tc>
          <w:tcPr>
            <w:tcW w:w="1188" w:type="dxa"/>
            <w:vAlign w:val="center"/>
          </w:tcPr>
          <w:p w14:paraId="129D06B9" w14:textId="77777777" w:rsidR="00F25156" w:rsidRDefault="00920FC0">
            <w:pPr>
              <w:jc w:val="center"/>
            </w:pPr>
            <w:r>
              <w:rPr>
                <w:rFonts w:eastAsiaTheme="minorEastAsia"/>
                <w:color w:val="000000" w:themeColor="text1"/>
                <w:szCs w:val="21"/>
              </w:rPr>
              <w:t>0.01%</w:t>
            </w:r>
          </w:p>
        </w:tc>
        <w:tc>
          <w:tcPr>
            <w:tcW w:w="1199" w:type="dxa"/>
            <w:vAlign w:val="center"/>
          </w:tcPr>
          <w:p w14:paraId="2D17B37C" w14:textId="77777777" w:rsidR="00F25156" w:rsidRDefault="00920FC0">
            <w:pPr>
              <w:jc w:val="center"/>
            </w:pPr>
            <w:r>
              <w:rPr>
                <w:rFonts w:eastAsiaTheme="minorEastAsia"/>
                <w:color w:val="000000" w:themeColor="text1"/>
                <w:szCs w:val="21"/>
              </w:rPr>
              <w:t>-0.23%</w:t>
            </w:r>
          </w:p>
        </w:tc>
        <w:tc>
          <w:tcPr>
            <w:tcW w:w="1204" w:type="dxa"/>
            <w:vAlign w:val="center"/>
          </w:tcPr>
          <w:p w14:paraId="014D7271" w14:textId="77777777" w:rsidR="00F25156" w:rsidRDefault="00920FC0">
            <w:pPr>
              <w:jc w:val="center"/>
            </w:pPr>
            <w:r>
              <w:rPr>
                <w:rFonts w:eastAsiaTheme="minorEastAsia"/>
                <w:color w:val="000000" w:themeColor="text1"/>
                <w:szCs w:val="21"/>
              </w:rPr>
              <w:t>0.00%</w:t>
            </w:r>
          </w:p>
        </w:tc>
      </w:tr>
      <w:tr w:rsidR="00F25156" w14:paraId="67865B4D" w14:textId="77777777">
        <w:tc>
          <w:tcPr>
            <w:tcW w:w="1395" w:type="dxa"/>
            <w:vAlign w:val="center"/>
          </w:tcPr>
          <w:p w14:paraId="1E64AC23" w14:textId="77777777" w:rsidR="00F25156" w:rsidRDefault="00920FC0">
            <w:pPr>
              <w:jc w:val="left"/>
            </w:pPr>
            <w:r>
              <w:rPr>
                <w:rFonts w:eastAsiaTheme="minorEastAsia"/>
                <w:color w:val="000000" w:themeColor="text1"/>
                <w:szCs w:val="21"/>
              </w:rPr>
              <w:t>过去一年</w:t>
            </w:r>
          </w:p>
        </w:tc>
        <w:tc>
          <w:tcPr>
            <w:tcW w:w="1092" w:type="dxa"/>
            <w:vAlign w:val="center"/>
          </w:tcPr>
          <w:p w14:paraId="172C8336" w14:textId="77777777" w:rsidR="00F25156" w:rsidRDefault="00920FC0">
            <w:pPr>
              <w:jc w:val="center"/>
            </w:pPr>
            <w:r>
              <w:rPr>
                <w:rFonts w:eastAsiaTheme="minorEastAsia"/>
                <w:color w:val="000000" w:themeColor="text1"/>
                <w:szCs w:val="21"/>
              </w:rPr>
              <w:t>-</w:t>
            </w:r>
          </w:p>
        </w:tc>
        <w:tc>
          <w:tcPr>
            <w:tcW w:w="1161" w:type="dxa"/>
            <w:vAlign w:val="center"/>
          </w:tcPr>
          <w:p w14:paraId="21B26B33" w14:textId="77777777" w:rsidR="00F25156" w:rsidRDefault="00920FC0">
            <w:pPr>
              <w:jc w:val="center"/>
            </w:pPr>
            <w:r>
              <w:rPr>
                <w:rFonts w:eastAsiaTheme="minorEastAsia"/>
                <w:color w:val="000000" w:themeColor="text1"/>
                <w:szCs w:val="21"/>
              </w:rPr>
              <w:t>-</w:t>
            </w:r>
          </w:p>
        </w:tc>
        <w:tc>
          <w:tcPr>
            <w:tcW w:w="1181" w:type="dxa"/>
            <w:vAlign w:val="center"/>
          </w:tcPr>
          <w:p w14:paraId="54C744AD" w14:textId="77777777" w:rsidR="00F25156" w:rsidRDefault="00920FC0">
            <w:pPr>
              <w:jc w:val="center"/>
            </w:pPr>
            <w:r>
              <w:rPr>
                <w:rFonts w:eastAsiaTheme="minorEastAsia"/>
                <w:color w:val="000000" w:themeColor="text1"/>
                <w:szCs w:val="21"/>
              </w:rPr>
              <w:t>-</w:t>
            </w:r>
          </w:p>
        </w:tc>
        <w:tc>
          <w:tcPr>
            <w:tcW w:w="1188" w:type="dxa"/>
            <w:vAlign w:val="center"/>
          </w:tcPr>
          <w:p w14:paraId="7BA28B6E" w14:textId="77777777" w:rsidR="00F25156" w:rsidRDefault="00920FC0">
            <w:pPr>
              <w:jc w:val="center"/>
            </w:pPr>
            <w:r>
              <w:rPr>
                <w:rFonts w:eastAsiaTheme="minorEastAsia"/>
                <w:color w:val="000000" w:themeColor="text1"/>
                <w:szCs w:val="21"/>
              </w:rPr>
              <w:t>-</w:t>
            </w:r>
          </w:p>
        </w:tc>
        <w:tc>
          <w:tcPr>
            <w:tcW w:w="1199" w:type="dxa"/>
            <w:vAlign w:val="center"/>
          </w:tcPr>
          <w:p w14:paraId="25CBF6BF" w14:textId="77777777" w:rsidR="00F25156" w:rsidRDefault="00920FC0">
            <w:pPr>
              <w:jc w:val="center"/>
            </w:pPr>
            <w:r>
              <w:rPr>
                <w:rFonts w:eastAsiaTheme="minorEastAsia"/>
                <w:color w:val="000000" w:themeColor="text1"/>
                <w:szCs w:val="21"/>
              </w:rPr>
              <w:t>-</w:t>
            </w:r>
          </w:p>
        </w:tc>
        <w:tc>
          <w:tcPr>
            <w:tcW w:w="1204" w:type="dxa"/>
            <w:vAlign w:val="center"/>
          </w:tcPr>
          <w:p w14:paraId="1CC5B390" w14:textId="77777777" w:rsidR="00F25156" w:rsidRDefault="00920FC0">
            <w:pPr>
              <w:jc w:val="center"/>
            </w:pPr>
            <w:r>
              <w:rPr>
                <w:rFonts w:eastAsiaTheme="minorEastAsia"/>
                <w:color w:val="000000" w:themeColor="text1"/>
                <w:szCs w:val="21"/>
              </w:rPr>
              <w:t>-</w:t>
            </w:r>
          </w:p>
        </w:tc>
      </w:tr>
      <w:tr w:rsidR="00F25156" w14:paraId="21718112" w14:textId="77777777">
        <w:tc>
          <w:tcPr>
            <w:tcW w:w="1395" w:type="dxa"/>
            <w:vAlign w:val="center"/>
          </w:tcPr>
          <w:p w14:paraId="28697776" w14:textId="77777777" w:rsidR="00F25156" w:rsidRDefault="00920FC0">
            <w:pPr>
              <w:jc w:val="left"/>
            </w:pPr>
            <w:r>
              <w:rPr>
                <w:rFonts w:eastAsiaTheme="minorEastAsia"/>
                <w:color w:val="000000" w:themeColor="text1"/>
                <w:szCs w:val="21"/>
              </w:rPr>
              <w:t>过去三年</w:t>
            </w:r>
          </w:p>
        </w:tc>
        <w:tc>
          <w:tcPr>
            <w:tcW w:w="1092" w:type="dxa"/>
            <w:vAlign w:val="center"/>
          </w:tcPr>
          <w:p w14:paraId="71189F37" w14:textId="77777777" w:rsidR="00F25156" w:rsidRDefault="00920FC0">
            <w:pPr>
              <w:jc w:val="center"/>
            </w:pPr>
            <w:r>
              <w:rPr>
                <w:rFonts w:eastAsiaTheme="minorEastAsia"/>
                <w:color w:val="000000" w:themeColor="text1"/>
                <w:szCs w:val="21"/>
              </w:rPr>
              <w:t>-</w:t>
            </w:r>
          </w:p>
        </w:tc>
        <w:tc>
          <w:tcPr>
            <w:tcW w:w="1161" w:type="dxa"/>
            <w:vAlign w:val="center"/>
          </w:tcPr>
          <w:p w14:paraId="58A0E768" w14:textId="77777777" w:rsidR="00F25156" w:rsidRDefault="00920FC0">
            <w:pPr>
              <w:jc w:val="center"/>
            </w:pPr>
            <w:r>
              <w:rPr>
                <w:rFonts w:eastAsiaTheme="minorEastAsia"/>
                <w:color w:val="000000" w:themeColor="text1"/>
                <w:szCs w:val="21"/>
              </w:rPr>
              <w:t>-</w:t>
            </w:r>
          </w:p>
        </w:tc>
        <w:tc>
          <w:tcPr>
            <w:tcW w:w="1181" w:type="dxa"/>
            <w:vAlign w:val="center"/>
          </w:tcPr>
          <w:p w14:paraId="2FDA664F" w14:textId="77777777" w:rsidR="00F25156" w:rsidRDefault="00920FC0">
            <w:pPr>
              <w:jc w:val="center"/>
            </w:pPr>
            <w:r>
              <w:rPr>
                <w:rFonts w:eastAsiaTheme="minorEastAsia"/>
                <w:color w:val="000000" w:themeColor="text1"/>
                <w:szCs w:val="21"/>
              </w:rPr>
              <w:t>-</w:t>
            </w:r>
          </w:p>
        </w:tc>
        <w:tc>
          <w:tcPr>
            <w:tcW w:w="1188" w:type="dxa"/>
            <w:vAlign w:val="center"/>
          </w:tcPr>
          <w:p w14:paraId="6893C342" w14:textId="77777777" w:rsidR="00F25156" w:rsidRDefault="00920FC0">
            <w:pPr>
              <w:jc w:val="center"/>
            </w:pPr>
            <w:r>
              <w:rPr>
                <w:rFonts w:eastAsiaTheme="minorEastAsia"/>
                <w:color w:val="000000" w:themeColor="text1"/>
                <w:szCs w:val="21"/>
              </w:rPr>
              <w:t>-</w:t>
            </w:r>
          </w:p>
        </w:tc>
        <w:tc>
          <w:tcPr>
            <w:tcW w:w="1199" w:type="dxa"/>
            <w:vAlign w:val="center"/>
          </w:tcPr>
          <w:p w14:paraId="07B69DA9" w14:textId="77777777" w:rsidR="00F25156" w:rsidRDefault="00920FC0">
            <w:pPr>
              <w:jc w:val="center"/>
            </w:pPr>
            <w:r>
              <w:rPr>
                <w:rFonts w:eastAsiaTheme="minorEastAsia"/>
                <w:color w:val="000000" w:themeColor="text1"/>
                <w:szCs w:val="21"/>
              </w:rPr>
              <w:t>-</w:t>
            </w:r>
          </w:p>
        </w:tc>
        <w:tc>
          <w:tcPr>
            <w:tcW w:w="1204" w:type="dxa"/>
            <w:vAlign w:val="center"/>
          </w:tcPr>
          <w:p w14:paraId="03CB1857" w14:textId="77777777" w:rsidR="00F25156" w:rsidRDefault="00920FC0">
            <w:pPr>
              <w:jc w:val="center"/>
            </w:pPr>
            <w:r>
              <w:rPr>
                <w:rFonts w:eastAsiaTheme="minorEastAsia"/>
                <w:color w:val="000000" w:themeColor="text1"/>
                <w:szCs w:val="21"/>
              </w:rPr>
              <w:t>-</w:t>
            </w:r>
          </w:p>
        </w:tc>
      </w:tr>
      <w:tr w:rsidR="00F25156" w14:paraId="2A8BBE49" w14:textId="77777777">
        <w:tc>
          <w:tcPr>
            <w:tcW w:w="1395" w:type="dxa"/>
            <w:vAlign w:val="center"/>
          </w:tcPr>
          <w:p w14:paraId="1A71639C" w14:textId="77777777" w:rsidR="00F25156" w:rsidRDefault="00920FC0">
            <w:pPr>
              <w:jc w:val="left"/>
            </w:pPr>
            <w:r>
              <w:rPr>
                <w:rFonts w:eastAsiaTheme="minorEastAsia"/>
                <w:color w:val="000000" w:themeColor="text1"/>
                <w:szCs w:val="21"/>
              </w:rPr>
              <w:t>过去五年</w:t>
            </w:r>
          </w:p>
        </w:tc>
        <w:tc>
          <w:tcPr>
            <w:tcW w:w="1092" w:type="dxa"/>
            <w:vAlign w:val="center"/>
          </w:tcPr>
          <w:p w14:paraId="0B0729DF" w14:textId="77777777" w:rsidR="00F25156" w:rsidRDefault="00920FC0">
            <w:pPr>
              <w:jc w:val="center"/>
            </w:pPr>
            <w:r>
              <w:rPr>
                <w:rFonts w:eastAsiaTheme="minorEastAsia"/>
                <w:color w:val="000000" w:themeColor="text1"/>
                <w:szCs w:val="21"/>
              </w:rPr>
              <w:t>-</w:t>
            </w:r>
          </w:p>
        </w:tc>
        <w:tc>
          <w:tcPr>
            <w:tcW w:w="1161" w:type="dxa"/>
            <w:vAlign w:val="center"/>
          </w:tcPr>
          <w:p w14:paraId="2CDE0D74" w14:textId="77777777" w:rsidR="00F25156" w:rsidRDefault="00920FC0">
            <w:pPr>
              <w:jc w:val="center"/>
            </w:pPr>
            <w:r>
              <w:rPr>
                <w:rFonts w:eastAsiaTheme="minorEastAsia"/>
                <w:color w:val="000000" w:themeColor="text1"/>
                <w:szCs w:val="21"/>
              </w:rPr>
              <w:t>-</w:t>
            </w:r>
          </w:p>
        </w:tc>
        <w:tc>
          <w:tcPr>
            <w:tcW w:w="1181" w:type="dxa"/>
            <w:vAlign w:val="center"/>
          </w:tcPr>
          <w:p w14:paraId="5DB6F2E1" w14:textId="77777777" w:rsidR="00F25156" w:rsidRDefault="00920FC0">
            <w:pPr>
              <w:jc w:val="center"/>
            </w:pPr>
            <w:r>
              <w:rPr>
                <w:rFonts w:eastAsiaTheme="minorEastAsia"/>
                <w:color w:val="000000" w:themeColor="text1"/>
                <w:szCs w:val="21"/>
              </w:rPr>
              <w:t>-</w:t>
            </w:r>
          </w:p>
        </w:tc>
        <w:tc>
          <w:tcPr>
            <w:tcW w:w="1188" w:type="dxa"/>
            <w:vAlign w:val="center"/>
          </w:tcPr>
          <w:p w14:paraId="4E90967A" w14:textId="77777777" w:rsidR="00F25156" w:rsidRDefault="00920FC0">
            <w:pPr>
              <w:jc w:val="center"/>
            </w:pPr>
            <w:r>
              <w:rPr>
                <w:rFonts w:eastAsiaTheme="minorEastAsia"/>
                <w:color w:val="000000" w:themeColor="text1"/>
                <w:szCs w:val="21"/>
              </w:rPr>
              <w:t>-</w:t>
            </w:r>
          </w:p>
        </w:tc>
        <w:tc>
          <w:tcPr>
            <w:tcW w:w="1199" w:type="dxa"/>
            <w:vAlign w:val="center"/>
          </w:tcPr>
          <w:p w14:paraId="1BE9A003" w14:textId="77777777" w:rsidR="00F25156" w:rsidRDefault="00920FC0">
            <w:pPr>
              <w:jc w:val="center"/>
            </w:pPr>
            <w:r>
              <w:rPr>
                <w:rFonts w:eastAsiaTheme="minorEastAsia"/>
                <w:color w:val="000000" w:themeColor="text1"/>
                <w:szCs w:val="21"/>
              </w:rPr>
              <w:t>-</w:t>
            </w:r>
          </w:p>
        </w:tc>
        <w:tc>
          <w:tcPr>
            <w:tcW w:w="1204" w:type="dxa"/>
            <w:vAlign w:val="center"/>
          </w:tcPr>
          <w:p w14:paraId="6CAC56D3" w14:textId="77777777" w:rsidR="00F25156" w:rsidRDefault="00920FC0">
            <w:pPr>
              <w:jc w:val="center"/>
            </w:pPr>
            <w:r>
              <w:rPr>
                <w:rFonts w:eastAsiaTheme="minorEastAsia"/>
                <w:color w:val="000000" w:themeColor="text1"/>
                <w:szCs w:val="21"/>
              </w:rPr>
              <w:t>-</w:t>
            </w:r>
          </w:p>
        </w:tc>
      </w:tr>
      <w:tr w:rsidR="00F25156" w14:paraId="767DE190" w14:textId="77777777">
        <w:tc>
          <w:tcPr>
            <w:tcW w:w="1395" w:type="dxa"/>
            <w:vAlign w:val="center"/>
          </w:tcPr>
          <w:p w14:paraId="4E0FC412" w14:textId="77777777" w:rsidR="00F25156" w:rsidRDefault="00920FC0">
            <w:pPr>
              <w:jc w:val="left"/>
            </w:pPr>
            <w:r>
              <w:rPr>
                <w:rFonts w:eastAsiaTheme="minorEastAsia"/>
                <w:color w:val="000000" w:themeColor="text1"/>
                <w:szCs w:val="21"/>
              </w:rPr>
              <w:t>自基金合同生效起至今</w:t>
            </w:r>
          </w:p>
        </w:tc>
        <w:tc>
          <w:tcPr>
            <w:tcW w:w="1092" w:type="dxa"/>
            <w:vAlign w:val="center"/>
          </w:tcPr>
          <w:p w14:paraId="4DE1C04D" w14:textId="77777777" w:rsidR="00F25156" w:rsidRDefault="00920FC0">
            <w:pPr>
              <w:jc w:val="center"/>
            </w:pPr>
            <w:r>
              <w:rPr>
                <w:rFonts w:eastAsiaTheme="minorEastAsia"/>
                <w:color w:val="000000" w:themeColor="text1"/>
                <w:szCs w:val="21"/>
              </w:rPr>
              <w:t>1.55%</w:t>
            </w:r>
          </w:p>
        </w:tc>
        <w:tc>
          <w:tcPr>
            <w:tcW w:w="1161" w:type="dxa"/>
            <w:vAlign w:val="center"/>
          </w:tcPr>
          <w:p w14:paraId="689B3B0A" w14:textId="77777777" w:rsidR="00F25156" w:rsidRDefault="00920FC0">
            <w:pPr>
              <w:jc w:val="center"/>
            </w:pPr>
            <w:r>
              <w:rPr>
                <w:rFonts w:eastAsiaTheme="minorEastAsia"/>
                <w:color w:val="000000" w:themeColor="text1"/>
                <w:szCs w:val="21"/>
              </w:rPr>
              <w:t>0.01%</w:t>
            </w:r>
          </w:p>
        </w:tc>
        <w:tc>
          <w:tcPr>
            <w:tcW w:w="1181" w:type="dxa"/>
            <w:vAlign w:val="center"/>
          </w:tcPr>
          <w:p w14:paraId="2634CC25" w14:textId="77777777" w:rsidR="00F25156" w:rsidRDefault="00920FC0">
            <w:pPr>
              <w:jc w:val="center"/>
            </w:pPr>
            <w:r>
              <w:rPr>
                <w:rFonts w:eastAsiaTheme="minorEastAsia"/>
                <w:color w:val="000000" w:themeColor="text1"/>
                <w:szCs w:val="21"/>
              </w:rPr>
              <w:t>1.95%</w:t>
            </w:r>
          </w:p>
        </w:tc>
        <w:tc>
          <w:tcPr>
            <w:tcW w:w="1188" w:type="dxa"/>
            <w:vAlign w:val="center"/>
          </w:tcPr>
          <w:p w14:paraId="5288754B" w14:textId="77777777" w:rsidR="00F25156" w:rsidRDefault="00920FC0">
            <w:pPr>
              <w:jc w:val="center"/>
            </w:pPr>
            <w:r>
              <w:rPr>
                <w:rFonts w:eastAsiaTheme="minorEastAsia"/>
                <w:color w:val="000000" w:themeColor="text1"/>
                <w:szCs w:val="21"/>
              </w:rPr>
              <w:t>0.01%</w:t>
            </w:r>
          </w:p>
        </w:tc>
        <w:tc>
          <w:tcPr>
            <w:tcW w:w="1199" w:type="dxa"/>
            <w:vAlign w:val="center"/>
          </w:tcPr>
          <w:p w14:paraId="58088D85" w14:textId="77777777" w:rsidR="00F25156" w:rsidRDefault="00920FC0">
            <w:pPr>
              <w:jc w:val="center"/>
            </w:pPr>
            <w:r>
              <w:rPr>
                <w:rFonts w:eastAsiaTheme="minorEastAsia"/>
                <w:color w:val="000000" w:themeColor="text1"/>
                <w:szCs w:val="21"/>
              </w:rPr>
              <w:t>-0.40%</w:t>
            </w:r>
          </w:p>
        </w:tc>
        <w:tc>
          <w:tcPr>
            <w:tcW w:w="1204" w:type="dxa"/>
            <w:vAlign w:val="center"/>
          </w:tcPr>
          <w:p w14:paraId="5B2A07E6" w14:textId="77777777" w:rsidR="00F25156" w:rsidRDefault="00920FC0">
            <w:pPr>
              <w:jc w:val="center"/>
            </w:pPr>
            <w:r>
              <w:rPr>
                <w:rFonts w:eastAsiaTheme="minorEastAsia"/>
                <w:color w:val="000000" w:themeColor="text1"/>
                <w:szCs w:val="21"/>
              </w:rPr>
              <w:t>0.00%</w:t>
            </w:r>
          </w:p>
        </w:tc>
      </w:tr>
    </w:tbl>
    <w:p w14:paraId="56433770"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6BB2B3B4" w14:textId="77777777" w:rsidR="00881A82" w:rsidRPr="00473486" w:rsidRDefault="007D1E3A">
      <w:pPr>
        <w:spacing w:line="360" w:lineRule="auto"/>
        <w:rPr>
          <w:rFonts w:eastAsiaTheme="minorEastAsia"/>
          <w:b/>
          <w:color w:val="000000" w:themeColor="text1"/>
          <w:kern w:val="0"/>
          <w:sz w:val="24"/>
        </w:rPr>
      </w:pPr>
      <w:r w:rsidRPr="00473486">
        <w:rPr>
          <w:rFonts w:eastAsiaTheme="minorEastAsia"/>
          <w:b/>
          <w:color w:val="000000" w:themeColor="text1"/>
          <w:kern w:val="0"/>
          <w:sz w:val="24"/>
        </w:rPr>
        <w:t>3.2.2</w:t>
      </w:r>
      <w:r w:rsidRPr="00473486">
        <w:rPr>
          <w:rStyle w:val="af4"/>
          <w:color w:val="000000" w:themeColor="text1"/>
          <w:sz w:val="24"/>
          <w:shd w:val="clear" w:color="auto" w:fill="FFFFFF"/>
        </w:rPr>
        <w:t>自基金合同生效以来</w:t>
      </w:r>
      <w:r w:rsidRPr="00473486">
        <w:rPr>
          <w:rFonts w:eastAsiaTheme="minorEastAsia"/>
          <w:b/>
          <w:bCs/>
          <w:color w:val="000000" w:themeColor="text1"/>
          <w:sz w:val="24"/>
        </w:rPr>
        <w:t>基金累计净值增长率变动及其与同期业绩比较基准收益率变动的比较</w:t>
      </w:r>
    </w:p>
    <w:p w14:paraId="41A4EF6F" w14:textId="77777777" w:rsidR="00881A82" w:rsidRPr="00473486" w:rsidRDefault="007D1E3A">
      <w:pPr>
        <w:spacing w:line="360" w:lineRule="auto"/>
        <w:jc w:val="center"/>
        <w:rPr>
          <w:rFonts w:eastAsiaTheme="minorEastAsia"/>
          <w:color w:val="000000" w:themeColor="text1"/>
          <w:szCs w:val="21"/>
        </w:rPr>
      </w:pPr>
      <w:r w:rsidRPr="00473486">
        <w:rPr>
          <w:rFonts w:eastAsiaTheme="minorEastAsia"/>
          <w:color w:val="000000" w:themeColor="text1"/>
          <w:szCs w:val="21"/>
        </w:rPr>
        <w:t>摩根中证同业存单</w:t>
      </w:r>
      <w:r w:rsidRPr="00473486">
        <w:rPr>
          <w:rFonts w:eastAsiaTheme="minorEastAsia"/>
          <w:color w:val="000000" w:themeColor="text1"/>
          <w:szCs w:val="21"/>
        </w:rPr>
        <w:t>AAA</w:t>
      </w:r>
      <w:r w:rsidRPr="00473486">
        <w:rPr>
          <w:rFonts w:eastAsiaTheme="minorEastAsia"/>
          <w:color w:val="000000" w:themeColor="text1"/>
          <w:szCs w:val="21"/>
        </w:rPr>
        <w:t>指数</w:t>
      </w:r>
      <w:r w:rsidRPr="00473486">
        <w:rPr>
          <w:rFonts w:eastAsiaTheme="minorEastAsia"/>
          <w:color w:val="000000" w:themeColor="text1"/>
          <w:szCs w:val="21"/>
        </w:rPr>
        <w:t>7</w:t>
      </w:r>
      <w:r w:rsidRPr="00473486">
        <w:rPr>
          <w:rFonts w:eastAsiaTheme="minorEastAsia"/>
          <w:color w:val="000000" w:themeColor="text1"/>
          <w:szCs w:val="21"/>
        </w:rPr>
        <w:t>天持有期证券投资基金</w:t>
      </w:r>
    </w:p>
    <w:p w14:paraId="6F8256A7" w14:textId="77777777" w:rsidR="00881A82" w:rsidRPr="00473486" w:rsidRDefault="007D1E3A">
      <w:pPr>
        <w:pStyle w:val="a9"/>
        <w:snapToGrid w:val="0"/>
        <w:spacing w:line="360" w:lineRule="auto"/>
        <w:jc w:val="center"/>
        <w:rPr>
          <w:rFonts w:ascii="Times New Roman" w:eastAsiaTheme="minorEastAsia" w:hAnsi="Times New Roman"/>
          <w:color w:val="000000" w:themeColor="text1"/>
        </w:rPr>
      </w:pPr>
      <w:r w:rsidRPr="00473486">
        <w:rPr>
          <w:rFonts w:ascii="Times New Roman" w:eastAsiaTheme="minorEastAsia" w:hAnsi="Times New Roman"/>
          <w:color w:val="000000" w:themeColor="text1"/>
        </w:rPr>
        <w:t>累计净值增长率与业绩比较基准收益率历史走势对比图</w:t>
      </w:r>
    </w:p>
    <w:p w14:paraId="764342FE" w14:textId="77777777" w:rsidR="00881A82" w:rsidRPr="00473486" w:rsidRDefault="007D1E3A">
      <w:pPr>
        <w:spacing w:line="360" w:lineRule="auto"/>
        <w:jc w:val="center"/>
        <w:rPr>
          <w:rFonts w:eastAsiaTheme="minorEastAsia"/>
          <w:color w:val="000000" w:themeColor="text1"/>
          <w:szCs w:val="21"/>
        </w:rPr>
      </w:pPr>
      <w:r w:rsidRPr="00473486">
        <w:rPr>
          <w:rFonts w:eastAsiaTheme="minorEastAsia"/>
          <w:color w:val="000000" w:themeColor="text1"/>
          <w:kern w:val="0"/>
          <w:szCs w:val="21"/>
        </w:rPr>
        <w:t>（</w:t>
      </w:r>
      <w:r w:rsidRPr="00473486">
        <w:rPr>
          <w:rFonts w:eastAsiaTheme="minorEastAsia"/>
          <w:color w:val="000000" w:themeColor="text1"/>
          <w:kern w:val="0"/>
          <w:szCs w:val="21"/>
        </w:rPr>
        <w:t>2023</w:t>
      </w:r>
      <w:r w:rsidRPr="00473486">
        <w:rPr>
          <w:rFonts w:eastAsiaTheme="minorEastAsia"/>
          <w:color w:val="000000" w:themeColor="text1"/>
          <w:kern w:val="0"/>
          <w:szCs w:val="21"/>
        </w:rPr>
        <w:t>年</w:t>
      </w:r>
      <w:r w:rsidRPr="00473486">
        <w:rPr>
          <w:rFonts w:eastAsiaTheme="minorEastAsia"/>
          <w:color w:val="000000" w:themeColor="text1"/>
          <w:kern w:val="0"/>
          <w:szCs w:val="21"/>
        </w:rPr>
        <w:t>12</w:t>
      </w:r>
      <w:r w:rsidRPr="00473486">
        <w:rPr>
          <w:rFonts w:eastAsiaTheme="minorEastAsia"/>
          <w:color w:val="000000" w:themeColor="text1"/>
          <w:kern w:val="0"/>
          <w:szCs w:val="21"/>
        </w:rPr>
        <w:t>月</w:t>
      </w:r>
      <w:r w:rsidRPr="00473486">
        <w:rPr>
          <w:rFonts w:eastAsiaTheme="minorEastAsia"/>
          <w:color w:val="000000" w:themeColor="text1"/>
          <w:kern w:val="0"/>
          <w:szCs w:val="21"/>
        </w:rPr>
        <w:t>18</w:t>
      </w:r>
      <w:r w:rsidRPr="00473486">
        <w:rPr>
          <w:rFonts w:eastAsiaTheme="minorEastAsia"/>
          <w:color w:val="000000" w:themeColor="text1"/>
          <w:kern w:val="0"/>
          <w:szCs w:val="21"/>
        </w:rPr>
        <w:t>日至</w:t>
      </w:r>
      <w:r w:rsidRPr="00473486">
        <w:rPr>
          <w:rFonts w:eastAsiaTheme="minorEastAsia"/>
          <w:color w:val="000000" w:themeColor="text1"/>
          <w:kern w:val="0"/>
          <w:szCs w:val="21"/>
        </w:rPr>
        <w:t>2024</w:t>
      </w:r>
      <w:r w:rsidRPr="00473486">
        <w:rPr>
          <w:rFonts w:eastAsiaTheme="minorEastAsia"/>
          <w:color w:val="000000" w:themeColor="text1"/>
          <w:kern w:val="0"/>
          <w:szCs w:val="21"/>
        </w:rPr>
        <w:t>年</w:t>
      </w:r>
      <w:r w:rsidRPr="00473486">
        <w:rPr>
          <w:rFonts w:eastAsiaTheme="minorEastAsia"/>
          <w:color w:val="000000" w:themeColor="text1"/>
          <w:kern w:val="0"/>
          <w:szCs w:val="21"/>
        </w:rPr>
        <w:t>9</w:t>
      </w:r>
      <w:r w:rsidRPr="00473486">
        <w:rPr>
          <w:rFonts w:eastAsiaTheme="minorEastAsia"/>
          <w:color w:val="000000" w:themeColor="text1"/>
          <w:kern w:val="0"/>
          <w:szCs w:val="21"/>
        </w:rPr>
        <w:t>月</w:t>
      </w:r>
      <w:r w:rsidRPr="00473486">
        <w:rPr>
          <w:rFonts w:eastAsiaTheme="minorEastAsia"/>
          <w:color w:val="000000" w:themeColor="text1"/>
          <w:kern w:val="0"/>
          <w:szCs w:val="21"/>
        </w:rPr>
        <w:t>30</w:t>
      </w:r>
      <w:r w:rsidRPr="00473486">
        <w:rPr>
          <w:rFonts w:eastAsiaTheme="minorEastAsia"/>
          <w:color w:val="000000" w:themeColor="text1"/>
          <w:kern w:val="0"/>
          <w:szCs w:val="21"/>
        </w:rPr>
        <w:t>日）</w:t>
      </w:r>
    </w:p>
    <w:p w14:paraId="0D6E1412" w14:textId="77777777" w:rsidR="00881A82" w:rsidRPr="00473486" w:rsidRDefault="007D1E3A">
      <w:pPr>
        <w:tabs>
          <w:tab w:val="left" w:pos="1800"/>
        </w:tabs>
        <w:spacing w:line="360" w:lineRule="auto"/>
        <w:jc w:val="center"/>
        <w:rPr>
          <w:rFonts w:eastAsiaTheme="minorEastAsia"/>
          <w:color w:val="000000" w:themeColor="text1"/>
          <w:sz w:val="24"/>
        </w:rPr>
      </w:pPr>
      <w:r w:rsidRPr="00473486">
        <w:rPr>
          <w:rFonts w:eastAsiaTheme="minorEastAsia"/>
          <w:noProof/>
          <w:color w:val="000000" w:themeColor="text1"/>
          <w:sz w:val="24"/>
        </w:rPr>
        <w:drawing>
          <wp:inline distT="0" distB="0" distL="0" distR="0" wp14:anchorId="2A345360" wp14:editId="346F5388">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浏览器下载\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850" cy="3086100"/>
                    </a:xfrm>
                    <a:prstGeom prst="rect">
                      <a:avLst/>
                    </a:prstGeom>
                    <a:noFill/>
                    <a:ln>
                      <a:noFill/>
                    </a:ln>
                  </pic:spPr>
                </pic:pic>
              </a:graphicData>
            </a:graphic>
          </wp:inline>
        </w:drawing>
      </w:r>
    </w:p>
    <w:p w14:paraId="5304AB83" w14:textId="77777777" w:rsidR="00F25156" w:rsidRDefault="00920FC0">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2023</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日，截至本报告期末本基金合同生效未满一年。</w:t>
      </w:r>
    </w:p>
    <w:p w14:paraId="7534AA89"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本基金建仓期为本基金合同生效日起</w:t>
      </w:r>
      <w:r w:rsidRPr="00473486">
        <w:rPr>
          <w:rFonts w:eastAsiaTheme="minorEastAsia"/>
          <w:color w:val="000000" w:themeColor="text1"/>
          <w:szCs w:val="21"/>
        </w:rPr>
        <w:t xml:space="preserve"> 6 </w:t>
      </w:r>
      <w:r w:rsidRPr="00473486">
        <w:rPr>
          <w:rFonts w:eastAsiaTheme="minorEastAsia"/>
          <w:color w:val="000000" w:themeColor="text1"/>
          <w:szCs w:val="21"/>
        </w:rPr>
        <w:t>个月，建仓期结束时资产配置比例符合本基金基金合同规定。</w:t>
      </w:r>
    </w:p>
    <w:p w14:paraId="007F43D5" w14:textId="77777777" w:rsidR="00881A82" w:rsidRPr="00473486" w:rsidRDefault="00881A82">
      <w:pPr>
        <w:pStyle w:val="a9"/>
        <w:snapToGrid w:val="0"/>
        <w:spacing w:before="120" w:line="360" w:lineRule="auto"/>
        <w:jc w:val="center"/>
        <w:rPr>
          <w:rFonts w:ascii="Times New Roman" w:eastAsiaTheme="minorEastAsia" w:hAnsi="Times New Roman"/>
          <w:color w:val="000000" w:themeColor="text1"/>
          <w:sz w:val="24"/>
          <w:szCs w:val="24"/>
        </w:rPr>
      </w:pPr>
    </w:p>
    <w:p w14:paraId="2D59F1CF" w14:textId="77777777" w:rsidR="00881A82" w:rsidRPr="00473486" w:rsidRDefault="00881A82">
      <w:pPr>
        <w:tabs>
          <w:tab w:val="left" w:pos="1800"/>
        </w:tabs>
        <w:spacing w:line="288" w:lineRule="auto"/>
        <w:rPr>
          <w:rFonts w:eastAsiaTheme="minorEastAsia"/>
          <w:color w:val="000000" w:themeColor="text1"/>
          <w:szCs w:val="21"/>
        </w:rPr>
      </w:pPr>
    </w:p>
    <w:p w14:paraId="6E9E6B36"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lastRenderedPageBreak/>
        <w:t xml:space="preserve">§4  </w:t>
      </w:r>
      <w:r w:rsidRPr="00473486">
        <w:rPr>
          <w:rFonts w:eastAsiaTheme="minorEastAsia"/>
          <w:color w:val="000000" w:themeColor="text1"/>
          <w:kern w:val="0"/>
          <w:sz w:val="24"/>
          <w:szCs w:val="24"/>
        </w:rPr>
        <w:t>管理人报告</w:t>
      </w:r>
    </w:p>
    <w:p w14:paraId="4E83FA3A"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4.1 </w:t>
      </w:r>
      <w:r w:rsidRPr="00473486">
        <w:rPr>
          <w:rFonts w:eastAsiaTheme="minorEastAsia"/>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560"/>
        <w:gridCol w:w="1559"/>
        <w:gridCol w:w="1417"/>
        <w:gridCol w:w="2694"/>
      </w:tblGrid>
      <w:tr w:rsidR="00881A82" w:rsidRPr="00473486" w14:paraId="6F244E23" w14:textId="77777777">
        <w:trPr>
          <w:cantSplit/>
          <w:trHeight w:val="292"/>
        </w:trPr>
        <w:tc>
          <w:tcPr>
            <w:tcW w:w="851" w:type="dxa"/>
            <w:vMerge w:val="restart"/>
            <w:vAlign w:val="center"/>
          </w:tcPr>
          <w:p w14:paraId="38237231" w14:textId="77777777" w:rsidR="00881A82" w:rsidRPr="00473486" w:rsidRDefault="007D1E3A">
            <w:pPr>
              <w:widowControl/>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姓名</w:t>
            </w:r>
          </w:p>
        </w:tc>
        <w:tc>
          <w:tcPr>
            <w:tcW w:w="850" w:type="dxa"/>
            <w:vMerge w:val="restart"/>
            <w:vAlign w:val="center"/>
          </w:tcPr>
          <w:p w14:paraId="42E08397" w14:textId="77777777" w:rsidR="00881A82" w:rsidRPr="00473486" w:rsidRDefault="007D1E3A">
            <w:pPr>
              <w:widowControl/>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职务</w:t>
            </w:r>
          </w:p>
        </w:tc>
        <w:tc>
          <w:tcPr>
            <w:tcW w:w="3119" w:type="dxa"/>
            <w:gridSpan w:val="2"/>
            <w:vAlign w:val="center"/>
          </w:tcPr>
          <w:p w14:paraId="3A24FDC4"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任本基金的基金经理期限</w:t>
            </w:r>
          </w:p>
        </w:tc>
        <w:tc>
          <w:tcPr>
            <w:tcW w:w="1417" w:type="dxa"/>
            <w:vMerge w:val="restart"/>
            <w:vAlign w:val="center"/>
          </w:tcPr>
          <w:p w14:paraId="38280DBD"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证券从业年限</w:t>
            </w:r>
          </w:p>
        </w:tc>
        <w:tc>
          <w:tcPr>
            <w:tcW w:w="2694" w:type="dxa"/>
            <w:vMerge w:val="restart"/>
            <w:vAlign w:val="center"/>
          </w:tcPr>
          <w:p w14:paraId="73A3D4B6" w14:textId="77777777" w:rsidR="00881A82" w:rsidRPr="00473486" w:rsidRDefault="007D1E3A">
            <w:pPr>
              <w:widowControl/>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说明</w:t>
            </w:r>
          </w:p>
        </w:tc>
      </w:tr>
      <w:tr w:rsidR="00881A82" w:rsidRPr="00473486" w14:paraId="16CF3452" w14:textId="77777777">
        <w:trPr>
          <w:cantSplit/>
        </w:trPr>
        <w:tc>
          <w:tcPr>
            <w:tcW w:w="851" w:type="dxa"/>
            <w:vMerge/>
            <w:vAlign w:val="center"/>
          </w:tcPr>
          <w:p w14:paraId="5ED69703" w14:textId="77777777" w:rsidR="00881A82" w:rsidRPr="00473486" w:rsidRDefault="00881A82">
            <w:pPr>
              <w:widowControl/>
              <w:spacing w:line="360" w:lineRule="auto"/>
              <w:jc w:val="left"/>
              <w:rPr>
                <w:rFonts w:eastAsiaTheme="minorEastAsia"/>
                <w:color w:val="000000" w:themeColor="text1"/>
                <w:kern w:val="0"/>
                <w:szCs w:val="21"/>
              </w:rPr>
            </w:pPr>
          </w:p>
        </w:tc>
        <w:tc>
          <w:tcPr>
            <w:tcW w:w="850" w:type="dxa"/>
            <w:vMerge/>
            <w:vAlign w:val="center"/>
          </w:tcPr>
          <w:p w14:paraId="696C497F" w14:textId="77777777" w:rsidR="00881A82" w:rsidRPr="00473486" w:rsidRDefault="00881A82">
            <w:pPr>
              <w:widowControl/>
              <w:spacing w:line="360" w:lineRule="auto"/>
              <w:jc w:val="left"/>
              <w:rPr>
                <w:rFonts w:eastAsiaTheme="minorEastAsia"/>
                <w:color w:val="000000" w:themeColor="text1"/>
                <w:kern w:val="0"/>
                <w:szCs w:val="21"/>
              </w:rPr>
            </w:pPr>
          </w:p>
        </w:tc>
        <w:tc>
          <w:tcPr>
            <w:tcW w:w="1560" w:type="dxa"/>
            <w:vAlign w:val="center"/>
          </w:tcPr>
          <w:p w14:paraId="7A4C6D31"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任职日期</w:t>
            </w:r>
          </w:p>
        </w:tc>
        <w:tc>
          <w:tcPr>
            <w:tcW w:w="1559" w:type="dxa"/>
            <w:vAlign w:val="center"/>
          </w:tcPr>
          <w:p w14:paraId="6105EBC2"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离任日期</w:t>
            </w:r>
          </w:p>
        </w:tc>
        <w:tc>
          <w:tcPr>
            <w:tcW w:w="1417" w:type="dxa"/>
            <w:vMerge/>
            <w:vAlign w:val="center"/>
          </w:tcPr>
          <w:p w14:paraId="3B324E2A" w14:textId="77777777" w:rsidR="00881A82" w:rsidRPr="00473486" w:rsidRDefault="00881A82">
            <w:pPr>
              <w:widowControl/>
              <w:spacing w:line="360" w:lineRule="auto"/>
              <w:jc w:val="left"/>
              <w:rPr>
                <w:rFonts w:eastAsiaTheme="minorEastAsia"/>
                <w:color w:val="000000" w:themeColor="text1"/>
                <w:kern w:val="0"/>
                <w:szCs w:val="21"/>
              </w:rPr>
            </w:pPr>
          </w:p>
        </w:tc>
        <w:tc>
          <w:tcPr>
            <w:tcW w:w="2694" w:type="dxa"/>
            <w:vMerge/>
            <w:vAlign w:val="center"/>
          </w:tcPr>
          <w:p w14:paraId="13ED6F30" w14:textId="77777777" w:rsidR="00881A82" w:rsidRPr="00473486" w:rsidRDefault="00881A82">
            <w:pPr>
              <w:widowControl/>
              <w:spacing w:line="360" w:lineRule="auto"/>
              <w:jc w:val="left"/>
              <w:rPr>
                <w:rFonts w:eastAsiaTheme="minorEastAsia"/>
                <w:color w:val="000000" w:themeColor="text1"/>
                <w:kern w:val="0"/>
                <w:szCs w:val="21"/>
              </w:rPr>
            </w:pPr>
          </w:p>
        </w:tc>
      </w:tr>
      <w:tr w:rsidR="00F25156" w14:paraId="07408D4C" w14:textId="77777777">
        <w:tc>
          <w:tcPr>
            <w:tcW w:w="851" w:type="dxa"/>
            <w:vAlign w:val="center"/>
          </w:tcPr>
          <w:p w14:paraId="2616E3E4" w14:textId="77777777" w:rsidR="00F25156" w:rsidRDefault="00920FC0">
            <w:pPr>
              <w:jc w:val="center"/>
            </w:pPr>
            <w:r>
              <w:rPr>
                <w:rFonts w:eastAsiaTheme="minorEastAsia"/>
                <w:color w:val="000000" w:themeColor="text1"/>
                <w:szCs w:val="21"/>
              </w:rPr>
              <w:t>鞠婷</w:t>
            </w:r>
          </w:p>
        </w:tc>
        <w:tc>
          <w:tcPr>
            <w:tcW w:w="850" w:type="dxa"/>
            <w:vAlign w:val="center"/>
          </w:tcPr>
          <w:p w14:paraId="57315AD9" w14:textId="77777777" w:rsidR="00F25156" w:rsidRDefault="00920FC0">
            <w:pPr>
              <w:jc w:val="center"/>
            </w:pPr>
            <w:r>
              <w:rPr>
                <w:rFonts w:eastAsiaTheme="minorEastAsia"/>
                <w:color w:val="000000" w:themeColor="text1"/>
                <w:szCs w:val="21"/>
              </w:rPr>
              <w:t>本基金基金经理</w:t>
            </w:r>
          </w:p>
        </w:tc>
        <w:tc>
          <w:tcPr>
            <w:tcW w:w="1560" w:type="dxa"/>
            <w:vAlign w:val="center"/>
          </w:tcPr>
          <w:p w14:paraId="1B771971" w14:textId="77777777" w:rsidR="00F25156" w:rsidRDefault="00920FC0">
            <w:pPr>
              <w:jc w:val="center"/>
            </w:pPr>
            <w:r>
              <w:rPr>
                <w:rFonts w:eastAsiaTheme="minorEastAsia"/>
                <w:color w:val="000000" w:themeColor="text1"/>
                <w:szCs w:val="21"/>
              </w:rPr>
              <w:t>2023-12-18</w:t>
            </w:r>
          </w:p>
        </w:tc>
        <w:tc>
          <w:tcPr>
            <w:tcW w:w="1559" w:type="dxa"/>
            <w:vAlign w:val="center"/>
          </w:tcPr>
          <w:p w14:paraId="4317B906" w14:textId="77777777" w:rsidR="00F25156" w:rsidRDefault="00920FC0">
            <w:pPr>
              <w:jc w:val="center"/>
            </w:pPr>
            <w:r>
              <w:rPr>
                <w:rFonts w:eastAsiaTheme="minorEastAsia"/>
                <w:color w:val="000000" w:themeColor="text1"/>
                <w:szCs w:val="21"/>
              </w:rPr>
              <w:t>-</w:t>
            </w:r>
          </w:p>
        </w:tc>
        <w:tc>
          <w:tcPr>
            <w:tcW w:w="1417" w:type="dxa"/>
            <w:vAlign w:val="center"/>
          </w:tcPr>
          <w:p w14:paraId="00220522" w14:textId="77777777" w:rsidR="00F25156" w:rsidRDefault="00920FC0">
            <w:pPr>
              <w:jc w:val="center"/>
            </w:pPr>
            <w:r>
              <w:rPr>
                <w:rFonts w:eastAsiaTheme="minorEastAsia"/>
                <w:color w:val="000000" w:themeColor="text1"/>
                <w:szCs w:val="21"/>
              </w:rPr>
              <w:t>19</w:t>
            </w:r>
            <w:r>
              <w:rPr>
                <w:rFonts w:eastAsiaTheme="minorEastAsia"/>
                <w:color w:val="000000" w:themeColor="text1"/>
                <w:szCs w:val="21"/>
              </w:rPr>
              <w:t>年</w:t>
            </w:r>
          </w:p>
        </w:tc>
        <w:tc>
          <w:tcPr>
            <w:tcW w:w="2694" w:type="dxa"/>
            <w:vAlign w:val="center"/>
          </w:tcPr>
          <w:p w14:paraId="342B96AF" w14:textId="77777777" w:rsidR="00F25156" w:rsidRDefault="00920FC0">
            <w:r>
              <w:rPr>
                <w:rFonts w:eastAsiaTheme="minorEastAsia"/>
                <w:color w:val="000000" w:themeColor="text1"/>
                <w:szCs w:val="21"/>
              </w:rPr>
              <w:t>鞠婷女士曾任中国建设银行第一支行助理经济师，瑞穗银行总行总经理助理。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月起加入摩根基金管理（中国）有限公司（原上投摩根基金管理有限公司），历任基金经理助理、基金经理，高级基金经理，现任货币市场投资部副总监兼资深基金经理。</w:t>
            </w:r>
          </w:p>
        </w:tc>
      </w:tr>
      <w:tr w:rsidR="00F25156" w14:paraId="3D4DC7FD" w14:textId="77777777">
        <w:tc>
          <w:tcPr>
            <w:tcW w:w="851" w:type="dxa"/>
            <w:vAlign w:val="center"/>
          </w:tcPr>
          <w:p w14:paraId="527956AE" w14:textId="77777777" w:rsidR="00F25156" w:rsidRDefault="00920FC0">
            <w:pPr>
              <w:jc w:val="center"/>
            </w:pPr>
            <w:r>
              <w:rPr>
                <w:rFonts w:eastAsiaTheme="minorEastAsia"/>
                <w:color w:val="000000" w:themeColor="text1"/>
                <w:szCs w:val="21"/>
              </w:rPr>
              <w:t>邱林晶</w:t>
            </w:r>
          </w:p>
        </w:tc>
        <w:tc>
          <w:tcPr>
            <w:tcW w:w="850" w:type="dxa"/>
            <w:vAlign w:val="center"/>
          </w:tcPr>
          <w:p w14:paraId="13FF2249" w14:textId="77777777" w:rsidR="00F25156" w:rsidRDefault="00920FC0">
            <w:pPr>
              <w:jc w:val="center"/>
            </w:pPr>
            <w:r>
              <w:rPr>
                <w:rFonts w:eastAsiaTheme="minorEastAsia"/>
                <w:color w:val="000000" w:themeColor="text1"/>
                <w:szCs w:val="21"/>
              </w:rPr>
              <w:t>本基金基金经理</w:t>
            </w:r>
          </w:p>
        </w:tc>
        <w:tc>
          <w:tcPr>
            <w:tcW w:w="1560" w:type="dxa"/>
            <w:vAlign w:val="center"/>
          </w:tcPr>
          <w:p w14:paraId="3DD31287" w14:textId="77777777" w:rsidR="00F25156" w:rsidRDefault="00920FC0">
            <w:pPr>
              <w:jc w:val="center"/>
            </w:pPr>
            <w:r>
              <w:rPr>
                <w:rFonts w:eastAsiaTheme="minorEastAsia"/>
                <w:color w:val="000000" w:themeColor="text1"/>
                <w:szCs w:val="21"/>
              </w:rPr>
              <w:t>2023-12-22</w:t>
            </w:r>
          </w:p>
        </w:tc>
        <w:tc>
          <w:tcPr>
            <w:tcW w:w="1559" w:type="dxa"/>
            <w:vAlign w:val="center"/>
          </w:tcPr>
          <w:p w14:paraId="657A8DDF" w14:textId="77777777" w:rsidR="00F25156" w:rsidRDefault="00920FC0">
            <w:pPr>
              <w:jc w:val="center"/>
            </w:pPr>
            <w:r>
              <w:rPr>
                <w:rFonts w:eastAsiaTheme="minorEastAsia"/>
                <w:color w:val="000000" w:themeColor="text1"/>
                <w:szCs w:val="21"/>
              </w:rPr>
              <w:t>-</w:t>
            </w:r>
          </w:p>
        </w:tc>
        <w:tc>
          <w:tcPr>
            <w:tcW w:w="1417" w:type="dxa"/>
            <w:vAlign w:val="center"/>
          </w:tcPr>
          <w:p w14:paraId="29A19322" w14:textId="77777777" w:rsidR="00F25156" w:rsidRDefault="00920FC0">
            <w:pPr>
              <w:jc w:val="center"/>
            </w:pPr>
            <w:r>
              <w:rPr>
                <w:rFonts w:eastAsiaTheme="minorEastAsia"/>
                <w:color w:val="000000" w:themeColor="text1"/>
                <w:szCs w:val="21"/>
              </w:rPr>
              <w:t>11</w:t>
            </w:r>
            <w:r>
              <w:rPr>
                <w:rFonts w:eastAsiaTheme="minorEastAsia"/>
                <w:color w:val="000000" w:themeColor="text1"/>
                <w:szCs w:val="21"/>
              </w:rPr>
              <w:t>年</w:t>
            </w:r>
          </w:p>
        </w:tc>
        <w:tc>
          <w:tcPr>
            <w:tcW w:w="2694" w:type="dxa"/>
            <w:vAlign w:val="center"/>
          </w:tcPr>
          <w:p w14:paraId="36964124" w14:textId="77777777" w:rsidR="00F25156" w:rsidRDefault="00920FC0">
            <w:r>
              <w:rPr>
                <w:rFonts w:eastAsiaTheme="minorEastAsia"/>
                <w:color w:val="000000" w:themeColor="text1"/>
                <w:szCs w:val="21"/>
              </w:rPr>
              <w:t>邱林晶女士曾任国泰基金管理有限公司风险管理部分析师，平安资产管理有限责任公司固收交易员，中银理财有限责任公司集中交易室高级经理、活期理财产品部投资经理；自</w:t>
            </w:r>
            <w:r>
              <w:rPr>
                <w:rFonts w:eastAsiaTheme="minorEastAsia"/>
                <w:color w:val="000000" w:themeColor="text1"/>
                <w:szCs w:val="21"/>
              </w:rPr>
              <w:t>2022</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月加入摩根基金管理（中国）有限公司（原上投摩根基金管理有限公司），历任货币市场投资部基金经理助理，现任基金经理。</w:t>
            </w:r>
          </w:p>
        </w:tc>
      </w:tr>
    </w:tbl>
    <w:p w14:paraId="6BFDFA71" w14:textId="77777777" w:rsidR="00F25156" w:rsidRDefault="00920FC0">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任职日期和离任日期均指根据公司决定确定的聘任日期和解聘日期。</w:t>
      </w:r>
    </w:p>
    <w:p w14:paraId="097DB079" w14:textId="77777777" w:rsidR="00F25156" w:rsidRDefault="00920FC0">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鞠婷女士为本基金首任基金经理，其任职日期为本基金基金合同生效之日。</w:t>
      </w:r>
    </w:p>
    <w:p w14:paraId="35E7C954"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3.</w:t>
      </w:r>
      <w:r w:rsidRPr="00473486">
        <w:rPr>
          <w:rFonts w:eastAsiaTheme="minorEastAsia"/>
          <w:color w:val="000000" w:themeColor="text1"/>
          <w:szCs w:val="21"/>
        </w:rPr>
        <w:t>证券从业的含义遵从行业协会《证券业从业人员资格管理办法》的相关规定。</w:t>
      </w:r>
    </w:p>
    <w:p w14:paraId="18237E46"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4.2</w:t>
      </w:r>
      <w:r w:rsidRPr="00473486">
        <w:rPr>
          <w:b/>
          <w:color w:val="000000"/>
          <w:sz w:val="24"/>
          <w:shd w:val="clear" w:color="auto" w:fill="FFFFFF"/>
        </w:rPr>
        <w:t>管理人对报告期内本基金运作遵规守信情况的说明</w:t>
      </w:r>
    </w:p>
    <w:p w14:paraId="24B00658"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FF01951"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0907E683"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4.3 </w:t>
      </w:r>
      <w:r w:rsidRPr="00473486">
        <w:rPr>
          <w:rFonts w:eastAsiaTheme="minorEastAsia"/>
          <w:b/>
          <w:color w:val="000000" w:themeColor="text1"/>
          <w:kern w:val="0"/>
          <w:sz w:val="24"/>
        </w:rPr>
        <w:t>公平交易专项说明</w:t>
      </w:r>
    </w:p>
    <w:p w14:paraId="0F22D7E8"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 xml:space="preserve">4.3.1 </w:t>
      </w:r>
      <w:r w:rsidRPr="00473486">
        <w:rPr>
          <w:rFonts w:eastAsiaTheme="minorEastAsia"/>
          <w:color w:val="000000" w:themeColor="text1"/>
          <w:szCs w:val="21"/>
        </w:rPr>
        <w:t>公平交易制度的执行情况</w:t>
      </w:r>
    </w:p>
    <w:p w14:paraId="46C1881E"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14:paraId="098FC084"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w:t>
      </w:r>
      <w:r>
        <w:rPr>
          <w:rFonts w:eastAsiaTheme="minorEastAsia"/>
          <w:color w:val="000000" w:themeColor="text1"/>
          <w:szCs w:val="21"/>
        </w:rPr>
        <w:t>，本公司通过对手库控制和交易室询价机制，严格防范对手风险并检查价格公允性；对于申购投资行为，本公司遵循价格优先、比例分配的原则，根据事前独立申报的价格和数量对交易结果进行公平分配。</w:t>
      </w:r>
    </w:p>
    <w:p w14:paraId="6AD944B8"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14:paraId="2C2E2C99"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 xml:space="preserve">4.3.2 </w:t>
      </w:r>
      <w:r w:rsidRPr="00473486">
        <w:rPr>
          <w:rFonts w:eastAsiaTheme="minorEastAsia"/>
          <w:color w:val="000000" w:themeColor="text1"/>
          <w:szCs w:val="21"/>
        </w:rPr>
        <w:t>异常交易行为的专项说明</w:t>
      </w:r>
    </w:p>
    <w:p w14:paraId="0271B6D6"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14:paraId="5F7FEDA2"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所有投资组合参与的交易所公开竞价同日反向交易成交较少的单边交易量超过该证券当日成交量的</w:t>
      </w:r>
      <w:r w:rsidRPr="00473486">
        <w:rPr>
          <w:rFonts w:eastAsiaTheme="minorEastAsia"/>
          <w:color w:val="000000" w:themeColor="text1"/>
          <w:szCs w:val="21"/>
        </w:rPr>
        <w:t>5%</w:t>
      </w:r>
      <w:r w:rsidRPr="00473486">
        <w:rPr>
          <w:rFonts w:eastAsiaTheme="minorEastAsia"/>
          <w:color w:val="000000" w:themeColor="text1"/>
          <w:szCs w:val="21"/>
        </w:rPr>
        <w:t>的情形：无。</w:t>
      </w:r>
    </w:p>
    <w:p w14:paraId="49CC3B0B" w14:textId="77777777" w:rsidR="00881A82" w:rsidRPr="00473486" w:rsidRDefault="00881A82">
      <w:pPr>
        <w:spacing w:line="360" w:lineRule="auto"/>
        <w:ind w:firstLineChars="200" w:firstLine="480"/>
        <w:rPr>
          <w:rFonts w:eastAsiaTheme="minorEastAsia"/>
          <w:color w:val="000000" w:themeColor="text1"/>
          <w:sz w:val="24"/>
        </w:rPr>
      </w:pPr>
    </w:p>
    <w:p w14:paraId="3B01E1A6"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4.4 </w:t>
      </w:r>
      <w:r w:rsidRPr="00473486">
        <w:rPr>
          <w:rFonts w:eastAsiaTheme="minorEastAsia"/>
          <w:b/>
          <w:color w:val="000000" w:themeColor="text1"/>
          <w:kern w:val="0"/>
          <w:sz w:val="24"/>
        </w:rPr>
        <w:t>报告期内基金的投资策略和业绩表现说明</w:t>
      </w:r>
    </w:p>
    <w:p w14:paraId="523A702D"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4.4.1</w:t>
      </w:r>
      <w:r w:rsidRPr="00473486">
        <w:rPr>
          <w:rFonts w:eastAsiaTheme="minorEastAsia"/>
          <w:color w:val="000000" w:themeColor="text1"/>
          <w:szCs w:val="21"/>
        </w:rPr>
        <w:t>报告期内基金投资策略和运作分析</w:t>
      </w:r>
    </w:p>
    <w:p w14:paraId="26EE4424"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2024</w:t>
      </w:r>
      <w:r>
        <w:rPr>
          <w:rFonts w:eastAsiaTheme="minorEastAsia"/>
          <w:color w:val="000000" w:themeColor="text1"/>
          <w:szCs w:val="21"/>
        </w:rPr>
        <w:t>年三季度，经济运行总体平稳，高质量发展仍在稳步推进。</w:t>
      </w:r>
      <w:r>
        <w:rPr>
          <w:rFonts w:eastAsiaTheme="minorEastAsia"/>
          <w:color w:val="000000" w:themeColor="text1"/>
          <w:szCs w:val="21"/>
        </w:rPr>
        <w:t>1-8</w:t>
      </w:r>
      <w:r>
        <w:rPr>
          <w:rFonts w:eastAsiaTheme="minorEastAsia"/>
          <w:color w:val="000000" w:themeColor="text1"/>
          <w:szCs w:val="21"/>
        </w:rPr>
        <w:t>月份全国规模以上工业企业利润同比增长</w:t>
      </w:r>
      <w:r>
        <w:rPr>
          <w:rFonts w:eastAsiaTheme="minorEastAsia"/>
          <w:color w:val="000000" w:themeColor="text1"/>
          <w:szCs w:val="21"/>
        </w:rPr>
        <w:t>0.5%</w:t>
      </w:r>
      <w:r>
        <w:rPr>
          <w:rFonts w:eastAsiaTheme="minorEastAsia"/>
          <w:color w:val="000000" w:themeColor="text1"/>
          <w:szCs w:val="21"/>
        </w:rPr>
        <w:t>，延续年初以来的增长态势；</w:t>
      </w:r>
      <w:r>
        <w:rPr>
          <w:rFonts w:eastAsiaTheme="minorEastAsia"/>
          <w:color w:val="000000" w:themeColor="text1"/>
          <w:szCs w:val="21"/>
        </w:rPr>
        <w:t>1-8</w:t>
      </w:r>
      <w:r>
        <w:rPr>
          <w:rFonts w:eastAsiaTheme="minorEastAsia"/>
          <w:color w:val="000000" w:themeColor="text1"/>
          <w:szCs w:val="21"/>
        </w:rPr>
        <w:t>月份全国固定资产投资增长</w:t>
      </w:r>
      <w:r>
        <w:rPr>
          <w:rFonts w:eastAsiaTheme="minorEastAsia"/>
          <w:color w:val="000000" w:themeColor="text1"/>
          <w:szCs w:val="21"/>
        </w:rPr>
        <w:t>3.4%</w:t>
      </w:r>
      <w:r>
        <w:rPr>
          <w:rFonts w:eastAsiaTheme="minorEastAsia"/>
          <w:color w:val="000000" w:themeColor="text1"/>
          <w:szCs w:val="21"/>
        </w:rPr>
        <w:t>，高技术产业投资引领作用突出</w:t>
      </w:r>
      <w:r>
        <w:rPr>
          <w:rFonts w:eastAsiaTheme="minorEastAsia"/>
          <w:color w:val="000000" w:themeColor="text1"/>
          <w:szCs w:val="21"/>
        </w:rPr>
        <w:t>; 8</w:t>
      </w:r>
      <w:r>
        <w:rPr>
          <w:rFonts w:eastAsiaTheme="minorEastAsia"/>
          <w:color w:val="000000" w:themeColor="text1"/>
          <w:szCs w:val="21"/>
        </w:rPr>
        <w:t>月份社会消费品零售总额增长</w:t>
      </w:r>
      <w:r>
        <w:rPr>
          <w:rFonts w:eastAsiaTheme="minorEastAsia"/>
          <w:color w:val="000000" w:themeColor="text1"/>
          <w:szCs w:val="21"/>
        </w:rPr>
        <w:t>2.1%</w:t>
      </w:r>
      <w:r>
        <w:rPr>
          <w:rFonts w:eastAsiaTheme="minorEastAsia"/>
          <w:color w:val="000000" w:themeColor="text1"/>
          <w:szCs w:val="21"/>
        </w:rPr>
        <w:t>，线上消费较快增长；</w:t>
      </w:r>
      <w:r>
        <w:rPr>
          <w:rFonts w:eastAsiaTheme="minorEastAsia"/>
          <w:color w:val="000000" w:themeColor="text1"/>
          <w:szCs w:val="21"/>
        </w:rPr>
        <w:t>9</w:t>
      </w:r>
      <w:r>
        <w:rPr>
          <w:rFonts w:eastAsiaTheme="minorEastAsia"/>
          <w:color w:val="000000" w:themeColor="text1"/>
          <w:szCs w:val="21"/>
        </w:rPr>
        <w:t>月份制造业采购经理人指数（</w:t>
      </w:r>
      <w:r>
        <w:rPr>
          <w:rFonts w:eastAsiaTheme="minorEastAsia"/>
          <w:color w:val="000000" w:themeColor="text1"/>
          <w:szCs w:val="21"/>
        </w:rPr>
        <w:t>PMI</w:t>
      </w:r>
      <w:r>
        <w:rPr>
          <w:rFonts w:eastAsiaTheme="minorEastAsia"/>
          <w:color w:val="000000" w:themeColor="text1"/>
          <w:szCs w:val="21"/>
        </w:rPr>
        <w:t>）为</w:t>
      </w:r>
      <w:r>
        <w:rPr>
          <w:rFonts w:eastAsiaTheme="minorEastAsia"/>
          <w:color w:val="000000" w:themeColor="text1"/>
          <w:szCs w:val="21"/>
        </w:rPr>
        <w:t>49.8%</w:t>
      </w:r>
      <w:r>
        <w:rPr>
          <w:rFonts w:eastAsiaTheme="minorEastAsia"/>
          <w:color w:val="000000" w:themeColor="text1"/>
          <w:szCs w:val="21"/>
        </w:rPr>
        <w:t>，比上月上升</w:t>
      </w:r>
      <w:r>
        <w:rPr>
          <w:rFonts w:eastAsiaTheme="minorEastAsia"/>
          <w:color w:val="000000" w:themeColor="text1"/>
          <w:szCs w:val="21"/>
        </w:rPr>
        <w:t>0.7</w:t>
      </w:r>
      <w:r>
        <w:rPr>
          <w:rFonts w:eastAsiaTheme="minorEastAsia"/>
          <w:color w:val="000000" w:themeColor="text1"/>
          <w:szCs w:val="21"/>
        </w:rPr>
        <w:t>个百分点，制造业景气度回升</w:t>
      </w:r>
      <w:r>
        <w:rPr>
          <w:rFonts w:eastAsiaTheme="minorEastAsia"/>
          <w:color w:val="000000" w:themeColor="text1"/>
          <w:szCs w:val="21"/>
        </w:rPr>
        <w:t>; 8</w:t>
      </w:r>
      <w:r>
        <w:rPr>
          <w:rFonts w:eastAsiaTheme="minorEastAsia"/>
          <w:color w:val="000000" w:themeColor="text1"/>
          <w:szCs w:val="21"/>
        </w:rPr>
        <w:t>月消</w:t>
      </w:r>
      <w:r>
        <w:rPr>
          <w:rFonts w:eastAsiaTheme="minorEastAsia"/>
          <w:color w:val="000000" w:themeColor="text1"/>
          <w:szCs w:val="21"/>
        </w:rPr>
        <w:t>费者价格指数</w:t>
      </w:r>
      <w:r>
        <w:rPr>
          <w:rFonts w:eastAsiaTheme="minorEastAsia"/>
          <w:color w:val="000000" w:themeColor="text1"/>
          <w:szCs w:val="21"/>
        </w:rPr>
        <w:t>(CPI)</w:t>
      </w:r>
      <w:r>
        <w:rPr>
          <w:rFonts w:eastAsiaTheme="minorEastAsia"/>
          <w:color w:val="000000" w:themeColor="text1"/>
          <w:szCs w:val="21"/>
        </w:rPr>
        <w:t>当月同比上涨</w:t>
      </w:r>
      <w:r>
        <w:rPr>
          <w:rFonts w:eastAsiaTheme="minorEastAsia"/>
          <w:color w:val="000000" w:themeColor="text1"/>
          <w:szCs w:val="21"/>
        </w:rPr>
        <w:t>0.6%</w:t>
      </w:r>
      <w:r>
        <w:rPr>
          <w:rFonts w:eastAsiaTheme="minorEastAsia"/>
          <w:color w:val="000000" w:themeColor="text1"/>
          <w:szCs w:val="21"/>
        </w:rPr>
        <w:t>，生产者价格指数</w:t>
      </w:r>
      <w:r>
        <w:rPr>
          <w:rFonts w:eastAsiaTheme="minorEastAsia"/>
          <w:color w:val="000000" w:themeColor="text1"/>
          <w:szCs w:val="21"/>
        </w:rPr>
        <w:t>(PPI)</w:t>
      </w:r>
      <w:r>
        <w:rPr>
          <w:rFonts w:eastAsiaTheme="minorEastAsia"/>
          <w:color w:val="000000" w:themeColor="text1"/>
          <w:szCs w:val="21"/>
        </w:rPr>
        <w:t>当月同比下降</w:t>
      </w:r>
      <w:r>
        <w:rPr>
          <w:rFonts w:eastAsiaTheme="minorEastAsia"/>
          <w:color w:val="000000" w:themeColor="text1"/>
          <w:szCs w:val="21"/>
        </w:rPr>
        <w:t>1.8%</w:t>
      </w:r>
      <w:r>
        <w:rPr>
          <w:rFonts w:eastAsiaTheme="minorEastAsia"/>
          <w:color w:val="000000" w:themeColor="text1"/>
          <w:szCs w:val="21"/>
        </w:rPr>
        <w:t>。</w:t>
      </w:r>
    </w:p>
    <w:p w14:paraId="1DB8F218"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三季度，稳健的货币政策灵活适度、精准有效，坚定坚持支持性立场，综合运用利率、准备金、再贷款、国债买卖等工具，切实服务实体经济，并保持人民币汇率在合理均衡水平上基本稳定。具体来看，央行在</w:t>
      </w:r>
      <w:r>
        <w:rPr>
          <w:rFonts w:eastAsiaTheme="minorEastAsia"/>
          <w:color w:val="000000" w:themeColor="text1"/>
          <w:szCs w:val="21"/>
        </w:rPr>
        <w:t>9</w:t>
      </w:r>
      <w:r>
        <w:rPr>
          <w:rFonts w:eastAsiaTheme="minorEastAsia"/>
          <w:color w:val="000000" w:themeColor="text1"/>
          <w:szCs w:val="21"/>
        </w:rPr>
        <w:t>月下调金融机构存款准备金率</w:t>
      </w:r>
      <w:r>
        <w:rPr>
          <w:rFonts w:eastAsiaTheme="minorEastAsia"/>
          <w:color w:val="000000" w:themeColor="text1"/>
          <w:szCs w:val="21"/>
        </w:rPr>
        <w:t>0.5</w:t>
      </w:r>
      <w:r>
        <w:rPr>
          <w:rFonts w:eastAsiaTheme="minorEastAsia"/>
          <w:color w:val="000000" w:themeColor="text1"/>
          <w:szCs w:val="21"/>
        </w:rPr>
        <w:t>个百分点，向金融市场提供长期流动性约</w:t>
      </w:r>
      <w:r>
        <w:rPr>
          <w:rFonts w:eastAsiaTheme="minorEastAsia"/>
          <w:color w:val="000000" w:themeColor="text1"/>
          <w:szCs w:val="21"/>
        </w:rPr>
        <w:t>1</w:t>
      </w:r>
      <w:r>
        <w:rPr>
          <w:rFonts w:eastAsiaTheme="minorEastAsia"/>
          <w:color w:val="000000" w:themeColor="text1"/>
          <w:szCs w:val="21"/>
        </w:rPr>
        <w:t>万亿元；在</w:t>
      </w:r>
      <w:r>
        <w:rPr>
          <w:rFonts w:eastAsiaTheme="minorEastAsia"/>
          <w:color w:val="000000" w:themeColor="text1"/>
          <w:szCs w:val="21"/>
        </w:rPr>
        <w:t>7</w:t>
      </w:r>
      <w:r>
        <w:rPr>
          <w:rFonts w:eastAsiaTheme="minorEastAsia"/>
          <w:color w:val="000000" w:themeColor="text1"/>
          <w:szCs w:val="21"/>
        </w:rPr>
        <w:t>月和</w:t>
      </w:r>
      <w:r>
        <w:rPr>
          <w:rFonts w:eastAsiaTheme="minorEastAsia"/>
          <w:color w:val="000000" w:themeColor="text1"/>
          <w:szCs w:val="21"/>
        </w:rPr>
        <w:t>9</w:t>
      </w:r>
      <w:r>
        <w:rPr>
          <w:rFonts w:eastAsiaTheme="minorEastAsia"/>
          <w:color w:val="000000" w:themeColor="text1"/>
          <w:szCs w:val="21"/>
        </w:rPr>
        <w:t>月分别调降了公开市场</w:t>
      </w:r>
      <w:r>
        <w:rPr>
          <w:rFonts w:eastAsiaTheme="minorEastAsia"/>
          <w:color w:val="000000" w:themeColor="text1"/>
          <w:szCs w:val="21"/>
        </w:rPr>
        <w:t>7</w:t>
      </w:r>
      <w:r>
        <w:rPr>
          <w:rFonts w:eastAsiaTheme="minorEastAsia"/>
          <w:color w:val="000000" w:themeColor="text1"/>
          <w:szCs w:val="21"/>
        </w:rPr>
        <w:t>天期逆回购利率</w:t>
      </w:r>
      <w:r>
        <w:rPr>
          <w:rFonts w:eastAsiaTheme="minorEastAsia"/>
          <w:color w:val="000000" w:themeColor="text1"/>
          <w:szCs w:val="21"/>
        </w:rPr>
        <w:t>10BP</w:t>
      </w:r>
      <w:r>
        <w:rPr>
          <w:rFonts w:eastAsiaTheme="minorEastAsia"/>
          <w:color w:val="000000" w:themeColor="text1"/>
          <w:szCs w:val="21"/>
        </w:rPr>
        <w:t>和</w:t>
      </w:r>
      <w:r>
        <w:rPr>
          <w:rFonts w:eastAsiaTheme="minorEastAsia"/>
          <w:color w:val="000000" w:themeColor="text1"/>
          <w:szCs w:val="21"/>
        </w:rPr>
        <w:lastRenderedPageBreak/>
        <w:t>20BP</w:t>
      </w:r>
      <w:r>
        <w:rPr>
          <w:rFonts w:eastAsiaTheme="minorEastAsia"/>
          <w:color w:val="000000" w:themeColor="text1"/>
          <w:szCs w:val="21"/>
        </w:rPr>
        <w:t>，合计调降</w:t>
      </w:r>
      <w:r>
        <w:rPr>
          <w:rFonts w:eastAsiaTheme="minorEastAsia"/>
          <w:color w:val="000000" w:themeColor="text1"/>
          <w:szCs w:val="21"/>
        </w:rPr>
        <w:t>30BP</w:t>
      </w:r>
      <w:r>
        <w:rPr>
          <w:rFonts w:eastAsiaTheme="minorEastAsia"/>
          <w:color w:val="000000" w:themeColor="text1"/>
          <w:szCs w:val="21"/>
        </w:rPr>
        <w:t>至</w:t>
      </w:r>
      <w:r>
        <w:rPr>
          <w:rFonts w:eastAsiaTheme="minorEastAsia"/>
          <w:color w:val="000000" w:themeColor="text1"/>
          <w:szCs w:val="21"/>
        </w:rPr>
        <w:t>1.5%</w:t>
      </w:r>
      <w:r>
        <w:rPr>
          <w:rFonts w:eastAsiaTheme="minorEastAsia"/>
          <w:color w:val="000000" w:themeColor="text1"/>
          <w:szCs w:val="21"/>
        </w:rPr>
        <w:t>，带动中期借贷便利（</w:t>
      </w:r>
      <w:r>
        <w:rPr>
          <w:rFonts w:eastAsiaTheme="minorEastAsia"/>
          <w:color w:val="000000" w:themeColor="text1"/>
          <w:szCs w:val="21"/>
        </w:rPr>
        <w:t>MLF</w:t>
      </w:r>
      <w:r>
        <w:rPr>
          <w:rFonts w:eastAsiaTheme="minorEastAsia"/>
          <w:color w:val="000000" w:themeColor="text1"/>
          <w:szCs w:val="21"/>
        </w:rPr>
        <w:t>）利率下调至</w:t>
      </w:r>
      <w:r>
        <w:rPr>
          <w:rFonts w:eastAsiaTheme="minorEastAsia"/>
          <w:color w:val="000000" w:themeColor="text1"/>
          <w:szCs w:val="21"/>
        </w:rPr>
        <w:t>2.0%</w:t>
      </w:r>
      <w:r>
        <w:rPr>
          <w:rFonts w:eastAsiaTheme="minorEastAsia"/>
          <w:color w:val="000000" w:themeColor="text1"/>
          <w:szCs w:val="21"/>
        </w:rPr>
        <w:t>，贷款市场报价利率</w:t>
      </w:r>
      <w:r>
        <w:rPr>
          <w:rFonts w:eastAsiaTheme="minorEastAsia"/>
          <w:color w:val="000000" w:themeColor="text1"/>
          <w:szCs w:val="21"/>
        </w:rPr>
        <w:t>（</w:t>
      </w:r>
      <w:r>
        <w:rPr>
          <w:rFonts w:eastAsiaTheme="minorEastAsia"/>
          <w:color w:val="000000" w:themeColor="text1"/>
          <w:szCs w:val="21"/>
        </w:rPr>
        <w:t>LPR</w:t>
      </w:r>
      <w:r>
        <w:rPr>
          <w:rFonts w:eastAsiaTheme="minorEastAsia"/>
          <w:color w:val="000000" w:themeColor="text1"/>
          <w:szCs w:val="21"/>
        </w:rPr>
        <w:t>）和存款利率同步下行。三季度同业存单利率维持震荡，</w:t>
      </w:r>
      <w:r>
        <w:rPr>
          <w:rFonts w:eastAsiaTheme="minorEastAsia"/>
          <w:color w:val="000000" w:themeColor="text1"/>
          <w:szCs w:val="21"/>
        </w:rPr>
        <w:t>1</w:t>
      </w:r>
      <w:r>
        <w:rPr>
          <w:rFonts w:eastAsiaTheme="minorEastAsia"/>
          <w:color w:val="000000" w:themeColor="text1"/>
          <w:szCs w:val="21"/>
        </w:rPr>
        <w:t>年期国股行同业存单收益率从</w:t>
      </w:r>
      <w:r>
        <w:rPr>
          <w:rFonts w:eastAsiaTheme="minorEastAsia"/>
          <w:color w:val="000000" w:themeColor="text1"/>
          <w:szCs w:val="21"/>
        </w:rPr>
        <w:t>1.96%</w:t>
      </w:r>
      <w:r>
        <w:rPr>
          <w:rFonts w:eastAsiaTheme="minorEastAsia"/>
          <w:color w:val="000000" w:themeColor="text1"/>
          <w:szCs w:val="21"/>
        </w:rPr>
        <w:t>下行约</w:t>
      </w:r>
      <w:r>
        <w:rPr>
          <w:rFonts w:eastAsiaTheme="minorEastAsia"/>
          <w:color w:val="000000" w:themeColor="text1"/>
          <w:szCs w:val="21"/>
        </w:rPr>
        <w:t>5bps</w:t>
      </w:r>
      <w:r>
        <w:rPr>
          <w:rFonts w:eastAsiaTheme="minorEastAsia"/>
          <w:color w:val="000000" w:themeColor="text1"/>
          <w:szCs w:val="21"/>
        </w:rPr>
        <w:t>至</w:t>
      </w:r>
      <w:r>
        <w:rPr>
          <w:rFonts w:eastAsiaTheme="minorEastAsia"/>
          <w:color w:val="000000" w:themeColor="text1"/>
          <w:szCs w:val="21"/>
        </w:rPr>
        <w:t>1.91%</w:t>
      </w:r>
      <w:r>
        <w:rPr>
          <w:rFonts w:eastAsiaTheme="minorEastAsia"/>
          <w:color w:val="000000" w:themeColor="text1"/>
          <w:szCs w:val="21"/>
        </w:rPr>
        <w:t>，整体在</w:t>
      </w:r>
      <w:r>
        <w:rPr>
          <w:rFonts w:eastAsiaTheme="minorEastAsia"/>
          <w:color w:val="000000" w:themeColor="text1"/>
          <w:szCs w:val="21"/>
        </w:rPr>
        <w:t>1.85%~2.0%</w:t>
      </w:r>
      <w:r>
        <w:rPr>
          <w:rFonts w:eastAsiaTheme="minorEastAsia"/>
          <w:color w:val="000000" w:themeColor="text1"/>
          <w:szCs w:val="21"/>
        </w:rPr>
        <w:t>区间震荡。</w:t>
      </w:r>
    </w:p>
    <w:p w14:paraId="5B2C5477"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报告期内，本基金采用抽样复制和动态最优化的方法，投资于标的指数中具有代表性和流动性的成份券和备选成份券，或选择非成份券作为替代，以实现对标的指数的有效跟踪，三季度组合整体运行状况良好。</w:t>
      </w:r>
    </w:p>
    <w:p w14:paraId="4EB13996"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下阶段看，随着超长期国债、政府专项债等发行和使用进度加快，</w:t>
      </w:r>
      <w:r w:rsidRPr="00473486">
        <w:rPr>
          <w:rFonts w:eastAsiaTheme="minorEastAsia"/>
          <w:color w:val="000000" w:themeColor="text1"/>
          <w:szCs w:val="21"/>
        </w:rPr>
        <w:t>“</w:t>
      </w:r>
      <w:r w:rsidRPr="00473486">
        <w:rPr>
          <w:rFonts w:eastAsiaTheme="minorEastAsia"/>
          <w:color w:val="000000" w:themeColor="text1"/>
          <w:szCs w:val="21"/>
        </w:rPr>
        <w:t>两新</w:t>
      </w:r>
      <w:r w:rsidRPr="00473486">
        <w:rPr>
          <w:rFonts w:eastAsiaTheme="minorEastAsia"/>
          <w:color w:val="000000" w:themeColor="text1"/>
          <w:szCs w:val="21"/>
        </w:rPr>
        <w:t>”</w:t>
      </w:r>
      <w:r w:rsidRPr="00473486">
        <w:rPr>
          <w:rFonts w:eastAsiaTheme="minorEastAsia"/>
          <w:color w:val="000000" w:themeColor="text1"/>
          <w:szCs w:val="21"/>
        </w:rPr>
        <w:t>政策作用进一步强化，</w:t>
      </w:r>
      <w:r w:rsidRPr="00473486">
        <w:rPr>
          <w:rFonts w:eastAsiaTheme="minorEastAsia"/>
          <w:color w:val="000000" w:themeColor="text1"/>
          <w:szCs w:val="21"/>
        </w:rPr>
        <w:t>“</w:t>
      </w:r>
      <w:r w:rsidRPr="00473486">
        <w:rPr>
          <w:rFonts w:eastAsiaTheme="minorEastAsia"/>
          <w:color w:val="000000" w:themeColor="text1"/>
          <w:szCs w:val="21"/>
        </w:rPr>
        <w:t>两重</w:t>
      </w:r>
      <w:r w:rsidRPr="00473486">
        <w:rPr>
          <w:rFonts w:eastAsiaTheme="minorEastAsia"/>
          <w:color w:val="000000" w:themeColor="text1"/>
          <w:szCs w:val="21"/>
        </w:rPr>
        <w:t>”</w:t>
      </w:r>
      <w:r w:rsidRPr="00473486">
        <w:rPr>
          <w:rFonts w:eastAsiaTheme="minorEastAsia"/>
          <w:color w:val="000000" w:themeColor="text1"/>
          <w:szCs w:val="21"/>
        </w:rPr>
        <w:t>建设加快落地和推进，资金保障和项目支撑有望逐步改善，有利于经济保持平稳增长。央行预计坚持支持性的货币政策立场，加大货币政策调控的强度，运用多种货币政策工具的组合，支持实体经济的稳定增长。</w:t>
      </w:r>
    </w:p>
    <w:p w14:paraId="7FFB1FF5"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4.4.2</w:t>
      </w:r>
      <w:r w:rsidRPr="00473486">
        <w:rPr>
          <w:rFonts w:eastAsiaTheme="minorEastAsia"/>
          <w:color w:val="000000" w:themeColor="text1"/>
          <w:szCs w:val="21"/>
        </w:rPr>
        <w:t>报告期内基金的业绩表现</w:t>
      </w:r>
    </w:p>
    <w:p w14:paraId="6005EC7E"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本报告期摩根中证同业存单</w:t>
      </w:r>
      <w:r w:rsidRPr="00473486">
        <w:rPr>
          <w:rFonts w:eastAsiaTheme="minorEastAsia"/>
          <w:color w:val="000000" w:themeColor="text1"/>
          <w:szCs w:val="21"/>
        </w:rPr>
        <w:t>AAA</w:t>
      </w:r>
      <w:r w:rsidRPr="00473486">
        <w:rPr>
          <w:rFonts w:eastAsiaTheme="minorEastAsia"/>
          <w:color w:val="000000" w:themeColor="text1"/>
          <w:szCs w:val="21"/>
        </w:rPr>
        <w:t>指数</w:t>
      </w:r>
      <w:r w:rsidRPr="00473486">
        <w:rPr>
          <w:rFonts w:eastAsiaTheme="minorEastAsia"/>
          <w:color w:val="000000" w:themeColor="text1"/>
          <w:szCs w:val="21"/>
        </w:rPr>
        <w:t>7</w:t>
      </w:r>
      <w:r w:rsidRPr="00473486">
        <w:rPr>
          <w:rFonts w:eastAsiaTheme="minorEastAsia"/>
          <w:color w:val="000000" w:themeColor="text1"/>
          <w:szCs w:val="21"/>
        </w:rPr>
        <w:t>天份额净值增长率为</w:t>
      </w:r>
      <w:r w:rsidRPr="00473486">
        <w:rPr>
          <w:rFonts w:eastAsiaTheme="minorEastAsia"/>
          <w:color w:val="000000" w:themeColor="text1"/>
          <w:szCs w:val="21"/>
        </w:rPr>
        <w:t>:0.37%</w:t>
      </w:r>
      <w:r w:rsidRPr="00473486">
        <w:rPr>
          <w:rFonts w:eastAsiaTheme="minorEastAsia"/>
          <w:color w:val="000000" w:themeColor="text1"/>
          <w:szCs w:val="21"/>
        </w:rPr>
        <w:t>，同期业绩比较基准收益率为</w:t>
      </w:r>
      <w:r w:rsidRPr="00473486">
        <w:rPr>
          <w:rFonts w:eastAsiaTheme="minorEastAsia"/>
          <w:color w:val="000000" w:themeColor="text1"/>
          <w:szCs w:val="21"/>
        </w:rPr>
        <w:t>:0.49%</w:t>
      </w:r>
      <w:r w:rsidRPr="00473486">
        <w:rPr>
          <w:rFonts w:eastAsiaTheme="minorEastAsia"/>
          <w:color w:val="000000" w:themeColor="text1"/>
          <w:szCs w:val="21"/>
        </w:rPr>
        <w:t>。</w:t>
      </w:r>
    </w:p>
    <w:p w14:paraId="5E4E8C97" w14:textId="77777777" w:rsidR="00881A82" w:rsidRPr="00473486" w:rsidRDefault="00881A82">
      <w:pPr>
        <w:spacing w:line="360" w:lineRule="auto"/>
        <w:ind w:firstLineChars="200" w:firstLine="480"/>
        <w:rPr>
          <w:rFonts w:eastAsiaTheme="minorEastAsia"/>
          <w:color w:val="000000" w:themeColor="text1"/>
          <w:sz w:val="24"/>
        </w:rPr>
      </w:pPr>
    </w:p>
    <w:p w14:paraId="06746F80" w14:textId="77777777" w:rsidR="00881A82" w:rsidRPr="00473486" w:rsidRDefault="007D1E3A">
      <w:pPr>
        <w:spacing w:line="360" w:lineRule="auto"/>
        <w:rPr>
          <w:rFonts w:eastAsiaTheme="minorEastAsia"/>
          <w:color w:val="000000" w:themeColor="text1"/>
          <w:sz w:val="24"/>
        </w:rPr>
      </w:pPr>
      <w:r w:rsidRPr="00473486">
        <w:rPr>
          <w:rFonts w:eastAsiaTheme="minorEastAsia"/>
          <w:b/>
          <w:color w:val="000000" w:themeColor="text1"/>
          <w:kern w:val="0"/>
          <w:sz w:val="24"/>
        </w:rPr>
        <w:t>4.5</w:t>
      </w:r>
      <w:r w:rsidRPr="00473486">
        <w:rPr>
          <w:rFonts w:eastAsiaTheme="minorEastAsia"/>
          <w:b/>
          <w:color w:val="000000" w:themeColor="text1"/>
          <w:kern w:val="0"/>
          <w:sz w:val="24"/>
        </w:rPr>
        <w:t>报告期内基金持有人数或基金资产净值预警说明</w:t>
      </w:r>
    </w:p>
    <w:p w14:paraId="3BE63188"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kern w:val="0"/>
          <w:szCs w:val="21"/>
        </w:rPr>
        <w:t>无。</w:t>
      </w:r>
    </w:p>
    <w:p w14:paraId="0906F272"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§5  </w:t>
      </w:r>
      <w:r w:rsidRPr="00473486">
        <w:rPr>
          <w:rFonts w:eastAsiaTheme="minorEastAsia"/>
          <w:color w:val="000000" w:themeColor="text1"/>
          <w:kern w:val="0"/>
          <w:sz w:val="24"/>
          <w:szCs w:val="24"/>
        </w:rPr>
        <w:t>投资组合报告</w:t>
      </w:r>
    </w:p>
    <w:p w14:paraId="6A8FB031"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5.1 </w:t>
      </w:r>
      <w:r w:rsidRPr="00473486">
        <w:rPr>
          <w:rFonts w:eastAsiaTheme="minorEastAsia"/>
          <w:b/>
          <w:color w:val="000000" w:themeColor="text1"/>
          <w:kern w:val="0"/>
          <w:sz w:val="24"/>
        </w:rPr>
        <w:t>报告期末基金资产组合情况</w:t>
      </w:r>
    </w:p>
    <w:tbl>
      <w:tblPr>
        <w:tblStyle w:val="afa"/>
        <w:tblW w:w="8897" w:type="dxa"/>
        <w:jc w:val="center"/>
        <w:tblLayout w:type="fixed"/>
        <w:tblLook w:val="04A0" w:firstRow="1" w:lastRow="0" w:firstColumn="1" w:lastColumn="0" w:noHBand="0" w:noVBand="1"/>
      </w:tblPr>
      <w:tblGrid>
        <w:gridCol w:w="720"/>
        <w:gridCol w:w="3357"/>
        <w:gridCol w:w="2977"/>
        <w:gridCol w:w="1843"/>
      </w:tblGrid>
      <w:tr w:rsidR="00881A82" w:rsidRPr="00473486" w14:paraId="585AB074" w14:textId="77777777">
        <w:trPr>
          <w:jc w:val="center"/>
        </w:trPr>
        <w:tc>
          <w:tcPr>
            <w:tcW w:w="720" w:type="dxa"/>
            <w:vAlign w:val="center"/>
          </w:tcPr>
          <w:p w14:paraId="25672B28"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序号</w:t>
            </w:r>
          </w:p>
        </w:tc>
        <w:tc>
          <w:tcPr>
            <w:tcW w:w="3357" w:type="dxa"/>
            <w:vAlign w:val="center"/>
          </w:tcPr>
          <w:p w14:paraId="01EF71D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项目</w:t>
            </w:r>
          </w:p>
        </w:tc>
        <w:tc>
          <w:tcPr>
            <w:tcW w:w="2977" w:type="dxa"/>
            <w:vAlign w:val="center"/>
          </w:tcPr>
          <w:p w14:paraId="59EE92C1"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金额</w:t>
            </w:r>
            <w:r w:rsidRPr="00473486">
              <w:rPr>
                <w:rFonts w:eastAsiaTheme="minorEastAsia"/>
                <w:color w:val="000000" w:themeColor="text1"/>
                <w:szCs w:val="21"/>
              </w:rPr>
              <w:t>(</w:t>
            </w:r>
            <w:r w:rsidRPr="00473486">
              <w:rPr>
                <w:rFonts w:eastAsiaTheme="minorEastAsia"/>
                <w:color w:val="000000" w:themeColor="text1"/>
                <w:szCs w:val="21"/>
              </w:rPr>
              <w:t>元</w:t>
            </w:r>
            <w:r w:rsidRPr="00473486">
              <w:rPr>
                <w:rFonts w:eastAsiaTheme="minorEastAsia"/>
                <w:color w:val="000000" w:themeColor="text1"/>
                <w:szCs w:val="21"/>
              </w:rPr>
              <w:t>)</w:t>
            </w:r>
          </w:p>
        </w:tc>
        <w:tc>
          <w:tcPr>
            <w:tcW w:w="1843" w:type="dxa"/>
            <w:vAlign w:val="center"/>
          </w:tcPr>
          <w:p w14:paraId="3080CD8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占基金总资产的比例</w:t>
            </w:r>
            <w:r w:rsidRPr="00473486">
              <w:rPr>
                <w:rFonts w:eastAsiaTheme="minorEastAsia"/>
                <w:color w:val="000000" w:themeColor="text1"/>
                <w:szCs w:val="21"/>
              </w:rPr>
              <w:t>(%)</w:t>
            </w:r>
          </w:p>
        </w:tc>
      </w:tr>
      <w:tr w:rsidR="00881A82" w:rsidRPr="00473486" w14:paraId="7B2BCE68" w14:textId="77777777">
        <w:trPr>
          <w:jc w:val="center"/>
        </w:trPr>
        <w:tc>
          <w:tcPr>
            <w:tcW w:w="720" w:type="dxa"/>
            <w:vAlign w:val="center"/>
          </w:tcPr>
          <w:p w14:paraId="2A303340"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1</w:t>
            </w:r>
          </w:p>
        </w:tc>
        <w:tc>
          <w:tcPr>
            <w:tcW w:w="3357" w:type="dxa"/>
            <w:vAlign w:val="center"/>
          </w:tcPr>
          <w:p w14:paraId="162AE150"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权益投资</w:t>
            </w:r>
          </w:p>
        </w:tc>
        <w:tc>
          <w:tcPr>
            <w:tcW w:w="2977" w:type="dxa"/>
            <w:vAlign w:val="center"/>
          </w:tcPr>
          <w:p w14:paraId="0612835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0F45932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3E64604B" w14:textId="77777777">
        <w:trPr>
          <w:jc w:val="center"/>
        </w:trPr>
        <w:tc>
          <w:tcPr>
            <w:tcW w:w="720" w:type="dxa"/>
            <w:vAlign w:val="center"/>
          </w:tcPr>
          <w:p w14:paraId="5A9A5A4D"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6E8712D0"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其中：股票</w:t>
            </w:r>
          </w:p>
        </w:tc>
        <w:tc>
          <w:tcPr>
            <w:tcW w:w="2977" w:type="dxa"/>
            <w:vAlign w:val="center"/>
          </w:tcPr>
          <w:p w14:paraId="4EE9A36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742EB1B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659E435E" w14:textId="77777777">
        <w:trPr>
          <w:jc w:val="center"/>
        </w:trPr>
        <w:tc>
          <w:tcPr>
            <w:tcW w:w="720" w:type="dxa"/>
            <w:vAlign w:val="center"/>
          </w:tcPr>
          <w:p w14:paraId="2BCEFAA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2</w:t>
            </w:r>
          </w:p>
        </w:tc>
        <w:tc>
          <w:tcPr>
            <w:tcW w:w="3357" w:type="dxa"/>
            <w:vAlign w:val="center"/>
          </w:tcPr>
          <w:p w14:paraId="3E73D275"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固定收益投资</w:t>
            </w:r>
          </w:p>
        </w:tc>
        <w:tc>
          <w:tcPr>
            <w:tcW w:w="2977" w:type="dxa"/>
            <w:vAlign w:val="center"/>
          </w:tcPr>
          <w:p w14:paraId="7C5DA5E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318,348,711.20</w:t>
            </w:r>
          </w:p>
        </w:tc>
        <w:tc>
          <w:tcPr>
            <w:tcW w:w="1843" w:type="dxa"/>
            <w:vAlign w:val="center"/>
          </w:tcPr>
          <w:p w14:paraId="2FB248C4"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99.37</w:t>
            </w:r>
          </w:p>
        </w:tc>
      </w:tr>
      <w:tr w:rsidR="00881A82" w:rsidRPr="00473486" w14:paraId="028A6151" w14:textId="77777777">
        <w:trPr>
          <w:jc w:val="center"/>
        </w:trPr>
        <w:tc>
          <w:tcPr>
            <w:tcW w:w="720" w:type="dxa"/>
            <w:vAlign w:val="center"/>
          </w:tcPr>
          <w:p w14:paraId="038B67E3"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161D10D0"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其中：债券</w:t>
            </w:r>
          </w:p>
        </w:tc>
        <w:tc>
          <w:tcPr>
            <w:tcW w:w="2977" w:type="dxa"/>
            <w:vAlign w:val="center"/>
          </w:tcPr>
          <w:p w14:paraId="741AA884"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318,348,711.20</w:t>
            </w:r>
          </w:p>
        </w:tc>
        <w:tc>
          <w:tcPr>
            <w:tcW w:w="1843" w:type="dxa"/>
            <w:vAlign w:val="center"/>
          </w:tcPr>
          <w:p w14:paraId="3DBFCF8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99.37</w:t>
            </w:r>
          </w:p>
        </w:tc>
      </w:tr>
      <w:tr w:rsidR="00881A82" w:rsidRPr="00473486" w14:paraId="3FA81A42" w14:textId="77777777">
        <w:trPr>
          <w:jc w:val="center"/>
        </w:trPr>
        <w:tc>
          <w:tcPr>
            <w:tcW w:w="720" w:type="dxa"/>
            <w:vAlign w:val="center"/>
          </w:tcPr>
          <w:p w14:paraId="11C41507"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2A6774A7" w14:textId="77777777" w:rsidR="00881A82" w:rsidRPr="00473486" w:rsidRDefault="007D1E3A">
            <w:pPr>
              <w:autoSpaceDE w:val="0"/>
              <w:autoSpaceDN w:val="0"/>
              <w:adjustRightInd w:val="0"/>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资产支持证券</w:t>
            </w:r>
          </w:p>
        </w:tc>
        <w:tc>
          <w:tcPr>
            <w:tcW w:w="2977" w:type="dxa"/>
            <w:vAlign w:val="center"/>
          </w:tcPr>
          <w:p w14:paraId="5DF3039B"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4EDE4273"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1B878F12" w14:textId="77777777">
        <w:trPr>
          <w:jc w:val="center"/>
        </w:trPr>
        <w:tc>
          <w:tcPr>
            <w:tcW w:w="720" w:type="dxa"/>
          </w:tcPr>
          <w:p w14:paraId="2F041FB5"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3</w:t>
            </w:r>
          </w:p>
        </w:tc>
        <w:tc>
          <w:tcPr>
            <w:tcW w:w="3357" w:type="dxa"/>
          </w:tcPr>
          <w:p w14:paraId="4C413267" w14:textId="77777777" w:rsidR="00881A82" w:rsidRPr="00473486" w:rsidRDefault="007D1E3A">
            <w:pPr>
              <w:spacing w:before="29" w:line="360" w:lineRule="auto"/>
              <w:ind w:leftChars="50" w:left="105"/>
              <w:rPr>
                <w:rFonts w:eastAsiaTheme="minorEastAsia"/>
                <w:color w:val="000000" w:themeColor="text1"/>
                <w:szCs w:val="21"/>
              </w:rPr>
            </w:pPr>
            <w:r w:rsidRPr="00473486">
              <w:rPr>
                <w:rFonts w:eastAsiaTheme="minorEastAsia"/>
                <w:color w:val="000000" w:themeColor="text1"/>
                <w:szCs w:val="21"/>
              </w:rPr>
              <w:t>贵金属投资</w:t>
            </w:r>
          </w:p>
        </w:tc>
        <w:tc>
          <w:tcPr>
            <w:tcW w:w="2977" w:type="dxa"/>
            <w:vAlign w:val="center"/>
          </w:tcPr>
          <w:p w14:paraId="7C37767A"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76C91716"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4B725CA" w14:textId="77777777">
        <w:trPr>
          <w:jc w:val="center"/>
        </w:trPr>
        <w:tc>
          <w:tcPr>
            <w:tcW w:w="720" w:type="dxa"/>
            <w:vAlign w:val="center"/>
          </w:tcPr>
          <w:p w14:paraId="3A88648E"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4</w:t>
            </w:r>
          </w:p>
        </w:tc>
        <w:tc>
          <w:tcPr>
            <w:tcW w:w="3357" w:type="dxa"/>
            <w:vAlign w:val="center"/>
          </w:tcPr>
          <w:p w14:paraId="1D866C36"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金融衍生品投资</w:t>
            </w:r>
          </w:p>
        </w:tc>
        <w:tc>
          <w:tcPr>
            <w:tcW w:w="2977" w:type="dxa"/>
            <w:vAlign w:val="center"/>
          </w:tcPr>
          <w:p w14:paraId="48F2182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0A9657E8"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3F12CD8" w14:textId="77777777">
        <w:trPr>
          <w:jc w:val="center"/>
        </w:trPr>
        <w:tc>
          <w:tcPr>
            <w:tcW w:w="720" w:type="dxa"/>
            <w:vAlign w:val="center"/>
          </w:tcPr>
          <w:p w14:paraId="41318D4D"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5</w:t>
            </w:r>
          </w:p>
        </w:tc>
        <w:tc>
          <w:tcPr>
            <w:tcW w:w="3357" w:type="dxa"/>
            <w:vAlign w:val="center"/>
          </w:tcPr>
          <w:p w14:paraId="2506916D"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买入返售金融资产</w:t>
            </w:r>
          </w:p>
        </w:tc>
        <w:tc>
          <w:tcPr>
            <w:tcW w:w="2977" w:type="dxa"/>
            <w:vAlign w:val="center"/>
          </w:tcPr>
          <w:p w14:paraId="0805BCE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5F2C5CC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08AA71F8" w14:textId="77777777">
        <w:trPr>
          <w:jc w:val="center"/>
        </w:trPr>
        <w:tc>
          <w:tcPr>
            <w:tcW w:w="720" w:type="dxa"/>
            <w:vAlign w:val="center"/>
          </w:tcPr>
          <w:p w14:paraId="1652246D" w14:textId="77777777" w:rsidR="00881A82" w:rsidRPr="00473486" w:rsidRDefault="00881A82">
            <w:pPr>
              <w:spacing w:before="29" w:line="360" w:lineRule="auto"/>
              <w:ind w:left="17"/>
              <w:jc w:val="center"/>
              <w:rPr>
                <w:rFonts w:eastAsiaTheme="minorEastAsia"/>
                <w:color w:val="000000" w:themeColor="text1"/>
                <w:szCs w:val="21"/>
              </w:rPr>
            </w:pPr>
          </w:p>
        </w:tc>
        <w:tc>
          <w:tcPr>
            <w:tcW w:w="3357" w:type="dxa"/>
            <w:vAlign w:val="center"/>
          </w:tcPr>
          <w:p w14:paraId="684C27C9"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其中：买断式回购的买入返售金融资产</w:t>
            </w:r>
          </w:p>
        </w:tc>
        <w:tc>
          <w:tcPr>
            <w:tcW w:w="2977" w:type="dxa"/>
            <w:vAlign w:val="center"/>
          </w:tcPr>
          <w:p w14:paraId="4C9F411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843" w:type="dxa"/>
            <w:vAlign w:val="center"/>
          </w:tcPr>
          <w:p w14:paraId="14908E2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2F07277" w14:textId="77777777">
        <w:trPr>
          <w:jc w:val="center"/>
        </w:trPr>
        <w:tc>
          <w:tcPr>
            <w:tcW w:w="720" w:type="dxa"/>
            <w:vAlign w:val="center"/>
          </w:tcPr>
          <w:p w14:paraId="0DE2FDFB"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6</w:t>
            </w:r>
          </w:p>
        </w:tc>
        <w:tc>
          <w:tcPr>
            <w:tcW w:w="3357" w:type="dxa"/>
            <w:vAlign w:val="center"/>
          </w:tcPr>
          <w:p w14:paraId="58363337"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银行存款和结算备付金合计</w:t>
            </w:r>
          </w:p>
        </w:tc>
        <w:tc>
          <w:tcPr>
            <w:tcW w:w="2977" w:type="dxa"/>
            <w:vAlign w:val="center"/>
          </w:tcPr>
          <w:p w14:paraId="3257A53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918,509.26</w:t>
            </w:r>
          </w:p>
        </w:tc>
        <w:tc>
          <w:tcPr>
            <w:tcW w:w="1843" w:type="dxa"/>
            <w:vAlign w:val="center"/>
          </w:tcPr>
          <w:p w14:paraId="676904F7"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0.29</w:t>
            </w:r>
          </w:p>
        </w:tc>
      </w:tr>
      <w:tr w:rsidR="00881A82" w:rsidRPr="00473486" w14:paraId="7C576D18" w14:textId="77777777">
        <w:trPr>
          <w:jc w:val="center"/>
        </w:trPr>
        <w:tc>
          <w:tcPr>
            <w:tcW w:w="720" w:type="dxa"/>
            <w:vAlign w:val="center"/>
          </w:tcPr>
          <w:p w14:paraId="1D6406F0"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7</w:t>
            </w:r>
          </w:p>
        </w:tc>
        <w:tc>
          <w:tcPr>
            <w:tcW w:w="3357" w:type="dxa"/>
            <w:vAlign w:val="center"/>
          </w:tcPr>
          <w:p w14:paraId="216AF883" w14:textId="77777777" w:rsidR="00881A82" w:rsidRPr="00473486" w:rsidRDefault="007D1E3A">
            <w:pPr>
              <w:jc w:val="left"/>
              <w:rPr>
                <w:rFonts w:eastAsiaTheme="minorEastAsia"/>
                <w:color w:val="000000" w:themeColor="text1"/>
                <w:szCs w:val="21"/>
              </w:rPr>
            </w:pPr>
            <w:r w:rsidRPr="00473486">
              <w:rPr>
                <w:rFonts w:eastAsiaTheme="minorEastAsia"/>
                <w:color w:val="000000" w:themeColor="text1"/>
                <w:szCs w:val="21"/>
              </w:rPr>
              <w:t>其他各项资产</w:t>
            </w:r>
          </w:p>
        </w:tc>
        <w:tc>
          <w:tcPr>
            <w:tcW w:w="2977" w:type="dxa"/>
            <w:vAlign w:val="center"/>
          </w:tcPr>
          <w:p w14:paraId="1FCC6C78"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1,104,639.24</w:t>
            </w:r>
          </w:p>
        </w:tc>
        <w:tc>
          <w:tcPr>
            <w:tcW w:w="1843" w:type="dxa"/>
            <w:vAlign w:val="center"/>
          </w:tcPr>
          <w:p w14:paraId="0069F7E3"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0.34</w:t>
            </w:r>
          </w:p>
        </w:tc>
      </w:tr>
      <w:tr w:rsidR="00881A82" w:rsidRPr="00473486" w14:paraId="6D9C1E58" w14:textId="77777777">
        <w:trPr>
          <w:jc w:val="center"/>
        </w:trPr>
        <w:tc>
          <w:tcPr>
            <w:tcW w:w="720" w:type="dxa"/>
            <w:vAlign w:val="center"/>
          </w:tcPr>
          <w:p w14:paraId="41012350"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8</w:t>
            </w:r>
          </w:p>
        </w:tc>
        <w:tc>
          <w:tcPr>
            <w:tcW w:w="3357" w:type="dxa"/>
            <w:vAlign w:val="center"/>
          </w:tcPr>
          <w:p w14:paraId="63B48402" w14:textId="77777777" w:rsidR="00881A82" w:rsidRPr="00473486" w:rsidRDefault="007D1E3A">
            <w:pPr>
              <w:jc w:val="left"/>
              <w:rPr>
                <w:rFonts w:eastAsiaTheme="minorEastAsia"/>
                <w:color w:val="000000" w:themeColor="text1"/>
                <w:szCs w:val="21"/>
              </w:rPr>
            </w:pPr>
            <w:r w:rsidRPr="00473486">
              <w:rPr>
                <w:rFonts w:eastAsiaTheme="minorEastAsia"/>
                <w:color w:val="000000" w:themeColor="text1"/>
                <w:szCs w:val="21"/>
              </w:rPr>
              <w:t>合计</w:t>
            </w:r>
          </w:p>
        </w:tc>
        <w:tc>
          <w:tcPr>
            <w:tcW w:w="2977" w:type="dxa"/>
            <w:vAlign w:val="center"/>
          </w:tcPr>
          <w:p w14:paraId="1F3939AA"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320,371,859.70</w:t>
            </w:r>
          </w:p>
        </w:tc>
        <w:tc>
          <w:tcPr>
            <w:tcW w:w="1843" w:type="dxa"/>
            <w:vAlign w:val="center"/>
          </w:tcPr>
          <w:p w14:paraId="7165E8AD" w14:textId="77777777" w:rsidR="00881A82" w:rsidRPr="00473486" w:rsidRDefault="007D1E3A">
            <w:pPr>
              <w:jc w:val="right"/>
              <w:rPr>
                <w:rFonts w:eastAsiaTheme="minorEastAsia"/>
                <w:color w:val="000000" w:themeColor="text1"/>
                <w:szCs w:val="21"/>
              </w:rPr>
            </w:pPr>
            <w:r w:rsidRPr="00473486">
              <w:rPr>
                <w:rFonts w:eastAsiaTheme="minorEastAsia"/>
                <w:color w:val="000000" w:themeColor="text1"/>
                <w:szCs w:val="21"/>
              </w:rPr>
              <w:t>100.00</w:t>
            </w:r>
          </w:p>
        </w:tc>
      </w:tr>
    </w:tbl>
    <w:p w14:paraId="19450C95"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0900784A"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5.2 </w:t>
      </w:r>
      <w:r w:rsidRPr="00473486">
        <w:rPr>
          <w:rFonts w:eastAsiaTheme="minorEastAsia"/>
          <w:b/>
          <w:color w:val="000000" w:themeColor="text1"/>
          <w:kern w:val="0"/>
          <w:sz w:val="24"/>
        </w:rPr>
        <w:t>报告期末按行业分类的股票投资组合</w:t>
      </w:r>
    </w:p>
    <w:p w14:paraId="72135F49"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5.2.1</w:t>
      </w:r>
      <w:r w:rsidRPr="00473486">
        <w:rPr>
          <w:rFonts w:eastAsiaTheme="minorEastAsia"/>
          <w:b/>
          <w:color w:val="000000" w:themeColor="text1"/>
          <w:kern w:val="0"/>
          <w:sz w:val="24"/>
        </w:rPr>
        <w:t>积极投资按行业分类的股票投资组合</w:t>
      </w:r>
    </w:p>
    <w:p w14:paraId="6C3B5A65"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本基金本报告期末未持有积极投资股票。</w:t>
      </w:r>
    </w:p>
    <w:p w14:paraId="3C07BDAB"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5.2.2</w:t>
      </w:r>
      <w:r w:rsidRPr="00473486">
        <w:rPr>
          <w:rFonts w:eastAsiaTheme="minorEastAsia"/>
          <w:b/>
          <w:color w:val="000000" w:themeColor="text1"/>
          <w:kern w:val="0"/>
          <w:sz w:val="24"/>
        </w:rPr>
        <w:t>指数投资按行业分类的股票投资组合</w:t>
      </w:r>
    </w:p>
    <w:p w14:paraId="10040F08"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本基金本报告期末未持有指数投资股票。</w:t>
      </w:r>
    </w:p>
    <w:p w14:paraId="06C16B72" w14:textId="77777777" w:rsidR="00881A82" w:rsidRPr="00473486" w:rsidRDefault="00881A82">
      <w:pPr>
        <w:autoSpaceDE w:val="0"/>
        <w:autoSpaceDN w:val="0"/>
        <w:adjustRightInd w:val="0"/>
        <w:spacing w:line="360" w:lineRule="auto"/>
        <w:jc w:val="left"/>
        <w:rPr>
          <w:rFonts w:eastAsiaTheme="minorEastAsia"/>
          <w:color w:val="000000" w:themeColor="text1"/>
          <w:sz w:val="24"/>
        </w:rPr>
      </w:pPr>
    </w:p>
    <w:p w14:paraId="4543971B"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5.3</w:t>
      </w:r>
      <w:r w:rsidRPr="00473486">
        <w:rPr>
          <w:rFonts w:eastAsiaTheme="minorEastAsia"/>
          <w:b/>
          <w:color w:val="000000" w:themeColor="text1"/>
          <w:kern w:val="0"/>
          <w:sz w:val="24"/>
        </w:rPr>
        <w:t>报告期末按公允价值占基金资产净值比例大小排序的股票投资明细</w:t>
      </w:r>
    </w:p>
    <w:p w14:paraId="4D08C478"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kern w:val="0"/>
          <w:sz w:val="24"/>
        </w:rPr>
        <w:t>5.3.1</w:t>
      </w:r>
      <w:r w:rsidRPr="00473486">
        <w:rPr>
          <w:rFonts w:eastAsiaTheme="minorEastAsia"/>
          <w:b/>
          <w:color w:val="000000" w:themeColor="text1"/>
          <w:kern w:val="0"/>
          <w:sz w:val="24"/>
        </w:rPr>
        <w:t>期末</w:t>
      </w:r>
      <w:r w:rsidRPr="00473486">
        <w:rPr>
          <w:rFonts w:eastAsiaTheme="minorEastAsia"/>
          <w:b/>
          <w:color w:val="000000" w:themeColor="text1"/>
          <w:sz w:val="24"/>
        </w:rPr>
        <w:t>指数投资按公允价值占基金资产净值比例大小排序的前十名股票投资明细</w:t>
      </w:r>
    </w:p>
    <w:p w14:paraId="64660B61" w14:textId="77777777" w:rsidR="00881A82" w:rsidRPr="00473486" w:rsidRDefault="007D1E3A">
      <w:pPr>
        <w:autoSpaceDE w:val="0"/>
        <w:autoSpaceDN w:val="0"/>
        <w:adjustRightInd w:val="0"/>
        <w:spacing w:line="360" w:lineRule="auto"/>
        <w:jc w:val="left"/>
        <w:rPr>
          <w:rFonts w:eastAsiaTheme="minorEastAsia"/>
          <w:color w:val="000000" w:themeColor="text1"/>
          <w:sz w:val="24"/>
        </w:rPr>
      </w:pPr>
      <w:r w:rsidRPr="00473486">
        <w:rPr>
          <w:rFonts w:eastAsiaTheme="minorEastAsia"/>
          <w:color w:val="000000" w:themeColor="text1"/>
          <w:szCs w:val="21"/>
        </w:rPr>
        <w:t>本基金本报告期末未持有股票。</w:t>
      </w:r>
    </w:p>
    <w:p w14:paraId="39CF75A2"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kern w:val="0"/>
          <w:sz w:val="24"/>
        </w:rPr>
        <w:t>5.3.2</w:t>
      </w:r>
      <w:r w:rsidRPr="00473486">
        <w:rPr>
          <w:rFonts w:eastAsiaTheme="minorEastAsia"/>
          <w:b/>
          <w:color w:val="000000" w:themeColor="text1"/>
          <w:kern w:val="0"/>
          <w:sz w:val="24"/>
        </w:rPr>
        <w:t>期末</w:t>
      </w:r>
      <w:r w:rsidRPr="00473486">
        <w:rPr>
          <w:rFonts w:eastAsiaTheme="minorEastAsia"/>
          <w:b/>
          <w:color w:val="000000" w:themeColor="text1"/>
          <w:sz w:val="24"/>
        </w:rPr>
        <w:t>积极投资按公允价值占基金资产净值比例大小排序的前五名股票投资明细</w:t>
      </w:r>
    </w:p>
    <w:p w14:paraId="66E0A92E"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本基金本报告期末未持有积极投资股票。</w:t>
      </w:r>
    </w:p>
    <w:p w14:paraId="53C7480A" w14:textId="77777777" w:rsidR="00881A82" w:rsidRPr="000A0010" w:rsidRDefault="00881A82">
      <w:pPr>
        <w:autoSpaceDE w:val="0"/>
        <w:autoSpaceDN w:val="0"/>
        <w:adjustRightInd w:val="0"/>
        <w:spacing w:line="360" w:lineRule="auto"/>
        <w:jc w:val="left"/>
        <w:rPr>
          <w:rFonts w:eastAsiaTheme="minorEastAsia"/>
          <w:color w:val="000000" w:themeColor="text1"/>
          <w:szCs w:val="21"/>
        </w:rPr>
      </w:pPr>
    </w:p>
    <w:p w14:paraId="1F238AEA"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5.4 </w:t>
      </w:r>
      <w:r w:rsidRPr="00473486">
        <w:rPr>
          <w:rFonts w:eastAsiaTheme="minorEastAsia"/>
          <w:b/>
          <w:color w:val="000000" w:themeColor="text1"/>
          <w:kern w:val="0"/>
          <w:sz w:val="24"/>
        </w:rPr>
        <w:t>报告期末按债券品种分类的债券投资组合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2694"/>
        <w:gridCol w:w="1757"/>
      </w:tblGrid>
      <w:tr w:rsidR="00881A82" w:rsidRPr="00473486" w14:paraId="1FE29C3D" w14:textId="77777777">
        <w:tc>
          <w:tcPr>
            <w:tcW w:w="1242" w:type="dxa"/>
            <w:shd w:val="clear" w:color="auto" w:fill="auto"/>
            <w:vAlign w:val="center"/>
          </w:tcPr>
          <w:p w14:paraId="31950056"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序号</w:t>
            </w:r>
          </w:p>
        </w:tc>
        <w:tc>
          <w:tcPr>
            <w:tcW w:w="2835" w:type="dxa"/>
            <w:shd w:val="clear" w:color="auto" w:fill="auto"/>
            <w:vAlign w:val="center"/>
          </w:tcPr>
          <w:p w14:paraId="3C3AA81A"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债券品种</w:t>
            </w:r>
          </w:p>
        </w:tc>
        <w:tc>
          <w:tcPr>
            <w:tcW w:w="2694" w:type="dxa"/>
            <w:shd w:val="clear" w:color="auto" w:fill="auto"/>
            <w:vAlign w:val="center"/>
          </w:tcPr>
          <w:p w14:paraId="314FC483"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公允价值</w:t>
            </w:r>
            <w:r w:rsidRPr="00473486">
              <w:rPr>
                <w:rFonts w:eastAsiaTheme="minorEastAsia"/>
                <w:color w:val="000000" w:themeColor="text1"/>
                <w:szCs w:val="21"/>
              </w:rPr>
              <w:t>(</w:t>
            </w:r>
            <w:r w:rsidRPr="00473486">
              <w:rPr>
                <w:rFonts w:eastAsiaTheme="minorEastAsia"/>
                <w:color w:val="000000" w:themeColor="text1"/>
                <w:szCs w:val="21"/>
              </w:rPr>
              <w:t>元</w:t>
            </w:r>
            <w:r w:rsidRPr="00473486">
              <w:rPr>
                <w:rFonts w:eastAsiaTheme="minorEastAsia"/>
                <w:color w:val="000000" w:themeColor="text1"/>
                <w:szCs w:val="21"/>
              </w:rPr>
              <w:t>)</w:t>
            </w:r>
          </w:p>
        </w:tc>
        <w:tc>
          <w:tcPr>
            <w:tcW w:w="1757" w:type="dxa"/>
            <w:shd w:val="clear" w:color="auto" w:fill="auto"/>
            <w:vAlign w:val="center"/>
          </w:tcPr>
          <w:p w14:paraId="5C32B1FA"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占基金资产净值比例</w:t>
            </w:r>
            <w:r w:rsidRPr="00473486">
              <w:rPr>
                <w:rFonts w:eastAsiaTheme="minorEastAsia"/>
                <w:color w:val="000000" w:themeColor="text1"/>
                <w:szCs w:val="21"/>
              </w:rPr>
              <w:t>(</w:t>
            </w:r>
            <w:r w:rsidRPr="00473486">
              <w:rPr>
                <w:rFonts w:eastAsiaTheme="minorEastAsia"/>
                <w:color w:val="000000" w:themeColor="text1"/>
                <w:szCs w:val="21"/>
              </w:rPr>
              <w:t>％</w:t>
            </w:r>
            <w:r w:rsidRPr="00473486">
              <w:rPr>
                <w:rFonts w:eastAsiaTheme="minorEastAsia"/>
                <w:color w:val="000000" w:themeColor="text1"/>
                <w:szCs w:val="21"/>
              </w:rPr>
              <w:t>)</w:t>
            </w:r>
          </w:p>
        </w:tc>
      </w:tr>
      <w:tr w:rsidR="00881A82" w:rsidRPr="00473486" w14:paraId="0039EF1D" w14:textId="77777777">
        <w:tc>
          <w:tcPr>
            <w:tcW w:w="1242" w:type="dxa"/>
            <w:shd w:val="clear" w:color="auto" w:fill="auto"/>
            <w:vAlign w:val="center"/>
          </w:tcPr>
          <w:p w14:paraId="53909086"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1</w:t>
            </w:r>
          </w:p>
        </w:tc>
        <w:tc>
          <w:tcPr>
            <w:tcW w:w="2835" w:type="dxa"/>
            <w:shd w:val="clear" w:color="auto" w:fill="auto"/>
            <w:vAlign w:val="center"/>
          </w:tcPr>
          <w:p w14:paraId="6C053FA4"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国家债券</w:t>
            </w:r>
          </w:p>
        </w:tc>
        <w:tc>
          <w:tcPr>
            <w:tcW w:w="2694" w:type="dxa"/>
            <w:shd w:val="clear" w:color="auto" w:fill="auto"/>
            <w:vAlign w:val="center"/>
          </w:tcPr>
          <w:p w14:paraId="2067640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397608BC"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3EA9F033" w14:textId="77777777">
        <w:tc>
          <w:tcPr>
            <w:tcW w:w="1242" w:type="dxa"/>
            <w:shd w:val="clear" w:color="auto" w:fill="auto"/>
            <w:vAlign w:val="center"/>
          </w:tcPr>
          <w:p w14:paraId="4996E4B5"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2</w:t>
            </w:r>
          </w:p>
        </w:tc>
        <w:tc>
          <w:tcPr>
            <w:tcW w:w="2835" w:type="dxa"/>
            <w:shd w:val="clear" w:color="auto" w:fill="auto"/>
            <w:vAlign w:val="center"/>
          </w:tcPr>
          <w:p w14:paraId="3CD0BDEF"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央行票据</w:t>
            </w:r>
          </w:p>
        </w:tc>
        <w:tc>
          <w:tcPr>
            <w:tcW w:w="2694" w:type="dxa"/>
            <w:shd w:val="clear" w:color="auto" w:fill="auto"/>
            <w:vAlign w:val="center"/>
          </w:tcPr>
          <w:p w14:paraId="2F135B4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14A2A53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24966682" w14:textId="77777777">
        <w:tc>
          <w:tcPr>
            <w:tcW w:w="1242" w:type="dxa"/>
            <w:shd w:val="clear" w:color="auto" w:fill="auto"/>
            <w:vAlign w:val="center"/>
          </w:tcPr>
          <w:p w14:paraId="1870A29B"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3</w:t>
            </w:r>
          </w:p>
        </w:tc>
        <w:tc>
          <w:tcPr>
            <w:tcW w:w="2835" w:type="dxa"/>
            <w:shd w:val="clear" w:color="auto" w:fill="auto"/>
            <w:vAlign w:val="center"/>
          </w:tcPr>
          <w:p w14:paraId="341AD220"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金融债券</w:t>
            </w:r>
          </w:p>
        </w:tc>
        <w:tc>
          <w:tcPr>
            <w:tcW w:w="2694" w:type="dxa"/>
            <w:shd w:val="clear" w:color="auto" w:fill="auto"/>
            <w:vAlign w:val="center"/>
          </w:tcPr>
          <w:p w14:paraId="03FBE9D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20,263,726.03</w:t>
            </w:r>
          </w:p>
        </w:tc>
        <w:tc>
          <w:tcPr>
            <w:tcW w:w="1757" w:type="dxa"/>
            <w:shd w:val="clear" w:color="auto" w:fill="auto"/>
            <w:vAlign w:val="center"/>
          </w:tcPr>
          <w:p w14:paraId="7246E39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7.06</w:t>
            </w:r>
          </w:p>
        </w:tc>
      </w:tr>
      <w:tr w:rsidR="00881A82" w:rsidRPr="00473486" w14:paraId="46AA90AC" w14:textId="77777777">
        <w:tc>
          <w:tcPr>
            <w:tcW w:w="1242" w:type="dxa"/>
            <w:shd w:val="clear" w:color="auto" w:fill="auto"/>
            <w:vAlign w:val="center"/>
          </w:tcPr>
          <w:p w14:paraId="38E761DE" w14:textId="77777777" w:rsidR="00881A82" w:rsidRPr="00473486" w:rsidRDefault="00881A82">
            <w:pPr>
              <w:spacing w:before="29" w:line="360" w:lineRule="auto"/>
              <w:ind w:left="17"/>
              <w:jc w:val="center"/>
              <w:rPr>
                <w:rFonts w:eastAsiaTheme="minorEastAsia"/>
                <w:color w:val="000000" w:themeColor="text1"/>
                <w:szCs w:val="21"/>
              </w:rPr>
            </w:pPr>
          </w:p>
        </w:tc>
        <w:tc>
          <w:tcPr>
            <w:tcW w:w="2835" w:type="dxa"/>
            <w:shd w:val="clear" w:color="auto" w:fill="auto"/>
            <w:vAlign w:val="center"/>
          </w:tcPr>
          <w:p w14:paraId="1FA256EB"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其中：政策性金融债</w:t>
            </w:r>
          </w:p>
        </w:tc>
        <w:tc>
          <w:tcPr>
            <w:tcW w:w="2694" w:type="dxa"/>
            <w:shd w:val="clear" w:color="auto" w:fill="auto"/>
            <w:vAlign w:val="center"/>
          </w:tcPr>
          <w:p w14:paraId="31ED43F9"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20,263,726.03</w:t>
            </w:r>
          </w:p>
        </w:tc>
        <w:tc>
          <w:tcPr>
            <w:tcW w:w="1757" w:type="dxa"/>
            <w:shd w:val="clear" w:color="auto" w:fill="auto"/>
            <w:vAlign w:val="center"/>
          </w:tcPr>
          <w:p w14:paraId="76556FA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7.06</w:t>
            </w:r>
          </w:p>
        </w:tc>
      </w:tr>
      <w:tr w:rsidR="00881A82" w:rsidRPr="00473486" w14:paraId="7A4ADBBC" w14:textId="77777777">
        <w:tc>
          <w:tcPr>
            <w:tcW w:w="1242" w:type="dxa"/>
            <w:shd w:val="clear" w:color="auto" w:fill="auto"/>
            <w:vAlign w:val="center"/>
          </w:tcPr>
          <w:p w14:paraId="187CF951"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lastRenderedPageBreak/>
              <w:t>4</w:t>
            </w:r>
          </w:p>
        </w:tc>
        <w:tc>
          <w:tcPr>
            <w:tcW w:w="2835" w:type="dxa"/>
            <w:shd w:val="clear" w:color="auto" w:fill="auto"/>
            <w:vAlign w:val="center"/>
          </w:tcPr>
          <w:p w14:paraId="0D75624F"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企业债券</w:t>
            </w:r>
          </w:p>
        </w:tc>
        <w:tc>
          <w:tcPr>
            <w:tcW w:w="2694" w:type="dxa"/>
            <w:shd w:val="clear" w:color="auto" w:fill="auto"/>
            <w:vAlign w:val="center"/>
          </w:tcPr>
          <w:p w14:paraId="6B4927EB"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708D5D8D"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3796F5E6" w14:textId="77777777">
        <w:tc>
          <w:tcPr>
            <w:tcW w:w="1242" w:type="dxa"/>
            <w:shd w:val="clear" w:color="auto" w:fill="auto"/>
            <w:vAlign w:val="center"/>
          </w:tcPr>
          <w:p w14:paraId="24DCC2B2"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5</w:t>
            </w:r>
          </w:p>
        </w:tc>
        <w:tc>
          <w:tcPr>
            <w:tcW w:w="2835" w:type="dxa"/>
            <w:shd w:val="clear" w:color="auto" w:fill="auto"/>
            <w:vAlign w:val="center"/>
          </w:tcPr>
          <w:p w14:paraId="4425E2D5"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企业短期融资券</w:t>
            </w:r>
          </w:p>
        </w:tc>
        <w:tc>
          <w:tcPr>
            <w:tcW w:w="2694" w:type="dxa"/>
            <w:shd w:val="clear" w:color="auto" w:fill="auto"/>
            <w:vAlign w:val="center"/>
          </w:tcPr>
          <w:p w14:paraId="7C7BD9BF"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40,107,620.27</w:t>
            </w:r>
          </w:p>
        </w:tc>
        <w:tc>
          <w:tcPr>
            <w:tcW w:w="1757" w:type="dxa"/>
            <w:shd w:val="clear" w:color="auto" w:fill="auto"/>
            <w:vAlign w:val="center"/>
          </w:tcPr>
          <w:p w14:paraId="365D627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13.98</w:t>
            </w:r>
          </w:p>
        </w:tc>
      </w:tr>
      <w:tr w:rsidR="00881A82" w:rsidRPr="00473486" w14:paraId="3EE9B885" w14:textId="77777777">
        <w:tc>
          <w:tcPr>
            <w:tcW w:w="1242" w:type="dxa"/>
            <w:shd w:val="clear" w:color="auto" w:fill="auto"/>
            <w:vAlign w:val="center"/>
          </w:tcPr>
          <w:p w14:paraId="356458C3"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6</w:t>
            </w:r>
          </w:p>
        </w:tc>
        <w:tc>
          <w:tcPr>
            <w:tcW w:w="2835" w:type="dxa"/>
            <w:shd w:val="clear" w:color="auto" w:fill="auto"/>
            <w:vAlign w:val="center"/>
          </w:tcPr>
          <w:p w14:paraId="65AE135E"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中期票据</w:t>
            </w:r>
          </w:p>
        </w:tc>
        <w:tc>
          <w:tcPr>
            <w:tcW w:w="2694" w:type="dxa"/>
            <w:shd w:val="clear" w:color="auto" w:fill="auto"/>
            <w:vAlign w:val="center"/>
          </w:tcPr>
          <w:p w14:paraId="6229F7E1"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10,244,169.86</w:t>
            </w:r>
          </w:p>
        </w:tc>
        <w:tc>
          <w:tcPr>
            <w:tcW w:w="1757" w:type="dxa"/>
            <w:shd w:val="clear" w:color="auto" w:fill="auto"/>
            <w:vAlign w:val="center"/>
          </w:tcPr>
          <w:p w14:paraId="7F1760C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3.57</w:t>
            </w:r>
          </w:p>
        </w:tc>
      </w:tr>
      <w:tr w:rsidR="00881A82" w:rsidRPr="00473486" w14:paraId="0C186C68" w14:textId="77777777">
        <w:tc>
          <w:tcPr>
            <w:tcW w:w="1242" w:type="dxa"/>
            <w:shd w:val="clear" w:color="auto" w:fill="auto"/>
            <w:vAlign w:val="center"/>
          </w:tcPr>
          <w:p w14:paraId="27589F8F"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7</w:t>
            </w:r>
          </w:p>
        </w:tc>
        <w:tc>
          <w:tcPr>
            <w:tcW w:w="2835" w:type="dxa"/>
            <w:shd w:val="clear" w:color="auto" w:fill="auto"/>
            <w:vAlign w:val="center"/>
          </w:tcPr>
          <w:p w14:paraId="0DEDF13E"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可转债（可交换债）</w:t>
            </w:r>
          </w:p>
        </w:tc>
        <w:tc>
          <w:tcPr>
            <w:tcW w:w="2694" w:type="dxa"/>
            <w:shd w:val="clear" w:color="auto" w:fill="auto"/>
            <w:vAlign w:val="center"/>
          </w:tcPr>
          <w:p w14:paraId="7C4C8527"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1E9D1AC3"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C55E467" w14:textId="77777777">
        <w:tc>
          <w:tcPr>
            <w:tcW w:w="1242" w:type="dxa"/>
            <w:shd w:val="clear" w:color="auto" w:fill="auto"/>
            <w:vAlign w:val="center"/>
          </w:tcPr>
          <w:p w14:paraId="200382C9"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8</w:t>
            </w:r>
          </w:p>
        </w:tc>
        <w:tc>
          <w:tcPr>
            <w:tcW w:w="2835" w:type="dxa"/>
            <w:shd w:val="clear" w:color="auto" w:fill="auto"/>
            <w:vAlign w:val="center"/>
          </w:tcPr>
          <w:p w14:paraId="41BD2AEB"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同业存单</w:t>
            </w:r>
          </w:p>
        </w:tc>
        <w:tc>
          <w:tcPr>
            <w:tcW w:w="2694" w:type="dxa"/>
            <w:shd w:val="clear" w:color="auto" w:fill="auto"/>
            <w:vAlign w:val="center"/>
          </w:tcPr>
          <w:p w14:paraId="1124414E"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247,733,195.04</w:t>
            </w:r>
          </w:p>
        </w:tc>
        <w:tc>
          <w:tcPr>
            <w:tcW w:w="1757" w:type="dxa"/>
            <w:shd w:val="clear" w:color="auto" w:fill="auto"/>
            <w:vAlign w:val="center"/>
          </w:tcPr>
          <w:p w14:paraId="36EA0F33"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86.33</w:t>
            </w:r>
          </w:p>
        </w:tc>
      </w:tr>
      <w:tr w:rsidR="00881A82" w:rsidRPr="00473486" w14:paraId="24F63A37" w14:textId="77777777">
        <w:tc>
          <w:tcPr>
            <w:tcW w:w="1242" w:type="dxa"/>
            <w:shd w:val="clear" w:color="auto" w:fill="auto"/>
            <w:vAlign w:val="center"/>
          </w:tcPr>
          <w:p w14:paraId="16282B32"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9</w:t>
            </w:r>
          </w:p>
        </w:tc>
        <w:tc>
          <w:tcPr>
            <w:tcW w:w="2835" w:type="dxa"/>
            <w:shd w:val="clear" w:color="auto" w:fill="auto"/>
            <w:vAlign w:val="center"/>
          </w:tcPr>
          <w:p w14:paraId="1E0DE699"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其他</w:t>
            </w:r>
          </w:p>
        </w:tc>
        <w:tc>
          <w:tcPr>
            <w:tcW w:w="2694" w:type="dxa"/>
            <w:shd w:val="clear" w:color="auto" w:fill="auto"/>
            <w:vAlign w:val="center"/>
          </w:tcPr>
          <w:p w14:paraId="16542F5C"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c>
          <w:tcPr>
            <w:tcW w:w="1757" w:type="dxa"/>
            <w:shd w:val="clear" w:color="auto" w:fill="auto"/>
            <w:vAlign w:val="center"/>
          </w:tcPr>
          <w:p w14:paraId="36A9A39B"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441C5E54" w14:textId="77777777">
        <w:tc>
          <w:tcPr>
            <w:tcW w:w="1242" w:type="dxa"/>
            <w:shd w:val="clear" w:color="auto" w:fill="auto"/>
            <w:vAlign w:val="center"/>
          </w:tcPr>
          <w:p w14:paraId="15241FB5"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10</w:t>
            </w:r>
          </w:p>
        </w:tc>
        <w:tc>
          <w:tcPr>
            <w:tcW w:w="2835" w:type="dxa"/>
            <w:shd w:val="clear" w:color="auto" w:fill="auto"/>
            <w:vAlign w:val="center"/>
          </w:tcPr>
          <w:p w14:paraId="25E1206C" w14:textId="77777777" w:rsidR="00881A82" w:rsidRPr="00473486" w:rsidRDefault="007D1E3A">
            <w:pPr>
              <w:spacing w:before="29" w:line="360" w:lineRule="auto"/>
              <w:ind w:left="17"/>
              <w:jc w:val="left"/>
              <w:rPr>
                <w:rFonts w:eastAsiaTheme="minorEastAsia"/>
                <w:color w:val="000000" w:themeColor="text1"/>
                <w:szCs w:val="21"/>
              </w:rPr>
            </w:pPr>
            <w:r w:rsidRPr="00473486">
              <w:rPr>
                <w:rFonts w:eastAsiaTheme="minorEastAsia"/>
                <w:color w:val="000000" w:themeColor="text1"/>
                <w:szCs w:val="21"/>
              </w:rPr>
              <w:t>合计</w:t>
            </w:r>
          </w:p>
        </w:tc>
        <w:tc>
          <w:tcPr>
            <w:tcW w:w="2694" w:type="dxa"/>
            <w:shd w:val="clear" w:color="auto" w:fill="auto"/>
            <w:vAlign w:val="center"/>
          </w:tcPr>
          <w:p w14:paraId="48A59584"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318,348,711.20</w:t>
            </w:r>
          </w:p>
        </w:tc>
        <w:tc>
          <w:tcPr>
            <w:tcW w:w="1757" w:type="dxa"/>
            <w:shd w:val="clear" w:color="auto" w:fill="auto"/>
            <w:vAlign w:val="center"/>
          </w:tcPr>
          <w:p w14:paraId="1365D155" w14:textId="77777777" w:rsidR="00881A82" w:rsidRPr="00473486" w:rsidRDefault="007D1E3A">
            <w:pPr>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110.94</w:t>
            </w:r>
          </w:p>
        </w:tc>
      </w:tr>
    </w:tbl>
    <w:p w14:paraId="0F5B9C0D" w14:textId="77777777" w:rsidR="00881A82" w:rsidRPr="00473486" w:rsidRDefault="00881A82">
      <w:pPr>
        <w:autoSpaceDE w:val="0"/>
        <w:autoSpaceDN w:val="0"/>
        <w:adjustRightInd w:val="0"/>
        <w:spacing w:line="360" w:lineRule="auto"/>
        <w:jc w:val="left"/>
        <w:rPr>
          <w:rFonts w:eastAsiaTheme="minorEastAsia"/>
          <w:color w:val="000000" w:themeColor="text1"/>
          <w:kern w:val="0"/>
          <w:szCs w:val="21"/>
        </w:rPr>
      </w:pPr>
    </w:p>
    <w:p w14:paraId="487E68E7"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 xml:space="preserve">5.5 </w:t>
      </w:r>
      <w:r w:rsidRPr="00473486">
        <w:rPr>
          <w:rFonts w:eastAsiaTheme="minorEastAsia"/>
          <w:b/>
          <w:color w:val="000000" w:themeColor="text1"/>
          <w:kern w:val="0"/>
          <w:sz w:val="24"/>
        </w:rPr>
        <w:t>报告期末按公允价值占基金资产净值比例大小排序的前五名债券投资明细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10"/>
        <w:gridCol w:w="1282"/>
        <w:gridCol w:w="1426"/>
        <w:gridCol w:w="1646"/>
        <w:gridCol w:w="1612"/>
      </w:tblGrid>
      <w:tr w:rsidR="00881A82" w:rsidRPr="00473486" w14:paraId="40452812" w14:textId="77777777">
        <w:tc>
          <w:tcPr>
            <w:tcW w:w="1252" w:type="dxa"/>
            <w:shd w:val="clear" w:color="auto" w:fill="auto"/>
            <w:vAlign w:val="center"/>
          </w:tcPr>
          <w:p w14:paraId="348B390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序号</w:t>
            </w:r>
          </w:p>
        </w:tc>
        <w:tc>
          <w:tcPr>
            <w:tcW w:w="1310" w:type="dxa"/>
            <w:shd w:val="clear" w:color="auto" w:fill="auto"/>
            <w:vAlign w:val="center"/>
          </w:tcPr>
          <w:p w14:paraId="5C1712C9"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债券代码</w:t>
            </w:r>
          </w:p>
        </w:tc>
        <w:tc>
          <w:tcPr>
            <w:tcW w:w="1282" w:type="dxa"/>
            <w:shd w:val="clear" w:color="auto" w:fill="auto"/>
            <w:vAlign w:val="center"/>
          </w:tcPr>
          <w:p w14:paraId="7C389C08"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债券名称</w:t>
            </w:r>
          </w:p>
        </w:tc>
        <w:tc>
          <w:tcPr>
            <w:tcW w:w="1426" w:type="dxa"/>
            <w:shd w:val="clear" w:color="auto" w:fill="auto"/>
            <w:vAlign w:val="center"/>
          </w:tcPr>
          <w:p w14:paraId="22C6D82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数量</w:t>
            </w:r>
            <w:r w:rsidRPr="00473486">
              <w:rPr>
                <w:rFonts w:eastAsiaTheme="minorEastAsia"/>
                <w:color w:val="000000" w:themeColor="text1"/>
                <w:szCs w:val="21"/>
              </w:rPr>
              <w:t>(</w:t>
            </w:r>
            <w:r w:rsidRPr="00473486">
              <w:rPr>
                <w:rFonts w:eastAsiaTheme="minorEastAsia"/>
                <w:color w:val="000000" w:themeColor="text1"/>
                <w:szCs w:val="21"/>
              </w:rPr>
              <w:t>张</w:t>
            </w:r>
            <w:r w:rsidRPr="00473486">
              <w:rPr>
                <w:rFonts w:eastAsiaTheme="minorEastAsia"/>
                <w:color w:val="000000" w:themeColor="text1"/>
                <w:szCs w:val="21"/>
              </w:rPr>
              <w:t>)</w:t>
            </w:r>
          </w:p>
        </w:tc>
        <w:tc>
          <w:tcPr>
            <w:tcW w:w="1646" w:type="dxa"/>
            <w:shd w:val="clear" w:color="auto" w:fill="auto"/>
            <w:vAlign w:val="center"/>
          </w:tcPr>
          <w:p w14:paraId="415EB305"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公允价值</w:t>
            </w:r>
            <w:r w:rsidRPr="00473486">
              <w:rPr>
                <w:rFonts w:eastAsiaTheme="minorEastAsia"/>
                <w:color w:val="000000" w:themeColor="text1"/>
                <w:szCs w:val="21"/>
              </w:rPr>
              <w:t>(</w:t>
            </w:r>
            <w:r w:rsidRPr="00473486">
              <w:rPr>
                <w:rFonts w:eastAsiaTheme="minorEastAsia"/>
                <w:color w:val="000000" w:themeColor="text1"/>
                <w:szCs w:val="21"/>
              </w:rPr>
              <w:t>元</w:t>
            </w:r>
            <w:r w:rsidRPr="00473486">
              <w:rPr>
                <w:rFonts w:eastAsiaTheme="minorEastAsia"/>
                <w:color w:val="000000" w:themeColor="text1"/>
                <w:szCs w:val="21"/>
              </w:rPr>
              <w:t>)</w:t>
            </w:r>
          </w:p>
        </w:tc>
        <w:tc>
          <w:tcPr>
            <w:tcW w:w="1612" w:type="dxa"/>
            <w:shd w:val="clear" w:color="auto" w:fill="auto"/>
            <w:vAlign w:val="center"/>
          </w:tcPr>
          <w:p w14:paraId="6906ADC4" w14:textId="77777777" w:rsidR="00881A82" w:rsidRPr="00473486" w:rsidRDefault="007D1E3A">
            <w:pPr>
              <w:spacing w:before="29" w:line="360" w:lineRule="auto"/>
              <w:ind w:left="17"/>
              <w:jc w:val="center"/>
              <w:rPr>
                <w:rFonts w:eastAsiaTheme="minorEastAsia"/>
                <w:color w:val="000000" w:themeColor="text1"/>
                <w:szCs w:val="21"/>
              </w:rPr>
            </w:pPr>
            <w:r w:rsidRPr="00473486">
              <w:rPr>
                <w:rFonts w:eastAsiaTheme="minorEastAsia"/>
                <w:color w:val="000000" w:themeColor="text1"/>
                <w:szCs w:val="21"/>
              </w:rPr>
              <w:t>占基金资产净值比例</w:t>
            </w:r>
            <w:r w:rsidRPr="00473486">
              <w:rPr>
                <w:rFonts w:eastAsiaTheme="minorEastAsia"/>
                <w:color w:val="000000" w:themeColor="text1"/>
                <w:szCs w:val="21"/>
              </w:rPr>
              <w:t>(</w:t>
            </w:r>
            <w:r w:rsidRPr="00473486">
              <w:rPr>
                <w:rFonts w:eastAsiaTheme="minorEastAsia"/>
                <w:color w:val="000000" w:themeColor="text1"/>
                <w:szCs w:val="21"/>
              </w:rPr>
              <w:t>％</w:t>
            </w:r>
            <w:r w:rsidRPr="00473486">
              <w:rPr>
                <w:rFonts w:eastAsiaTheme="minorEastAsia"/>
                <w:color w:val="000000" w:themeColor="text1"/>
                <w:szCs w:val="21"/>
              </w:rPr>
              <w:t>)</w:t>
            </w:r>
          </w:p>
        </w:tc>
      </w:tr>
      <w:tr w:rsidR="00F25156" w14:paraId="6CACA4B3" w14:textId="77777777">
        <w:tc>
          <w:tcPr>
            <w:tcW w:w="1252" w:type="dxa"/>
            <w:vAlign w:val="center"/>
          </w:tcPr>
          <w:p w14:paraId="381F1BA6" w14:textId="77777777" w:rsidR="00F25156" w:rsidRDefault="00920FC0">
            <w:pPr>
              <w:jc w:val="center"/>
            </w:pPr>
            <w:r>
              <w:rPr>
                <w:rFonts w:eastAsiaTheme="minorEastAsia"/>
                <w:color w:val="000000" w:themeColor="text1"/>
                <w:szCs w:val="21"/>
              </w:rPr>
              <w:t>1</w:t>
            </w:r>
          </w:p>
        </w:tc>
        <w:tc>
          <w:tcPr>
            <w:tcW w:w="1310" w:type="dxa"/>
            <w:vAlign w:val="center"/>
          </w:tcPr>
          <w:p w14:paraId="1C74725E" w14:textId="77777777" w:rsidR="00F25156" w:rsidRDefault="00920FC0">
            <w:pPr>
              <w:jc w:val="center"/>
            </w:pPr>
            <w:r>
              <w:rPr>
                <w:rFonts w:eastAsiaTheme="minorEastAsia"/>
                <w:color w:val="000000" w:themeColor="text1"/>
                <w:szCs w:val="21"/>
              </w:rPr>
              <w:t>200405</w:t>
            </w:r>
          </w:p>
        </w:tc>
        <w:tc>
          <w:tcPr>
            <w:tcW w:w="1282" w:type="dxa"/>
            <w:vAlign w:val="center"/>
          </w:tcPr>
          <w:p w14:paraId="3A54496E" w14:textId="77777777" w:rsidR="00F25156" w:rsidRDefault="00920FC0">
            <w:pPr>
              <w:jc w:val="center"/>
            </w:pPr>
            <w:r>
              <w:rPr>
                <w:rFonts w:eastAsiaTheme="minorEastAsia"/>
                <w:color w:val="000000" w:themeColor="text1"/>
                <w:szCs w:val="21"/>
              </w:rPr>
              <w:t>20</w:t>
            </w:r>
            <w:r>
              <w:rPr>
                <w:rFonts w:eastAsiaTheme="minorEastAsia"/>
                <w:color w:val="000000" w:themeColor="text1"/>
                <w:szCs w:val="21"/>
              </w:rPr>
              <w:t>农发</w:t>
            </w:r>
            <w:r>
              <w:rPr>
                <w:rFonts w:eastAsiaTheme="minorEastAsia"/>
                <w:color w:val="000000" w:themeColor="text1"/>
                <w:szCs w:val="21"/>
              </w:rPr>
              <w:t>05</w:t>
            </w:r>
          </w:p>
        </w:tc>
        <w:tc>
          <w:tcPr>
            <w:tcW w:w="1426" w:type="dxa"/>
            <w:vAlign w:val="center"/>
          </w:tcPr>
          <w:p w14:paraId="4E91CD2A" w14:textId="77777777" w:rsidR="00F25156" w:rsidRDefault="00920FC0">
            <w:pPr>
              <w:jc w:val="right"/>
            </w:pPr>
            <w:r>
              <w:rPr>
                <w:rFonts w:eastAsiaTheme="minorEastAsia"/>
                <w:color w:val="000000" w:themeColor="text1"/>
                <w:szCs w:val="21"/>
              </w:rPr>
              <w:t>200,000</w:t>
            </w:r>
          </w:p>
        </w:tc>
        <w:tc>
          <w:tcPr>
            <w:tcW w:w="1646" w:type="dxa"/>
            <w:vAlign w:val="center"/>
          </w:tcPr>
          <w:p w14:paraId="4A7893AE" w14:textId="77777777" w:rsidR="00F25156" w:rsidRDefault="00920FC0">
            <w:pPr>
              <w:jc w:val="right"/>
            </w:pPr>
            <w:r>
              <w:rPr>
                <w:rFonts w:eastAsiaTheme="minorEastAsia"/>
                <w:color w:val="000000" w:themeColor="text1"/>
                <w:szCs w:val="21"/>
              </w:rPr>
              <w:t>20,263,726.03</w:t>
            </w:r>
          </w:p>
        </w:tc>
        <w:tc>
          <w:tcPr>
            <w:tcW w:w="1612" w:type="dxa"/>
            <w:vAlign w:val="center"/>
          </w:tcPr>
          <w:p w14:paraId="0EC668BC" w14:textId="77777777" w:rsidR="00F25156" w:rsidRDefault="00920FC0">
            <w:pPr>
              <w:jc w:val="right"/>
            </w:pPr>
            <w:r>
              <w:rPr>
                <w:rFonts w:eastAsiaTheme="minorEastAsia"/>
                <w:color w:val="000000" w:themeColor="text1"/>
                <w:szCs w:val="21"/>
              </w:rPr>
              <w:t>7.06</w:t>
            </w:r>
          </w:p>
        </w:tc>
      </w:tr>
      <w:tr w:rsidR="00F25156" w14:paraId="26349825" w14:textId="77777777">
        <w:tc>
          <w:tcPr>
            <w:tcW w:w="1252" w:type="dxa"/>
            <w:vAlign w:val="center"/>
          </w:tcPr>
          <w:p w14:paraId="36374DE8" w14:textId="77777777" w:rsidR="00F25156" w:rsidRDefault="00920FC0">
            <w:pPr>
              <w:jc w:val="center"/>
            </w:pPr>
            <w:r>
              <w:rPr>
                <w:rFonts w:eastAsiaTheme="minorEastAsia"/>
                <w:color w:val="000000" w:themeColor="text1"/>
                <w:szCs w:val="21"/>
              </w:rPr>
              <w:t>2</w:t>
            </w:r>
          </w:p>
        </w:tc>
        <w:tc>
          <w:tcPr>
            <w:tcW w:w="1310" w:type="dxa"/>
            <w:vAlign w:val="center"/>
          </w:tcPr>
          <w:p w14:paraId="02B47FE6" w14:textId="77777777" w:rsidR="00F25156" w:rsidRDefault="00920FC0">
            <w:pPr>
              <w:jc w:val="center"/>
            </w:pPr>
            <w:r>
              <w:rPr>
                <w:rFonts w:eastAsiaTheme="minorEastAsia"/>
                <w:color w:val="000000" w:themeColor="text1"/>
                <w:szCs w:val="21"/>
              </w:rPr>
              <w:t>012482258</w:t>
            </w:r>
          </w:p>
        </w:tc>
        <w:tc>
          <w:tcPr>
            <w:tcW w:w="1282" w:type="dxa"/>
            <w:vAlign w:val="center"/>
          </w:tcPr>
          <w:p w14:paraId="619B3A06" w14:textId="77777777" w:rsidR="00F25156" w:rsidRDefault="00920FC0">
            <w:pPr>
              <w:jc w:val="center"/>
            </w:pPr>
            <w:r>
              <w:rPr>
                <w:rFonts w:eastAsiaTheme="minorEastAsia"/>
                <w:color w:val="000000" w:themeColor="text1"/>
                <w:szCs w:val="21"/>
              </w:rPr>
              <w:t>24</w:t>
            </w:r>
            <w:r>
              <w:rPr>
                <w:rFonts w:eastAsiaTheme="minorEastAsia"/>
                <w:color w:val="000000" w:themeColor="text1"/>
                <w:szCs w:val="21"/>
              </w:rPr>
              <w:t>厦门港务</w:t>
            </w:r>
            <w:r>
              <w:rPr>
                <w:rFonts w:eastAsiaTheme="minorEastAsia"/>
                <w:color w:val="000000" w:themeColor="text1"/>
                <w:szCs w:val="21"/>
              </w:rPr>
              <w:t>SCP004</w:t>
            </w:r>
          </w:p>
        </w:tc>
        <w:tc>
          <w:tcPr>
            <w:tcW w:w="1426" w:type="dxa"/>
            <w:vAlign w:val="center"/>
          </w:tcPr>
          <w:p w14:paraId="1B0DDD1D" w14:textId="77777777" w:rsidR="00F25156" w:rsidRDefault="00920FC0">
            <w:pPr>
              <w:jc w:val="right"/>
            </w:pPr>
            <w:r>
              <w:rPr>
                <w:rFonts w:eastAsiaTheme="minorEastAsia"/>
                <w:color w:val="000000" w:themeColor="text1"/>
                <w:szCs w:val="21"/>
              </w:rPr>
              <w:t>200,000</w:t>
            </w:r>
          </w:p>
        </w:tc>
        <w:tc>
          <w:tcPr>
            <w:tcW w:w="1646" w:type="dxa"/>
            <w:vAlign w:val="center"/>
          </w:tcPr>
          <w:p w14:paraId="7DE85F59" w14:textId="77777777" w:rsidR="00F25156" w:rsidRDefault="00920FC0">
            <w:pPr>
              <w:jc w:val="right"/>
            </w:pPr>
            <w:r>
              <w:rPr>
                <w:rFonts w:eastAsiaTheme="minorEastAsia"/>
                <w:color w:val="000000" w:themeColor="text1"/>
                <w:szCs w:val="21"/>
              </w:rPr>
              <w:t>20,053,616.44</w:t>
            </w:r>
          </w:p>
        </w:tc>
        <w:tc>
          <w:tcPr>
            <w:tcW w:w="1612" w:type="dxa"/>
            <w:vAlign w:val="center"/>
          </w:tcPr>
          <w:p w14:paraId="569ED3EA" w14:textId="77777777" w:rsidR="00F25156" w:rsidRDefault="00920FC0">
            <w:pPr>
              <w:jc w:val="right"/>
            </w:pPr>
            <w:r>
              <w:rPr>
                <w:rFonts w:eastAsiaTheme="minorEastAsia"/>
                <w:color w:val="000000" w:themeColor="text1"/>
                <w:szCs w:val="21"/>
              </w:rPr>
              <w:t>6.99</w:t>
            </w:r>
          </w:p>
        </w:tc>
      </w:tr>
      <w:tr w:rsidR="00F25156" w14:paraId="03E6D8C0" w14:textId="77777777">
        <w:tc>
          <w:tcPr>
            <w:tcW w:w="1252" w:type="dxa"/>
            <w:vAlign w:val="center"/>
          </w:tcPr>
          <w:p w14:paraId="4ABD78A4" w14:textId="77777777" w:rsidR="00F25156" w:rsidRDefault="00920FC0">
            <w:pPr>
              <w:jc w:val="center"/>
            </w:pPr>
            <w:r>
              <w:rPr>
                <w:rFonts w:eastAsiaTheme="minorEastAsia"/>
                <w:color w:val="000000" w:themeColor="text1"/>
                <w:szCs w:val="21"/>
              </w:rPr>
              <w:t>3</w:t>
            </w:r>
          </w:p>
        </w:tc>
        <w:tc>
          <w:tcPr>
            <w:tcW w:w="1310" w:type="dxa"/>
            <w:vAlign w:val="center"/>
          </w:tcPr>
          <w:p w14:paraId="61CA0411" w14:textId="77777777" w:rsidR="00F25156" w:rsidRDefault="00920FC0">
            <w:pPr>
              <w:jc w:val="center"/>
            </w:pPr>
            <w:r>
              <w:rPr>
                <w:rFonts w:eastAsiaTheme="minorEastAsia"/>
                <w:color w:val="000000" w:themeColor="text1"/>
                <w:szCs w:val="21"/>
              </w:rPr>
              <w:t>112415069</w:t>
            </w:r>
          </w:p>
        </w:tc>
        <w:tc>
          <w:tcPr>
            <w:tcW w:w="1282" w:type="dxa"/>
            <w:vAlign w:val="center"/>
          </w:tcPr>
          <w:p w14:paraId="1E0AEDE0" w14:textId="77777777" w:rsidR="00F25156" w:rsidRDefault="00920FC0">
            <w:pPr>
              <w:jc w:val="center"/>
            </w:pPr>
            <w:r>
              <w:rPr>
                <w:rFonts w:eastAsiaTheme="minorEastAsia"/>
                <w:color w:val="000000" w:themeColor="text1"/>
                <w:szCs w:val="21"/>
              </w:rPr>
              <w:t>24</w:t>
            </w:r>
            <w:r>
              <w:rPr>
                <w:rFonts w:eastAsiaTheme="minorEastAsia"/>
                <w:color w:val="000000" w:themeColor="text1"/>
                <w:szCs w:val="21"/>
              </w:rPr>
              <w:t>民生银行</w:t>
            </w:r>
            <w:r>
              <w:rPr>
                <w:rFonts w:eastAsiaTheme="minorEastAsia"/>
                <w:color w:val="000000" w:themeColor="text1"/>
                <w:szCs w:val="21"/>
              </w:rPr>
              <w:t>CD069</w:t>
            </w:r>
          </w:p>
        </w:tc>
        <w:tc>
          <w:tcPr>
            <w:tcW w:w="1426" w:type="dxa"/>
            <w:vAlign w:val="center"/>
          </w:tcPr>
          <w:p w14:paraId="24545ADB" w14:textId="77777777" w:rsidR="00F25156" w:rsidRDefault="00920FC0">
            <w:pPr>
              <w:jc w:val="right"/>
            </w:pPr>
            <w:r>
              <w:rPr>
                <w:rFonts w:eastAsiaTheme="minorEastAsia"/>
                <w:color w:val="000000" w:themeColor="text1"/>
                <w:szCs w:val="21"/>
              </w:rPr>
              <w:t>200,000</w:t>
            </w:r>
          </w:p>
        </w:tc>
        <w:tc>
          <w:tcPr>
            <w:tcW w:w="1646" w:type="dxa"/>
            <w:vAlign w:val="center"/>
          </w:tcPr>
          <w:p w14:paraId="532E4B0A" w14:textId="77777777" w:rsidR="00F25156" w:rsidRDefault="00920FC0">
            <w:pPr>
              <w:jc w:val="right"/>
            </w:pPr>
            <w:r>
              <w:rPr>
                <w:rFonts w:eastAsiaTheme="minorEastAsia"/>
                <w:color w:val="000000" w:themeColor="text1"/>
                <w:szCs w:val="21"/>
              </w:rPr>
              <w:t>19,945,941.90</w:t>
            </w:r>
          </w:p>
        </w:tc>
        <w:tc>
          <w:tcPr>
            <w:tcW w:w="1612" w:type="dxa"/>
            <w:vAlign w:val="center"/>
          </w:tcPr>
          <w:p w14:paraId="3201A36A" w14:textId="77777777" w:rsidR="00F25156" w:rsidRDefault="00920FC0">
            <w:pPr>
              <w:jc w:val="right"/>
            </w:pPr>
            <w:r>
              <w:rPr>
                <w:rFonts w:eastAsiaTheme="minorEastAsia"/>
                <w:color w:val="000000" w:themeColor="text1"/>
                <w:szCs w:val="21"/>
              </w:rPr>
              <w:t>6.95</w:t>
            </w:r>
          </w:p>
        </w:tc>
      </w:tr>
      <w:tr w:rsidR="00F25156" w14:paraId="4B30474D" w14:textId="77777777">
        <w:tc>
          <w:tcPr>
            <w:tcW w:w="1252" w:type="dxa"/>
            <w:vAlign w:val="center"/>
          </w:tcPr>
          <w:p w14:paraId="4A15FCEA" w14:textId="77777777" w:rsidR="00F25156" w:rsidRDefault="00920FC0">
            <w:pPr>
              <w:jc w:val="center"/>
            </w:pPr>
            <w:r>
              <w:rPr>
                <w:rFonts w:eastAsiaTheme="minorEastAsia"/>
                <w:color w:val="000000" w:themeColor="text1"/>
                <w:szCs w:val="21"/>
              </w:rPr>
              <w:t>4</w:t>
            </w:r>
          </w:p>
        </w:tc>
        <w:tc>
          <w:tcPr>
            <w:tcW w:w="1310" w:type="dxa"/>
            <w:vAlign w:val="center"/>
          </w:tcPr>
          <w:p w14:paraId="48947B91" w14:textId="77777777" w:rsidR="00F25156" w:rsidRDefault="00920FC0">
            <w:pPr>
              <w:jc w:val="center"/>
            </w:pPr>
            <w:r>
              <w:rPr>
                <w:rFonts w:eastAsiaTheme="minorEastAsia"/>
                <w:color w:val="000000" w:themeColor="text1"/>
                <w:szCs w:val="21"/>
              </w:rPr>
              <w:t>112407016</w:t>
            </w:r>
          </w:p>
        </w:tc>
        <w:tc>
          <w:tcPr>
            <w:tcW w:w="1282" w:type="dxa"/>
            <w:vAlign w:val="center"/>
          </w:tcPr>
          <w:p w14:paraId="03554C5C" w14:textId="77777777" w:rsidR="00F25156" w:rsidRDefault="00920FC0">
            <w:pPr>
              <w:jc w:val="center"/>
            </w:pPr>
            <w:r>
              <w:rPr>
                <w:rFonts w:eastAsiaTheme="minorEastAsia"/>
                <w:color w:val="000000" w:themeColor="text1"/>
                <w:szCs w:val="21"/>
              </w:rPr>
              <w:t>24</w:t>
            </w:r>
            <w:r>
              <w:rPr>
                <w:rFonts w:eastAsiaTheme="minorEastAsia"/>
                <w:color w:val="000000" w:themeColor="text1"/>
                <w:szCs w:val="21"/>
              </w:rPr>
              <w:t>招商银行</w:t>
            </w:r>
            <w:r>
              <w:rPr>
                <w:rFonts w:eastAsiaTheme="minorEastAsia"/>
                <w:color w:val="000000" w:themeColor="text1"/>
                <w:szCs w:val="21"/>
              </w:rPr>
              <w:t>CD016</w:t>
            </w:r>
          </w:p>
        </w:tc>
        <w:tc>
          <w:tcPr>
            <w:tcW w:w="1426" w:type="dxa"/>
            <w:vAlign w:val="center"/>
          </w:tcPr>
          <w:p w14:paraId="7A5F215C" w14:textId="77777777" w:rsidR="00F25156" w:rsidRDefault="00920FC0">
            <w:pPr>
              <w:jc w:val="right"/>
            </w:pPr>
            <w:r>
              <w:rPr>
                <w:rFonts w:eastAsiaTheme="minorEastAsia"/>
                <w:color w:val="000000" w:themeColor="text1"/>
                <w:szCs w:val="21"/>
              </w:rPr>
              <w:t>200,000</w:t>
            </w:r>
          </w:p>
        </w:tc>
        <w:tc>
          <w:tcPr>
            <w:tcW w:w="1646" w:type="dxa"/>
            <w:vAlign w:val="center"/>
          </w:tcPr>
          <w:p w14:paraId="2E8FD29E" w14:textId="77777777" w:rsidR="00F25156" w:rsidRDefault="00920FC0">
            <w:pPr>
              <w:jc w:val="right"/>
            </w:pPr>
            <w:r>
              <w:rPr>
                <w:rFonts w:eastAsiaTheme="minorEastAsia"/>
                <w:color w:val="000000" w:themeColor="text1"/>
                <w:szCs w:val="21"/>
              </w:rPr>
              <w:t>19,928,823.85</w:t>
            </w:r>
          </w:p>
        </w:tc>
        <w:tc>
          <w:tcPr>
            <w:tcW w:w="1612" w:type="dxa"/>
            <w:vAlign w:val="center"/>
          </w:tcPr>
          <w:p w14:paraId="5E8FBC1B" w14:textId="77777777" w:rsidR="00F25156" w:rsidRDefault="00920FC0">
            <w:pPr>
              <w:jc w:val="right"/>
            </w:pPr>
            <w:r>
              <w:rPr>
                <w:rFonts w:eastAsiaTheme="minorEastAsia"/>
                <w:color w:val="000000" w:themeColor="text1"/>
                <w:szCs w:val="21"/>
              </w:rPr>
              <w:t>6.94</w:t>
            </w:r>
          </w:p>
        </w:tc>
      </w:tr>
      <w:tr w:rsidR="00F25156" w14:paraId="09EB90C0" w14:textId="77777777">
        <w:tc>
          <w:tcPr>
            <w:tcW w:w="1252" w:type="dxa"/>
            <w:vAlign w:val="center"/>
          </w:tcPr>
          <w:p w14:paraId="162C399B" w14:textId="77777777" w:rsidR="00F25156" w:rsidRDefault="00920FC0">
            <w:pPr>
              <w:jc w:val="center"/>
            </w:pPr>
            <w:r>
              <w:rPr>
                <w:rFonts w:eastAsiaTheme="minorEastAsia"/>
                <w:color w:val="000000" w:themeColor="text1"/>
                <w:szCs w:val="21"/>
              </w:rPr>
              <w:t>5</w:t>
            </w:r>
          </w:p>
        </w:tc>
        <w:tc>
          <w:tcPr>
            <w:tcW w:w="1310" w:type="dxa"/>
            <w:vAlign w:val="center"/>
          </w:tcPr>
          <w:p w14:paraId="39AAA09D" w14:textId="77777777" w:rsidR="00F25156" w:rsidRDefault="00920FC0">
            <w:pPr>
              <w:jc w:val="center"/>
            </w:pPr>
            <w:r>
              <w:rPr>
                <w:rFonts w:eastAsiaTheme="minorEastAsia"/>
                <w:color w:val="000000" w:themeColor="text1"/>
                <w:szCs w:val="21"/>
              </w:rPr>
              <w:t>112402007</w:t>
            </w:r>
          </w:p>
        </w:tc>
        <w:tc>
          <w:tcPr>
            <w:tcW w:w="1282" w:type="dxa"/>
            <w:vAlign w:val="center"/>
          </w:tcPr>
          <w:p w14:paraId="61E06E71" w14:textId="77777777" w:rsidR="00F25156" w:rsidRDefault="00920FC0">
            <w:pPr>
              <w:jc w:val="center"/>
            </w:pPr>
            <w:r>
              <w:rPr>
                <w:rFonts w:eastAsiaTheme="minorEastAsia"/>
                <w:color w:val="000000" w:themeColor="text1"/>
                <w:szCs w:val="21"/>
              </w:rPr>
              <w:t>24</w:t>
            </w:r>
            <w:r>
              <w:rPr>
                <w:rFonts w:eastAsiaTheme="minorEastAsia"/>
                <w:color w:val="000000" w:themeColor="text1"/>
                <w:szCs w:val="21"/>
              </w:rPr>
              <w:t>工商银行</w:t>
            </w:r>
            <w:r>
              <w:rPr>
                <w:rFonts w:eastAsiaTheme="minorEastAsia"/>
                <w:color w:val="000000" w:themeColor="text1"/>
                <w:szCs w:val="21"/>
              </w:rPr>
              <w:t>CD007</w:t>
            </w:r>
          </w:p>
        </w:tc>
        <w:tc>
          <w:tcPr>
            <w:tcW w:w="1426" w:type="dxa"/>
            <w:vAlign w:val="center"/>
          </w:tcPr>
          <w:p w14:paraId="79F9C2DC" w14:textId="77777777" w:rsidR="00F25156" w:rsidRDefault="00920FC0">
            <w:pPr>
              <w:jc w:val="right"/>
            </w:pPr>
            <w:r>
              <w:rPr>
                <w:rFonts w:eastAsiaTheme="minorEastAsia"/>
                <w:color w:val="000000" w:themeColor="text1"/>
                <w:szCs w:val="21"/>
              </w:rPr>
              <w:t>200,000</w:t>
            </w:r>
          </w:p>
        </w:tc>
        <w:tc>
          <w:tcPr>
            <w:tcW w:w="1646" w:type="dxa"/>
            <w:vAlign w:val="center"/>
          </w:tcPr>
          <w:p w14:paraId="7DB55BA4" w14:textId="77777777" w:rsidR="00F25156" w:rsidRDefault="00920FC0">
            <w:pPr>
              <w:jc w:val="right"/>
            </w:pPr>
            <w:r>
              <w:rPr>
                <w:rFonts w:eastAsiaTheme="minorEastAsia"/>
                <w:color w:val="000000" w:themeColor="text1"/>
                <w:szCs w:val="21"/>
              </w:rPr>
              <w:t>19,891,761.75</w:t>
            </w:r>
          </w:p>
        </w:tc>
        <w:tc>
          <w:tcPr>
            <w:tcW w:w="1612" w:type="dxa"/>
            <w:vAlign w:val="center"/>
          </w:tcPr>
          <w:p w14:paraId="3189AE2C" w14:textId="77777777" w:rsidR="00F25156" w:rsidRDefault="00920FC0">
            <w:pPr>
              <w:jc w:val="right"/>
            </w:pPr>
            <w:r>
              <w:rPr>
                <w:rFonts w:eastAsiaTheme="minorEastAsia"/>
                <w:color w:val="000000" w:themeColor="text1"/>
                <w:szCs w:val="21"/>
              </w:rPr>
              <w:t>6.93</w:t>
            </w:r>
          </w:p>
        </w:tc>
      </w:tr>
    </w:tbl>
    <w:p w14:paraId="2D1CC328"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4377B238"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5.6</w:t>
      </w:r>
      <w:r w:rsidRPr="00473486">
        <w:rPr>
          <w:rFonts w:eastAsiaTheme="minorEastAsia"/>
          <w:b/>
          <w:color w:val="000000" w:themeColor="text1"/>
          <w:kern w:val="0"/>
          <w:sz w:val="24"/>
        </w:rPr>
        <w:t>报告期末按公允价值占基金资产净值比例大小排序的前十名资产支持证券投资明细</w:t>
      </w:r>
    </w:p>
    <w:p w14:paraId="61FCDC44"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本基金本报告期末未持有资产支持证券。</w:t>
      </w:r>
    </w:p>
    <w:p w14:paraId="3C9B194F"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2526C82A" w14:textId="77777777" w:rsidR="00881A82" w:rsidRPr="00473486" w:rsidRDefault="007D1E3A">
      <w:pPr>
        <w:autoSpaceDE w:val="0"/>
        <w:autoSpaceDN w:val="0"/>
        <w:adjustRightInd w:val="0"/>
        <w:spacing w:line="360" w:lineRule="auto"/>
        <w:jc w:val="left"/>
        <w:rPr>
          <w:rFonts w:eastAsiaTheme="minorEastAsia"/>
          <w:b/>
          <w:bCs/>
          <w:color w:val="000000" w:themeColor="text1"/>
          <w:kern w:val="0"/>
          <w:sz w:val="24"/>
        </w:rPr>
      </w:pPr>
      <w:r w:rsidRPr="00473486">
        <w:rPr>
          <w:rFonts w:eastAsiaTheme="minorEastAsia"/>
          <w:b/>
          <w:bCs/>
          <w:color w:val="000000" w:themeColor="text1"/>
          <w:kern w:val="0"/>
          <w:sz w:val="24"/>
        </w:rPr>
        <w:t xml:space="preserve">5.7 </w:t>
      </w:r>
      <w:r w:rsidRPr="00473486">
        <w:rPr>
          <w:rFonts w:eastAsiaTheme="minorEastAsia"/>
          <w:b/>
          <w:bCs/>
          <w:color w:val="000000" w:themeColor="text1"/>
          <w:kern w:val="0"/>
          <w:sz w:val="24"/>
        </w:rPr>
        <w:t>报告期末按公允价值占基金资产净值比例大小排序的前五名贵金属投资明细</w:t>
      </w:r>
    </w:p>
    <w:p w14:paraId="5BD9AC47" w14:textId="77777777" w:rsidR="00881A82" w:rsidRPr="00473486" w:rsidRDefault="007D1E3A">
      <w:pPr>
        <w:widowControl/>
        <w:spacing w:line="360" w:lineRule="auto"/>
        <w:jc w:val="left"/>
        <w:rPr>
          <w:color w:val="000000" w:themeColor="text1"/>
          <w:szCs w:val="21"/>
        </w:rPr>
      </w:pPr>
      <w:r w:rsidRPr="00473486">
        <w:rPr>
          <w:color w:val="000000" w:themeColor="text1"/>
          <w:szCs w:val="21"/>
        </w:rPr>
        <w:t>本基金本报告期末未持有贵金属。</w:t>
      </w:r>
    </w:p>
    <w:p w14:paraId="48B30266"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166FDE65"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5.8</w:t>
      </w:r>
      <w:r w:rsidRPr="00473486">
        <w:rPr>
          <w:rFonts w:eastAsiaTheme="minorEastAsia"/>
          <w:b/>
          <w:bCs/>
          <w:color w:val="000000" w:themeColor="text1"/>
          <w:sz w:val="24"/>
        </w:rPr>
        <w:t>报告期末按公允价值占基金资产净值比例大小排序的前五名权证投资明细</w:t>
      </w:r>
    </w:p>
    <w:p w14:paraId="5CB38C46"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本基金本报告期末未持有权证。</w:t>
      </w:r>
    </w:p>
    <w:p w14:paraId="6F19537C"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39A4B821" w14:textId="77777777" w:rsidR="00881A82" w:rsidRPr="00473486" w:rsidRDefault="007D1E3A">
      <w:pPr>
        <w:adjustRightInd w:val="0"/>
        <w:snapToGrid w:val="0"/>
        <w:spacing w:line="360" w:lineRule="auto"/>
        <w:rPr>
          <w:rFonts w:eastAsiaTheme="minorEastAsia"/>
          <w:b/>
          <w:color w:val="000000" w:themeColor="text1"/>
          <w:sz w:val="24"/>
        </w:rPr>
      </w:pPr>
      <w:r w:rsidRPr="00473486">
        <w:rPr>
          <w:rFonts w:eastAsiaTheme="minorEastAsia"/>
          <w:b/>
          <w:color w:val="000000" w:themeColor="text1"/>
          <w:sz w:val="24"/>
        </w:rPr>
        <w:lastRenderedPageBreak/>
        <w:t xml:space="preserve">5.9 </w:t>
      </w:r>
      <w:r w:rsidRPr="00473486">
        <w:rPr>
          <w:rFonts w:eastAsiaTheme="minorEastAsia"/>
          <w:b/>
          <w:color w:val="000000" w:themeColor="text1"/>
          <w:sz w:val="24"/>
        </w:rPr>
        <w:t>报告期末本基金投资的股指期货交易情况说明</w:t>
      </w:r>
    </w:p>
    <w:p w14:paraId="7F389C08"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本基金本报告期末未持有股指期货。</w:t>
      </w:r>
    </w:p>
    <w:p w14:paraId="39C6DB23" w14:textId="77777777" w:rsidR="00881A82" w:rsidRPr="00473486" w:rsidRDefault="00881A82">
      <w:pPr>
        <w:adjustRightInd w:val="0"/>
        <w:snapToGrid w:val="0"/>
        <w:spacing w:line="360" w:lineRule="exact"/>
        <w:rPr>
          <w:rFonts w:eastAsiaTheme="minorEastAsia"/>
          <w:color w:val="000000" w:themeColor="text1"/>
          <w:sz w:val="24"/>
        </w:rPr>
      </w:pPr>
    </w:p>
    <w:p w14:paraId="1CD1ADDA" w14:textId="77777777" w:rsidR="00881A82" w:rsidRPr="00473486" w:rsidRDefault="007D1E3A">
      <w:pPr>
        <w:adjustRightInd w:val="0"/>
        <w:snapToGrid w:val="0"/>
        <w:spacing w:line="360" w:lineRule="auto"/>
        <w:rPr>
          <w:rFonts w:eastAsiaTheme="minorEastAsia"/>
          <w:b/>
          <w:color w:val="000000" w:themeColor="text1"/>
          <w:sz w:val="24"/>
        </w:rPr>
      </w:pPr>
      <w:r w:rsidRPr="00473486">
        <w:rPr>
          <w:rFonts w:eastAsiaTheme="minorEastAsia"/>
          <w:b/>
          <w:color w:val="000000" w:themeColor="text1"/>
          <w:sz w:val="24"/>
        </w:rPr>
        <w:t>5.10</w:t>
      </w:r>
      <w:r w:rsidRPr="00473486">
        <w:rPr>
          <w:rFonts w:eastAsiaTheme="minorEastAsia"/>
          <w:b/>
          <w:color w:val="000000" w:themeColor="text1"/>
          <w:sz w:val="24"/>
        </w:rPr>
        <w:t>报告期末本基金投资的国债期货交易情况说明</w:t>
      </w:r>
    </w:p>
    <w:p w14:paraId="33073965"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本基金本报告期末未持有国债期货。</w:t>
      </w:r>
    </w:p>
    <w:p w14:paraId="3731B02F"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5.11</w:t>
      </w:r>
      <w:r w:rsidRPr="00473486">
        <w:rPr>
          <w:rFonts w:eastAsiaTheme="minorEastAsia"/>
          <w:b/>
          <w:color w:val="000000" w:themeColor="text1"/>
          <w:kern w:val="0"/>
          <w:sz w:val="24"/>
        </w:rPr>
        <w:t>投资组合报告附注</w:t>
      </w:r>
    </w:p>
    <w:p w14:paraId="0840C269"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5.11.1</w:t>
      </w:r>
      <w:r w:rsidRPr="00473486">
        <w:rPr>
          <w:rFonts w:eastAsiaTheme="minorEastAsia"/>
          <w:color w:val="000000" w:themeColor="text1"/>
          <w:szCs w:val="21"/>
        </w:rPr>
        <w:t>本基金投资的前十名证券的发行主体中，中国光大银行股份有限公司报告编制日前一年内曾受到国家金融监督管理总局的处罚，交通银行股份有限公司报告编制日前一年内曾受到国家金融监督管理总局的处罚，中国农业银行股份有限公司报告编制日前一年内曾受到国家外汇管理局北京市分局、国家金融监督管理总局的处罚，招商银行股份有限公司报告编制日前一年内曾受到国家金融监督管理总局、国家金融监督管理总局深圳监管局、国家外汇管理局深圳市分局的处罚，浙商银行股份有限公司报告编制日前一年内曾受到国家金融监督管理总局浙江监管局的处罚，中国建设银行股份有限公司报告编制日前一年内曾受到国家金融监督管理总局的处罚。</w:t>
      </w:r>
    </w:p>
    <w:p w14:paraId="376EE6A0" w14:textId="77777777" w:rsidR="00F25156" w:rsidRDefault="00920FC0">
      <w:pPr>
        <w:spacing w:line="360" w:lineRule="auto"/>
        <w:rPr>
          <w:rFonts w:eastAsiaTheme="minorEastAsia"/>
          <w:color w:val="000000" w:themeColor="text1"/>
          <w:szCs w:val="21"/>
        </w:rPr>
      </w:pPr>
      <w:r>
        <w:rPr>
          <w:rFonts w:eastAsiaTheme="minorEastAsia"/>
          <w:color w:val="000000" w:themeColor="text1"/>
          <w:szCs w:val="21"/>
        </w:rPr>
        <w:t>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4924F9C" w14:textId="77777777" w:rsidR="00881A82" w:rsidRPr="00473486" w:rsidRDefault="007D1E3A">
      <w:pPr>
        <w:spacing w:line="360" w:lineRule="auto"/>
        <w:rPr>
          <w:rFonts w:eastAsiaTheme="minorEastAsia"/>
          <w:color w:val="000000" w:themeColor="text1"/>
          <w:szCs w:val="21"/>
        </w:rPr>
      </w:pPr>
      <w:r w:rsidRPr="00473486">
        <w:rPr>
          <w:rFonts w:eastAsiaTheme="minorEastAsia"/>
          <w:color w:val="000000" w:themeColor="text1"/>
          <w:szCs w:val="21"/>
        </w:rPr>
        <w:t>5.11.2</w:t>
      </w:r>
      <w:r w:rsidRPr="00473486">
        <w:rPr>
          <w:rFonts w:eastAsiaTheme="minorEastAsia"/>
          <w:color w:val="000000" w:themeColor="text1"/>
          <w:szCs w:val="21"/>
        </w:rPr>
        <w:t>报告期内本基金投资的前十名股票中没有在基金合同规定备选股票库之外的股票。</w:t>
      </w:r>
    </w:p>
    <w:p w14:paraId="6C04D216"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5.11.3</w:t>
      </w:r>
      <w:r w:rsidRPr="00473486">
        <w:rPr>
          <w:rFonts w:eastAsiaTheme="minorEastAsia"/>
          <w:b/>
          <w:color w:val="000000" w:themeColor="text1"/>
          <w:kern w:val="0"/>
          <w:sz w:val="24"/>
        </w:rPr>
        <w:t>其他资产构成</w:t>
      </w:r>
    </w:p>
    <w:tbl>
      <w:tblPr>
        <w:tblStyle w:val="afa"/>
        <w:tblW w:w="8513" w:type="dxa"/>
        <w:tblInd w:w="15" w:type="dxa"/>
        <w:tblLayout w:type="fixed"/>
        <w:tblLook w:val="04A0" w:firstRow="1" w:lastRow="0" w:firstColumn="1" w:lastColumn="0" w:noHBand="0" w:noVBand="1"/>
      </w:tblPr>
      <w:tblGrid>
        <w:gridCol w:w="944"/>
        <w:gridCol w:w="2761"/>
        <w:gridCol w:w="4808"/>
      </w:tblGrid>
      <w:tr w:rsidR="00881A82" w:rsidRPr="00473486" w14:paraId="0BD60299" w14:textId="77777777">
        <w:trPr>
          <w:trHeight w:val="567"/>
        </w:trPr>
        <w:tc>
          <w:tcPr>
            <w:tcW w:w="944" w:type="dxa"/>
            <w:vAlign w:val="center"/>
          </w:tcPr>
          <w:p w14:paraId="0FFC7B99"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序号</w:t>
            </w:r>
          </w:p>
        </w:tc>
        <w:tc>
          <w:tcPr>
            <w:tcW w:w="2761" w:type="dxa"/>
            <w:vAlign w:val="center"/>
          </w:tcPr>
          <w:p w14:paraId="641E5BBF"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名称</w:t>
            </w:r>
          </w:p>
        </w:tc>
        <w:tc>
          <w:tcPr>
            <w:tcW w:w="4808" w:type="dxa"/>
            <w:vAlign w:val="center"/>
          </w:tcPr>
          <w:p w14:paraId="7BB28CF1" w14:textId="77777777" w:rsidR="00881A82" w:rsidRPr="00473486" w:rsidRDefault="007D1E3A">
            <w:pPr>
              <w:autoSpaceDE w:val="0"/>
              <w:autoSpaceDN w:val="0"/>
              <w:adjustRightInd w:val="0"/>
              <w:spacing w:before="29" w:line="360" w:lineRule="auto"/>
              <w:ind w:left="17"/>
              <w:jc w:val="center"/>
              <w:rPr>
                <w:rFonts w:eastAsiaTheme="minorEastAsia"/>
                <w:color w:val="000000" w:themeColor="text1"/>
                <w:kern w:val="0"/>
                <w:szCs w:val="21"/>
              </w:rPr>
            </w:pPr>
            <w:r w:rsidRPr="00473486">
              <w:rPr>
                <w:rFonts w:eastAsiaTheme="minorEastAsia"/>
                <w:color w:val="000000" w:themeColor="text1"/>
                <w:kern w:val="0"/>
                <w:szCs w:val="21"/>
              </w:rPr>
              <w:t>金额</w:t>
            </w:r>
            <w:r w:rsidRPr="00473486">
              <w:rPr>
                <w:rFonts w:eastAsiaTheme="minorEastAsia"/>
                <w:color w:val="000000" w:themeColor="text1"/>
                <w:kern w:val="0"/>
                <w:szCs w:val="21"/>
              </w:rPr>
              <w:t>(</w:t>
            </w:r>
            <w:r w:rsidRPr="00473486">
              <w:rPr>
                <w:rFonts w:eastAsiaTheme="minorEastAsia"/>
                <w:color w:val="000000" w:themeColor="text1"/>
                <w:kern w:val="0"/>
                <w:szCs w:val="21"/>
              </w:rPr>
              <w:t>元</w:t>
            </w:r>
            <w:r w:rsidRPr="00473486">
              <w:rPr>
                <w:rFonts w:eastAsiaTheme="minorEastAsia"/>
                <w:color w:val="000000" w:themeColor="text1"/>
                <w:kern w:val="0"/>
                <w:szCs w:val="21"/>
              </w:rPr>
              <w:t>)</w:t>
            </w:r>
          </w:p>
        </w:tc>
      </w:tr>
      <w:tr w:rsidR="00881A82" w:rsidRPr="00473486" w14:paraId="23917203" w14:textId="77777777">
        <w:trPr>
          <w:trHeight w:val="567"/>
        </w:trPr>
        <w:tc>
          <w:tcPr>
            <w:tcW w:w="944" w:type="dxa"/>
            <w:vAlign w:val="center"/>
          </w:tcPr>
          <w:p w14:paraId="2C2E639A"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kern w:val="0"/>
                <w:szCs w:val="21"/>
              </w:rPr>
            </w:pPr>
            <w:r w:rsidRPr="00473486">
              <w:rPr>
                <w:rFonts w:eastAsiaTheme="minorEastAsia"/>
                <w:color w:val="000000" w:themeColor="text1"/>
                <w:szCs w:val="21"/>
              </w:rPr>
              <w:t>1</w:t>
            </w:r>
          </w:p>
        </w:tc>
        <w:tc>
          <w:tcPr>
            <w:tcW w:w="2761" w:type="dxa"/>
            <w:vAlign w:val="center"/>
          </w:tcPr>
          <w:p w14:paraId="0AAFD162"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存出保证金</w:t>
            </w:r>
          </w:p>
        </w:tc>
        <w:tc>
          <w:tcPr>
            <w:tcW w:w="4808" w:type="dxa"/>
            <w:vAlign w:val="center"/>
          </w:tcPr>
          <w:p w14:paraId="16004631"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2,032.54</w:t>
            </w:r>
          </w:p>
        </w:tc>
      </w:tr>
      <w:tr w:rsidR="00881A82" w:rsidRPr="00473486" w14:paraId="235247DF" w14:textId="77777777">
        <w:trPr>
          <w:trHeight w:val="567"/>
        </w:trPr>
        <w:tc>
          <w:tcPr>
            <w:tcW w:w="944" w:type="dxa"/>
            <w:vAlign w:val="center"/>
          </w:tcPr>
          <w:p w14:paraId="1DCF9703"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2</w:t>
            </w:r>
          </w:p>
        </w:tc>
        <w:tc>
          <w:tcPr>
            <w:tcW w:w="2761" w:type="dxa"/>
            <w:vAlign w:val="center"/>
          </w:tcPr>
          <w:p w14:paraId="3FE1113A"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应收证券清算款</w:t>
            </w:r>
          </w:p>
        </w:tc>
        <w:tc>
          <w:tcPr>
            <w:tcW w:w="4808" w:type="dxa"/>
            <w:vAlign w:val="center"/>
          </w:tcPr>
          <w:p w14:paraId="385EAE52"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1257DFB1" w14:textId="77777777">
        <w:trPr>
          <w:trHeight w:val="567"/>
        </w:trPr>
        <w:tc>
          <w:tcPr>
            <w:tcW w:w="944" w:type="dxa"/>
            <w:vAlign w:val="center"/>
          </w:tcPr>
          <w:p w14:paraId="269C05D0"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3</w:t>
            </w:r>
          </w:p>
        </w:tc>
        <w:tc>
          <w:tcPr>
            <w:tcW w:w="2761" w:type="dxa"/>
            <w:vAlign w:val="center"/>
          </w:tcPr>
          <w:p w14:paraId="4A97C132"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应收股利</w:t>
            </w:r>
          </w:p>
        </w:tc>
        <w:tc>
          <w:tcPr>
            <w:tcW w:w="4808" w:type="dxa"/>
            <w:vAlign w:val="center"/>
          </w:tcPr>
          <w:p w14:paraId="3ADB83B1"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3A6D3CAB" w14:textId="77777777">
        <w:trPr>
          <w:trHeight w:val="567"/>
        </w:trPr>
        <w:tc>
          <w:tcPr>
            <w:tcW w:w="944" w:type="dxa"/>
            <w:vAlign w:val="center"/>
          </w:tcPr>
          <w:p w14:paraId="502D3A3A"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4</w:t>
            </w:r>
          </w:p>
        </w:tc>
        <w:tc>
          <w:tcPr>
            <w:tcW w:w="2761" w:type="dxa"/>
            <w:vAlign w:val="center"/>
          </w:tcPr>
          <w:p w14:paraId="721FB45C"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应收利息</w:t>
            </w:r>
          </w:p>
        </w:tc>
        <w:tc>
          <w:tcPr>
            <w:tcW w:w="4808" w:type="dxa"/>
            <w:vAlign w:val="center"/>
          </w:tcPr>
          <w:p w14:paraId="45571FD6"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347372B7" w14:textId="77777777">
        <w:trPr>
          <w:trHeight w:val="567"/>
        </w:trPr>
        <w:tc>
          <w:tcPr>
            <w:tcW w:w="944" w:type="dxa"/>
            <w:vAlign w:val="center"/>
          </w:tcPr>
          <w:p w14:paraId="0BBD437E"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5</w:t>
            </w:r>
          </w:p>
        </w:tc>
        <w:tc>
          <w:tcPr>
            <w:tcW w:w="2761" w:type="dxa"/>
            <w:vAlign w:val="center"/>
          </w:tcPr>
          <w:p w14:paraId="76D2E44E"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应收申购款</w:t>
            </w:r>
          </w:p>
        </w:tc>
        <w:tc>
          <w:tcPr>
            <w:tcW w:w="4808" w:type="dxa"/>
            <w:vAlign w:val="center"/>
          </w:tcPr>
          <w:p w14:paraId="138D72A2"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1,102,606.70</w:t>
            </w:r>
          </w:p>
        </w:tc>
      </w:tr>
      <w:tr w:rsidR="00881A82" w:rsidRPr="00473486" w14:paraId="6D088A1F" w14:textId="77777777">
        <w:trPr>
          <w:trHeight w:val="567"/>
        </w:trPr>
        <w:tc>
          <w:tcPr>
            <w:tcW w:w="944" w:type="dxa"/>
            <w:vAlign w:val="center"/>
          </w:tcPr>
          <w:p w14:paraId="4C04A35B"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6</w:t>
            </w:r>
          </w:p>
        </w:tc>
        <w:tc>
          <w:tcPr>
            <w:tcW w:w="2761" w:type="dxa"/>
            <w:vAlign w:val="center"/>
          </w:tcPr>
          <w:p w14:paraId="68FBC1D5"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其他应收款</w:t>
            </w:r>
          </w:p>
        </w:tc>
        <w:tc>
          <w:tcPr>
            <w:tcW w:w="4808" w:type="dxa"/>
            <w:vAlign w:val="center"/>
          </w:tcPr>
          <w:p w14:paraId="1D47F82D"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76B3CA29" w14:textId="77777777">
        <w:trPr>
          <w:trHeight w:val="567"/>
        </w:trPr>
        <w:tc>
          <w:tcPr>
            <w:tcW w:w="944" w:type="dxa"/>
          </w:tcPr>
          <w:p w14:paraId="7BA7B4CE"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7</w:t>
            </w:r>
          </w:p>
        </w:tc>
        <w:tc>
          <w:tcPr>
            <w:tcW w:w="2761" w:type="dxa"/>
          </w:tcPr>
          <w:p w14:paraId="6BD03241"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待摊费用</w:t>
            </w:r>
          </w:p>
        </w:tc>
        <w:tc>
          <w:tcPr>
            <w:tcW w:w="4808" w:type="dxa"/>
            <w:vAlign w:val="center"/>
          </w:tcPr>
          <w:p w14:paraId="2D24C55A"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2F3F7FD5" w14:textId="77777777">
        <w:trPr>
          <w:trHeight w:val="567"/>
        </w:trPr>
        <w:tc>
          <w:tcPr>
            <w:tcW w:w="944" w:type="dxa"/>
            <w:vAlign w:val="center"/>
          </w:tcPr>
          <w:p w14:paraId="6A5F7723"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lastRenderedPageBreak/>
              <w:t>8</w:t>
            </w:r>
          </w:p>
        </w:tc>
        <w:tc>
          <w:tcPr>
            <w:tcW w:w="2761" w:type="dxa"/>
            <w:vAlign w:val="center"/>
          </w:tcPr>
          <w:p w14:paraId="6B6A5773"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其他</w:t>
            </w:r>
          </w:p>
        </w:tc>
        <w:tc>
          <w:tcPr>
            <w:tcW w:w="4808" w:type="dxa"/>
            <w:vAlign w:val="center"/>
          </w:tcPr>
          <w:p w14:paraId="69A9B988"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w:t>
            </w:r>
          </w:p>
        </w:tc>
      </w:tr>
      <w:tr w:rsidR="00881A82" w:rsidRPr="00473486" w14:paraId="2B5747E2" w14:textId="77777777">
        <w:trPr>
          <w:trHeight w:val="567"/>
        </w:trPr>
        <w:tc>
          <w:tcPr>
            <w:tcW w:w="944" w:type="dxa"/>
            <w:vAlign w:val="center"/>
          </w:tcPr>
          <w:p w14:paraId="3217D7A9" w14:textId="77777777" w:rsidR="00881A82" w:rsidRPr="00473486" w:rsidRDefault="007D1E3A">
            <w:pPr>
              <w:autoSpaceDE w:val="0"/>
              <w:autoSpaceDN w:val="0"/>
              <w:adjustRightInd w:val="0"/>
              <w:spacing w:before="29" w:line="360" w:lineRule="auto"/>
              <w:ind w:left="15"/>
              <w:jc w:val="center"/>
              <w:rPr>
                <w:rFonts w:eastAsiaTheme="minorEastAsia"/>
                <w:color w:val="000000" w:themeColor="text1"/>
                <w:szCs w:val="21"/>
              </w:rPr>
            </w:pPr>
            <w:r w:rsidRPr="00473486">
              <w:rPr>
                <w:rFonts w:eastAsiaTheme="minorEastAsia"/>
                <w:color w:val="000000" w:themeColor="text1"/>
                <w:szCs w:val="21"/>
              </w:rPr>
              <w:t>9</w:t>
            </w:r>
          </w:p>
        </w:tc>
        <w:tc>
          <w:tcPr>
            <w:tcW w:w="2761" w:type="dxa"/>
            <w:vAlign w:val="center"/>
          </w:tcPr>
          <w:p w14:paraId="57B93A98" w14:textId="77777777" w:rsidR="00881A82" w:rsidRPr="00473486" w:rsidRDefault="007D1E3A">
            <w:pPr>
              <w:autoSpaceDE w:val="0"/>
              <w:autoSpaceDN w:val="0"/>
              <w:adjustRightInd w:val="0"/>
              <w:spacing w:before="29" w:line="360" w:lineRule="auto"/>
              <w:ind w:left="15"/>
              <w:jc w:val="left"/>
              <w:rPr>
                <w:rFonts w:eastAsiaTheme="minorEastAsia"/>
                <w:color w:val="000000" w:themeColor="text1"/>
                <w:kern w:val="0"/>
                <w:szCs w:val="21"/>
              </w:rPr>
            </w:pPr>
            <w:r w:rsidRPr="00473486">
              <w:rPr>
                <w:rFonts w:eastAsiaTheme="minorEastAsia"/>
                <w:color w:val="000000" w:themeColor="text1"/>
                <w:kern w:val="0"/>
                <w:szCs w:val="21"/>
              </w:rPr>
              <w:t>合计</w:t>
            </w:r>
          </w:p>
        </w:tc>
        <w:tc>
          <w:tcPr>
            <w:tcW w:w="4808" w:type="dxa"/>
            <w:vAlign w:val="center"/>
          </w:tcPr>
          <w:p w14:paraId="7809CF01"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1,104,639.24</w:t>
            </w:r>
          </w:p>
        </w:tc>
      </w:tr>
    </w:tbl>
    <w:p w14:paraId="4E6D7FF1" w14:textId="77777777" w:rsidR="00881A82" w:rsidRPr="00473486" w:rsidRDefault="007D1E3A">
      <w:pPr>
        <w:autoSpaceDE w:val="0"/>
        <w:autoSpaceDN w:val="0"/>
        <w:adjustRightInd w:val="0"/>
        <w:spacing w:line="360" w:lineRule="auto"/>
        <w:jc w:val="left"/>
        <w:rPr>
          <w:rFonts w:eastAsiaTheme="minorEastAsia"/>
          <w:b/>
          <w:color w:val="000000" w:themeColor="text1"/>
          <w:kern w:val="0"/>
          <w:sz w:val="24"/>
        </w:rPr>
      </w:pPr>
      <w:r w:rsidRPr="00473486">
        <w:rPr>
          <w:rFonts w:eastAsiaTheme="minorEastAsia"/>
          <w:b/>
          <w:color w:val="000000" w:themeColor="text1"/>
          <w:kern w:val="0"/>
          <w:sz w:val="24"/>
        </w:rPr>
        <w:t>5.11.4</w:t>
      </w:r>
      <w:r w:rsidRPr="00473486">
        <w:rPr>
          <w:rFonts w:eastAsiaTheme="minorEastAsia"/>
          <w:b/>
          <w:color w:val="000000" w:themeColor="text1"/>
          <w:kern w:val="0"/>
          <w:sz w:val="24"/>
        </w:rPr>
        <w:t>报告期末持有的处于转股期的可转换债券明细</w:t>
      </w:r>
    </w:p>
    <w:p w14:paraId="59D22E65"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本基金本报告期末未持有处于转股期的可转换债券。</w:t>
      </w:r>
    </w:p>
    <w:p w14:paraId="6F4ABD78" w14:textId="77777777" w:rsidR="00881A82" w:rsidRPr="00473486" w:rsidRDefault="007D1E3A">
      <w:pPr>
        <w:spacing w:line="360" w:lineRule="auto"/>
        <w:rPr>
          <w:rFonts w:eastAsiaTheme="minorEastAsia"/>
          <w:b/>
          <w:color w:val="000000" w:themeColor="text1"/>
          <w:kern w:val="0"/>
          <w:sz w:val="24"/>
        </w:rPr>
      </w:pPr>
      <w:r w:rsidRPr="00473486">
        <w:rPr>
          <w:rFonts w:eastAsiaTheme="minorEastAsia"/>
          <w:b/>
          <w:color w:val="000000" w:themeColor="text1"/>
          <w:kern w:val="0"/>
          <w:sz w:val="24"/>
        </w:rPr>
        <w:t>5.11.5</w:t>
      </w:r>
      <w:r w:rsidRPr="00473486">
        <w:rPr>
          <w:rFonts w:eastAsiaTheme="minorEastAsia"/>
          <w:b/>
          <w:color w:val="000000" w:themeColor="text1"/>
          <w:sz w:val="24"/>
        </w:rPr>
        <w:t>报告期末前十名股票中存在流通受限情况的说明</w:t>
      </w:r>
    </w:p>
    <w:p w14:paraId="21538A33" w14:textId="77777777" w:rsidR="00881A82" w:rsidRPr="00473486" w:rsidRDefault="007D1E3A">
      <w:pPr>
        <w:spacing w:line="360" w:lineRule="auto"/>
        <w:rPr>
          <w:rFonts w:eastAsiaTheme="minorEastAsia"/>
          <w:b/>
          <w:color w:val="000000" w:themeColor="text1"/>
          <w:kern w:val="0"/>
          <w:sz w:val="24"/>
        </w:rPr>
      </w:pPr>
      <w:r w:rsidRPr="00473486">
        <w:rPr>
          <w:rFonts w:eastAsiaTheme="minorEastAsia"/>
          <w:b/>
          <w:color w:val="000000" w:themeColor="text1"/>
          <w:kern w:val="0"/>
          <w:sz w:val="24"/>
        </w:rPr>
        <w:t>5.11.5.1</w:t>
      </w:r>
      <w:r w:rsidRPr="00473486">
        <w:rPr>
          <w:rFonts w:eastAsiaTheme="minorEastAsia"/>
          <w:b/>
          <w:color w:val="000000" w:themeColor="text1"/>
          <w:sz w:val="24"/>
        </w:rPr>
        <w:t>期末指数投资前十名股票中存在流通受限情况的说明</w:t>
      </w:r>
    </w:p>
    <w:p w14:paraId="1CE985B2"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本基金本报告期末前十名股票中不存在流通受限情况。</w:t>
      </w:r>
    </w:p>
    <w:p w14:paraId="45BAB5DC"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kern w:val="0"/>
          <w:sz w:val="24"/>
        </w:rPr>
        <w:t>5.11.5.2</w:t>
      </w:r>
      <w:r w:rsidRPr="00473486">
        <w:rPr>
          <w:rFonts w:eastAsiaTheme="minorEastAsia"/>
          <w:b/>
          <w:color w:val="000000" w:themeColor="text1"/>
          <w:sz w:val="24"/>
        </w:rPr>
        <w:t>期末积极投资前五名股票中存在流通受限情况的说明</w:t>
      </w:r>
    </w:p>
    <w:p w14:paraId="26DF9B9B"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本基金本报告期末前五名积极投资中不存在流通受限情况。</w:t>
      </w:r>
    </w:p>
    <w:p w14:paraId="6B614540" w14:textId="77777777" w:rsidR="00881A82" w:rsidRPr="00473486" w:rsidRDefault="00881A82">
      <w:pPr>
        <w:spacing w:line="360" w:lineRule="auto"/>
        <w:rPr>
          <w:rFonts w:eastAsiaTheme="minorEastAsia"/>
          <w:bCs/>
          <w:color w:val="000000" w:themeColor="text1"/>
          <w:szCs w:val="21"/>
        </w:rPr>
      </w:pPr>
    </w:p>
    <w:p w14:paraId="0DAA8E15"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5.11.</w:t>
      </w:r>
      <w:r w:rsidRPr="00473486">
        <w:rPr>
          <w:rFonts w:eastAsiaTheme="minorEastAsia"/>
          <w:b/>
          <w:bCs/>
          <w:color w:val="000000" w:themeColor="text1"/>
          <w:sz w:val="24"/>
        </w:rPr>
        <w:t>6</w:t>
      </w:r>
      <w:r w:rsidRPr="00473486">
        <w:rPr>
          <w:rFonts w:eastAsiaTheme="minorEastAsia"/>
          <w:b/>
          <w:bCs/>
          <w:color w:val="000000" w:themeColor="text1"/>
          <w:kern w:val="0"/>
          <w:sz w:val="24"/>
        </w:rPr>
        <w:t>投资组合报告附注的其他文字描述部分</w:t>
      </w:r>
    </w:p>
    <w:p w14:paraId="63196969"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因四舍五入原因，投资组合报告中分项之和与合计可能存在尾差。</w:t>
      </w:r>
    </w:p>
    <w:p w14:paraId="60EDBA4F" w14:textId="77777777" w:rsidR="00881A82" w:rsidRPr="00473486" w:rsidRDefault="00881A82">
      <w:pPr>
        <w:spacing w:line="360" w:lineRule="auto"/>
        <w:ind w:firstLineChars="200" w:firstLine="420"/>
        <w:rPr>
          <w:rFonts w:eastAsiaTheme="minorEastAsia"/>
          <w:color w:val="000000" w:themeColor="text1"/>
          <w:szCs w:val="21"/>
        </w:rPr>
      </w:pPr>
    </w:p>
    <w:p w14:paraId="1B114863"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t xml:space="preserve">§6  </w:t>
      </w:r>
      <w:r w:rsidRPr="00473486">
        <w:rPr>
          <w:rFonts w:eastAsiaTheme="minorEastAsia"/>
          <w:color w:val="000000" w:themeColor="text1"/>
          <w:kern w:val="0"/>
          <w:sz w:val="24"/>
          <w:szCs w:val="24"/>
        </w:rPr>
        <w:t>开放式基金份额变动</w:t>
      </w:r>
    </w:p>
    <w:p w14:paraId="0112AFB9" w14:textId="77777777" w:rsidR="00881A82" w:rsidRPr="00473486" w:rsidRDefault="007D1E3A">
      <w:pPr>
        <w:autoSpaceDE w:val="0"/>
        <w:autoSpaceDN w:val="0"/>
        <w:adjustRightInd w:val="0"/>
        <w:spacing w:before="29" w:line="360" w:lineRule="auto"/>
        <w:ind w:left="15"/>
        <w:jc w:val="right"/>
        <w:rPr>
          <w:rFonts w:eastAsiaTheme="minorEastAsia"/>
          <w:color w:val="000000" w:themeColor="text1"/>
          <w:kern w:val="0"/>
          <w:szCs w:val="21"/>
        </w:rPr>
      </w:pPr>
      <w:r w:rsidRPr="00473486">
        <w:rPr>
          <w:rFonts w:eastAsiaTheme="minorEastAsia"/>
          <w:color w:val="000000" w:themeColor="text1"/>
          <w:kern w:val="0"/>
          <w:szCs w:val="21"/>
        </w:rPr>
        <w:t>单位：份</w:t>
      </w:r>
    </w:p>
    <w:tbl>
      <w:tblPr>
        <w:tblW w:w="8634" w:type="dxa"/>
        <w:tblInd w:w="-106" w:type="dxa"/>
        <w:tblLayout w:type="fixed"/>
        <w:tblLook w:val="04A0" w:firstRow="1" w:lastRow="0" w:firstColumn="1" w:lastColumn="0" w:noHBand="0" w:noVBand="1"/>
      </w:tblPr>
      <w:tblGrid>
        <w:gridCol w:w="4609"/>
        <w:gridCol w:w="4025"/>
      </w:tblGrid>
      <w:tr w:rsidR="00881A82" w:rsidRPr="00473486" w14:paraId="3672D19C"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44EBF0B2"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2A7DC81D"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474,869,898.98</w:t>
            </w:r>
          </w:p>
        </w:tc>
      </w:tr>
      <w:tr w:rsidR="00881A82" w:rsidRPr="00473486" w14:paraId="1C45D7C1"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6DE015AD"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报告期期间基金总申购份额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48AC7D0B"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74,028,791.15</w:t>
            </w:r>
          </w:p>
        </w:tc>
      </w:tr>
      <w:tr w:rsidR="00881A82" w:rsidRPr="00473486" w14:paraId="01DC898E"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3E72C8E7"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减：报告期期间基金总赎回份额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54920BD3"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266,327,818.69</w:t>
            </w:r>
          </w:p>
        </w:tc>
      </w:tr>
      <w:tr w:rsidR="00881A82" w:rsidRPr="00473486" w14:paraId="1C8798ED"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0495AF48"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报告期期间基金拆分变动份额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7D721474"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w:t>
            </w:r>
          </w:p>
        </w:tc>
      </w:tr>
      <w:tr w:rsidR="00881A82" w:rsidRPr="00473486" w14:paraId="2DBD0912" w14:textId="77777777">
        <w:tc>
          <w:tcPr>
            <w:tcW w:w="4609" w:type="dxa"/>
            <w:tcBorders>
              <w:top w:val="single" w:sz="8" w:space="0" w:color="000000"/>
              <w:left w:val="single" w:sz="8" w:space="0" w:color="000000"/>
              <w:bottom w:val="single" w:sz="8" w:space="0" w:color="000000"/>
              <w:right w:val="single" w:sz="8" w:space="0" w:color="000000"/>
            </w:tcBorders>
            <w:vAlign w:val="center"/>
          </w:tcPr>
          <w:p w14:paraId="19026AEE" w14:textId="77777777" w:rsidR="00881A82" w:rsidRPr="00473486" w:rsidRDefault="007D1E3A">
            <w:pPr>
              <w:autoSpaceDE w:val="0"/>
              <w:autoSpaceDN w:val="0"/>
              <w:adjustRightInd w:val="0"/>
              <w:spacing w:before="29" w:line="360" w:lineRule="auto"/>
              <w:ind w:left="17"/>
              <w:rPr>
                <w:rFonts w:eastAsiaTheme="minorEastAsia"/>
                <w:color w:val="000000" w:themeColor="text1"/>
                <w:kern w:val="0"/>
                <w:szCs w:val="21"/>
              </w:rPr>
            </w:pPr>
            <w:r w:rsidRPr="00473486">
              <w:rPr>
                <w:rFonts w:eastAsiaTheme="minorEastAsia"/>
                <w:color w:val="000000" w:themeColor="text1"/>
                <w:kern w:val="0"/>
                <w:szCs w:val="21"/>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14:paraId="0CCCF419" w14:textId="77777777" w:rsidR="00881A82" w:rsidRPr="00473486" w:rsidRDefault="007D1E3A">
            <w:pPr>
              <w:autoSpaceDE w:val="0"/>
              <w:autoSpaceDN w:val="0"/>
              <w:adjustRightInd w:val="0"/>
              <w:spacing w:before="29" w:line="360" w:lineRule="auto"/>
              <w:ind w:left="17"/>
              <w:jc w:val="right"/>
              <w:rPr>
                <w:rFonts w:eastAsiaTheme="minorEastAsia"/>
                <w:color w:val="000000" w:themeColor="text1"/>
                <w:szCs w:val="21"/>
              </w:rPr>
            </w:pPr>
            <w:r w:rsidRPr="00473486">
              <w:rPr>
                <w:rFonts w:eastAsiaTheme="minorEastAsia"/>
                <w:color w:val="000000" w:themeColor="text1"/>
                <w:szCs w:val="21"/>
              </w:rPr>
              <w:t>282,570,871.44</w:t>
            </w:r>
          </w:p>
        </w:tc>
      </w:tr>
    </w:tbl>
    <w:p w14:paraId="4811D4E6" w14:textId="77777777" w:rsidR="00881A82" w:rsidRPr="00473486" w:rsidRDefault="007D1E3A">
      <w:pPr>
        <w:pStyle w:val="1"/>
        <w:tabs>
          <w:tab w:val="center" w:pos="4156"/>
          <w:tab w:val="right" w:pos="8312"/>
        </w:tabs>
        <w:spacing w:beforeLines="100" w:before="312" w:afterLines="100" w:after="312" w:line="360" w:lineRule="auto"/>
        <w:jc w:val="center"/>
        <w:rPr>
          <w:color w:val="000000" w:themeColor="text1"/>
          <w:sz w:val="24"/>
          <w:szCs w:val="24"/>
        </w:rPr>
      </w:pPr>
      <w:r w:rsidRPr="00473486">
        <w:rPr>
          <w:rFonts w:eastAsiaTheme="minorEastAsia"/>
          <w:color w:val="000000" w:themeColor="text1"/>
          <w:kern w:val="0"/>
          <w:sz w:val="24"/>
          <w:szCs w:val="24"/>
        </w:rPr>
        <w:t xml:space="preserve">§7  </w:t>
      </w:r>
      <w:r w:rsidRPr="00473486">
        <w:rPr>
          <w:color w:val="000000" w:themeColor="text1"/>
          <w:sz w:val="24"/>
          <w:szCs w:val="24"/>
        </w:rPr>
        <w:t>基金管理人运用固有资金投资本基金情况</w:t>
      </w:r>
    </w:p>
    <w:p w14:paraId="6F2161D4" w14:textId="77777777" w:rsidR="00881A82" w:rsidRPr="00473486" w:rsidRDefault="007D1E3A">
      <w:pPr>
        <w:spacing w:line="360" w:lineRule="auto"/>
        <w:jc w:val="left"/>
        <w:rPr>
          <w:color w:val="000000" w:themeColor="text1"/>
          <w:sz w:val="24"/>
        </w:rPr>
      </w:pPr>
      <w:r w:rsidRPr="00473486">
        <w:rPr>
          <w:b/>
          <w:color w:val="000000" w:themeColor="text1"/>
          <w:sz w:val="24"/>
        </w:rPr>
        <w:t xml:space="preserve">7.1 </w:t>
      </w:r>
      <w:r w:rsidRPr="00473486">
        <w:rPr>
          <w:b/>
          <w:color w:val="000000" w:themeColor="text1"/>
          <w:sz w:val="24"/>
        </w:rPr>
        <w:t>基金管理人持有本基金份额变动情况</w:t>
      </w:r>
    </w:p>
    <w:p w14:paraId="6EB2FFE5"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无。</w:t>
      </w:r>
    </w:p>
    <w:p w14:paraId="640FD406" w14:textId="77777777" w:rsidR="00881A82" w:rsidRPr="00473486" w:rsidRDefault="00881A82">
      <w:pPr>
        <w:autoSpaceDE w:val="0"/>
        <w:autoSpaceDN w:val="0"/>
        <w:adjustRightInd w:val="0"/>
        <w:spacing w:line="360" w:lineRule="auto"/>
        <w:jc w:val="left"/>
        <w:rPr>
          <w:rFonts w:eastAsiaTheme="minorEastAsia"/>
          <w:color w:val="000000" w:themeColor="text1"/>
          <w:kern w:val="0"/>
          <w:sz w:val="24"/>
        </w:rPr>
      </w:pPr>
    </w:p>
    <w:p w14:paraId="4E45D04E" w14:textId="77777777" w:rsidR="00881A82" w:rsidRPr="00473486" w:rsidRDefault="007D1E3A">
      <w:pPr>
        <w:spacing w:line="360" w:lineRule="auto"/>
        <w:jc w:val="left"/>
        <w:rPr>
          <w:color w:val="000000" w:themeColor="text1"/>
          <w:sz w:val="24"/>
        </w:rPr>
      </w:pPr>
      <w:r w:rsidRPr="00473486">
        <w:rPr>
          <w:b/>
          <w:color w:val="000000" w:themeColor="text1"/>
          <w:sz w:val="24"/>
        </w:rPr>
        <w:t xml:space="preserve">7.2 </w:t>
      </w:r>
      <w:r w:rsidRPr="00473486">
        <w:rPr>
          <w:b/>
          <w:color w:val="000000" w:themeColor="text1"/>
          <w:sz w:val="24"/>
        </w:rPr>
        <w:t>基金管理人运用固有资金投资本基金交易明细</w:t>
      </w:r>
    </w:p>
    <w:p w14:paraId="67553047" w14:textId="77777777" w:rsidR="00881A82" w:rsidRPr="00473486" w:rsidRDefault="007D1E3A">
      <w:pPr>
        <w:autoSpaceDE w:val="0"/>
        <w:autoSpaceDN w:val="0"/>
        <w:adjustRightInd w:val="0"/>
        <w:spacing w:line="360" w:lineRule="auto"/>
        <w:jc w:val="left"/>
        <w:rPr>
          <w:rFonts w:eastAsiaTheme="minorEastAsia"/>
          <w:color w:val="000000" w:themeColor="text1"/>
          <w:szCs w:val="21"/>
        </w:rPr>
      </w:pPr>
      <w:r w:rsidRPr="00473486">
        <w:rPr>
          <w:rFonts w:eastAsiaTheme="minorEastAsia"/>
          <w:color w:val="000000" w:themeColor="text1"/>
          <w:szCs w:val="21"/>
        </w:rPr>
        <w:t>无。</w:t>
      </w:r>
    </w:p>
    <w:p w14:paraId="4A29FBDE" w14:textId="77777777" w:rsidR="00881A82" w:rsidRPr="00473486" w:rsidRDefault="007D1E3A">
      <w:pPr>
        <w:pStyle w:val="1"/>
        <w:spacing w:beforeLines="100" w:before="312" w:afterLines="100" w:after="312" w:line="360" w:lineRule="auto"/>
        <w:jc w:val="center"/>
        <w:rPr>
          <w:rFonts w:eastAsiaTheme="minorEastAsia"/>
          <w:color w:val="000000" w:themeColor="text1"/>
          <w:kern w:val="0"/>
          <w:sz w:val="24"/>
          <w:szCs w:val="24"/>
        </w:rPr>
      </w:pPr>
      <w:r w:rsidRPr="00473486">
        <w:rPr>
          <w:rFonts w:eastAsiaTheme="minorEastAsia"/>
          <w:color w:val="000000" w:themeColor="text1"/>
          <w:kern w:val="0"/>
          <w:sz w:val="24"/>
          <w:szCs w:val="24"/>
        </w:rPr>
        <w:lastRenderedPageBreak/>
        <w:t>§8</w:t>
      </w:r>
      <w:r w:rsidRPr="00473486">
        <w:rPr>
          <w:rFonts w:eastAsiaTheme="minorEastAsia"/>
          <w:color w:val="000000" w:themeColor="text1"/>
          <w:kern w:val="0"/>
          <w:sz w:val="24"/>
          <w:szCs w:val="24"/>
        </w:rPr>
        <w:t>备查文件目录</w:t>
      </w:r>
    </w:p>
    <w:p w14:paraId="47B058F4"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 xml:space="preserve">8.1 </w:t>
      </w:r>
      <w:r w:rsidRPr="00473486">
        <w:rPr>
          <w:rFonts w:eastAsiaTheme="minorEastAsia"/>
          <w:b/>
          <w:color w:val="000000" w:themeColor="text1"/>
          <w:sz w:val="24"/>
        </w:rPr>
        <w:t>备查文件目录</w:t>
      </w:r>
    </w:p>
    <w:p w14:paraId="5351524B"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一</w:t>
      </w:r>
      <w:r>
        <w:rPr>
          <w:rFonts w:eastAsiaTheme="minorEastAsia"/>
          <w:color w:val="000000" w:themeColor="text1"/>
          <w:szCs w:val="21"/>
        </w:rPr>
        <w:t>)</w:t>
      </w:r>
      <w:r>
        <w:rPr>
          <w:rFonts w:eastAsiaTheme="minorEastAsia"/>
          <w:color w:val="000000" w:themeColor="text1"/>
          <w:szCs w:val="21"/>
        </w:rPr>
        <w:t>中国证监会准予摩根中证同业存单</w:t>
      </w:r>
      <w:r>
        <w:rPr>
          <w:rFonts w:eastAsiaTheme="minorEastAsia"/>
          <w:color w:val="000000" w:themeColor="text1"/>
          <w:szCs w:val="21"/>
        </w:rPr>
        <w:t>AAA</w:t>
      </w:r>
      <w:r>
        <w:rPr>
          <w:rFonts w:eastAsiaTheme="minorEastAsia"/>
          <w:color w:val="000000" w:themeColor="text1"/>
          <w:szCs w:val="21"/>
        </w:rPr>
        <w:t>指数</w:t>
      </w:r>
      <w:r>
        <w:rPr>
          <w:rFonts w:eastAsiaTheme="minorEastAsia"/>
          <w:color w:val="000000" w:themeColor="text1"/>
          <w:szCs w:val="21"/>
        </w:rPr>
        <w:t>7</w:t>
      </w:r>
      <w:r>
        <w:rPr>
          <w:rFonts w:eastAsiaTheme="minorEastAsia"/>
          <w:color w:val="000000" w:themeColor="text1"/>
          <w:szCs w:val="21"/>
        </w:rPr>
        <w:t>天持有期证券投资基金募集注册的文件</w:t>
      </w:r>
    </w:p>
    <w:p w14:paraId="71CEF649"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二</w:t>
      </w:r>
      <w:r>
        <w:rPr>
          <w:rFonts w:eastAsiaTheme="minorEastAsia"/>
          <w:color w:val="000000" w:themeColor="text1"/>
          <w:szCs w:val="21"/>
        </w:rPr>
        <w:t>)</w:t>
      </w:r>
      <w:r>
        <w:rPr>
          <w:rFonts w:eastAsiaTheme="minorEastAsia"/>
          <w:color w:val="000000" w:themeColor="text1"/>
          <w:szCs w:val="21"/>
        </w:rPr>
        <w:t>摩根中证同业存单</w:t>
      </w:r>
      <w:r>
        <w:rPr>
          <w:rFonts w:eastAsiaTheme="minorEastAsia"/>
          <w:color w:val="000000" w:themeColor="text1"/>
          <w:szCs w:val="21"/>
        </w:rPr>
        <w:t>AAA</w:t>
      </w:r>
      <w:r>
        <w:rPr>
          <w:rFonts w:eastAsiaTheme="minorEastAsia"/>
          <w:color w:val="000000" w:themeColor="text1"/>
          <w:szCs w:val="21"/>
        </w:rPr>
        <w:t>指数</w:t>
      </w:r>
      <w:r>
        <w:rPr>
          <w:rFonts w:eastAsiaTheme="minorEastAsia"/>
          <w:color w:val="000000" w:themeColor="text1"/>
          <w:szCs w:val="21"/>
        </w:rPr>
        <w:t>7</w:t>
      </w:r>
      <w:r>
        <w:rPr>
          <w:rFonts w:eastAsiaTheme="minorEastAsia"/>
          <w:color w:val="000000" w:themeColor="text1"/>
          <w:szCs w:val="21"/>
        </w:rPr>
        <w:t>天持有期证券投资基金基金合同</w:t>
      </w:r>
    </w:p>
    <w:p w14:paraId="2BCB5611"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三</w:t>
      </w:r>
      <w:r>
        <w:rPr>
          <w:rFonts w:eastAsiaTheme="minorEastAsia"/>
          <w:color w:val="000000" w:themeColor="text1"/>
          <w:szCs w:val="21"/>
        </w:rPr>
        <w:t>)</w:t>
      </w:r>
      <w:r>
        <w:rPr>
          <w:rFonts w:eastAsiaTheme="minorEastAsia"/>
          <w:color w:val="000000" w:themeColor="text1"/>
          <w:szCs w:val="21"/>
        </w:rPr>
        <w:t>摩根中证同业存单</w:t>
      </w:r>
      <w:r>
        <w:rPr>
          <w:rFonts w:eastAsiaTheme="minorEastAsia"/>
          <w:color w:val="000000" w:themeColor="text1"/>
          <w:szCs w:val="21"/>
        </w:rPr>
        <w:t>AAA</w:t>
      </w:r>
      <w:r>
        <w:rPr>
          <w:rFonts w:eastAsiaTheme="minorEastAsia"/>
          <w:color w:val="000000" w:themeColor="text1"/>
          <w:szCs w:val="21"/>
        </w:rPr>
        <w:t>指数</w:t>
      </w:r>
      <w:r>
        <w:rPr>
          <w:rFonts w:eastAsiaTheme="minorEastAsia"/>
          <w:color w:val="000000" w:themeColor="text1"/>
          <w:szCs w:val="21"/>
        </w:rPr>
        <w:t>7</w:t>
      </w:r>
      <w:r>
        <w:rPr>
          <w:rFonts w:eastAsiaTheme="minorEastAsia"/>
          <w:color w:val="000000" w:themeColor="text1"/>
          <w:szCs w:val="21"/>
        </w:rPr>
        <w:t>天持有期证券投资基金托管协议</w:t>
      </w:r>
    </w:p>
    <w:p w14:paraId="32B19448"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四</w:t>
      </w:r>
      <w:r>
        <w:rPr>
          <w:rFonts w:eastAsiaTheme="minorEastAsia"/>
          <w:color w:val="000000" w:themeColor="text1"/>
          <w:szCs w:val="21"/>
        </w:rPr>
        <w:t>)</w:t>
      </w:r>
      <w:r>
        <w:rPr>
          <w:rFonts w:eastAsiaTheme="minorEastAsia"/>
          <w:color w:val="000000" w:themeColor="text1"/>
          <w:szCs w:val="21"/>
        </w:rPr>
        <w:t>法律意见书</w:t>
      </w:r>
    </w:p>
    <w:p w14:paraId="61925A48"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五</w:t>
      </w:r>
      <w:r>
        <w:rPr>
          <w:rFonts w:eastAsiaTheme="minorEastAsia"/>
          <w:color w:val="000000" w:themeColor="text1"/>
          <w:szCs w:val="21"/>
        </w:rPr>
        <w:t>)</w:t>
      </w:r>
      <w:r>
        <w:rPr>
          <w:rFonts w:eastAsiaTheme="minorEastAsia"/>
          <w:color w:val="000000" w:themeColor="text1"/>
          <w:szCs w:val="21"/>
        </w:rPr>
        <w:t>基金管理人业务资格批件、营业执照</w:t>
      </w:r>
    </w:p>
    <w:p w14:paraId="469E6AFA"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六</w:t>
      </w:r>
      <w:r>
        <w:rPr>
          <w:rFonts w:eastAsiaTheme="minorEastAsia"/>
          <w:color w:val="000000" w:themeColor="text1"/>
          <w:szCs w:val="21"/>
        </w:rPr>
        <w:t>)</w:t>
      </w:r>
      <w:r>
        <w:rPr>
          <w:rFonts w:eastAsiaTheme="minorEastAsia"/>
          <w:color w:val="000000" w:themeColor="text1"/>
          <w:szCs w:val="21"/>
        </w:rPr>
        <w:t>基金托管人业务资格批件、营业执照</w:t>
      </w:r>
    </w:p>
    <w:p w14:paraId="467AC519" w14:textId="77777777" w:rsidR="00F25156" w:rsidRDefault="00920FC0">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七</w:t>
      </w:r>
      <w:r>
        <w:rPr>
          <w:rFonts w:eastAsiaTheme="minorEastAsia"/>
          <w:color w:val="000000" w:themeColor="text1"/>
          <w:szCs w:val="21"/>
        </w:rPr>
        <w:t>)</w:t>
      </w:r>
      <w:r>
        <w:rPr>
          <w:rFonts w:eastAsiaTheme="minorEastAsia"/>
          <w:color w:val="000000" w:themeColor="text1"/>
          <w:szCs w:val="21"/>
        </w:rPr>
        <w:t>摩根基金管理（中国）有限公司开放式基金业务规则</w:t>
      </w:r>
    </w:p>
    <w:p w14:paraId="6EE82679"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w:t>
      </w:r>
      <w:r w:rsidRPr="00473486">
        <w:rPr>
          <w:rFonts w:eastAsiaTheme="minorEastAsia"/>
          <w:color w:val="000000" w:themeColor="text1"/>
          <w:szCs w:val="21"/>
        </w:rPr>
        <w:t>八</w:t>
      </w:r>
      <w:r w:rsidRPr="00473486">
        <w:rPr>
          <w:rFonts w:eastAsiaTheme="minorEastAsia"/>
          <w:color w:val="000000" w:themeColor="text1"/>
          <w:szCs w:val="21"/>
        </w:rPr>
        <w:t>)</w:t>
      </w:r>
      <w:r w:rsidRPr="00473486">
        <w:rPr>
          <w:rFonts w:eastAsiaTheme="minorEastAsia"/>
          <w:color w:val="000000" w:themeColor="text1"/>
          <w:szCs w:val="21"/>
        </w:rPr>
        <w:t>中国证监会要求的其他文件</w:t>
      </w:r>
    </w:p>
    <w:p w14:paraId="5B18DA5B" w14:textId="77777777" w:rsidR="00881A82" w:rsidRPr="00473486" w:rsidRDefault="00881A82">
      <w:pPr>
        <w:spacing w:line="360" w:lineRule="auto"/>
        <w:ind w:firstLineChars="200" w:firstLine="480"/>
        <w:rPr>
          <w:rFonts w:eastAsiaTheme="minorEastAsia"/>
          <w:color w:val="000000" w:themeColor="text1"/>
          <w:sz w:val="24"/>
        </w:rPr>
      </w:pPr>
    </w:p>
    <w:p w14:paraId="637DAC33"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 xml:space="preserve">8.2 </w:t>
      </w:r>
      <w:r w:rsidRPr="00473486">
        <w:rPr>
          <w:rFonts w:eastAsiaTheme="minorEastAsia"/>
          <w:b/>
          <w:color w:val="000000" w:themeColor="text1"/>
          <w:sz w:val="24"/>
        </w:rPr>
        <w:t>存放地点</w:t>
      </w:r>
    </w:p>
    <w:p w14:paraId="674403E1"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基金管理人或基金托管人住所。</w:t>
      </w:r>
    </w:p>
    <w:p w14:paraId="3755C966" w14:textId="77777777" w:rsidR="00881A82" w:rsidRPr="00473486" w:rsidRDefault="00881A82">
      <w:pPr>
        <w:spacing w:line="360" w:lineRule="auto"/>
        <w:ind w:firstLineChars="200" w:firstLine="480"/>
        <w:rPr>
          <w:rFonts w:eastAsiaTheme="minorEastAsia"/>
          <w:color w:val="000000" w:themeColor="text1"/>
          <w:sz w:val="24"/>
        </w:rPr>
      </w:pPr>
    </w:p>
    <w:p w14:paraId="711C0ECA" w14:textId="77777777" w:rsidR="00881A82" w:rsidRPr="00473486" w:rsidRDefault="007D1E3A">
      <w:pPr>
        <w:spacing w:line="360" w:lineRule="auto"/>
        <w:rPr>
          <w:rFonts w:eastAsiaTheme="minorEastAsia"/>
          <w:b/>
          <w:color w:val="000000" w:themeColor="text1"/>
          <w:sz w:val="24"/>
        </w:rPr>
      </w:pPr>
      <w:r w:rsidRPr="00473486">
        <w:rPr>
          <w:rFonts w:eastAsiaTheme="minorEastAsia"/>
          <w:b/>
          <w:color w:val="000000" w:themeColor="text1"/>
          <w:sz w:val="24"/>
        </w:rPr>
        <w:t xml:space="preserve">8.3 </w:t>
      </w:r>
      <w:r w:rsidRPr="00473486">
        <w:rPr>
          <w:rFonts w:eastAsiaTheme="minorEastAsia"/>
          <w:b/>
          <w:color w:val="000000" w:themeColor="text1"/>
          <w:sz w:val="24"/>
        </w:rPr>
        <w:t>查阅方式</w:t>
      </w:r>
    </w:p>
    <w:p w14:paraId="5C705930" w14:textId="77777777" w:rsidR="00881A82" w:rsidRPr="00473486" w:rsidRDefault="007D1E3A">
      <w:pPr>
        <w:spacing w:line="360" w:lineRule="auto"/>
        <w:ind w:firstLineChars="200" w:firstLine="420"/>
        <w:rPr>
          <w:rFonts w:eastAsiaTheme="minorEastAsia"/>
          <w:color w:val="000000" w:themeColor="text1"/>
          <w:szCs w:val="21"/>
        </w:rPr>
      </w:pPr>
      <w:r w:rsidRPr="00473486">
        <w:rPr>
          <w:rFonts w:eastAsiaTheme="minorEastAsia"/>
          <w:color w:val="000000" w:themeColor="text1"/>
          <w:szCs w:val="21"/>
        </w:rPr>
        <w:t>投资者可在营业时间免费查阅，也可按工本费购买复印件。</w:t>
      </w:r>
    </w:p>
    <w:p w14:paraId="5D1A5F60" w14:textId="77777777" w:rsidR="00881A82" w:rsidRPr="00473486" w:rsidRDefault="00881A82">
      <w:pPr>
        <w:spacing w:line="360" w:lineRule="auto"/>
        <w:ind w:left="840"/>
        <w:jc w:val="right"/>
        <w:rPr>
          <w:rFonts w:eastAsiaTheme="minorEastAsia"/>
          <w:color w:val="000000" w:themeColor="text1"/>
          <w:sz w:val="24"/>
        </w:rPr>
      </w:pPr>
    </w:p>
    <w:p w14:paraId="57C9D704" w14:textId="77777777" w:rsidR="00881A82" w:rsidRPr="00473486" w:rsidRDefault="00881A82">
      <w:pPr>
        <w:spacing w:line="360" w:lineRule="auto"/>
        <w:ind w:left="840"/>
        <w:jc w:val="right"/>
        <w:rPr>
          <w:rFonts w:eastAsiaTheme="minorEastAsia"/>
          <w:color w:val="000000" w:themeColor="text1"/>
          <w:sz w:val="24"/>
        </w:rPr>
      </w:pPr>
    </w:p>
    <w:p w14:paraId="754A98EE" w14:textId="77777777" w:rsidR="00881A82" w:rsidRPr="00473486" w:rsidRDefault="00881A82">
      <w:pPr>
        <w:spacing w:line="360" w:lineRule="auto"/>
        <w:ind w:left="840"/>
        <w:jc w:val="right"/>
        <w:rPr>
          <w:rFonts w:eastAsiaTheme="minorEastAsia"/>
          <w:color w:val="000000" w:themeColor="text1"/>
          <w:sz w:val="24"/>
        </w:rPr>
      </w:pPr>
    </w:p>
    <w:p w14:paraId="49D9D28E" w14:textId="77777777" w:rsidR="00881A82" w:rsidRPr="00473486" w:rsidRDefault="00881A82">
      <w:pPr>
        <w:spacing w:line="360" w:lineRule="auto"/>
        <w:ind w:left="840"/>
        <w:jc w:val="right"/>
        <w:rPr>
          <w:rFonts w:eastAsiaTheme="minorEastAsia"/>
          <w:color w:val="000000" w:themeColor="text1"/>
          <w:sz w:val="24"/>
        </w:rPr>
      </w:pPr>
    </w:p>
    <w:p w14:paraId="446F613C" w14:textId="77777777" w:rsidR="00881A82" w:rsidRPr="00473486" w:rsidRDefault="00881A82">
      <w:pPr>
        <w:spacing w:line="360" w:lineRule="auto"/>
        <w:ind w:left="840"/>
        <w:jc w:val="right"/>
        <w:rPr>
          <w:rFonts w:eastAsiaTheme="minorEastAsia"/>
          <w:color w:val="000000" w:themeColor="text1"/>
          <w:sz w:val="24"/>
        </w:rPr>
      </w:pPr>
    </w:p>
    <w:p w14:paraId="7FF217DB" w14:textId="77777777" w:rsidR="00881A82" w:rsidRPr="00473486" w:rsidRDefault="007D1E3A">
      <w:pPr>
        <w:spacing w:line="360" w:lineRule="auto"/>
        <w:jc w:val="right"/>
        <w:rPr>
          <w:rFonts w:eastAsiaTheme="minorEastAsia"/>
          <w:b/>
          <w:bCs/>
          <w:color w:val="000000" w:themeColor="text1"/>
          <w:sz w:val="24"/>
        </w:rPr>
      </w:pPr>
      <w:r w:rsidRPr="00473486">
        <w:rPr>
          <w:rFonts w:eastAsiaTheme="minorEastAsia"/>
          <w:b/>
          <w:bCs/>
          <w:color w:val="000000" w:themeColor="text1"/>
          <w:sz w:val="24"/>
        </w:rPr>
        <w:t>摩根基金管理（中国）有限公司</w:t>
      </w:r>
    </w:p>
    <w:p w14:paraId="058A1D54" w14:textId="77777777" w:rsidR="00881A82" w:rsidRPr="00473486" w:rsidRDefault="007D1E3A">
      <w:pPr>
        <w:spacing w:line="360" w:lineRule="auto"/>
        <w:jc w:val="right"/>
        <w:rPr>
          <w:rFonts w:eastAsiaTheme="minorEastAsia"/>
          <w:b/>
          <w:bCs/>
          <w:color w:val="000000" w:themeColor="text1"/>
          <w:sz w:val="24"/>
        </w:rPr>
      </w:pPr>
      <w:r w:rsidRPr="00473486">
        <w:rPr>
          <w:rFonts w:eastAsiaTheme="minorEastAsia"/>
          <w:b/>
          <w:bCs/>
          <w:color w:val="000000" w:themeColor="text1"/>
          <w:sz w:val="24"/>
        </w:rPr>
        <w:t>二〇二四年十月二十五日</w:t>
      </w:r>
    </w:p>
    <w:p w14:paraId="1E93E13B" w14:textId="77777777" w:rsidR="00881A82" w:rsidRPr="00473486" w:rsidRDefault="00881A82">
      <w:pPr>
        <w:spacing w:line="360" w:lineRule="auto"/>
        <w:ind w:firstLineChars="900" w:firstLine="2168"/>
        <w:rPr>
          <w:rFonts w:eastAsiaTheme="minorEastAsia"/>
          <w:b/>
          <w:color w:val="000000" w:themeColor="text1"/>
          <w:sz w:val="24"/>
        </w:rPr>
      </w:pPr>
    </w:p>
    <w:sectPr w:rsidR="00881A82" w:rsidRPr="00473486">
      <w:footerReference w:type="even"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35A1" w14:textId="77777777" w:rsidR="007F3EDF" w:rsidRDefault="007F3EDF">
      <w:r>
        <w:separator/>
      </w:r>
    </w:p>
  </w:endnote>
  <w:endnote w:type="continuationSeparator" w:id="0">
    <w:p w14:paraId="5C1EED07" w14:textId="77777777" w:rsidR="007F3EDF" w:rsidRDefault="007F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C558" w14:textId="77777777" w:rsidR="00881A82" w:rsidRDefault="007D1E3A">
    <w:pPr>
      <w:pStyle w:val="ae"/>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961F" w14:textId="77777777" w:rsidR="00881A82" w:rsidRDefault="007D1E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FF4E68C" w14:textId="77777777" w:rsidR="00881A82" w:rsidRDefault="00881A8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F733" w14:textId="77777777" w:rsidR="00881A82" w:rsidRDefault="007D1E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27</w:t>
    </w:r>
    <w:r>
      <w:rPr>
        <w:rStyle w:val="af5"/>
      </w:rPr>
      <w:fldChar w:fldCharType="end"/>
    </w:r>
  </w:p>
  <w:p w14:paraId="3F663014" w14:textId="77777777" w:rsidR="00881A82" w:rsidRDefault="00881A8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5117" w14:textId="77777777" w:rsidR="007F3EDF" w:rsidRDefault="007F3EDF">
      <w:r>
        <w:separator/>
      </w:r>
    </w:p>
  </w:footnote>
  <w:footnote w:type="continuationSeparator" w:id="0">
    <w:p w14:paraId="5DB27A60" w14:textId="77777777" w:rsidR="007F3EDF" w:rsidRDefault="007F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2657" w14:textId="77777777" w:rsidR="00881A82" w:rsidRDefault="007D1E3A">
    <w:pPr>
      <w:pStyle w:val="af"/>
      <w:pBdr>
        <w:bottom w:val="single" w:sz="6" w:space="0" w:color="auto"/>
      </w:pBdr>
      <w:jc w:val="right"/>
    </w:pPr>
    <w:r>
      <w:t>摩根中证同业存单</w:t>
    </w:r>
    <w:r>
      <w:t>AAA</w:t>
    </w:r>
    <w:r>
      <w:t>指数</w:t>
    </w:r>
    <w:r>
      <w:t>7</w:t>
    </w:r>
    <w:r>
      <w:t>天持有期证券投资基金</w:t>
    </w:r>
    <w:r>
      <w:t>2024</w:t>
    </w:r>
    <w:r>
      <w:t>年第</w:t>
    </w:r>
    <w:r>
      <w:t>3</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PostScriptOverText/>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2A56"/>
    <w:rsid w:val="000009DA"/>
    <w:rsid w:val="000020BB"/>
    <w:rsid w:val="0000403B"/>
    <w:rsid w:val="00005911"/>
    <w:rsid w:val="00010A83"/>
    <w:rsid w:val="00010A8E"/>
    <w:rsid w:val="00010AC3"/>
    <w:rsid w:val="000115A7"/>
    <w:rsid w:val="00011EB5"/>
    <w:rsid w:val="0001280C"/>
    <w:rsid w:val="00017581"/>
    <w:rsid w:val="00020583"/>
    <w:rsid w:val="00021DD4"/>
    <w:rsid w:val="00023BE7"/>
    <w:rsid w:val="00037FCF"/>
    <w:rsid w:val="000421B8"/>
    <w:rsid w:val="000433E8"/>
    <w:rsid w:val="00043ABF"/>
    <w:rsid w:val="000445E4"/>
    <w:rsid w:val="00045BEC"/>
    <w:rsid w:val="000510AB"/>
    <w:rsid w:val="00055AF1"/>
    <w:rsid w:val="000625A6"/>
    <w:rsid w:val="00064AE3"/>
    <w:rsid w:val="00066524"/>
    <w:rsid w:val="00070CD1"/>
    <w:rsid w:val="0007171B"/>
    <w:rsid w:val="00072E4F"/>
    <w:rsid w:val="00074E9F"/>
    <w:rsid w:val="0007721B"/>
    <w:rsid w:val="00081D05"/>
    <w:rsid w:val="000820A8"/>
    <w:rsid w:val="00084EE5"/>
    <w:rsid w:val="00087CF7"/>
    <w:rsid w:val="00091560"/>
    <w:rsid w:val="00093160"/>
    <w:rsid w:val="00094876"/>
    <w:rsid w:val="00095912"/>
    <w:rsid w:val="00095CE0"/>
    <w:rsid w:val="00096933"/>
    <w:rsid w:val="00097230"/>
    <w:rsid w:val="0009778D"/>
    <w:rsid w:val="000A0010"/>
    <w:rsid w:val="000A457E"/>
    <w:rsid w:val="000A53FD"/>
    <w:rsid w:val="000A549A"/>
    <w:rsid w:val="000A5F96"/>
    <w:rsid w:val="000A72F2"/>
    <w:rsid w:val="000B0C56"/>
    <w:rsid w:val="000B3E43"/>
    <w:rsid w:val="000B5CC0"/>
    <w:rsid w:val="000C1723"/>
    <w:rsid w:val="000C1B20"/>
    <w:rsid w:val="000C4107"/>
    <w:rsid w:val="000C45E7"/>
    <w:rsid w:val="000D01F4"/>
    <w:rsid w:val="000D1519"/>
    <w:rsid w:val="000D1C87"/>
    <w:rsid w:val="000E4456"/>
    <w:rsid w:val="000F175F"/>
    <w:rsid w:val="000F17D1"/>
    <w:rsid w:val="000F60FF"/>
    <w:rsid w:val="000F635F"/>
    <w:rsid w:val="000F6C61"/>
    <w:rsid w:val="00100C12"/>
    <w:rsid w:val="00101DBA"/>
    <w:rsid w:val="001049B6"/>
    <w:rsid w:val="001051C6"/>
    <w:rsid w:val="0011177A"/>
    <w:rsid w:val="00112E9B"/>
    <w:rsid w:val="00116E31"/>
    <w:rsid w:val="00122A26"/>
    <w:rsid w:val="0012304E"/>
    <w:rsid w:val="001248EF"/>
    <w:rsid w:val="001257C7"/>
    <w:rsid w:val="00126DDF"/>
    <w:rsid w:val="001270BF"/>
    <w:rsid w:val="00127BAC"/>
    <w:rsid w:val="00131D06"/>
    <w:rsid w:val="0013360F"/>
    <w:rsid w:val="00141121"/>
    <w:rsid w:val="00142A56"/>
    <w:rsid w:val="00144DF5"/>
    <w:rsid w:val="00145A97"/>
    <w:rsid w:val="00146485"/>
    <w:rsid w:val="00150AD6"/>
    <w:rsid w:val="00153B40"/>
    <w:rsid w:val="00154ADA"/>
    <w:rsid w:val="0015531A"/>
    <w:rsid w:val="001600E8"/>
    <w:rsid w:val="00162BD7"/>
    <w:rsid w:val="00163B27"/>
    <w:rsid w:val="00165317"/>
    <w:rsid w:val="00171BAD"/>
    <w:rsid w:val="00172410"/>
    <w:rsid w:val="001744B4"/>
    <w:rsid w:val="001756A1"/>
    <w:rsid w:val="001761EE"/>
    <w:rsid w:val="00176EAA"/>
    <w:rsid w:val="0017725A"/>
    <w:rsid w:val="001775F7"/>
    <w:rsid w:val="001779ED"/>
    <w:rsid w:val="00177C4B"/>
    <w:rsid w:val="00180E68"/>
    <w:rsid w:val="0018325A"/>
    <w:rsid w:val="00186199"/>
    <w:rsid w:val="001928F7"/>
    <w:rsid w:val="00194537"/>
    <w:rsid w:val="0019563C"/>
    <w:rsid w:val="00195F18"/>
    <w:rsid w:val="001A21A9"/>
    <w:rsid w:val="001A59D8"/>
    <w:rsid w:val="001A5FA6"/>
    <w:rsid w:val="001A6A3B"/>
    <w:rsid w:val="001A6F8A"/>
    <w:rsid w:val="001A7FF1"/>
    <w:rsid w:val="001B2F0C"/>
    <w:rsid w:val="001C37F6"/>
    <w:rsid w:val="001C6288"/>
    <w:rsid w:val="001D0F6A"/>
    <w:rsid w:val="001D21BC"/>
    <w:rsid w:val="001D2FA5"/>
    <w:rsid w:val="001D35E0"/>
    <w:rsid w:val="001D3711"/>
    <w:rsid w:val="001D3CDF"/>
    <w:rsid w:val="001D5045"/>
    <w:rsid w:val="001D5A44"/>
    <w:rsid w:val="001D724B"/>
    <w:rsid w:val="001E11D3"/>
    <w:rsid w:val="001E2A6A"/>
    <w:rsid w:val="001E3DC2"/>
    <w:rsid w:val="001E56FF"/>
    <w:rsid w:val="001E5C6B"/>
    <w:rsid w:val="001F03E1"/>
    <w:rsid w:val="001F3CC6"/>
    <w:rsid w:val="001F4530"/>
    <w:rsid w:val="001F5265"/>
    <w:rsid w:val="002010DE"/>
    <w:rsid w:val="00202885"/>
    <w:rsid w:val="00202968"/>
    <w:rsid w:val="00202C32"/>
    <w:rsid w:val="00203AEF"/>
    <w:rsid w:val="00211A26"/>
    <w:rsid w:val="002125F7"/>
    <w:rsid w:val="002141B6"/>
    <w:rsid w:val="00214463"/>
    <w:rsid w:val="00214756"/>
    <w:rsid w:val="00215CF2"/>
    <w:rsid w:val="00217171"/>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D32E3"/>
    <w:rsid w:val="002E0FEB"/>
    <w:rsid w:val="002E300D"/>
    <w:rsid w:val="002F0F79"/>
    <w:rsid w:val="002F1CC8"/>
    <w:rsid w:val="002F280E"/>
    <w:rsid w:val="002F3709"/>
    <w:rsid w:val="002F3A6C"/>
    <w:rsid w:val="002F4296"/>
    <w:rsid w:val="00300951"/>
    <w:rsid w:val="003023C9"/>
    <w:rsid w:val="00302CA8"/>
    <w:rsid w:val="00302DE9"/>
    <w:rsid w:val="00305084"/>
    <w:rsid w:val="00310086"/>
    <w:rsid w:val="00312FE8"/>
    <w:rsid w:val="0031358C"/>
    <w:rsid w:val="00313AE2"/>
    <w:rsid w:val="0031630D"/>
    <w:rsid w:val="003204E9"/>
    <w:rsid w:val="00321690"/>
    <w:rsid w:val="00321E8C"/>
    <w:rsid w:val="00322A86"/>
    <w:rsid w:val="00323AE8"/>
    <w:rsid w:val="00324548"/>
    <w:rsid w:val="003251F4"/>
    <w:rsid w:val="003303E3"/>
    <w:rsid w:val="00331FA4"/>
    <w:rsid w:val="003329EA"/>
    <w:rsid w:val="003347EF"/>
    <w:rsid w:val="00337293"/>
    <w:rsid w:val="003407A5"/>
    <w:rsid w:val="00341188"/>
    <w:rsid w:val="0034147B"/>
    <w:rsid w:val="00343F87"/>
    <w:rsid w:val="00345AA8"/>
    <w:rsid w:val="00350238"/>
    <w:rsid w:val="0035109C"/>
    <w:rsid w:val="00351F0A"/>
    <w:rsid w:val="0035432B"/>
    <w:rsid w:val="00357172"/>
    <w:rsid w:val="003613A8"/>
    <w:rsid w:val="00361E7E"/>
    <w:rsid w:val="0036360E"/>
    <w:rsid w:val="00364504"/>
    <w:rsid w:val="003666D2"/>
    <w:rsid w:val="00370AA4"/>
    <w:rsid w:val="00371FF4"/>
    <w:rsid w:val="00376C39"/>
    <w:rsid w:val="00377520"/>
    <w:rsid w:val="00380D36"/>
    <w:rsid w:val="003822D3"/>
    <w:rsid w:val="003834E0"/>
    <w:rsid w:val="00386630"/>
    <w:rsid w:val="00390B25"/>
    <w:rsid w:val="00397156"/>
    <w:rsid w:val="00397960"/>
    <w:rsid w:val="003A0A94"/>
    <w:rsid w:val="003A3BC4"/>
    <w:rsid w:val="003A458A"/>
    <w:rsid w:val="003B2DA8"/>
    <w:rsid w:val="003B2F13"/>
    <w:rsid w:val="003B405E"/>
    <w:rsid w:val="003B57D3"/>
    <w:rsid w:val="003C1A49"/>
    <w:rsid w:val="003C1F58"/>
    <w:rsid w:val="003C6C58"/>
    <w:rsid w:val="003C792F"/>
    <w:rsid w:val="003D124B"/>
    <w:rsid w:val="003D18F3"/>
    <w:rsid w:val="003D78B5"/>
    <w:rsid w:val="003D7922"/>
    <w:rsid w:val="003E244F"/>
    <w:rsid w:val="003E62A6"/>
    <w:rsid w:val="003E695F"/>
    <w:rsid w:val="003E6C9B"/>
    <w:rsid w:val="003E709C"/>
    <w:rsid w:val="003E712B"/>
    <w:rsid w:val="003E7B89"/>
    <w:rsid w:val="003F4241"/>
    <w:rsid w:val="003F7040"/>
    <w:rsid w:val="003F7C45"/>
    <w:rsid w:val="0040132C"/>
    <w:rsid w:val="00405085"/>
    <w:rsid w:val="004066FC"/>
    <w:rsid w:val="00407C10"/>
    <w:rsid w:val="004113B4"/>
    <w:rsid w:val="00413689"/>
    <w:rsid w:val="004143D6"/>
    <w:rsid w:val="00414827"/>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5317"/>
    <w:rsid w:val="004575E9"/>
    <w:rsid w:val="004576F2"/>
    <w:rsid w:val="00457804"/>
    <w:rsid w:val="004646BF"/>
    <w:rsid w:val="00464744"/>
    <w:rsid w:val="004665E3"/>
    <w:rsid w:val="00467683"/>
    <w:rsid w:val="004731F1"/>
    <w:rsid w:val="00473486"/>
    <w:rsid w:val="00480BC8"/>
    <w:rsid w:val="00481265"/>
    <w:rsid w:val="004814BF"/>
    <w:rsid w:val="004845B9"/>
    <w:rsid w:val="0048587E"/>
    <w:rsid w:val="00486CB7"/>
    <w:rsid w:val="00487C2B"/>
    <w:rsid w:val="0049297D"/>
    <w:rsid w:val="004929F2"/>
    <w:rsid w:val="00495A03"/>
    <w:rsid w:val="004967FC"/>
    <w:rsid w:val="00497079"/>
    <w:rsid w:val="004A00BD"/>
    <w:rsid w:val="004A1BBA"/>
    <w:rsid w:val="004A3E3C"/>
    <w:rsid w:val="004B0E6D"/>
    <w:rsid w:val="004B16E8"/>
    <w:rsid w:val="004B2015"/>
    <w:rsid w:val="004B2DB9"/>
    <w:rsid w:val="004B5E54"/>
    <w:rsid w:val="004B6250"/>
    <w:rsid w:val="004B76B1"/>
    <w:rsid w:val="004C0057"/>
    <w:rsid w:val="004C03A7"/>
    <w:rsid w:val="004C0541"/>
    <w:rsid w:val="004C2C46"/>
    <w:rsid w:val="004C5189"/>
    <w:rsid w:val="004C7235"/>
    <w:rsid w:val="004C7955"/>
    <w:rsid w:val="004D047F"/>
    <w:rsid w:val="004D1A45"/>
    <w:rsid w:val="004D3D96"/>
    <w:rsid w:val="004D417D"/>
    <w:rsid w:val="004D650F"/>
    <w:rsid w:val="004E2133"/>
    <w:rsid w:val="004E5AB9"/>
    <w:rsid w:val="004E60FB"/>
    <w:rsid w:val="004F4EA9"/>
    <w:rsid w:val="004F759F"/>
    <w:rsid w:val="004F779C"/>
    <w:rsid w:val="004F7846"/>
    <w:rsid w:val="004F7A0E"/>
    <w:rsid w:val="005000D4"/>
    <w:rsid w:val="00500F1D"/>
    <w:rsid w:val="00504285"/>
    <w:rsid w:val="00504432"/>
    <w:rsid w:val="00505EE0"/>
    <w:rsid w:val="0050638D"/>
    <w:rsid w:val="00510CAF"/>
    <w:rsid w:val="00511B6A"/>
    <w:rsid w:val="005128C5"/>
    <w:rsid w:val="00514754"/>
    <w:rsid w:val="0051478B"/>
    <w:rsid w:val="0051566A"/>
    <w:rsid w:val="00515D7B"/>
    <w:rsid w:val="005166E9"/>
    <w:rsid w:val="0052009E"/>
    <w:rsid w:val="00521065"/>
    <w:rsid w:val="00525E59"/>
    <w:rsid w:val="005318CC"/>
    <w:rsid w:val="00531D1B"/>
    <w:rsid w:val="005349B1"/>
    <w:rsid w:val="005374BC"/>
    <w:rsid w:val="00543188"/>
    <w:rsid w:val="00543367"/>
    <w:rsid w:val="00543BFA"/>
    <w:rsid w:val="00547D9C"/>
    <w:rsid w:val="00547DA1"/>
    <w:rsid w:val="00551CED"/>
    <w:rsid w:val="00554EAB"/>
    <w:rsid w:val="0055513C"/>
    <w:rsid w:val="00560ABC"/>
    <w:rsid w:val="00560C94"/>
    <w:rsid w:val="0056291C"/>
    <w:rsid w:val="00565A63"/>
    <w:rsid w:val="00566588"/>
    <w:rsid w:val="00570B1A"/>
    <w:rsid w:val="00572736"/>
    <w:rsid w:val="0057275D"/>
    <w:rsid w:val="00577214"/>
    <w:rsid w:val="005800A9"/>
    <w:rsid w:val="00580488"/>
    <w:rsid w:val="0058074D"/>
    <w:rsid w:val="00580FD1"/>
    <w:rsid w:val="00582FAD"/>
    <w:rsid w:val="00583489"/>
    <w:rsid w:val="00583A98"/>
    <w:rsid w:val="005858C4"/>
    <w:rsid w:val="00590FE4"/>
    <w:rsid w:val="00591D9C"/>
    <w:rsid w:val="00597057"/>
    <w:rsid w:val="00597D8B"/>
    <w:rsid w:val="005A1C30"/>
    <w:rsid w:val="005A1C43"/>
    <w:rsid w:val="005A2DCB"/>
    <w:rsid w:val="005A3295"/>
    <w:rsid w:val="005A46FF"/>
    <w:rsid w:val="005B011E"/>
    <w:rsid w:val="005B1C7D"/>
    <w:rsid w:val="005B1DEC"/>
    <w:rsid w:val="005B2E84"/>
    <w:rsid w:val="005B7B0E"/>
    <w:rsid w:val="005C0A04"/>
    <w:rsid w:val="005C5409"/>
    <w:rsid w:val="005C69AC"/>
    <w:rsid w:val="005C722E"/>
    <w:rsid w:val="005D01A4"/>
    <w:rsid w:val="005D14DE"/>
    <w:rsid w:val="005D3F12"/>
    <w:rsid w:val="005D44E4"/>
    <w:rsid w:val="005D45B3"/>
    <w:rsid w:val="005D4CEB"/>
    <w:rsid w:val="005E491F"/>
    <w:rsid w:val="005E58CE"/>
    <w:rsid w:val="005E59E9"/>
    <w:rsid w:val="005F04E6"/>
    <w:rsid w:val="005F43B9"/>
    <w:rsid w:val="005F68CB"/>
    <w:rsid w:val="005F6A4A"/>
    <w:rsid w:val="00602154"/>
    <w:rsid w:val="006033E3"/>
    <w:rsid w:val="006054E4"/>
    <w:rsid w:val="0061321C"/>
    <w:rsid w:val="00620DB0"/>
    <w:rsid w:val="0062386E"/>
    <w:rsid w:val="00623D9A"/>
    <w:rsid w:val="00623F01"/>
    <w:rsid w:val="006242FB"/>
    <w:rsid w:val="00624E5B"/>
    <w:rsid w:val="00626E2D"/>
    <w:rsid w:val="00627D94"/>
    <w:rsid w:val="00630B42"/>
    <w:rsid w:val="00636CDE"/>
    <w:rsid w:val="00637BA7"/>
    <w:rsid w:val="00642072"/>
    <w:rsid w:val="00643330"/>
    <w:rsid w:val="006440ED"/>
    <w:rsid w:val="00645293"/>
    <w:rsid w:val="00651B78"/>
    <w:rsid w:val="00652263"/>
    <w:rsid w:val="00652881"/>
    <w:rsid w:val="00652DDE"/>
    <w:rsid w:val="0065417D"/>
    <w:rsid w:val="00661974"/>
    <w:rsid w:val="00664551"/>
    <w:rsid w:val="00664E44"/>
    <w:rsid w:val="00665677"/>
    <w:rsid w:val="0066704D"/>
    <w:rsid w:val="006676A0"/>
    <w:rsid w:val="00670857"/>
    <w:rsid w:val="00671124"/>
    <w:rsid w:val="006727B0"/>
    <w:rsid w:val="0067307E"/>
    <w:rsid w:val="00677AC6"/>
    <w:rsid w:val="00687AD5"/>
    <w:rsid w:val="00691AFA"/>
    <w:rsid w:val="0069335C"/>
    <w:rsid w:val="00695251"/>
    <w:rsid w:val="00695ADE"/>
    <w:rsid w:val="00695C0D"/>
    <w:rsid w:val="00696356"/>
    <w:rsid w:val="006A72C6"/>
    <w:rsid w:val="006B02DA"/>
    <w:rsid w:val="006B2065"/>
    <w:rsid w:val="006B3940"/>
    <w:rsid w:val="006B6C3A"/>
    <w:rsid w:val="006C168D"/>
    <w:rsid w:val="006C1D5C"/>
    <w:rsid w:val="006C3C80"/>
    <w:rsid w:val="006C3F43"/>
    <w:rsid w:val="006C642C"/>
    <w:rsid w:val="006C6FC6"/>
    <w:rsid w:val="006D6A40"/>
    <w:rsid w:val="006D7693"/>
    <w:rsid w:val="006E231B"/>
    <w:rsid w:val="006E346E"/>
    <w:rsid w:val="006E34B7"/>
    <w:rsid w:val="006F0F87"/>
    <w:rsid w:val="006F2F3E"/>
    <w:rsid w:val="006F4CD8"/>
    <w:rsid w:val="006F53D9"/>
    <w:rsid w:val="006F6A94"/>
    <w:rsid w:val="007004DC"/>
    <w:rsid w:val="00701575"/>
    <w:rsid w:val="00703E8A"/>
    <w:rsid w:val="00711522"/>
    <w:rsid w:val="007124FE"/>
    <w:rsid w:val="00713186"/>
    <w:rsid w:val="00713757"/>
    <w:rsid w:val="0071379B"/>
    <w:rsid w:val="0071497D"/>
    <w:rsid w:val="00717772"/>
    <w:rsid w:val="00721AF1"/>
    <w:rsid w:val="0072280F"/>
    <w:rsid w:val="00722B5E"/>
    <w:rsid w:val="00723845"/>
    <w:rsid w:val="0072708F"/>
    <w:rsid w:val="00732D1D"/>
    <w:rsid w:val="00736034"/>
    <w:rsid w:val="0073681C"/>
    <w:rsid w:val="00741EBE"/>
    <w:rsid w:val="00746130"/>
    <w:rsid w:val="00746A40"/>
    <w:rsid w:val="007479DC"/>
    <w:rsid w:val="00750358"/>
    <w:rsid w:val="00755CDF"/>
    <w:rsid w:val="00757A4C"/>
    <w:rsid w:val="00760FFC"/>
    <w:rsid w:val="0076110A"/>
    <w:rsid w:val="00764A94"/>
    <w:rsid w:val="00764DC3"/>
    <w:rsid w:val="007651E5"/>
    <w:rsid w:val="007670DC"/>
    <w:rsid w:val="00767239"/>
    <w:rsid w:val="00770601"/>
    <w:rsid w:val="0077111A"/>
    <w:rsid w:val="00772272"/>
    <w:rsid w:val="007756ED"/>
    <w:rsid w:val="00777CC9"/>
    <w:rsid w:val="007869A0"/>
    <w:rsid w:val="00786A23"/>
    <w:rsid w:val="007870FC"/>
    <w:rsid w:val="00787CD0"/>
    <w:rsid w:val="00791053"/>
    <w:rsid w:val="00791A3A"/>
    <w:rsid w:val="00794196"/>
    <w:rsid w:val="00797637"/>
    <w:rsid w:val="00797D95"/>
    <w:rsid w:val="007A2E54"/>
    <w:rsid w:val="007A3680"/>
    <w:rsid w:val="007A59B8"/>
    <w:rsid w:val="007B2862"/>
    <w:rsid w:val="007B662A"/>
    <w:rsid w:val="007C1A93"/>
    <w:rsid w:val="007C751E"/>
    <w:rsid w:val="007D021A"/>
    <w:rsid w:val="007D1E3A"/>
    <w:rsid w:val="007D28C9"/>
    <w:rsid w:val="007D3CC8"/>
    <w:rsid w:val="007D62F9"/>
    <w:rsid w:val="007D63A4"/>
    <w:rsid w:val="007E1AA2"/>
    <w:rsid w:val="007E4C1F"/>
    <w:rsid w:val="007F0746"/>
    <w:rsid w:val="007F0759"/>
    <w:rsid w:val="007F25C0"/>
    <w:rsid w:val="007F3EDF"/>
    <w:rsid w:val="007F456A"/>
    <w:rsid w:val="007F4C9B"/>
    <w:rsid w:val="007F5F52"/>
    <w:rsid w:val="007F77C6"/>
    <w:rsid w:val="008003A1"/>
    <w:rsid w:val="008006B7"/>
    <w:rsid w:val="00800FDB"/>
    <w:rsid w:val="00802081"/>
    <w:rsid w:val="008020B5"/>
    <w:rsid w:val="008021E8"/>
    <w:rsid w:val="008034CF"/>
    <w:rsid w:val="008063D8"/>
    <w:rsid w:val="00806461"/>
    <w:rsid w:val="00806722"/>
    <w:rsid w:val="0081096D"/>
    <w:rsid w:val="00810EAD"/>
    <w:rsid w:val="00811833"/>
    <w:rsid w:val="008174D4"/>
    <w:rsid w:val="00820FE6"/>
    <w:rsid w:val="00821A66"/>
    <w:rsid w:val="00822476"/>
    <w:rsid w:val="00822882"/>
    <w:rsid w:val="00824CB2"/>
    <w:rsid w:val="00825F68"/>
    <w:rsid w:val="00835408"/>
    <w:rsid w:val="008359DA"/>
    <w:rsid w:val="00837CEF"/>
    <w:rsid w:val="00840035"/>
    <w:rsid w:val="00840220"/>
    <w:rsid w:val="008428A9"/>
    <w:rsid w:val="00844112"/>
    <w:rsid w:val="008456C9"/>
    <w:rsid w:val="0084611D"/>
    <w:rsid w:val="00847BEF"/>
    <w:rsid w:val="00847D9E"/>
    <w:rsid w:val="00850C62"/>
    <w:rsid w:val="00863011"/>
    <w:rsid w:val="00865075"/>
    <w:rsid w:val="0086748F"/>
    <w:rsid w:val="00872CE4"/>
    <w:rsid w:val="00874F4B"/>
    <w:rsid w:val="0087539B"/>
    <w:rsid w:val="00877B62"/>
    <w:rsid w:val="00880199"/>
    <w:rsid w:val="00881015"/>
    <w:rsid w:val="008810B0"/>
    <w:rsid w:val="008813D6"/>
    <w:rsid w:val="008819B6"/>
    <w:rsid w:val="00881A82"/>
    <w:rsid w:val="00881AAC"/>
    <w:rsid w:val="008836B7"/>
    <w:rsid w:val="008841D3"/>
    <w:rsid w:val="0088709F"/>
    <w:rsid w:val="00887DE6"/>
    <w:rsid w:val="00894C2A"/>
    <w:rsid w:val="00897708"/>
    <w:rsid w:val="00897D88"/>
    <w:rsid w:val="008A2F16"/>
    <w:rsid w:val="008B1823"/>
    <w:rsid w:val="008B203C"/>
    <w:rsid w:val="008B6E16"/>
    <w:rsid w:val="008B7110"/>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60C5"/>
    <w:rsid w:val="009010F0"/>
    <w:rsid w:val="00901162"/>
    <w:rsid w:val="0090223A"/>
    <w:rsid w:val="009028E2"/>
    <w:rsid w:val="00914EAB"/>
    <w:rsid w:val="00916597"/>
    <w:rsid w:val="00920FC0"/>
    <w:rsid w:val="00922D49"/>
    <w:rsid w:val="009259CF"/>
    <w:rsid w:val="00925E37"/>
    <w:rsid w:val="00925EDD"/>
    <w:rsid w:val="00927D0E"/>
    <w:rsid w:val="009309DA"/>
    <w:rsid w:val="00936688"/>
    <w:rsid w:val="00937CFA"/>
    <w:rsid w:val="009406B3"/>
    <w:rsid w:val="00945CF5"/>
    <w:rsid w:val="009500A1"/>
    <w:rsid w:val="0095037E"/>
    <w:rsid w:val="0095267E"/>
    <w:rsid w:val="00952AAD"/>
    <w:rsid w:val="00954567"/>
    <w:rsid w:val="009547A9"/>
    <w:rsid w:val="009548FE"/>
    <w:rsid w:val="00956F0B"/>
    <w:rsid w:val="00957466"/>
    <w:rsid w:val="00957C7C"/>
    <w:rsid w:val="0096260B"/>
    <w:rsid w:val="009664D5"/>
    <w:rsid w:val="00970C69"/>
    <w:rsid w:val="00971DF7"/>
    <w:rsid w:val="00971F1C"/>
    <w:rsid w:val="0097211D"/>
    <w:rsid w:val="00972E10"/>
    <w:rsid w:val="009746CA"/>
    <w:rsid w:val="00974975"/>
    <w:rsid w:val="00974EA8"/>
    <w:rsid w:val="00981963"/>
    <w:rsid w:val="00983C82"/>
    <w:rsid w:val="00984520"/>
    <w:rsid w:val="0098545C"/>
    <w:rsid w:val="00992BA2"/>
    <w:rsid w:val="00992F83"/>
    <w:rsid w:val="0099508A"/>
    <w:rsid w:val="009974EB"/>
    <w:rsid w:val="009A037F"/>
    <w:rsid w:val="009A1126"/>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1EA4"/>
    <w:rsid w:val="009D27AA"/>
    <w:rsid w:val="009D38BA"/>
    <w:rsid w:val="009D4991"/>
    <w:rsid w:val="009D5BB5"/>
    <w:rsid w:val="009D696D"/>
    <w:rsid w:val="009D6ED2"/>
    <w:rsid w:val="009E0F1A"/>
    <w:rsid w:val="009E140D"/>
    <w:rsid w:val="009E348F"/>
    <w:rsid w:val="009E4465"/>
    <w:rsid w:val="009E6401"/>
    <w:rsid w:val="009E6C54"/>
    <w:rsid w:val="009F2261"/>
    <w:rsid w:val="009F2A25"/>
    <w:rsid w:val="009F4CB1"/>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804"/>
    <w:rsid w:val="00A348F0"/>
    <w:rsid w:val="00A36822"/>
    <w:rsid w:val="00A36AB5"/>
    <w:rsid w:val="00A411D1"/>
    <w:rsid w:val="00A428A4"/>
    <w:rsid w:val="00A42CE1"/>
    <w:rsid w:val="00A43389"/>
    <w:rsid w:val="00A43E71"/>
    <w:rsid w:val="00A45753"/>
    <w:rsid w:val="00A47B15"/>
    <w:rsid w:val="00A52F84"/>
    <w:rsid w:val="00A56B05"/>
    <w:rsid w:val="00A57678"/>
    <w:rsid w:val="00A60E2F"/>
    <w:rsid w:val="00A618F3"/>
    <w:rsid w:val="00A63284"/>
    <w:rsid w:val="00A64CB8"/>
    <w:rsid w:val="00A67018"/>
    <w:rsid w:val="00A672F3"/>
    <w:rsid w:val="00A673DC"/>
    <w:rsid w:val="00A7076E"/>
    <w:rsid w:val="00A709BE"/>
    <w:rsid w:val="00A7162E"/>
    <w:rsid w:val="00A7195A"/>
    <w:rsid w:val="00A72D71"/>
    <w:rsid w:val="00A75705"/>
    <w:rsid w:val="00A77C69"/>
    <w:rsid w:val="00A829DE"/>
    <w:rsid w:val="00A83953"/>
    <w:rsid w:val="00A85AF5"/>
    <w:rsid w:val="00A903B6"/>
    <w:rsid w:val="00A90F4F"/>
    <w:rsid w:val="00A92C40"/>
    <w:rsid w:val="00A947AA"/>
    <w:rsid w:val="00A968D2"/>
    <w:rsid w:val="00AA0AC5"/>
    <w:rsid w:val="00AA19FE"/>
    <w:rsid w:val="00AA1B53"/>
    <w:rsid w:val="00AA3556"/>
    <w:rsid w:val="00AA35FD"/>
    <w:rsid w:val="00AA3DB7"/>
    <w:rsid w:val="00AB3012"/>
    <w:rsid w:val="00AB321C"/>
    <w:rsid w:val="00AB5B99"/>
    <w:rsid w:val="00AB688F"/>
    <w:rsid w:val="00AB75EA"/>
    <w:rsid w:val="00AB7AA2"/>
    <w:rsid w:val="00AC44D9"/>
    <w:rsid w:val="00AC4BC1"/>
    <w:rsid w:val="00AD04BD"/>
    <w:rsid w:val="00AD25F6"/>
    <w:rsid w:val="00AD67CB"/>
    <w:rsid w:val="00AD7214"/>
    <w:rsid w:val="00AE1066"/>
    <w:rsid w:val="00AE4518"/>
    <w:rsid w:val="00AE5D7F"/>
    <w:rsid w:val="00AE79F0"/>
    <w:rsid w:val="00AF2DAE"/>
    <w:rsid w:val="00AF5585"/>
    <w:rsid w:val="00AF6EC1"/>
    <w:rsid w:val="00B00331"/>
    <w:rsid w:val="00B01A80"/>
    <w:rsid w:val="00B06D4D"/>
    <w:rsid w:val="00B07C27"/>
    <w:rsid w:val="00B10017"/>
    <w:rsid w:val="00B10DE1"/>
    <w:rsid w:val="00B10FF8"/>
    <w:rsid w:val="00B203C4"/>
    <w:rsid w:val="00B22E81"/>
    <w:rsid w:val="00B23996"/>
    <w:rsid w:val="00B23CB2"/>
    <w:rsid w:val="00B2561A"/>
    <w:rsid w:val="00B25A64"/>
    <w:rsid w:val="00B32AB3"/>
    <w:rsid w:val="00B34E7C"/>
    <w:rsid w:val="00B368EA"/>
    <w:rsid w:val="00B37EEF"/>
    <w:rsid w:val="00B51D20"/>
    <w:rsid w:val="00B5298E"/>
    <w:rsid w:val="00B54370"/>
    <w:rsid w:val="00B54B5F"/>
    <w:rsid w:val="00B55185"/>
    <w:rsid w:val="00B55BB5"/>
    <w:rsid w:val="00B60D38"/>
    <w:rsid w:val="00B61923"/>
    <w:rsid w:val="00B621D6"/>
    <w:rsid w:val="00B63EF5"/>
    <w:rsid w:val="00B65D6F"/>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40D"/>
    <w:rsid w:val="00BA22A8"/>
    <w:rsid w:val="00BA285B"/>
    <w:rsid w:val="00BA3E48"/>
    <w:rsid w:val="00BA4BD3"/>
    <w:rsid w:val="00BA7473"/>
    <w:rsid w:val="00BB0187"/>
    <w:rsid w:val="00BB1EB3"/>
    <w:rsid w:val="00BB22CA"/>
    <w:rsid w:val="00BB2678"/>
    <w:rsid w:val="00BC013A"/>
    <w:rsid w:val="00BC2343"/>
    <w:rsid w:val="00BC23F8"/>
    <w:rsid w:val="00BC56FA"/>
    <w:rsid w:val="00BD30C8"/>
    <w:rsid w:val="00BD3EB4"/>
    <w:rsid w:val="00BD5C65"/>
    <w:rsid w:val="00BD7DB4"/>
    <w:rsid w:val="00BE1A80"/>
    <w:rsid w:val="00BE2F07"/>
    <w:rsid w:val="00BE5751"/>
    <w:rsid w:val="00BE5CAB"/>
    <w:rsid w:val="00BE6018"/>
    <w:rsid w:val="00BF0F8F"/>
    <w:rsid w:val="00BF1F57"/>
    <w:rsid w:val="00BF4086"/>
    <w:rsid w:val="00BF426C"/>
    <w:rsid w:val="00BF47C9"/>
    <w:rsid w:val="00BF58D0"/>
    <w:rsid w:val="00BF7D6A"/>
    <w:rsid w:val="00C013E1"/>
    <w:rsid w:val="00C01611"/>
    <w:rsid w:val="00C02D59"/>
    <w:rsid w:val="00C030B6"/>
    <w:rsid w:val="00C03284"/>
    <w:rsid w:val="00C050D7"/>
    <w:rsid w:val="00C05B5F"/>
    <w:rsid w:val="00C104CC"/>
    <w:rsid w:val="00C152FE"/>
    <w:rsid w:val="00C16739"/>
    <w:rsid w:val="00C21C43"/>
    <w:rsid w:val="00C22C7D"/>
    <w:rsid w:val="00C22CCE"/>
    <w:rsid w:val="00C231D6"/>
    <w:rsid w:val="00C23BA2"/>
    <w:rsid w:val="00C32AF2"/>
    <w:rsid w:val="00C33204"/>
    <w:rsid w:val="00C338EB"/>
    <w:rsid w:val="00C3465D"/>
    <w:rsid w:val="00C379E9"/>
    <w:rsid w:val="00C439FB"/>
    <w:rsid w:val="00C43F23"/>
    <w:rsid w:val="00C47790"/>
    <w:rsid w:val="00C50011"/>
    <w:rsid w:val="00C5274B"/>
    <w:rsid w:val="00C55A77"/>
    <w:rsid w:val="00C645E6"/>
    <w:rsid w:val="00C64D82"/>
    <w:rsid w:val="00C64FBC"/>
    <w:rsid w:val="00C65A83"/>
    <w:rsid w:val="00C721F2"/>
    <w:rsid w:val="00C72C6F"/>
    <w:rsid w:val="00C75BB1"/>
    <w:rsid w:val="00C76CF1"/>
    <w:rsid w:val="00C80F23"/>
    <w:rsid w:val="00C81151"/>
    <w:rsid w:val="00C82CC6"/>
    <w:rsid w:val="00C8434E"/>
    <w:rsid w:val="00C850A3"/>
    <w:rsid w:val="00C85C32"/>
    <w:rsid w:val="00C87568"/>
    <w:rsid w:val="00C905A7"/>
    <w:rsid w:val="00C909E1"/>
    <w:rsid w:val="00C90DB6"/>
    <w:rsid w:val="00C9394F"/>
    <w:rsid w:val="00C93B1A"/>
    <w:rsid w:val="00C96A14"/>
    <w:rsid w:val="00C96F5F"/>
    <w:rsid w:val="00CA21B5"/>
    <w:rsid w:val="00CA5927"/>
    <w:rsid w:val="00CA79EC"/>
    <w:rsid w:val="00CB26A5"/>
    <w:rsid w:val="00CB39C2"/>
    <w:rsid w:val="00CB4664"/>
    <w:rsid w:val="00CB4C8C"/>
    <w:rsid w:val="00CB6782"/>
    <w:rsid w:val="00CC080A"/>
    <w:rsid w:val="00CC52E1"/>
    <w:rsid w:val="00CD319D"/>
    <w:rsid w:val="00CD6BC3"/>
    <w:rsid w:val="00CD72D0"/>
    <w:rsid w:val="00CE3519"/>
    <w:rsid w:val="00CE5277"/>
    <w:rsid w:val="00CE6358"/>
    <w:rsid w:val="00CF2D54"/>
    <w:rsid w:val="00CF3CDE"/>
    <w:rsid w:val="00CF6570"/>
    <w:rsid w:val="00D03538"/>
    <w:rsid w:val="00D049B8"/>
    <w:rsid w:val="00D0516C"/>
    <w:rsid w:val="00D05EE7"/>
    <w:rsid w:val="00D068D0"/>
    <w:rsid w:val="00D078D1"/>
    <w:rsid w:val="00D129A8"/>
    <w:rsid w:val="00D12FB9"/>
    <w:rsid w:val="00D148B5"/>
    <w:rsid w:val="00D200BD"/>
    <w:rsid w:val="00D22399"/>
    <w:rsid w:val="00D26460"/>
    <w:rsid w:val="00D33751"/>
    <w:rsid w:val="00D33924"/>
    <w:rsid w:val="00D36F6E"/>
    <w:rsid w:val="00D37343"/>
    <w:rsid w:val="00D4205E"/>
    <w:rsid w:val="00D42507"/>
    <w:rsid w:val="00D5574C"/>
    <w:rsid w:val="00D61982"/>
    <w:rsid w:val="00D6267A"/>
    <w:rsid w:val="00D67D12"/>
    <w:rsid w:val="00D7585A"/>
    <w:rsid w:val="00D80618"/>
    <w:rsid w:val="00D81A17"/>
    <w:rsid w:val="00D82494"/>
    <w:rsid w:val="00D84A4B"/>
    <w:rsid w:val="00D92168"/>
    <w:rsid w:val="00D940A9"/>
    <w:rsid w:val="00D940B5"/>
    <w:rsid w:val="00D95CB0"/>
    <w:rsid w:val="00D977C0"/>
    <w:rsid w:val="00DA00A3"/>
    <w:rsid w:val="00DA13F3"/>
    <w:rsid w:val="00DA2DE3"/>
    <w:rsid w:val="00DA7146"/>
    <w:rsid w:val="00DA716A"/>
    <w:rsid w:val="00DB1F4F"/>
    <w:rsid w:val="00DB37EE"/>
    <w:rsid w:val="00DB4450"/>
    <w:rsid w:val="00DB7895"/>
    <w:rsid w:val="00DB7B69"/>
    <w:rsid w:val="00DC02EC"/>
    <w:rsid w:val="00DC234A"/>
    <w:rsid w:val="00DC41E4"/>
    <w:rsid w:val="00DC5116"/>
    <w:rsid w:val="00DC77DD"/>
    <w:rsid w:val="00DC7C77"/>
    <w:rsid w:val="00DD2417"/>
    <w:rsid w:val="00DD7EA2"/>
    <w:rsid w:val="00DE00F2"/>
    <w:rsid w:val="00DE117F"/>
    <w:rsid w:val="00DE401C"/>
    <w:rsid w:val="00DE4CDE"/>
    <w:rsid w:val="00DF1ED6"/>
    <w:rsid w:val="00DF63FA"/>
    <w:rsid w:val="00E00A1C"/>
    <w:rsid w:val="00E012CC"/>
    <w:rsid w:val="00E02B71"/>
    <w:rsid w:val="00E02DEB"/>
    <w:rsid w:val="00E042A1"/>
    <w:rsid w:val="00E04CE6"/>
    <w:rsid w:val="00E104FA"/>
    <w:rsid w:val="00E1082A"/>
    <w:rsid w:val="00E11166"/>
    <w:rsid w:val="00E13182"/>
    <w:rsid w:val="00E15383"/>
    <w:rsid w:val="00E1738C"/>
    <w:rsid w:val="00E22D28"/>
    <w:rsid w:val="00E230E3"/>
    <w:rsid w:val="00E23611"/>
    <w:rsid w:val="00E25852"/>
    <w:rsid w:val="00E30EDF"/>
    <w:rsid w:val="00E31FBA"/>
    <w:rsid w:val="00E36AAE"/>
    <w:rsid w:val="00E41773"/>
    <w:rsid w:val="00E427F2"/>
    <w:rsid w:val="00E513F6"/>
    <w:rsid w:val="00E52F3B"/>
    <w:rsid w:val="00E53D94"/>
    <w:rsid w:val="00E53DEA"/>
    <w:rsid w:val="00E55A61"/>
    <w:rsid w:val="00E57F92"/>
    <w:rsid w:val="00E616DB"/>
    <w:rsid w:val="00E627A4"/>
    <w:rsid w:val="00E630ED"/>
    <w:rsid w:val="00E70C95"/>
    <w:rsid w:val="00E74EC5"/>
    <w:rsid w:val="00E75FDC"/>
    <w:rsid w:val="00E76B86"/>
    <w:rsid w:val="00E833B9"/>
    <w:rsid w:val="00E8342F"/>
    <w:rsid w:val="00E8375E"/>
    <w:rsid w:val="00E847A7"/>
    <w:rsid w:val="00E85F25"/>
    <w:rsid w:val="00E86E79"/>
    <w:rsid w:val="00E906B4"/>
    <w:rsid w:val="00E9095B"/>
    <w:rsid w:val="00E926B8"/>
    <w:rsid w:val="00E92E98"/>
    <w:rsid w:val="00E9399B"/>
    <w:rsid w:val="00E94008"/>
    <w:rsid w:val="00E94762"/>
    <w:rsid w:val="00E96B52"/>
    <w:rsid w:val="00EA2244"/>
    <w:rsid w:val="00EA4C93"/>
    <w:rsid w:val="00EA6FA7"/>
    <w:rsid w:val="00EB067F"/>
    <w:rsid w:val="00EB0BF5"/>
    <w:rsid w:val="00EB1F02"/>
    <w:rsid w:val="00EB5BC5"/>
    <w:rsid w:val="00EC086C"/>
    <w:rsid w:val="00EC42D0"/>
    <w:rsid w:val="00EC5CE0"/>
    <w:rsid w:val="00EC638F"/>
    <w:rsid w:val="00ED48AC"/>
    <w:rsid w:val="00EE224C"/>
    <w:rsid w:val="00EE4874"/>
    <w:rsid w:val="00EE4A8C"/>
    <w:rsid w:val="00EE674E"/>
    <w:rsid w:val="00EE79A6"/>
    <w:rsid w:val="00EF0C36"/>
    <w:rsid w:val="00EF2689"/>
    <w:rsid w:val="00EF454D"/>
    <w:rsid w:val="00EF6111"/>
    <w:rsid w:val="00F005A0"/>
    <w:rsid w:val="00F0225B"/>
    <w:rsid w:val="00F06616"/>
    <w:rsid w:val="00F11352"/>
    <w:rsid w:val="00F1498D"/>
    <w:rsid w:val="00F14DDF"/>
    <w:rsid w:val="00F152AD"/>
    <w:rsid w:val="00F20DFE"/>
    <w:rsid w:val="00F2285F"/>
    <w:rsid w:val="00F23155"/>
    <w:rsid w:val="00F24236"/>
    <w:rsid w:val="00F24E0E"/>
    <w:rsid w:val="00F25156"/>
    <w:rsid w:val="00F26693"/>
    <w:rsid w:val="00F36130"/>
    <w:rsid w:val="00F40444"/>
    <w:rsid w:val="00F423BD"/>
    <w:rsid w:val="00F432FF"/>
    <w:rsid w:val="00F4715C"/>
    <w:rsid w:val="00F54869"/>
    <w:rsid w:val="00F556B2"/>
    <w:rsid w:val="00F5754B"/>
    <w:rsid w:val="00F576DE"/>
    <w:rsid w:val="00F57CE6"/>
    <w:rsid w:val="00F63BF7"/>
    <w:rsid w:val="00F65617"/>
    <w:rsid w:val="00F710BE"/>
    <w:rsid w:val="00F723CF"/>
    <w:rsid w:val="00F736D2"/>
    <w:rsid w:val="00F7564C"/>
    <w:rsid w:val="00F76220"/>
    <w:rsid w:val="00F769BE"/>
    <w:rsid w:val="00F82E6B"/>
    <w:rsid w:val="00F8677B"/>
    <w:rsid w:val="00F97B71"/>
    <w:rsid w:val="00FA1EC5"/>
    <w:rsid w:val="00FA2DDA"/>
    <w:rsid w:val="00FA34CA"/>
    <w:rsid w:val="00FA4A55"/>
    <w:rsid w:val="00FA4D4F"/>
    <w:rsid w:val="00FA54E8"/>
    <w:rsid w:val="00FA57F6"/>
    <w:rsid w:val="00FA7193"/>
    <w:rsid w:val="00FB2D17"/>
    <w:rsid w:val="00FB2F69"/>
    <w:rsid w:val="00FB368B"/>
    <w:rsid w:val="00FB45FF"/>
    <w:rsid w:val="00FB5D97"/>
    <w:rsid w:val="00FB6DE6"/>
    <w:rsid w:val="00FC023D"/>
    <w:rsid w:val="00FC1CA5"/>
    <w:rsid w:val="00FC2979"/>
    <w:rsid w:val="00FD1C3C"/>
    <w:rsid w:val="00FD38A8"/>
    <w:rsid w:val="00FD5477"/>
    <w:rsid w:val="00FD6AC8"/>
    <w:rsid w:val="00FE3EA1"/>
    <w:rsid w:val="00FE4818"/>
    <w:rsid w:val="00FE5D80"/>
    <w:rsid w:val="00FF1577"/>
    <w:rsid w:val="00FF6ADB"/>
    <w:rsid w:val="2FA97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D486DC"/>
  <w15:docId w15:val="{EBE9B9F7-3084-4E23-82E2-17FB52A4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footnote text" w:semiHidden="1" w:qFormat="1"/>
    <w:lsdException w:name="annotation text" w:semiHidden="1" w:qFormat="1"/>
    <w:lsdException w:name="header" w:uiPriority="99"/>
    <w:lsdException w:name="caption" w:semiHidden="1" w:unhideWhenUsed="1" w:qFormat="1"/>
    <w:lsdException w:name="footnote reference" w:semiHidden="1" w:qFormat="1"/>
    <w:lsdException w:name="annotation reference" w:semiHidden="1"/>
    <w:lsdException w:name="Title" w:qFormat="1"/>
    <w:lsdException w:name="Default Paragraph Font" w:semiHidden="1" w:uiPriority="1" w:unhideWhenUsed="1"/>
    <w:lsdException w:name="Subtitle" w:qFormat="1"/>
    <w:lsdException w:name="Date" w:uiPriority="99"/>
    <w:lsdException w:name="Body Text Indent 3" w:qFormat="1"/>
    <w:lsdException w:name="Hyperlink" w:qFormat="1"/>
    <w:lsdException w:name="Strong" w:uiPriority="22"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semiHidden/>
    <w:rPr>
      <w:b/>
      <w:bCs/>
    </w:rPr>
  </w:style>
  <w:style w:type="paragraph" w:styleId="a5">
    <w:name w:val="annotation text"/>
    <w:basedOn w:val="a"/>
    <w:semiHidden/>
    <w:qFormat/>
    <w:pPr>
      <w:jc w:val="left"/>
    </w:pPr>
  </w:style>
  <w:style w:type="paragraph" w:styleId="a6">
    <w:name w:val="Document Map"/>
    <w:basedOn w:val="a"/>
    <w:semiHidden/>
    <w:pPr>
      <w:shd w:val="clear" w:color="auto" w:fill="000080"/>
    </w:pPr>
  </w:style>
  <w:style w:type="paragraph" w:styleId="a7">
    <w:name w:val="Body Text"/>
    <w:basedOn w:val="a"/>
    <w:pPr>
      <w:spacing w:after="120"/>
    </w:pPr>
  </w:style>
  <w:style w:type="paragraph" w:styleId="a8">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aa"/>
    <w:uiPriority w:val="99"/>
    <w:rPr>
      <w:rFonts w:ascii="宋体" w:hAnsi="Courier New"/>
      <w:szCs w:val="21"/>
    </w:rPr>
  </w:style>
  <w:style w:type="paragraph" w:styleId="ab">
    <w:name w:val="Date"/>
    <w:basedOn w:val="a"/>
    <w:next w:val="a"/>
    <w:link w:val="ac"/>
    <w:uiPriority w:val="99"/>
    <w:rPr>
      <w:sz w:val="24"/>
      <w:szCs w:val="20"/>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d">
    <w:name w:val="Balloon Text"/>
    <w:basedOn w:val="a"/>
    <w:semiHidden/>
    <w:rPr>
      <w:sz w:val="18"/>
      <w:szCs w:val="18"/>
    </w:rPr>
  </w:style>
  <w:style w:type="paragraph" w:styleId="ae">
    <w:name w:val="footer"/>
    <w:basedOn w:val="a"/>
    <w:pPr>
      <w:tabs>
        <w:tab w:val="center" w:pos="4153"/>
        <w:tab w:val="right" w:pos="8306"/>
      </w:tabs>
      <w:snapToGrid w:val="0"/>
      <w:jc w:val="left"/>
    </w:pPr>
    <w:rPr>
      <w:sz w:val="18"/>
      <w:szCs w:val="18"/>
    </w:rPr>
  </w:style>
  <w:style w:type="paragraph" w:styleId="af">
    <w:name w:val="header"/>
    <w:basedOn w:val="a"/>
    <w:link w:val="af0"/>
    <w:uiPriority w:val="99"/>
    <w:pPr>
      <w:pBdr>
        <w:bottom w:val="single" w:sz="6" w:space="1" w:color="auto"/>
      </w:pBdr>
      <w:tabs>
        <w:tab w:val="center" w:pos="4153"/>
        <w:tab w:val="right" w:pos="8306"/>
      </w:tabs>
      <w:snapToGrid w:val="0"/>
      <w:jc w:val="center"/>
    </w:pPr>
    <w:rPr>
      <w:sz w:val="18"/>
      <w:szCs w:val="18"/>
    </w:rPr>
  </w:style>
  <w:style w:type="paragraph" w:styleId="af1">
    <w:name w:val="List"/>
    <w:basedOn w:val="a7"/>
    <w:pPr>
      <w:spacing w:after="220" w:line="220" w:lineRule="atLeast"/>
      <w:ind w:left="1440" w:hanging="360"/>
    </w:pPr>
    <w:rPr>
      <w:szCs w:val="20"/>
    </w:rPr>
  </w:style>
  <w:style w:type="paragraph" w:styleId="af2">
    <w:name w:val="footnote text"/>
    <w:basedOn w:val="a"/>
    <w:semiHidden/>
    <w:qFormat/>
    <w:pPr>
      <w:snapToGrid w:val="0"/>
      <w:jc w:val="left"/>
    </w:pPr>
    <w:rPr>
      <w:sz w:val="18"/>
      <w:szCs w:val="18"/>
    </w:rPr>
  </w:style>
  <w:style w:type="paragraph" w:styleId="3">
    <w:name w:val="Body Text Indent 3"/>
    <w:basedOn w:val="a"/>
    <w:qFormat/>
    <w:pPr>
      <w:spacing w:line="560" w:lineRule="exact"/>
      <w:ind w:firstLineChars="200" w:firstLine="420"/>
    </w:pPr>
    <w:rPr>
      <w:rFonts w:ascii="Arial" w:hAnsi="Arial" w:cs="Arial"/>
      <w:color w:val="FF0000"/>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pPr>
      <w:jc w:val="right"/>
    </w:pPr>
    <w:rPr>
      <w:color w:val="008000"/>
    </w:rPr>
  </w:style>
  <w:style w:type="character" w:styleId="af4">
    <w:name w:val="Strong"/>
    <w:basedOn w:val="a1"/>
    <w:uiPriority w:val="22"/>
    <w:qFormat/>
    <w:rPr>
      <w:b/>
      <w:bCs/>
    </w:rPr>
  </w:style>
  <w:style w:type="character" w:styleId="af5">
    <w:name w:val="page number"/>
    <w:basedOn w:val="a1"/>
  </w:style>
  <w:style w:type="character" w:styleId="af6">
    <w:name w:val="FollowedHyperlink"/>
    <w:basedOn w:val="a1"/>
    <w:rPr>
      <w:color w:val="800080"/>
      <w:u w:val="single"/>
    </w:rPr>
  </w:style>
  <w:style w:type="character" w:styleId="af7">
    <w:name w:val="Hyperlink"/>
    <w:basedOn w:val="a1"/>
    <w:qFormat/>
    <w:rPr>
      <w:color w:val="0000FF"/>
      <w:u w:val="single"/>
    </w:rPr>
  </w:style>
  <w:style w:type="character" w:styleId="af8">
    <w:name w:val="annotation reference"/>
    <w:basedOn w:val="a1"/>
    <w:semiHidden/>
    <w:rPr>
      <w:sz w:val="21"/>
      <w:szCs w:val="21"/>
    </w:rPr>
  </w:style>
  <w:style w:type="character" w:styleId="af9">
    <w:name w:val="footnote reference"/>
    <w:basedOn w:val="a1"/>
    <w:semiHidden/>
    <w:qFormat/>
    <w:rPr>
      <w:vertAlign w:val="superscript"/>
    </w:rPr>
  </w:style>
  <w:style w:type="table" w:styleId="afa">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1"/>
    <w:rPr>
      <w:color w:val="000000"/>
      <w:sz w:val="18"/>
      <w:szCs w:val="18"/>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
    <w:name w:val="Char"/>
    <w:basedOn w:val="a"/>
  </w:style>
  <w:style w:type="paragraph" w:customStyle="1" w:styleId="afb">
    <w:name w:val="正文 + (符号) 宋体"/>
    <w:basedOn w:val="a"/>
    <w:qFormat/>
    <w:pPr>
      <w:autoSpaceDE w:val="0"/>
      <w:autoSpaceDN w:val="0"/>
      <w:adjustRightInd w:val="0"/>
      <w:ind w:rightChars="671" w:right="1409" w:firstLineChars="512" w:firstLine="1229"/>
      <w:jc w:val="distribute"/>
    </w:pPr>
    <w:rPr>
      <w:sz w:val="24"/>
    </w:rPr>
  </w:style>
  <w:style w:type="paragraph" w:customStyle="1" w:styleId="Char1">
    <w:name w:val="Char1"/>
    <w:basedOn w:val="a"/>
    <w:qFormat/>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kern w:val="0"/>
      <w:sz w:val="34"/>
      <w:szCs w:val="20"/>
    </w:rPr>
  </w:style>
  <w:style w:type="character" w:customStyle="1" w:styleId="aa">
    <w:name w:val="纯文本 字符"/>
    <w:link w:val="a9"/>
    <w:uiPriority w:val="99"/>
    <w:qFormat/>
    <w:rPr>
      <w:rFonts w:ascii="宋体" w:hAnsi="Courier New"/>
      <w:kern w:val="2"/>
      <w:sz w:val="21"/>
      <w:szCs w:val="21"/>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af0">
    <w:name w:val="页眉 字符"/>
    <w:basedOn w:val="a1"/>
    <w:link w:val="af"/>
    <w:uiPriority w:val="99"/>
    <w:qFormat/>
    <w:rPr>
      <w:kern w:val="2"/>
      <w:sz w:val="18"/>
      <w:szCs w:val="18"/>
    </w:rPr>
  </w:style>
  <w:style w:type="character" w:customStyle="1" w:styleId="10">
    <w:name w:val="标题 1 字符"/>
    <w:basedOn w:val="a1"/>
    <w:link w:val="1"/>
    <w:qFormat/>
    <w:rPr>
      <w:b/>
      <w:bCs/>
      <w:kern w:val="44"/>
      <w:sz w:val="44"/>
      <w:szCs w:val="44"/>
    </w:rPr>
  </w:style>
  <w:style w:type="character" w:customStyle="1" w:styleId="ac">
    <w:name w:val="日期 字符"/>
    <w:basedOn w:val="a1"/>
    <w:link w:val="ab"/>
    <w:uiPriority w:val="99"/>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19917">
      <w:bodyDiv w:val="1"/>
      <w:marLeft w:val="0"/>
      <w:marRight w:val="0"/>
      <w:marTop w:val="0"/>
      <w:marBottom w:val="0"/>
      <w:divBdr>
        <w:top w:val="none" w:sz="0" w:space="0" w:color="auto"/>
        <w:left w:val="none" w:sz="0" w:space="0" w:color="auto"/>
        <w:bottom w:val="none" w:sz="0" w:space="0" w:color="auto"/>
        <w:right w:val="none" w:sz="0" w:space="0" w:color="auto"/>
      </w:divBdr>
    </w:div>
    <w:div w:id="189033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1090</Words>
  <Characters>6215</Characters>
  <Application>Microsoft Office Word</Application>
  <DocSecurity>0</DocSecurity>
  <Lines>51</Lines>
  <Paragraphs>14</Paragraphs>
  <ScaleCrop>false</ScaleCrop>
  <Company>TRT. Ltd. Co.</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Yang.Wang@FA</cp:lastModifiedBy>
  <cp:revision>158</cp:revision>
  <cp:lastPrinted>2007-07-19T00:46:00Z</cp:lastPrinted>
  <dcterms:created xsi:type="dcterms:W3CDTF">2012-11-21T04:46:00Z</dcterms:created>
  <dcterms:modified xsi:type="dcterms:W3CDTF">2024-10-24T03:24:00Z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