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B025"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372C4001"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37A02D06"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16EBFDAC" w14:textId="77777777" w:rsidR="00881A82" w:rsidRPr="00473486" w:rsidRDefault="00881A82">
      <w:pPr>
        <w:autoSpaceDE w:val="0"/>
        <w:autoSpaceDN w:val="0"/>
        <w:adjustRightInd w:val="0"/>
        <w:spacing w:line="360" w:lineRule="auto"/>
        <w:jc w:val="left"/>
        <w:rPr>
          <w:rFonts w:eastAsiaTheme="minorEastAsia"/>
          <w:color w:val="000000" w:themeColor="text1"/>
          <w:kern w:val="0"/>
          <w:sz w:val="36"/>
          <w:szCs w:val="36"/>
        </w:rPr>
      </w:pPr>
    </w:p>
    <w:p w14:paraId="766F75B0" w14:textId="77777777" w:rsidR="00881A82" w:rsidRPr="00473486" w:rsidRDefault="007D1E3A">
      <w:pPr>
        <w:spacing w:line="360" w:lineRule="auto"/>
        <w:jc w:val="center"/>
        <w:rPr>
          <w:rFonts w:eastAsiaTheme="minorEastAsia"/>
          <w:b/>
          <w:color w:val="000000" w:themeColor="text1"/>
          <w:sz w:val="36"/>
          <w:szCs w:val="36"/>
        </w:rPr>
      </w:pPr>
      <w:r w:rsidRPr="00473486">
        <w:rPr>
          <w:rFonts w:eastAsiaTheme="minorEastAsia"/>
          <w:b/>
          <w:color w:val="000000" w:themeColor="text1"/>
          <w:sz w:val="36"/>
          <w:szCs w:val="36"/>
        </w:rPr>
        <w:t>摩根中证同业存单</w:t>
      </w:r>
      <w:r w:rsidRPr="00473486">
        <w:rPr>
          <w:rFonts w:eastAsiaTheme="minorEastAsia"/>
          <w:b/>
          <w:color w:val="000000" w:themeColor="text1"/>
          <w:sz w:val="36"/>
          <w:szCs w:val="36"/>
        </w:rPr>
        <w:t>AAA</w:t>
      </w:r>
      <w:r w:rsidRPr="00473486">
        <w:rPr>
          <w:rFonts w:eastAsiaTheme="minorEastAsia"/>
          <w:b/>
          <w:color w:val="000000" w:themeColor="text1"/>
          <w:sz w:val="36"/>
          <w:szCs w:val="36"/>
        </w:rPr>
        <w:t>指数</w:t>
      </w:r>
      <w:r w:rsidRPr="00473486">
        <w:rPr>
          <w:rFonts w:eastAsiaTheme="minorEastAsia"/>
          <w:b/>
          <w:color w:val="000000" w:themeColor="text1"/>
          <w:sz w:val="36"/>
          <w:szCs w:val="36"/>
        </w:rPr>
        <w:t>7</w:t>
      </w:r>
      <w:r w:rsidRPr="00473486">
        <w:rPr>
          <w:rFonts w:eastAsiaTheme="minorEastAsia"/>
          <w:b/>
          <w:color w:val="000000" w:themeColor="text1"/>
          <w:sz w:val="36"/>
          <w:szCs w:val="36"/>
        </w:rPr>
        <w:t>天持有期证券投资基金</w:t>
      </w:r>
    </w:p>
    <w:p w14:paraId="2D02E8B6" w14:textId="77777777" w:rsidR="00881A82" w:rsidRPr="00473486" w:rsidRDefault="007D1E3A">
      <w:pPr>
        <w:spacing w:line="360" w:lineRule="auto"/>
        <w:jc w:val="center"/>
        <w:rPr>
          <w:rFonts w:eastAsiaTheme="minorEastAsia"/>
          <w:b/>
          <w:color w:val="000000" w:themeColor="text1"/>
          <w:sz w:val="36"/>
          <w:szCs w:val="36"/>
        </w:rPr>
      </w:pPr>
      <w:r w:rsidRPr="00473486">
        <w:rPr>
          <w:rFonts w:eastAsiaTheme="minorEastAsia"/>
          <w:b/>
          <w:color w:val="000000" w:themeColor="text1"/>
          <w:sz w:val="36"/>
          <w:szCs w:val="36"/>
        </w:rPr>
        <w:t>2024</w:t>
      </w:r>
      <w:r w:rsidRPr="00473486">
        <w:rPr>
          <w:rFonts w:eastAsiaTheme="minorEastAsia"/>
          <w:b/>
          <w:color w:val="000000" w:themeColor="text1"/>
          <w:sz w:val="36"/>
          <w:szCs w:val="36"/>
        </w:rPr>
        <w:t>年第</w:t>
      </w:r>
      <w:r w:rsidRPr="00473486">
        <w:rPr>
          <w:rFonts w:eastAsiaTheme="minorEastAsia"/>
          <w:b/>
          <w:color w:val="000000" w:themeColor="text1"/>
          <w:sz w:val="36"/>
          <w:szCs w:val="36"/>
        </w:rPr>
        <w:t>2</w:t>
      </w:r>
      <w:r w:rsidRPr="00473486">
        <w:rPr>
          <w:rFonts w:eastAsiaTheme="minorEastAsia"/>
          <w:b/>
          <w:color w:val="000000" w:themeColor="text1"/>
          <w:sz w:val="36"/>
          <w:szCs w:val="36"/>
        </w:rPr>
        <w:t>季度报告</w:t>
      </w:r>
    </w:p>
    <w:p w14:paraId="63A646B0" w14:textId="77777777" w:rsidR="00881A82" w:rsidRPr="00473486" w:rsidRDefault="007D1E3A">
      <w:pPr>
        <w:spacing w:line="360" w:lineRule="auto"/>
        <w:jc w:val="center"/>
        <w:rPr>
          <w:rFonts w:eastAsiaTheme="minorEastAsia"/>
          <w:b/>
          <w:color w:val="000000" w:themeColor="text1"/>
          <w:sz w:val="36"/>
          <w:szCs w:val="36"/>
        </w:rPr>
      </w:pPr>
      <w:r w:rsidRPr="00473486">
        <w:rPr>
          <w:rFonts w:eastAsiaTheme="minorEastAsia"/>
          <w:b/>
          <w:color w:val="000000" w:themeColor="text1"/>
          <w:sz w:val="36"/>
          <w:szCs w:val="36"/>
        </w:rPr>
        <w:t>2024</w:t>
      </w:r>
      <w:r w:rsidRPr="00473486">
        <w:rPr>
          <w:rFonts w:eastAsiaTheme="minorEastAsia"/>
          <w:b/>
          <w:color w:val="000000" w:themeColor="text1"/>
          <w:sz w:val="36"/>
          <w:szCs w:val="36"/>
        </w:rPr>
        <w:t>年</w:t>
      </w:r>
      <w:r w:rsidRPr="00473486">
        <w:rPr>
          <w:rFonts w:eastAsiaTheme="minorEastAsia"/>
          <w:b/>
          <w:color w:val="000000" w:themeColor="text1"/>
          <w:sz w:val="36"/>
          <w:szCs w:val="36"/>
        </w:rPr>
        <w:t>6</w:t>
      </w:r>
      <w:r w:rsidRPr="00473486">
        <w:rPr>
          <w:rFonts w:eastAsiaTheme="minorEastAsia"/>
          <w:b/>
          <w:color w:val="000000" w:themeColor="text1"/>
          <w:sz w:val="36"/>
          <w:szCs w:val="36"/>
        </w:rPr>
        <w:t>月</w:t>
      </w:r>
      <w:r w:rsidRPr="00473486">
        <w:rPr>
          <w:rFonts w:eastAsiaTheme="minorEastAsia"/>
          <w:b/>
          <w:color w:val="000000" w:themeColor="text1"/>
          <w:sz w:val="36"/>
          <w:szCs w:val="36"/>
        </w:rPr>
        <w:t>30</w:t>
      </w:r>
      <w:r w:rsidRPr="00473486">
        <w:rPr>
          <w:rFonts w:eastAsiaTheme="minorEastAsia"/>
          <w:b/>
          <w:color w:val="000000" w:themeColor="text1"/>
          <w:sz w:val="36"/>
          <w:szCs w:val="36"/>
        </w:rPr>
        <w:t>日</w:t>
      </w:r>
    </w:p>
    <w:p w14:paraId="7CF2AD18" w14:textId="77777777" w:rsidR="00881A82" w:rsidRPr="00473486" w:rsidRDefault="00881A82">
      <w:pPr>
        <w:spacing w:line="360" w:lineRule="auto"/>
        <w:jc w:val="center"/>
        <w:rPr>
          <w:rFonts w:eastAsiaTheme="minorEastAsia"/>
          <w:b/>
          <w:color w:val="000000" w:themeColor="text1"/>
          <w:sz w:val="24"/>
        </w:rPr>
      </w:pPr>
    </w:p>
    <w:p w14:paraId="04E765C9" w14:textId="77777777" w:rsidR="00881A82" w:rsidRPr="00473486" w:rsidRDefault="00881A82">
      <w:pPr>
        <w:spacing w:line="360" w:lineRule="auto"/>
        <w:jc w:val="center"/>
        <w:rPr>
          <w:rFonts w:eastAsiaTheme="minorEastAsia"/>
          <w:b/>
          <w:color w:val="000000" w:themeColor="text1"/>
          <w:sz w:val="24"/>
        </w:rPr>
      </w:pPr>
    </w:p>
    <w:p w14:paraId="3C38916F" w14:textId="77777777" w:rsidR="00881A82" w:rsidRPr="00473486" w:rsidRDefault="00881A82">
      <w:pPr>
        <w:spacing w:line="360" w:lineRule="auto"/>
        <w:jc w:val="center"/>
        <w:rPr>
          <w:rFonts w:eastAsiaTheme="minorEastAsia"/>
          <w:b/>
          <w:color w:val="000000" w:themeColor="text1"/>
          <w:sz w:val="24"/>
        </w:rPr>
      </w:pPr>
    </w:p>
    <w:p w14:paraId="613018C1" w14:textId="77777777" w:rsidR="00881A82" w:rsidRPr="00473486" w:rsidRDefault="00881A82">
      <w:pPr>
        <w:spacing w:line="360" w:lineRule="auto"/>
        <w:jc w:val="center"/>
        <w:rPr>
          <w:rFonts w:eastAsiaTheme="minorEastAsia"/>
          <w:b/>
          <w:color w:val="000000" w:themeColor="text1"/>
          <w:sz w:val="24"/>
        </w:rPr>
      </w:pPr>
    </w:p>
    <w:p w14:paraId="0D327E41" w14:textId="77777777" w:rsidR="00881A82" w:rsidRPr="00473486" w:rsidRDefault="00881A82">
      <w:pPr>
        <w:spacing w:line="360" w:lineRule="auto"/>
        <w:jc w:val="center"/>
        <w:rPr>
          <w:rFonts w:eastAsiaTheme="minorEastAsia"/>
          <w:b/>
          <w:color w:val="000000" w:themeColor="text1"/>
          <w:sz w:val="24"/>
        </w:rPr>
      </w:pPr>
    </w:p>
    <w:p w14:paraId="65224ACB" w14:textId="77777777" w:rsidR="00881A82" w:rsidRPr="00473486" w:rsidRDefault="00881A82">
      <w:pPr>
        <w:spacing w:line="360" w:lineRule="auto"/>
        <w:jc w:val="center"/>
        <w:rPr>
          <w:rFonts w:eastAsiaTheme="minorEastAsia"/>
          <w:b/>
          <w:color w:val="000000" w:themeColor="text1"/>
          <w:sz w:val="24"/>
        </w:rPr>
      </w:pPr>
    </w:p>
    <w:p w14:paraId="6F9C3D03" w14:textId="77777777" w:rsidR="00881A82" w:rsidRPr="00473486" w:rsidRDefault="00881A82">
      <w:pPr>
        <w:spacing w:line="360" w:lineRule="auto"/>
        <w:jc w:val="center"/>
        <w:rPr>
          <w:rFonts w:eastAsiaTheme="minorEastAsia"/>
          <w:b/>
          <w:color w:val="000000" w:themeColor="text1"/>
          <w:sz w:val="24"/>
        </w:rPr>
      </w:pPr>
    </w:p>
    <w:p w14:paraId="57DD922D" w14:textId="77777777" w:rsidR="00881A82" w:rsidRPr="00473486" w:rsidRDefault="00881A82">
      <w:pPr>
        <w:spacing w:line="360" w:lineRule="auto"/>
        <w:jc w:val="center"/>
        <w:rPr>
          <w:rFonts w:eastAsiaTheme="minorEastAsia"/>
          <w:b/>
          <w:color w:val="000000" w:themeColor="text1"/>
          <w:sz w:val="24"/>
        </w:rPr>
      </w:pPr>
    </w:p>
    <w:p w14:paraId="6A3DAC60" w14:textId="77777777" w:rsidR="00881A82" w:rsidRPr="00473486" w:rsidRDefault="00881A82">
      <w:pPr>
        <w:spacing w:line="360" w:lineRule="auto"/>
        <w:jc w:val="center"/>
        <w:rPr>
          <w:rFonts w:eastAsiaTheme="minorEastAsia"/>
          <w:b/>
          <w:color w:val="000000" w:themeColor="text1"/>
          <w:sz w:val="24"/>
        </w:rPr>
      </w:pPr>
    </w:p>
    <w:p w14:paraId="5B0ACB85" w14:textId="77777777" w:rsidR="00881A82" w:rsidRPr="00473486" w:rsidRDefault="00881A82">
      <w:pPr>
        <w:spacing w:line="360" w:lineRule="auto"/>
        <w:jc w:val="center"/>
        <w:rPr>
          <w:rFonts w:eastAsiaTheme="minorEastAsia"/>
          <w:b/>
          <w:color w:val="000000" w:themeColor="text1"/>
          <w:sz w:val="24"/>
        </w:rPr>
      </w:pPr>
    </w:p>
    <w:p w14:paraId="482E95B1" w14:textId="77777777" w:rsidR="00881A82" w:rsidRPr="00473486" w:rsidRDefault="00881A82">
      <w:pPr>
        <w:spacing w:line="360" w:lineRule="auto"/>
        <w:jc w:val="center"/>
        <w:rPr>
          <w:rFonts w:eastAsiaTheme="minorEastAsia"/>
          <w:b/>
          <w:color w:val="000000" w:themeColor="text1"/>
          <w:sz w:val="24"/>
        </w:rPr>
      </w:pPr>
    </w:p>
    <w:p w14:paraId="3E31821D" w14:textId="77777777" w:rsidR="00881A82" w:rsidRPr="00473486" w:rsidRDefault="00881A82">
      <w:pPr>
        <w:spacing w:line="360" w:lineRule="auto"/>
        <w:jc w:val="center"/>
        <w:rPr>
          <w:rFonts w:eastAsiaTheme="minorEastAsia"/>
          <w:b/>
          <w:color w:val="000000" w:themeColor="text1"/>
          <w:sz w:val="24"/>
        </w:rPr>
      </w:pPr>
    </w:p>
    <w:p w14:paraId="0C597212" w14:textId="77777777" w:rsidR="00881A82" w:rsidRPr="00473486" w:rsidRDefault="00881A82">
      <w:pPr>
        <w:spacing w:line="360" w:lineRule="auto"/>
        <w:jc w:val="center"/>
        <w:rPr>
          <w:rFonts w:eastAsiaTheme="minorEastAsia"/>
          <w:b/>
          <w:color w:val="000000" w:themeColor="text1"/>
          <w:sz w:val="24"/>
        </w:rPr>
      </w:pPr>
    </w:p>
    <w:p w14:paraId="5E79E6B7" w14:textId="77777777" w:rsidR="00881A82" w:rsidRPr="00473486" w:rsidRDefault="00881A82">
      <w:pPr>
        <w:spacing w:line="360" w:lineRule="auto"/>
        <w:jc w:val="center"/>
        <w:rPr>
          <w:rFonts w:eastAsiaTheme="minorEastAsia"/>
          <w:b/>
          <w:color w:val="000000" w:themeColor="text1"/>
          <w:sz w:val="24"/>
        </w:rPr>
      </w:pPr>
    </w:p>
    <w:p w14:paraId="0594F3F1" w14:textId="77777777" w:rsidR="00881A82" w:rsidRPr="00473486" w:rsidRDefault="00881A82">
      <w:pPr>
        <w:spacing w:line="360" w:lineRule="auto"/>
        <w:rPr>
          <w:rFonts w:eastAsiaTheme="minorEastAsia"/>
          <w:b/>
          <w:color w:val="000000" w:themeColor="text1"/>
          <w:sz w:val="24"/>
        </w:rPr>
      </w:pPr>
    </w:p>
    <w:p w14:paraId="3E5F28E3" w14:textId="77777777" w:rsidR="00881A82" w:rsidRPr="00473486" w:rsidRDefault="007D1E3A">
      <w:pPr>
        <w:spacing w:line="360" w:lineRule="auto"/>
        <w:ind w:firstLineChars="900" w:firstLine="2168"/>
        <w:rPr>
          <w:rFonts w:eastAsiaTheme="minorEastAsia"/>
          <w:b/>
          <w:color w:val="000000" w:themeColor="text1"/>
          <w:sz w:val="24"/>
        </w:rPr>
      </w:pPr>
      <w:r w:rsidRPr="00473486">
        <w:rPr>
          <w:rFonts w:eastAsiaTheme="minorEastAsia"/>
          <w:b/>
          <w:color w:val="000000" w:themeColor="text1"/>
          <w:sz w:val="24"/>
        </w:rPr>
        <w:t>基金管理人：摩根基金管理（中国）有限公司</w:t>
      </w:r>
    </w:p>
    <w:p w14:paraId="63B0591D" w14:textId="77777777" w:rsidR="00881A82" w:rsidRPr="00473486" w:rsidRDefault="007D1E3A">
      <w:pPr>
        <w:spacing w:line="360" w:lineRule="auto"/>
        <w:ind w:firstLineChars="900" w:firstLine="2168"/>
        <w:rPr>
          <w:rFonts w:eastAsiaTheme="minorEastAsia"/>
          <w:b/>
          <w:color w:val="000000" w:themeColor="text1"/>
          <w:sz w:val="24"/>
        </w:rPr>
      </w:pPr>
      <w:r w:rsidRPr="00473486">
        <w:rPr>
          <w:rFonts w:eastAsiaTheme="minorEastAsia"/>
          <w:b/>
          <w:color w:val="000000" w:themeColor="text1"/>
          <w:sz w:val="24"/>
        </w:rPr>
        <w:t>基金托管人：交通银行股份有限公司</w:t>
      </w:r>
    </w:p>
    <w:p w14:paraId="7F57A6C4" w14:textId="77777777" w:rsidR="00881A82" w:rsidRPr="00473486" w:rsidRDefault="007D1E3A">
      <w:pPr>
        <w:spacing w:line="360" w:lineRule="auto"/>
        <w:ind w:firstLineChars="900" w:firstLine="2168"/>
        <w:rPr>
          <w:rFonts w:eastAsiaTheme="minorEastAsia"/>
          <w:b/>
          <w:color w:val="000000" w:themeColor="text1"/>
          <w:sz w:val="24"/>
        </w:rPr>
        <w:sectPr w:rsidR="00881A82" w:rsidRPr="00473486">
          <w:headerReference w:type="default" r:id="rId7"/>
          <w:footerReference w:type="default" r:id="rId8"/>
          <w:pgSz w:w="11926" w:h="15840"/>
          <w:pgMar w:top="1418" w:right="1418" w:bottom="851" w:left="1418" w:header="851" w:footer="992" w:gutter="0"/>
          <w:cols w:space="720"/>
        </w:sectPr>
      </w:pPr>
      <w:r w:rsidRPr="00473486">
        <w:rPr>
          <w:rFonts w:eastAsiaTheme="minorEastAsia"/>
          <w:b/>
          <w:color w:val="000000" w:themeColor="text1"/>
          <w:sz w:val="24"/>
        </w:rPr>
        <w:t>报告送出日期：二〇二四年七月十九日</w:t>
      </w:r>
    </w:p>
    <w:p w14:paraId="60A5A95C" w14:textId="77777777" w:rsidR="00881A82" w:rsidRPr="00473486" w:rsidRDefault="007D1E3A">
      <w:pPr>
        <w:pStyle w:val="1"/>
        <w:spacing w:beforeLines="100" w:before="312" w:afterLines="100" w:after="312" w:line="360" w:lineRule="auto"/>
        <w:jc w:val="center"/>
        <w:rPr>
          <w:rFonts w:eastAsiaTheme="minorEastAsia"/>
          <w:b w:val="0"/>
          <w:color w:val="000000" w:themeColor="text1"/>
          <w:kern w:val="0"/>
          <w:sz w:val="24"/>
          <w:szCs w:val="24"/>
        </w:rPr>
      </w:pPr>
      <w:r w:rsidRPr="00473486">
        <w:rPr>
          <w:rFonts w:eastAsiaTheme="minorEastAsia"/>
          <w:color w:val="000000" w:themeColor="text1"/>
          <w:kern w:val="0"/>
          <w:sz w:val="24"/>
          <w:szCs w:val="24"/>
        </w:rPr>
        <w:lastRenderedPageBreak/>
        <w:t xml:space="preserve">§1  </w:t>
      </w:r>
      <w:r w:rsidRPr="00473486">
        <w:rPr>
          <w:rFonts w:eastAsiaTheme="minorEastAsia"/>
          <w:color w:val="000000" w:themeColor="text1"/>
          <w:kern w:val="0"/>
          <w:sz w:val="24"/>
          <w:szCs w:val="24"/>
        </w:rPr>
        <w:t>重要提示</w:t>
      </w:r>
    </w:p>
    <w:p w14:paraId="4E5F0783"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14:paraId="2EB0054E"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基金托管人交通银行股份有限公司根据本基金合同规定，于</w:t>
      </w:r>
      <w:r>
        <w:rPr>
          <w:rFonts w:eastAsiaTheme="minorEastAsia"/>
          <w:color w:val="000000" w:themeColor="text1"/>
          <w:szCs w:val="21"/>
        </w:rPr>
        <w:t>2024</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18</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14:paraId="31C85D93"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14:paraId="6EBA9AE1"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14:paraId="07D498B6"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14:paraId="01F3320C"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本报告期自</w:t>
      </w:r>
      <w:r w:rsidRPr="00473486">
        <w:rPr>
          <w:rFonts w:eastAsiaTheme="minorEastAsia"/>
          <w:color w:val="000000" w:themeColor="text1"/>
          <w:szCs w:val="21"/>
        </w:rPr>
        <w:t>2024</w:t>
      </w:r>
      <w:r w:rsidRPr="00473486">
        <w:rPr>
          <w:rFonts w:eastAsiaTheme="minorEastAsia"/>
          <w:color w:val="000000" w:themeColor="text1"/>
          <w:szCs w:val="21"/>
        </w:rPr>
        <w:t>年</w:t>
      </w:r>
      <w:r w:rsidRPr="00473486">
        <w:rPr>
          <w:rFonts w:eastAsiaTheme="minorEastAsia"/>
          <w:color w:val="000000" w:themeColor="text1"/>
          <w:szCs w:val="21"/>
        </w:rPr>
        <w:t>4</w:t>
      </w:r>
      <w:r w:rsidRPr="00473486">
        <w:rPr>
          <w:rFonts w:eastAsiaTheme="minorEastAsia"/>
          <w:color w:val="000000" w:themeColor="text1"/>
          <w:szCs w:val="21"/>
        </w:rPr>
        <w:t>月</w:t>
      </w:r>
      <w:r w:rsidRPr="00473486">
        <w:rPr>
          <w:rFonts w:eastAsiaTheme="minorEastAsia"/>
          <w:color w:val="000000" w:themeColor="text1"/>
          <w:szCs w:val="21"/>
        </w:rPr>
        <w:t>1</w:t>
      </w:r>
      <w:r w:rsidRPr="00473486">
        <w:rPr>
          <w:rFonts w:eastAsiaTheme="minorEastAsia"/>
          <w:color w:val="000000" w:themeColor="text1"/>
          <w:szCs w:val="21"/>
        </w:rPr>
        <w:t>日起至</w:t>
      </w:r>
      <w:r w:rsidRPr="00473486">
        <w:rPr>
          <w:rFonts w:eastAsiaTheme="minorEastAsia"/>
          <w:color w:val="000000" w:themeColor="text1"/>
          <w:szCs w:val="21"/>
        </w:rPr>
        <w:t>6</w:t>
      </w:r>
      <w:r w:rsidRPr="00473486">
        <w:rPr>
          <w:rFonts w:eastAsiaTheme="minorEastAsia"/>
          <w:color w:val="000000" w:themeColor="text1"/>
          <w:szCs w:val="21"/>
        </w:rPr>
        <w:t>月</w:t>
      </w:r>
      <w:r w:rsidRPr="00473486">
        <w:rPr>
          <w:rFonts w:eastAsiaTheme="minorEastAsia"/>
          <w:color w:val="000000" w:themeColor="text1"/>
          <w:szCs w:val="21"/>
        </w:rPr>
        <w:t>30</w:t>
      </w:r>
      <w:r w:rsidRPr="00473486">
        <w:rPr>
          <w:rFonts w:eastAsiaTheme="minorEastAsia"/>
          <w:color w:val="000000" w:themeColor="text1"/>
          <w:szCs w:val="21"/>
        </w:rPr>
        <w:t>日止。</w:t>
      </w:r>
    </w:p>
    <w:p w14:paraId="69D3A51D"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t xml:space="preserve">§2  </w:t>
      </w:r>
      <w:r w:rsidRPr="00473486">
        <w:rPr>
          <w:rFonts w:eastAsiaTheme="minorEastAsia"/>
          <w:color w:val="000000" w:themeColor="text1"/>
          <w:kern w:val="0"/>
          <w:sz w:val="24"/>
          <w:szCs w:val="24"/>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479"/>
      </w:tblGrid>
      <w:tr w:rsidR="00881A82" w:rsidRPr="00473486" w14:paraId="7B0B7860" w14:textId="77777777">
        <w:tc>
          <w:tcPr>
            <w:tcW w:w="2835" w:type="dxa"/>
            <w:vAlign w:val="center"/>
          </w:tcPr>
          <w:p w14:paraId="77723090"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基金简称</w:t>
            </w:r>
          </w:p>
        </w:tc>
        <w:tc>
          <w:tcPr>
            <w:tcW w:w="5479" w:type="dxa"/>
            <w:vAlign w:val="center"/>
          </w:tcPr>
          <w:p w14:paraId="72BDEBC9"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摩根中证同业存单</w:t>
            </w:r>
            <w:r w:rsidRPr="00473486">
              <w:rPr>
                <w:rFonts w:eastAsiaTheme="minorEastAsia"/>
                <w:color w:val="000000" w:themeColor="text1"/>
                <w:kern w:val="0"/>
                <w:szCs w:val="21"/>
              </w:rPr>
              <w:t>AAA</w:t>
            </w:r>
            <w:r w:rsidRPr="00473486">
              <w:rPr>
                <w:rFonts w:eastAsiaTheme="minorEastAsia"/>
                <w:color w:val="000000" w:themeColor="text1"/>
                <w:kern w:val="0"/>
                <w:szCs w:val="21"/>
              </w:rPr>
              <w:t>指数</w:t>
            </w:r>
            <w:r w:rsidRPr="00473486">
              <w:rPr>
                <w:rFonts w:eastAsiaTheme="minorEastAsia"/>
                <w:color w:val="000000" w:themeColor="text1"/>
                <w:kern w:val="0"/>
                <w:szCs w:val="21"/>
              </w:rPr>
              <w:t>7</w:t>
            </w:r>
            <w:r w:rsidRPr="00473486">
              <w:rPr>
                <w:rFonts w:eastAsiaTheme="minorEastAsia"/>
                <w:color w:val="000000" w:themeColor="text1"/>
                <w:kern w:val="0"/>
                <w:szCs w:val="21"/>
              </w:rPr>
              <w:t>天持有期</w:t>
            </w:r>
          </w:p>
        </w:tc>
      </w:tr>
      <w:tr w:rsidR="00881A82" w:rsidRPr="00473486" w14:paraId="5A0714A9" w14:textId="77777777">
        <w:tc>
          <w:tcPr>
            <w:tcW w:w="2835" w:type="dxa"/>
            <w:tcBorders>
              <w:top w:val="single" w:sz="4" w:space="0" w:color="auto"/>
              <w:left w:val="single" w:sz="4" w:space="0" w:color="auto"/>
              <w:bottom w:val="single" w:sz="4" w:space="0" w:color="auto"/>
              <w:right w:val="single" w:sz="4" w:space="0" w:color="auto"/>
            </w:tcBorders>
            <w:vAlign w:val="center"/>
          </w:tcPr>
          <w:p w14:paraId="0215EC8C"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基金主代码</w:t>
            </w:r>
          </w:p>
        </w:tc>
        <w:tc>
          <w:tcPr>
            <w:tcW w:w="5479" w:type="dxa"/>
            <w:tcBorders>
              <w:top w:val="single" w:sz="4" w:space="0" w:color="auto"/>
              <w:left w:val="single" w:sz="4" w:space="0" w:color="auto"/>
              <w:bottom w:val="single" w:sz="4" w:space="0" w:color="auto"/>
              <w:right w:val="single" w:sz="4" w:space="0" w:color="auto"/>
            </w:tcBorders>
            <w:vAlign w:val="center"/>
          </w:tcPr>
          <w:p w14:paraId="1E20591B"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019683</w:t>
            </w:r>
          </w:p>
        </w:tc>
      </w:tr>
      <w:tr w:rsidR="00881A82" w:rsidRPr="00473486" w14:paraId="1343367A" w14:textId="77777777">
        <w:tc>
          <w:tcPr>
            <w:tcW w:w="2835" w:type="dxa"/>
            <w:tcBorders>
              <w:top w:val="single" w:sz="4" w:space="0" w:color="auto"/>
              <w:left w:val="single" w:sz="4" w:space="0" w:color="auto"/>
              <w:bottom w:val="single" w:sz="4" w:space="0" w:color="auto"/>
              <w:right w:val="single" w:sz="4" w:space="0" w:color="auto"/>
            </w:tcBorders>
            <w:vAlign w:val="center"/>
          </w:tcPr>
          <w:p w14:paraId="5CB07C8C"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14:paraId="79A6E8F0"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019683</w:t>
            </w:r>
          </w:p>
        </w:tc>
      </w:tr>
      <w:tr w:rsidR="00881A82" w:rsidRPr="00473486" w14:paraId="26F6506D" w14:textId="77777777">
        <w:tc>
          <w:tcPr>
            <w:tcW w:w="2835" w:type="dxa"/>
            <w:vAlign w:val="center"/>
          </w:tcPr>
          <w:p w14:paraId="148DA065"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基金运作方式</w:t>
            </w:r>
          </w:p>
        </w:tc>
        <w:tc>
          <w:tcPr>
            <w:tcW w:w="5479" w:type="dxa"/>
            <w:vAlign w:val="center"/>
          </w:tcPr>
          <w:p w14:paraId="184EED67"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契约型开放式</w:t>
            </w:r>
          </w:p>
        </w:tc>
      </w:tr>
      <w:tr w:rsidR="00881A82" w:rsidRPr="00473486" w14:paraId="193426A2" w14:textId="77777777">
        <w:tc>
          <w:tcPr>
            <w:tcW w:w="2835" w:type="dxa"/>
            <w:vAlign w:val="center"/>
          </w:tcPr>
          <w:p w14:paraId="52782E6D"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基金合同生效日</w:t>
            </w:r>
          </w:p>
        </w:tc>
        <w:tc>
          <w:tcPr>
            <w:tcW w:w="5479" w:type="dxa"/>
            <w:vAlign w:val="center"/>
          </w:tcPr>
          <w:p w14:paraId="6799FAB7"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2023</w:t>
            </w:r>
            <w:r w:rsidRPr="00473486">
              <w:rPr>
                <w:rFonts w:eastAsiaTheme="minorEastAsia"/>
                <w:color w:val="000000" w:themeColor="text1"/>
                <w:kern w:val="0"/>
                <w:szCs w:val="21"/>
              </w:rPr>
              <w:t>年</w:t>
            </w:r>
            <w:r w:rsidRPr="00473486">
              <w:rPr>
                <w:rFonts w:eastAsiaTheme="minorEastAsia"/>
                <w:color w:val="000000" w:themeColor="text1"/>
                <w:kern w:val="0"/>
                <w:szCs w:val="21"/>
              </w:rPr>
              <w:t>12</w:t>
            </w:r>
            <w:r w:rsidRPr="00473486">
              <w:rPr>
                <w:rFonts w:eastAsiaTheme="minorEastAsia"/>
                <w:color w:val="000000" w:themeColor="text1"/>
                <w:kern w:val="0"/>
                <w:szCs w:val="21"/>
              </w:rPr>
              <w:t>月</w:t>
            </w:r>
            <w:r w:rsidRPr="00473486">
              <w:rPr>
                <w:rFonts w:eastAsiaTheme="minorEastAsia"/>
                <w:color w:val="000000" w:themeColor="text1"/>
                <w:kern w:val="0"/>
                <w:szCs w:val="21"/>
              </w:rPr>
              <w:t>18</w:t>
            </w:r>
            <w:r w:rsidRPr="00473486">
              <w:rPr>
                <w:rFonts w:eastAsiaTheme="minorEastAsia"/>
                <w:color w:val="000000" w:themeColor="text1"/>
                <w:kern w:val="0"/>
                <w:szCs w:val="21"/>
              </w:rPr>
              <w:t>日</w:t>
            </w:r>
          </w:p>
        </w:tc>
      </w:tr>
      <w:tr w:rsidR="00881A82" w:rsidRPr="00473486" w14:paraId="60B79BEE" w14:textId="77777777">
        <w:tc>
          <w:tcPr>
            <w:tcW w:w="2835" w:type="dxa"/>
            <w:vAlign w:val="center"/>
          </w:tcPr>
          <w:p w14:paraId="00BADAC4"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报告期末基金份额总额</w:t>
            </w:r>
          </w:p>
        </w:tc>
        <w:tc>
          <w:tcPr>
            <w:tcW w:w="5479" w:type="dxa"/>
            <w:vAlign w:val="center"/>
          </w:tcPr>
          <w:p w14:paraId="1B673060"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474,869,898.98</w:t>
            </w:r>
            <w:r w:rsidRPr="00473486">
              <w:rPr>
                <w:rFonts w:eastAsiaTheme="minorEastAsia"/>
                <w:color w:val="000000" w:themeColor="text1"/>
                <w:kern w:val="0"/>
                <w:szCs w:val="21"/>
              </w:rPr>
              <w:t>份</w:t>
            </w:r>
          </w:p>
        </w:tc>
      </w:tr>
      <w:tr w:rsidR="00881A82" w:rsidRPr="00473486" w14:paraId="63F87409" w14:textId="77777777">
        <w:tc>
          <w:tcPr>
            <w:tcW w:w="2835" w:type="dxa"/>
            <w:vAlign w:val="center"/>
          </w:tcPr>
          <w:p w14:paraId="7EE5E29F"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投资目标</w:t>
            </w:r>
          </w:p>
        </w:tc>
        <w:tc>
          <w:tcPr>
            <w:tcW w:w="5479" w:type="dxa"/>
            <w:vAlign w:val="center"/>
          </w:tcPr>
          <w:p w14:paraId="5433D829"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本基金通过指数化投资，争取在扣除各项费用之前获得与标的指数相似的总回报，追求跟踪偏离度及跟踪误差的最小化。</w:t>
            </w:r>
          </w:p>
        </w:tc>
      </w:tr>
      <w:tr w:rsidR="00881A82" w:rsidRPr="00473486" w14:paraId="18CFD4E6" w14:textId="77777777">
        <w:tc>
          <w:tcPr>
            <w:tcW w:w="2835" w:type="dxa"/>
            <w:vAlign w:val="center"/>
          </w:tcPr>
          <w:p w14:paraId="4D8860A0"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投资策略</w:t>
            </w:r>
          </w:p>
        </w:tc>
        <w:tc>
          <w:tcPr>
            <w:tcW w:w="5479" w:type="dxa"/>
            <w:vAlign w:val="center"/>
          </w:tcPr>
          <w:p w14:paraId="03EFAE6C" w14:textId="77777777" w:rsidR="009442E3" w:rsidRDefault="0046571D">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（一）资产配置策略</w:t>
            </w:r>
          </w:p>
          <w:p w14:paraId="1D0325FA" w14:textId="77777777" w:rsidR="009442E3" w:rsidRDefault="0046571D">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本基金将在降低跟踪误差和控制流动性风险的前提下构建指数化的投资组合。本基金投资于同业存单的比例不低于基金资产的</w:t>
            </w:r>
            <w:r>
              <w:rPr>
                <w:rFonts w:eastAsiaTheme="minorEastAsia"/>
                <w:color w:val="000000" w:themeColor="text1"/>
                <w:kern w:val="0"/>
                <w:szCs w:val="21"/>
              </w:rPr>
              <w:t>80%</w:t>
            </w:r>
            <w:r>
              <w:rPr>
                <w:rFonts w:eastAsiaTheme="minorEastAsia"/>
                <w:color w:val="000000" w:themeColor="text1"/>
                <w:kern w:val="0"/>
                <w:szCs w:val="21"/>
              </w:rPr>
              <w:t>，投资于标的指数成份券和备选成份券</w:t>
            </w:r>
            <w:r>
              <w:rPr>
                <w:rFonts w:eastAsiaTheme="minorEastAsia"/>
                <w:color w:val="000000" w:themeColor="text1"/>
                <w:kern w:val="0"/>
                <w:szCs w:val="21"/>
              </w:rPr>
              <w:lastRenderedPageBreak/>
              <w:t>的比例不低于非现金基金资产的</w:t>
            </w:r>
            <w:r>
              <w:rPr>
                <w:rFonts w:eastAsiaTheme="minorEastAsia"/>
                <w:color w:val="000000" w:themeColor="text1"/>
                <w:kern w:val="0"/>
                <w:szCs w:val="21"/>
              </w:rPr>
              <w:t>80%</w:t>
            </w:r>
            <w:r>
              <w:rPr>
                <w:rFonts w:eastAsiaTheme="minorEastAsia"/>
                <w:color w:val="000000" w:themeColor="text1"/>
                <w:kern w:val="0"/>
                <w:szCs w:val="21"/>
              </w:rPr>
              <w:t>。</w:t>
            </w:r>
          </w:p>
          <w:p w14:paraId="1CD498E7" w14:textId="77777777" w:rsidR="009442E3" w:rsidRDefault="0046571D">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（二）抽样复制策略</w:t>
            </w:r>
          </w:p>
          <w:p w14:paraId="22FA886C" w14:textId="77777777" w:rsidR="009442E3" w:rsidRDefault="0046571D">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按待偿期将可投资同业存单进行分层，综合考虑同业存单发行人的信用资质、存单流动性及可获得性，在每个分层中选取一定数量个券，分配权重，使得组合每个分层的权重占比与指数保持一致。本基金将定期对投资组合进行调整，以确保组合总体特征与标的指数相似，并缩小跟踪误差。当发生较大的申购赎回、组合中同业存单派息、存单到期以及市场波动剧烈等情况，导致投资组合与标的指数出现偏离，本基金将综合考虑市场流动性、交易成本、偏离程度等因素，对投资组合进行不定期的动态调整以缩小跟踪误差。</w:t>
            </w:r>
          </w:p>
          <w:p w14:paraId="00505B0C" w14:textId="77777777" w:rsidR="009442E3" w:rsidRDefault="0046571D">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（三）替代性策略</w:t>
            </w:r>
          </w:p>
          <w:p w14:paraId="25C19D99" w14:textId="77777777" w:rsidR="009442E3" w:rsidRDefault="0046571D">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管理人可以在成份券和备选成份券外寻找其他存单和债券构建替代组合，本基金将选取与成份券久期相近、剩余期限基本匹配的存单和债券进行替代。在力求跟踪误差最小化的前提下，本基金可采取适当方法，如久期管理、期限结构配置、类别配置、骑乘、息差等优化策略对基金资产进行调整，降低交易成本，以期在规定的风险承受限度之内，尽量缩小跟踪误差。</w:t>
            </w:r>
          </w:p>
          <w:p w14:paraId="0FC7BFF1" w14:textId="77777777" w:rsidR="009442E3" w:rsidRDefault="0046571D">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（四）资产支持证券投资策略</w:t>
            </w:r>
          </w:p>
          <w:p w14:paraId="7D1B3BBE"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tc>
      </w:tr>
      <w:tr w:rsidR="00881A82" w:rsidRPr="00473486" w14:paraId="7AD5AA4E" w14:textId="77777777">
        <w:tc>
          <w:tcPr>
            <w:tcW w:w="2835" w:type="dxa"/>
            <w:vAlign w:val="center"/>
          </w:tcPr>
          <w:p w14:paraId="78272C2E"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lastRenderedPageBreak/>
              <w:t>业绩比较基准</w:t>
            </w:r>
          </w:p>
        </w:tc>
        <w:tc>
          <w:tcPr>
            <w:tcW w:w="5479" w:type="dxa"/>
            <w:vAlign w:val="center"/>
          </w:tcPr>
          <w:p w14:paraId="11D6DC7F"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中证同业存单</w:t>
            </w:r>
            <w:r w:rsidRPr="00473486">
              <w:rPr>
                <w:rFonts w:eastAsiaTheme="minorEastAsia"/>
                <w:color w:val="000000" w:themeColor="text1"/>
                <w:kern w:val="0"/>
                <w:szCs w:val="21"/>
              </w:rPr>
              <w:t>AAA</w:t>
            </w:r>
            <w:r w:rsidRPr="00473486">
              <w:rPr>
                <w:rFonts w:eastAsiaTheme="minorEastAsia"/>
                <w:color w:val="000000" w:themeColor="text1"/>
                <w:kern w:val="0"/>
                <w:szCs w:val="21"/>
              </w:rPr>
              <w:t>指数收益率</w:t>
            </w:r>
            <w:r w:rsidRPr="00473486">
              <w:rPr>
                <w:rFonts w:eastAsiaTheme="minorEastAsia"/>
                <w:color w:val="000000" w:themeColor="text1"/>
                <w:kern w:val="0"/>
                <w:szCs w:val="21"/>
              </w:rPr>
              <w:t>×95%+</w:t>
            </w:r>
            <w:r w:rsidRPr="00473486">
              <w:rPr>
                <w:rFonts w:eastAsiaTheme="minorEastAsia"/>
                <w:color w:val="000000" w:themeColor="text1"/>
                <w:kern w:val="0"/>
                <w:szCs w:val="21"/>
              </w:rPr>
              <w:t>银行人民币一年定期存款利率（税后）</w:t>
            </w:r>
            <w:r w:rsidRPr="00473486">
              <w:rPr>
                <w:rFonts w:eastAsiaTheme="minorEastAsia"/>
                <w:color w:val="000000" w:themeColor="text1"/>
                <w:kern w:val="0"/>
                <w:szCs w:val="21"/>
              </w:rPr>
              <w:t>×5%</w:t>
            </w:r>
          </w:p>
        </w:tc>
      </w:tr>
      <w:tr w:rsidR="00881A82" w:rsidRPr="00473486" w14:paraId="24804DD0" w14:textId="77777777">
        <w:tc>
          <w:tcPr>
            <w:tcW w:w="2835" w:type="dxa"/>
            <w:vAlign w:val="center"/>
          </w:tcPr>
          <w:p w14:paraId="71F37F0C"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风险收益特征</w:t>
            </w:r>
          </w:p>
        </w:tc>
        <w:tc>
          <w:tcPr>
            <w:tcW w:w="5479" w:type="dxa"/>
            <w:vAlign w:val="center"/>
          </w:tcPr>
          <w:p w14:paraId="255DF45C" w14:textId="77777777" w:rsidR="009442E3" w:rsidRDefault="0046571D">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本基金预期风险与预期收益低于股票型基金、偏股混合型基金，高于货币市场基金。</w:t>
            </w:r>
          </w:p>
          <w:p w14:paraId="207430C9"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本基金为指数型基金，主要采用抽样复制和动态最优化的方法跟踪标的指数的表现，具有与标的指数以及标的指数所代表的市场相似的风险收益特征。</w:t>
            </w:r>
          </w:p>
        </w:tc>
      </w:tr>
      <w:tr w:rsidR="00881A82" w:rsidRPr="00473486" w14:paraId="75520EB2" w14:textId="77777777">
        <w:tc>
          <w:tcPr>
            <w:tcW w:w="2835" w:type="dxa"/>
            <w:vAlign w:val="center"/>
          </w:tcPr>
          <w:p w14:paraId="6935E047"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基金管理人</w:t>
            </w:r>
          </w:p>
        </w:tc>
        <w:tc>
          <w:tcPr>
            <w:tcW w:w="5479" w:type="dxa"/>
            <w:vAlign w:val="center"/>
          </w:tcPr>
          <w:p w14:paraId="52E9FB14"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摩根基金管理（中国）有限公司</w:t>
            </w:r>
          </w:p>
        </w:tc>
      </w:tr>
      <w:tr w:rsidR="00881A82" w:rsidRPr="00473486" w14:paraId="4B9ECDB6" w14:textId="77777777">
        <w:tc>
          <w:tcPr>
            <w:tcW w:w="2835" w:type="dxa"/>
            <w:vAlign w:val="center"/>
          </w:tcPr>
          <w:p w14:paraId="680ABA19"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基金托管人</w:t>
            </w:r>
          </w:p>
        </w:tc>
        <w:tc>
          <w:tcPr>
            <w:tcW w:w="5479" w:type="dxa"/>
            <w:vAlign w:val="center"/>
          </w:tcPr>
          <w:p w14:paraId="7E923F99"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交通银行股份有限公司</w:t>
            </w:r>
          </w:p>
        </w:tc>
      </w:tr>
    </w:tbl>
    <w:p w14:paraId="2646A625"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t xml:space="preserve">§3  </w:t>
      </w:r>
      <w:r w:rsidRPr="00473486">
        <w:rPr>
          <w:rFonts w:eastAsiaTheme="minorEastAsia"/>
          <w:color w:val="000000" w:themeColor="text1"/>
          <w:kern w:val="0"/>
          <w:sz w:val="24"/>
          <w:szCs w:val="24"/>
        </w:rPr>
        <w:t>主要财务指标和基金净值表现</w:t>
      </w:r>
    </w:p>
    <w:p w14:paraId="7F60A9E9"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3.1 </w:t>
      </w:r>
      <w:r w:rsidRPr="00473486">
        <w:rPr>
          <w:rFonts w:eastAsiaTheme="minorEastAsia"/>
          <w:b/>
          <w:color w:val="000000" w:themeColor="text1"/>
          <w:kern w:val="0"/>
          <w:sz w:val="24"/>
        </w:rPr>
        <w:t>主要财务指标</w:t>
      </w:r>
    </w:p>
    <w:p w14:paraId="3A6352FF"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962"/>
      </w:tblGrid>
      <w:tr w:rsidR="0046571D" w:rsidRPr="00473486" w14:paraId="19D87390" w14:textId="77777777" w:rsidTr="0046571D">
        <w:tc>
          <w:tcPr>
            <w:tcW w:w="3402" w:type="dxa"/>
            <w:vAlign w:val="center"/>
          </w:tcPr>
          <w:p w14:paraId="0F73C427" w14:textId="77777777" w:rsidR="00881A82" w:rsidRPr="00473486" w:rsidRDefault="007D1E3A">
            <w:pPr>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主要财务指标</w:t>
            </w:r>
          </w:p>
        </w:tc>
        <w:tc>
          <w:tcPr>
            <w:tcW w:w="4962" w:type="dxa"/>
            <w:vAlign w:val="center"/>
          </w:tcPr>
          <w:p w14:paraId="6738B287" w14:textId="77777777" w:rsidR="00881A82" w:rsidRPr="00473486" w:rsidRDefault="007D1E3A">
            <w:pPr>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报告期</w:t>
            </w:r>
          </w:p>
          <w:p w14:paraId="0525E540" w14:textId="77777777" w:rsidR="00881A82" w:rsidRPr="00473486" w:rsidRDefault="007D1E3A">
            <w:pPr>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(2024</w:t>
            </w:r>
            <w:r w:rsidRPr="00473486">
              <w:rPr>
                <w:rFonts w:eastAsiaTheme="minorEastAsia"/>
                <w:color w:val="000000" w:themeColor="text1"/>
                <w:szCs w:val="21"/>
              </w:rPr>
              <w:t>年</w:t>
            </w:r>
            <w:r w:rsidRPr="00473486">
              <w:rPr>
                <w:rFonts w:eastAsiaTheme="minorEastAsia"/>
                <w:color w:val="000000" w:themeColor="text1"/>
                <w:szCs w:val="21"/>
              </w:rPr>
              <w:t>4</w:t>
            </w:r>
            <w:r w:rsidRPr="00473486">
              <w:rPr>
                <w:rFonts w:eastAsiaTheme="minorEastAsia"/>
                <w:color w:val="000000" w:themeColor="text1"/>
                <w:szCs w:val="21"/>
              </w:rPr>
              <w:t>月</w:t>
            </w:r>
            <w:r w:rsidRPr="00473486">
              <w:rPr>
                <w:rFonts w:eastAsiaTheme="minorEastAsia"/>
                <w:color w:val="000000" w:themeColor="text1"/>
                <w:szCs w:val="21"/>
              </w:rPr>
              <w:t>1</w:t>
            </w:r>
            <w:r w:rsidRPr="00473486">
              <w:rPr>
                <w:rFonts w:eastAsiaTheme="minorEastAsia"/>
                <w:color w:val="000000" w:themeColor="text1"/>
                <w:szCs w:val="21"/>
              </w:rPr>
              <w:t>日</w:t>
            </w:r>
            <w:r w:rsidRPr="00473486">
              <w:rPr>
                <w:rFonts w:eastAsiaTheme="minorEastAsia"/>
                <w:color w:val="000000" w:themeColor="text1"/>
                <w:szCs w:val="21"/>
              </w:rPr>
              <w:t>-2024</w:t>
            </w:r>
            <w:r w:rsidRPr="00473486">
              <w:rPr>
                <w:rFonts w:eastAsiaTheme="minorEastAsia"/>
                <w:color w:val="000000" w:themeColor="text1"/>
                <w:szCs w:val="21"/>
              </w:rPr>
              <w:t>年</w:t>
            </w:r>
            <w:r w:rsidRPr="00473486">
              <w:rPr>
                <w:rFonts w:eastAsiaTheme="minorEastAsia"/>
                <w:color w:val="000000" w:themeColor="text1"/>
                <w:szCs w:val="21"/>
              </w:rPr>
              <w:t>6</w:t>
            </w:r>
            <w:r w:rsidRPr="00473486">
              <w:rPr>
                <w:rFonts w:eastAsiaTheme="minorEastAsia"/>
                <w:color w:val="000000" w:themeColor="text1"/>
                <w:szCs w:val="21"/>
              </w:rPr>
              <w:t>月</w:t>
            </w:r>
            <w:r w:rsidRPr="00473486">
              <w:rPr>
                <w:rFonts w:eastAsiaTheme="minorEastAsia"/>
                <w:color w:val="000000" w:themeColor="text1"/>
                <w:szCs w:val="21"/>
              </w:rPr>
              <w:t>30</w:t>
            </w:r>
            <w:r w:rsidRPr="00473486">
              <w:rPr>
                <w:rFonts w:eastAsiaTheme="minorEastAsia"/>
                <w:color w:val="000000" w:themeColor="text1"/>
                <w:szCs w:val="21"/>
              </w:rPr>
              <w:t>日</w:t>
            </w:r>
            <w:r w:rsidRPr="00473486">
              <w:rPr>
                <w:rFonts w:eastAsiaTheme="minorEastAsia"/>
                <w:color w:val="000000" w:themeColor="text1"/>
                <w:szCs w:val="21"/>
              </w:rPr>
              <w:t>)</w:t>
            </w:r>
          </w:p>
        </w:tc>
      </w:tr>
      <w:tr w:rsidR="0046571D" w:rsidRPr="00473486" w14:paraId="42E0D022" w14:textId="77777777" w:rsidTr="0046571D">
        <w:tc>
          <w:tcPr>
            <w:tcW w:w="3402" w:type="dxa"/>
            <w:vAlign w:val="center"/>
          </w:tcPr>
          <w:p w14:paraId="1FD60E57"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1.</w:t>
            </w:r>
            <w:r w:rsidRPr="00473486">
              <w:rPr>
                <w:rFonts w:eastAsiaTheme="minorEastAsia"/>
                <w:color w:val="000000" w:themeColor="text1"/>
                <w:kern w:val="0"/>
                <w:szCs w:val="21"/>
              </w:rPr>
              <w:t>本期已实现收益</w:t>
            </w:r>
          </w:p>
        </w:tc>
        <w:tc>
          <w:tcPr>
            <w:tcW w:w="4962" w:type="dxa"/>
            <w:vAlign w:val="center"/>
          </w:tcPr>
          <w:p w14:paraId="71F0EDD4" w14:textId="77777777" w:rsidR="00881A82" w:rsidRPr="00473486" w:rsidRDefault="007D1E3A">
            <w:pPr>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4,236,866.39</w:t>
            </w:r>
          </w:p>
        </w:tc>
      </w:tr>
      <w:tr w:rsidR="0046571D" w:rsidRPr="00473486" w14:paraId="1C90D678" w14:textId="77777777" w:rsidTr="0046571D">
        <w:tc>
          <w:tcPr>
            <w:tcW w:w="3402" w:type="dxa"/>
            <w:vAlign w:val="center"/>
          </w:tcPr>
          <w:p w14:paraId="459D7467"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2.</w:t>
            </w:r>
            <w:r w:rsidRPr="00473486">
              <w:rPr>
                <w:rFonts w:eastAsiaTheme="minorEastAsia"/>
                <w:color w:val="000000" w:themeColor="text1"/>
                <w:kern w:val="0"/>
                <w:szCs w:val="21"/>
              </w:rPr>
              <w:t>本期利润</w:t>
            </w:r>
          </w:p>
        </w:tc>
        <w:tc>
          <w:tcPr>
            <w:tcW w:w="4962" w:type="dxa"/>
            <w:vAlign w:val="center"/>
          </w:tcPr>
          <w:p w14:paraId="44877B45" w14:textId="77777777" w:rsidR="00881A82" w:rsidRPr="00473486" w:rsidRDefault="007D1E3A">
            <w:pPr>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4,431,685.26</w:t>
            </w:r>
          </w:p>
        </w:tc>
      </w:tr>
      <w:tr w:rsidR="0046571D" w:rsidRPr="00473486" w14:paraId="609761A8" w14:textId="77777777" w:rsidTr="0046571D">
        <w:tc>
          <w:tcPr>
            <w:tcW w:w="3402" w:type="dxa"/>
            <w:vAlign w:val="center"/>
          </w:tcPr>
          <w:p w14:paraId="7B80693F"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3.</w:t>
            </w:r>
            <w:r w:rsidRPr="00473486">
              <w:rPr>
                <w:rFonts w:eastAsiaTheme="minorEastAsia"/>
                <w:color w:val="000000" w:themeColor="text1"/>
                <w:kern w:val="0"/>
                <w:szCs w:val="21"/>
              </w:rPr>
              <w:t>加权平均基金份额本期利润</w:t>
            </w:r>
          </w:p>
        </w:tc>
        <w:tc>
          <w:tcPr>
            <w:tcW w:w="4962" w:type="dxa"/>
            <w:vAlign w:val="center"/>
          </w:tcPr>
          <w:p w14:paraId="085283CF" w14:textId="77777777" w:rsidR="00881A82" w:rsidRPr="00473486" w:rsidRDefault="007D1E3A">
            <w:pPr>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0.0056</w:t>
            </w:r>
          </w:p>
        </w:tc>
      </w:tr>
      <w:tr w:rsidR="0046571D" w:rsidRPr="00473486" w14:paraId="4E8322A4" w14:textId="77777777" w:rsidTr="0046571D">
        <w:tc>
          <w:tcPr>
            <w:tcW w:w="3402" w:type="dxa"/>
            <w:vAlign w:val="center"/>
          </w:tcPr>
          <w:p w14:paraId="2A8A527C"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4.</w:t>
            </w:r>
            <w:r w:rsidRPr="00473486">
              <w:rPr>
                <w:rFonts w:eastAsiaTheme="minorEastAsia"/>
                <w:color w:val="000000" w:themeColor="text1"/>
                <w:kern w:val="0"/>
                <w:szCs w:val="21"/>
              </w:rPr>
              <w:t>期末基金资产净值</w:t>
            </w:r>
          </w:p>
        </w:tc>
        <w:tc>
          <w:tcPr>
            <w:tcW w:w="4962" w:type="dxa"/>
            <w:vAlign w:val="center"/>
          </w:tcPr>
          <w:p w14:paraId="178B1A78" w14:textId="77777777" w:rsidR="00881A82" w:rsidRPr="00473486" w:rsidRDefault="007D1E3A">
            <w:pPr>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480,467,921.57</w:t>
            </w:r>
          </w:p>
        </w:tc>
      </w:tr>
      <w:tr w:rsidR="0046571D" w:rsidRPr="00473486" w14:paraId="2FAB8536" w14:textId="77777777" w:rsidTr="0046571D">
        <w:trPr>
          <w:trHeight w:val="158"/>
        </w:trPr>
        <w:tc>
          <w:tcPr>
            <w:tcW w:w="3402" w:type="dxa"/>
            <w:vAlign w:val="center"/>
          </w:tcPr>
          <w:p w14:paraId="17D4DE7F"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5.</w:t>
            </w:r>
            <w:r w:rsidRPr="00473486">
              <w:rPr>
                <w:rFonts w:eastAsiaTheme="minorEastAsia"/>
                <w:color w:val="000000" w:themeColor="text1"/>
                <w:kern w:val="0"/>
                <w:szCs w:val="21"/>
              </w:rPr>
              <w:t>期末基金份额净值</w:t>
            </w:r>
          </w:p>
        </w:tc>
        <w:tc>
          <w:tcPr>
            <w:tcW w:w="4962" w:type="dxa"/>
            <w:vAlign w:val="center"/>
          </w:tcPr>
          <w:p w14:paraId="5C687DB6" w14:textId="77777777" w:rsidR="00881A82" w:rsidRPr="00473486" w:rsidRDefault="007D1E3A">
            <w:pPr>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1.0118</w:t>
            </w:r>
          </w:p>
        </w:tc>
      </w:tr>
    </w:tbl>
    <w:p w14:paraId="62223724" w14:textId="77777777" w:rsidR="009442E3" w:rsidRDefault="0046571D">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注：本期已实现收益指基金本期利息收入、投资收益、其他收入</w:t>
      </w:r>
      <w:r>
        <w:rPr>
          <w:rFonts w:eastAsiaTheme="minorEastAsia"/>
          <w:color w:val="000000" w:themeColor="text1"/>
          <w:szCs w:val="21"/>
        </w:rPr>
        <w:t>(</w:t>
      </w:r>
      <w:r>
        <w:rPr>
          <w:rFonts w:eastAsiaTheme="minorEastAsia"/>
          <w:color w:val="000000" w:themeColor="text1"/>
          <w:szCs w:val="21"/>
        </w:rPr>
        <w:t>不含公允价值变动收益</w:t>
      </w:r>
      <w:r>
        <w:rPr>
          <w:rFonts w:eastAsiaTheme="minorEastAsia"/>
          <w:color w:val="000000" w:themeColor="text1"/>
          <w:szCs w:val="21"/>
        </w:rPr>
        <w:t>)</w:t>
      </w:r>
      <w:r>
        <w:rPr>
          <w:rFonts w:eastAsiaTheme="minorEastAsia"/>
          <w:color w:val="000000" w:themeColor="text1"/>
          <w:szCs w:val="21"/>
        </w:rPr>
        <w:t>扣除相关费用后的余额，本期利润为本期已实现收益加上本期公允价值变动收益。</w:t>
      </w:r>
      <w:r>
        <w:rPr>
          <w:rFonts w:eastAsiaTheme="minorEastAsia"/>
          <w:color w:val="000000" w:themeColor="text1"/>
          <w:szCs w:val="21"/>
        </w:rPr>
        <w:t xml:space="preserve"> </w:t>
      </w:r>
    </w:p>
    <w:p w14:paraId="55AA47B4"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上述基金业绩指标不包括持有人认购或交易基金的各项费用（例如，开放式基金的申购赎回费、红利再投资费、基金转换费等），计入费用后实际收益水平要低于所列数字。</w:t>
      </w:r>
    </w:p>
    <w:p w14:paraId="008DA640" w14:textId="77777777" w:rsidR="00881A82" w:rsidRPr="00473486" w:rsidRDefault="00881A82">
      <w:pPr>
        <w:autoSpaceDE w:val="0"/>
        <w:autoSpaceDN w:val="0"/>
        <w:adjustRightInd w:val="0"/>
        <w:spacing w:line="360" w:lineRule="auto"/>
        <w:jc w:val="left"/>
        <w:rPr>
          <w:rFonts w:eastAsiaTheme="minorEastAsia"/>
          <w:color w:val="000000" w:themeColor="text1"/>
          <w:kern w:val="0"/>
          <w:szCs w:val="21"/>
        </w:rPr>
      </w:pPr>
    </w:p>
    <w:p w14:paraId="552FA144"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3.2 </w:t>
      </w:r>
      <w:r w:rsidRPr="00473486">
        <w:rPr>
          <w:rFonts w:eastAsiaTheme="minorEastAsia"/>
          <w:b/>
          <w:color w:val="000000" w:themeColor="text1"/>
          <w:kern w:val="0"/>
          <w:sz w:val="24"/>
        </w:rPr>
        <w:t>基金净值表现</w:t>
      </w:r>
    </w:p>
    <w:p w14:paraId="1F4A9A81"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3.2.1</w:t>
      </w:r>
      <w:r w:rsidRPr="00473486">
        <w:rPr>
          <w:rFonts w:eastAsiaTheme="minorEastAsia"/>
          <w:b/>
          <w:color w:val="000000" w:themeColor="text1"/>
          <w:kern w:val="0"/>
          <w:sz w:val="24"/>
        </w:rPr>
        <w:t>本报告期基金份额净值增长率及其与同期业绩比较基准收益率的比较</w:t>
      </w:r>
    </w:p>
    <w:tbl>
      <w:tblPr>
        <w:tblStyle w:val="afa"/>
        <w:tblW w:w="8420" w:type="dxa"/>
        <w:tblInd w:w="108" w:type="dxa"/>
        <w:tblLayout w:type="fixed"/>
        <w:tblLook w:val="04A0" w:firstRow="1" w:lastRow="0" w:firstColumn="1" w:lastColumn="0" w:noHBand="0" w:noVBand="1"/>
      </w:tblPr>
      <w:tblGrid>
        <w:gridCol w:w="1395"/>
        <w:gridCol w:w="1092"/>
        <w:gridCol w:w="1161"/>
        <w:gridCol w:w="1181"/>
        <w:gridCol w:w="1188"/>
        <w:gridCol w:w="1199"/>
        <w:gridCol w:w="1204"/>
      </w:tblGrid>
      <w:tr w:rsidR="00881A82" w:rsidRPr="00473486" w14:paraId="62CA9ECC" w14:textId="77777777">
        <w:tc>
          <w:tcPr>
            <w:tcW w:w="1395" w:type="dxa"/>
            <w:vAlign w:val="center"/>
          </w:tcPr>
          <w:p w14:paraId="0C15FBEA"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阶段</w:t>
            </w:r>
          </w:p>
        </w:tc>
        <w:tc>
          <w:tcPr>
            <w:tcW w:w="1092" w:type="dxa"/>
            <w:vAlign w:val="center"/>
          </w:tcPr>
          <w:p w14:paraId="426E0A90"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净值增长</w:t>
            </w:r>
            <w:r w:rsidRPr="00473486">
              <w:rPr>
                <w:rFonts w:eastAsiaTheme="minorEastAsia"/>
                <w:color w:val="000000" w:themeColor="text1"/>
                <w:szCs w:val="21"/>
              </w:rPr>
              <w:lastRenderedPageBreak/>
              <w:t>率</w:t>
            </w:r>
            <w:r w:rsidRPr="00473486">
              <w:rPr>
                <w:rFonts w:ascii="宋体" w:hAnsi="宋体" w:cs="宋体" w:hint="eastAsia"/>
                <w:color w:val="000000" w:themeColor="text1"/>
                <w:szCs w:val="21"/>
              </w:rPr>
              <w:t>①</w:t>
            </w:r>
          </w:p>
        </w:tc>
        <w:tc>
          <w:tcPr>
            <w:tcW w:w="1161" w:type="dxa"/>
            <w:vAlign w:val="center"/>
          </w:tcPr>
          <w:p w14:paraId="129805E4"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lastRenderedPageBreak/>
              <w:t>净值增长</w:t>
            </w:r>
            <w:r w:rsidRPr="00473486">
              <w:rPr>
                <w:rFonts w:eastAsiaTheme="minorEastAsia"/>
                <w:color w:val="000000" w:themeColor="text1"/>
                <w:szCs w:val="21"/>
              </w:rPr>
              <w:lastRenderedPageBreak/>
              <w:t>率标准差</w:t>
            </w:r>
            <w:r w:rsidRPr="00473486">
              <w:rPr>
                <w:rFonts w:ascii="宋体" w:hAnsi="宋体" w:cs="宋体" w:hint="eastAsia"/>
                <w:color w:val="000000" w:themeColor="text1"/>
                <w:szCs w:val="21"/>
              </w:rPr>
              <w:t>②</w:t>
            </w:r>
          </w:p>
        </w:tc>
        <w:tc>
          <w:tcPr>
            <w:tcW w:w="1181" w:type="dxa"/>
            <w:vAlign w:val="center"/>
          </w:tcPr>
          <w:p w14:paraId="6D26AB8E"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lastRenderedPageBreak/>
              <w:t>业绩比较</w:t>
            </w:r>
            <w:r w:rsidRPr="00473486">
              <w:rPr>
                <w:rFonts w:eastAsiaTheme="minorEastAsia"/>
                <w:color w:val="000000" w:themeColor="text1"/>
                <w:szCs w:val="21"/>
              </w:rPr>
              <w:lastRenderedPageBreak/>
              <w:t>基准收益率</w:t>
            </w:r>
            <w:r w:rsidRPr="00473486">
              <w:rPr>
                <w:rFonts w:ascii="宋体" w:hAnsi="宋体" w:cs="宋体" w:hint="eastAsia"/>
                <w:color w:val="000000" w:themeColor="text1"/>
                <w:szCs w:val="21"/>
              </w:rPr>
              <w:t>③</w:t>
            </w:r>
          </w:p>
        </w:tc>
        <w:tc>
          <w:tcPr>
            <w:tcW w:w="1188" w:type="dxa"/>
            <w:vAlign w:val="center"/>
          </w:tcPr>
          <w:p w14:paraId="7F905B78"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lastRenderedPageBreak/>
              <w:t>业绩比较</w:t>
            </w:r>
            <w:r w:rsidRPr="00473486">
              <w:rPr>
                <w:rFonts w:eastAsiaTheme="minorEastAsia"/>
                <w:color w:val="000000" w:themeColor="text1"/>
                <w:szCs w:val="21"/>
              </w:rPr>
              <w:lastRenderedPageBreak/>
              <w:t>基准收益率标准差</w:t>
            </w:r>
            <w:r w:rsidRPr="00473486">
              <w:rPr>
                <w:rFonts w:ascii="宋体" w:hAnsi="宋体" w:cs="宋体" w:hint="eastAsia"/>
                <w:color w:val="000000" w:themeColor="text1"/>
                <w:szCs w:val="21"/>
              </w:rPr>
              <w:t>④</w:t>
            </w:r>
          </w:p>
        </w:tc>
        <w:tc>
          <w:tcPr>
            <w:tcW w:w="1199" w:type="dxa"/>
            <w:vAlign w:val="center"/>
          </w:tcPr>
          <w:p w14:paraId="60121895"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ascii="宋体" w:hAnsi="宋体" w:cs="宋体" w:hint="eastAsia"/>
                <w:color w:val="000000" w:themeColor="text1"/>
                <w:szCs w:val="21"/>
              </w:rPr>
              <w:lastRenderedPageBreak/>
              <w:t>①</w:t>
            </w:r>
            <w:r w:rsidRPr="00473486">
              <w:rPr>
                <w:rFonts w:eastAsiaTheme="minorEastAsia"/>
                <w:color w:val="000000" w:themeColor="text1"/>
                <w:szCs w:val="21"/>
              </w:rPr>
              <w:t>-</w:t>
            </w:r>
            <w:r w:rsidRPr="00473486">
              <w:rPr>
                <w:rFonts w:ascii="宋体" w:hAnsi="宋体" w:cs="宋体" w:hint="eastAsia"/>
                <w:color w:val="000000" w:themeColor="text1"/>
                <w:szCs w:val="21"/>
              </w:rPr>
              <w:t>③</w:t>
            </w:r>
          </w:p>
        </w:tc>
        <w:tc>
          <w:tcPr>
            <w:tcW w:w="1204" w:type="dxa"/>
            <w:vAlign w:val="center"/>
          </w:tcPr>
          <w:p w14:paraId="3145EE10"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ascii="宋体" w:hAnsi="宋体" w:cs="宋体" w:hint="eastAsia"/>
                <w:color w:val="000000" w:themeColor="text1"/>
                <w:szCs w:val="21"/>
              </w:rPr>
              <w:t>②</w:t>
            </w:r>
            <w:r w:rsidRPr="00473486">
              <w:rPr>
                <w:rFonts w:eastAsiaTheme="minorEastAsia"/>
                <w:color w:val="000000" w:themeColor="text1"/>
                <w:szCs w:val="21"/>
              </w:rPr>
              <w:t>-</w:t>
            </w:r>
            <w:r w:rsidRPr="00473486">
              <w:rPr>
                <w:rFonts w:ascii="宋体" w:hAnsi="宋体" w:cs="宋体" w:hint="eastAsia"/>
                <w:color w:val="000000" w:themeColor="text1"/>
                <w:szCs w:val="21"/>
              </w:rPr>
              <w:t>④</w:t>
            </w:r>
          </w:p>
        </w:tc>
      </w:tr>
      <w:tr w:rsidR="009442E3" w14:paraId="78CDF97B" w14:textId="77777777">
        <w:tc>
          <w:tcPr>
            <w:tcW w:w="1395" w:type="dxa"/>
            <w:vAlign w:val="center"/>
          </w:tcPr>
          <w:p w14:paraId="123AE0CA" w14:textId="77777777" w:rsidR="009442E3" w:rsidRDefault="0046571D">
            <w:pPr>
              <w:jc w:val="left"/>
            </w:pPr>
            <w:r>
              <w:rPr>
                <w:rFonts w:eastAsiaTheme="minorEastAsia"/>
                <w:color w:val="000000" w:themeColor="text1"/>
                <w:szCs w:val="21"/>
              </w:rPr>
              <w:t>过去三个月</w:t>
            </w:r>
          </w:p>
        </w:tc>
        <w:tc>
          <w:tcPr>
            <w:tcW w:w="1092" w:type="dxa"/>
            <w:vAlign w:val="center"/>
          </w:tcPr>
          <w:p w14:paraId="77CE4F57" w14:textId="77777777" w:rsidR="009442E3" w:rsidRDefault="0046571D">
            <w:pPr>
              <w:jc w:val="center"/>
            </w:pPr>
            <w:r>
              <w:rPr>
                <w:rFonts w:eastAsiaTheme="minorEastAsia"/>
                <w:color w:val="000000" w:themeColor="text1"/>
                <w:szCs w:val="21"/>
              </w:rPr>
              <w:t>0.52%</w:t>
            </w:r>
          </w:p>
        </w:tc>
        <w:tc>
          <w:tcPr>
            <w:tcW w:w="1161" w:type="dxa"/>
            <w:vAlign w:val="center"/>
          </w:tcPr>
          <w:p w14:paraId="40C6B205" w14:textId="77777777" w:rsidR="009442E3" w:rsidRDefault="0046571D">
            <w:pPr>
              <w:jc w:val="center"/>
            </w:pPr>
            <w:r>
              <w:rPr>
                <w:rFonts w:eastAsiaTheme="minorEastAsia"/>
                <w:color w:val="000000" w:themeColor="text1"/>
                <w:szCs w:val="21"/>
              </w:rPr>
              <w:t>0.01%</w:t>
            </w:r>
          </w:p>
        </w:tc>
        <w:tc>
          <w:tcPr>
            <w:tcW w:w="1181" w:type="dxa"/>
            <w:vAlign w:val="center"/>
          </w:tcPr>
          <w:p w14:paraId="21A83592" w14:textId="77777777" w:rsidR="009442E3" w:rsidRDefault="0046571D">
            <w:pPr>
              <w:jc w:val="center"/>
            </w:pPr>
            <w:r>
              <w:rPr>
                <w:rFonts w:eastAsiaTheme="minorEastAsia"/>
                <w:color w:val="000000" w:themeColor="text1"/>
                <w:szCs w:val="21"/>
              </w:rPr>
              <w:t>0.62%</w:t>
            </w:r>
          </w:p>
        </w:tc>
        <w:tc>
          <w:tcPr>
            <w:tcW w:w="1188" w:type="dxa"/>
            <w:vAlign w:val="center"/>
          </w:tcPr>
          <w:p w14:paraId="4D1BEE04" w14:textId="77777777" w:rsidR="009442E3" w:rsidRDefault="0046571D">
            <w:pPr>
              <w:jc w:val="center"/>
            </w:pPr>
            <w:r>
              <w:rPr>
                <w:rFonts w:eastAsiaTheme="minorEastAsia"/>
                <w:color w:val="000000" w:themeColor="text1"/>
                <w:szCs w:val="21"/>
              </w:rPr>
              <w:t>0.01%</w:t>
            </w:r>
          </w:p>
        </w:tc>
        <w:tc>
          <w:tcPr>
            <w:tcW w:w="1199" w:type="dxa"/>
            <w:vAlign w:val="center"/>
          </w:tcPr>
          <w:p w14:paraId="4386F056" w14:textId="77777777" w:rsidR="009442E3" w:rsidRDefault="0046571D">
            <w:pPr>
              <w:jc w:val="center"/>
            </w:pPr>
            <w:r>
              <w:rPr>
                <w:rFonts w:eastAsiaTheme="minorEastAsia"/>
                <w:color w:val="000000" w:themeColor="text1"/>
                <w:szCs w:val="21"/>
              </w:rPr>
              <w:t>-0.10%</w:t>
            </w:r>
          </w:p>
        </w:tc>
        <w:tc>
          <w:tcPr>
            <w:tcW w:w="1204" w:type="dxa"/>
            <w:vAlign w:val="center"/>
          </w:tcPr>
          <w:p w14:paraId="2ABEE7C3" w14:textId="77777777" w:rsidR="009442E3" w:rsidRDefault="0046571D">
            <w:pPr>
              <w:jc w:val="center"/>
            </w:pPr>
            <w:r>
              <w:rPr>
                <w:rFonts w:eastAsiaTheme="minorEastAsia"/>
                <w:color w:val="000000" w:themeColor="text1"/>
                <w:szCs w:val="21"/>
              </w:rPr>
              <w:t>0.00%</w:t>
            </w:r>
          </w:p>
        </w:tc>
      </w:tr>
      <w:tr w:rsidR="009442E3" w14:paraId="1AF75A7D" w14:textId="77777777">
        <w:tc>
          <w:tcPr>
            <w:tcW w:w="1395" w:type="dxa"/>
            <w:vAlign w:val="center"/>
          </w:tcPr>
          <w:p w14:paraId="10E8D521" w14:textId="77777777" w:rsidR="009442E3" w:rsidRDefault="0046571D">
            <w:pPr>
              <w:jc w:val="left"/>
            </w:pPr>
            <w:r>
              <w:rPr>
                <w:rFonts w:eastAsiaTheme="minorEastAsia"/>
                <w:color w:val="000000" w:themeColor="text1"/>
                <w:szCs w:val="21"/>
              </w:rPr>
              <w:t>过去六个月</w:t>
            </w:r>
          </w:p>
        </w:tc>
        <w:tc>
          <w:tcPr>
            <w:tcW w:w="1092" w:type="dxa"/>
            <w:vAlign w:val="center"/>
          </w:tcPr>
          <w:p w14:paraId="4F4506C3" w14:textId="77777777" w:rsidR="009442E3" w:rsidRDefault="0046571D">
            <w:pPr>
              <w:jc w:val="center"/>
            </w:pPr>
            <w:r>
              <w:rPr>
                <w:rFonts w:eastAsiaTheme="minorEastAsia"/>
                <w:color w:val="000000" w:themeColor="text1"/>
                <w:szCs w:val="21"/>
              </w:rPr>
              <w:t>1.09%</w:t>
            </w:r>
          </w:p>
        </w:tc>
        <w:tc>
          <w:tcPr>
            <w:tcW w:w="1161" w:type="dxa"/>
            <w:vAlign w:val="center"/>
          </w:tcPr>
          <w:p w14:paraId="26215463" w14:textId="77777777" w:rsidR="009442E3" w:rsidRDefault="0046571D">
            <w:pPr>
              <w:jc w:val="center"/>
            </w:pPr>
            <w:r>
              <w:rPr>
                <w:rFonts w:eastAsiaTheme="minorEastAsia"/>
                <w:color w:val="000000" w:themeColor="text1"/>
                <w:szCs w:val="21"/>
              </w:rPr>
              <w:t>0.01%</w:t>
            </w:r>
          </w:p>
        </w:tc>
        <w:tc>
          <w:tcPr>
            <w:tcW w:w="1181" w:type="dxa"/>
            <w:vAlign w:val="center"/>
          </w:tcPr>
          <w:p w14:paraId="67AF22DE" w14:textId="77777777" w:rsidR="009442E3" w:rsidRDefault="0046571D">
            <w:pPr>
              <w:jc w:val="center"/>
            </w:pPr>
            <w:r>
              <w:rPr>
                <w:rFonts w:eastAsiaTheme="minorEastAsia"/>
                <w:color w:val="000000" w:themeColor="text1"/>
                <w:szCs w:val="21"/>
              </w:rPr>
              <w:t>1.25%</w:t>
            </w:r>
          </w:p>
        </w:tc>
        <w:tc>
          <w:tcPr>
            <w:tcW w:w="1188" w:type="dxa"/>
            <w:vAlign w:val="center"/>
          </w:tcPr>
          <w:p w14:paraId="44D994BC" w14:textId="77777777" w:rsidR="009442E3" w:rsidRDefault="0046571D">
            <w:pPr>
              <w:jc w:val="center"/>
            </w:pPr>
            <w:r>
              <w:rPr>
                <w:rFonts w:eastAsiaTheme="minorEastAsia"/>
                <w:color w:val="000000" w:themeColor="text1"/>
                <w:szCs w:val="21"/>
              </w:rPr>
              <w:t>0.01%</w:t>
            </w:r>
          </w:p>
        </w:tc>
        <w:tc>
          <w:tcPr>
            <w:tcW w:w="1199" w:type="dxa"/>
            <w:vAlign w:val="center"/>
          </w:tcPr>
          <w:p w14:paraId="6A2BD453" w14:textId="77777777" w:rsidR="009442E3" w:rsidRDefault="0046571D">
            <w:pPr>
              <w:jc w:val="center"/>
            </w:pPr>
            <w:r>
              <w:rPr>
                <w:rFonts w:eastAsiaTheme="minorEastAsia"/>
                <w:color w:val="000000" w:themeColor="text1"/>
                <w:szCs w:val="21"/>
              </w:rPr>
              <w:t>-0.16%</w:t>
            </w:r>
          </w:p>
        </w:tc>
        <w:tc>
          <w:tcPr>
            <w:tcW w:w="1204" w:type="dxa"/>
            <w:vAlign w:val="center"/>
          </w:tcPr>
          <w:p w14:paraId="2E7D60CD" w14:textId="77777777" w:rsidR="009442E3" w:rsidRDefault="0046571D">
            <w:pPr>
              <w:jc w:val="center"/>
            </w:pPr>
            <w:r>
              <w:rPr>
                <w:rFonts w:eastAsiaTheme="minorEastAsia"/>
                <w:color w:val="000000" w:themeColor="text1"/>
                <w:szCs w:val="21"/>
              </w:rPr>
              <w:t>0.00%</w:t>
            </w:r>
          </w:p>
        </w:tc>
      </w:tr>
      <w:tr w:rsidR="009442E3" w14:paraId="5687B507" w14:textId="77777777">
        <w:tc>
          <w:tcPr>
            <w:tcW w:w="1395" w:type="dxa"/>
            <w:vAlign w:val="center"/>
          </w:tcPr>
          <w:p w14:paraId="1E5721DD" w14:textId="77777777" w:rsidR="009442E3" w:rsidRDefault="0046571D">
            <w:pPr>
              <w:jc w:val="left"/>
            </w:pPr>
            <w:r>
              <w:rPr>
                <w:rFonts w:eastAsiaTheme="minorEastAsia"/>
                <w:color w:val="000000" w:themeColor="text1"/>
                <w:szCs w:val="21"/>
              </w:rPr>
              <w:t>过去一年</w:t>
            </w:r>
          </w:p>
        </w:tc>
        <w:tc>
          <w:tcPr>
            <w:tcW w:w="1092" w:type="dxa"/>
            <w:vAlign w:val="center"/>
          </w:tcPr>
          <w:p w14:paraId="0FBAD475" w14:textId="77777777" w:rsidR="009442E3" w:rsidRDefault="0046571D">
            <w:pPr>
              <w:jc w:val="center"/>
            </w:pPr>
            <w:r>
              <w:rPr>
                <w:rFonts w:eastAsiaTheme="minorEastAsia"/>
                <w:color w:val="000000" w:themeColor="text1"/>
                <w:szCs w:val="21"/>
              </w:rPr>
              <w:t>-</w:t>
            </w:r>
          </w:p>
        </w:tc>
        <w:tc>
          <w:tcPr>
            <w:tcW w:w="1161" w:type="dxa"/>
            <w:vAlign w:val="center"/>
          </w:tcPr>
          <w:p w14:paraId="0D7556B0" w14:textId="77777777" w:rsidR="009442E3" w:rsidRDefault="0046571D">
            <w:pPr>
              <w:jc w:val="center"/>
            </w:pPr>
            <w:r>
              <w:rPr>
                <w:rFonts w:eastAsiaTheme="minorEastAsia"/>
                <w:color w:val="000000" w:themeColor="text1"/>
                <w:szCs w:val="21"/>
              </w:rPr>
              <w:t>-</w:t>
            </w:r>
          </w:p>
        </w:tc>
        <w:tc>
          <w:tcPr>
            <w:tcW w:w="1181" w:type="dxa"/>
            <w:vAlign w:val="center"/>
          </w:tcPr>
          <w:p w14:paraId="698B4AAB" w14:textId="77777777" w:rsidR="009442E3" w:rsidRDefault="0046571D">
            <w:pPr>
              <w:jc w:val="center"/>
            </w:pPr>
            <w:r>
              <w:rPr>
                <w:rFonts w:eastAsiaTheme="minorEastAsia"/>
                <w:color w:val="000000" w:themeColor="text1"/>
                <w:szCs w:val="21"/>
              </w:rPr>
              <w:t>-</w:t>
            </w:r>
          </w:p>
        </w:tc>
        <w:tc>
          <w:tcPr>
            <w:tcW w:w="1188" w:type="dxa"/>
            <w:vAlign w:val="center"/>
          </w:tcPr>
          <w:p w14:paraId="1FBC6CD2" w14:textId="77777777" w:rsidR="009442E3" w:rsidRDefault="0046571D">
            <w:pPr>
              <w:jc w:val="center"/>
            </w:pPr>
            <w:r>
              <w:rPr>
                <w:rFonts w:eastAsiaTheme="minorEastAsia"/>
                <w:color w:val="000000" w:themeColor="text1"/>
                <w:szCs w:val="21"/>
              </w:rPr>
              <w:t>-</w:t>
            </w:r>
          </w:p>
        </w:tc>
        <w:tc>
          <w:tcPr>
            <w:tcW w:w="1199" w:type="dxa"/>
            <w:vAlign w:val="center"/>
          </w:tcPr>
          <w:p w14:paraId="1AA780F1" w14:textId="77777777" w:rsidR="009442E3" w:rsidRDefault="0046571D">
            <w:pPr>
              <w:jc w:val="center"/>
            </w:pPr>
            <w:r>
              <w:rPr>
                <w:rFonts w:eastAsiaTheme="minorEastAsia"/>
                <w:color w:val="000000" w:themeColor="text1"/>
                <w:szCs w:val="21"/>
              </w:rPr>
              <w:t>-</w:t>
            </w:r>
          </w:p>
        </w:tc>
        <w:tc>
          <w:tcPr>
            <w:tcW w:w="1204" w:type="dxa"/>
            <w:vAlign w:val="center"/>
          </w:tcPr>
          <w:p w14:paraId="270A706C" w14:textId="77777777" w:rsidR="009442E3" w:rsidRDefault="0046571D">
            <w:pPr>
              <w:jc w:val="center"/>
            </w:pPr>
            <w:r>
              <w:rPr>
                <w:rFonts w:eastAsiaTheme="minorEastAsia"/>
                <w:color w:val="000000" w:themeColor="text1"/>
                <w:szCs w:val="21"/>
              </w:rPr>
              <w:t>-</w:t>
            </w:r>
          </w:p>
        </w:tc>
      </w:tr>
      <w:tr w:rsidR="009442E3" w14:paraId="5E939829" w14:textId="77777777">
        <w:tc>
          <w:tcPr>
            <w:tcW w:w="1395" w:type="dxa"/>
            <w:vAlign w:val="center"/>
          </w:tcPr>
          <w:p w14:paraId="2F38A68F" w14:textId="77777777" w:rsidR="009442E3" w:rsidRDefault="0046571D">
            <w:pPr>
              <w:jc w:val="left"/>
            </w:pPr>
            <w:r>
              <w:rPr>
                <w:rFonts w:eastAsiaTheme="minorEastAsia"/>
                <w:color w:val="000000" w:themeColor="text1"/>
                <w:szCs w:val="21"/>
              </w:rPr>
              <w:t>过去三年</w:t>
            </w:r>
          </w:p>
        </w:tc>
        <w:tc>
          <w:tcPr>
            <w:tcW w:w="1092" w:type="dxa"/>
            <w:vAlign w:val="center"/>
          </w:tcPr>
          <w:p w14:paraId="2B5A8DB3" w14:textId="77777777" w:rsidR="009442E3" w:rsidRDefault="0046571D">
            <w:pPr>
              <w:jc w:val="center"/>
            </w:pPr>
            <w:r>
              <w:rPr>
                <w:rFonts w:eastAsiaTheme="minorEastAsia"/>
                <w:color w:val="000000" w:themeColor="text1"/>
                <w:szCs w:val="21"/>
              </w:rPr>
              <w:t>-</w:t>
            </w:r>
          </w:p>
        </w:tc>
        <w:tc>
          <w:tcPr>
            <w:tcW w:w="1161" w:type="dxa"/>
            <w:vAlign w:val="center"/>
          </w:tcPr>
          <w:p w14:paraId="4BFAC605" w14:textId="77777777" w:rsidR="009442E3" w:rsidRDefault="0046571D">
            <w:pPr>
              <w:jc w:val="center"/>
            </w:pPr>
            <w:r>
              <w:rPr>
                <w:rFonts w:eastAsiaTheme="minorEastAsia"/>
                <w:color w:val="000000" w:themeColor="text1"/>
                <w:szCs w:val="21"/>
              </w:rPr>
              <w:t>-</w:t>
            </w:r>
          </w:p>
        </w:tc>
        <w:tc>
          <w:tcPr>
            <w:tcW w:w="1181" w:type="dxa"/>
            <w:vAlign w:val="center"/>
          </w:tcPr>
          <w:p w14:paraId="6E8B9E48" w14:textId="77777777" w:rsidR="009442E3" w:rsidRDefault="0046571D">
            <w:pPr>
              <w:jc w:val="center"/>
            </w:pPr>
            <w:r>
              <w:rPr>
                <w:rFonts w:eastAsiaTheme="minorEastAsia"/>
                <w:color w:val="000000" w:themeColor="text1"/>
                <w:szCs w:val="21"/>
              </w:rPr>
              <w:t>-</w:t>
            </w:r>
          </w:p>
        </w:tc>
        <w:tc>
          <w:tcPr>
            <w:tcW w:w="1188" w:type="dxa"/>
            <w:vAlign w:val="center"/>
          </w:tcPr>
          <w:p w14:paraId="7D4422A5" w14:textId="77777777" w:rsidR="009442E3" w:rsidRDefault="0046571D">
            <w:pPr>
              <w:jc w:val="center"/>
            </w:pPr>
            <w:r>
              <w:rPr>
                <w:rFonts w:eastAsiaTheme="minorEastAsia"/>
                <w:color w:val="000000" w:themeColor="text1"/>
                <w:szCs w:val="21"/>
              </w:rPr>
              <w:t>-</w:t>
            </w:r>
          </w:p>
        </w:tc>
        <w:tc>
          <w:tcPr>
            <w:tcW w:w="1199" w:type="dxa"/>
            <w:vAlign w:val="center"/>
          </w:tcPr>
          <w:p w14:paraId="39F202C3" w14:textId="77777777" w:rsidR="009442E3" w:rsidRDefault="0046571D">
            <w:pPr>
              <w:jc w:val="center"/>
            </w:pPr>
            <w:r>
              <w:rPr>
                <w:rFonts w:eastAsiaTheme="minorEastAsia"/>
                <w:color w:val="000000" w:themeColor="text1"/>
                <w:szCs w:val="21"/>
              </w:rPr>
              <w:t>-</w:t>
            </w:r>
          </w:p>
        </w:tc>
        <w:tc>
          <w:tcPr>
            <w:tcW w:w="1204" w:type="dxa"/>
            <w:vAlign w:val="center"/>
          </w:tcPr>
          <w:p w14:paraId="1460BF32" w14:textId="77777777" w:rsidR="009442E3" w:rsidRDefault="0046571D">
            <w:pPr>
              <w:jc w:val="center"/>
            </w:pPr>
            <w:r>
              <w:rPr>
                <w:rFonts w:eastAsiaTheme="minorEastAsia"/>
                <w:color w:val="000000" w:themeColor="text1"/>
                <w:szCs w:val="21"/>
              </w:rPr>
              <w:t>-</w:t>
            </w:r>
          </w:p>
        </w:tc>
      </w:tr>
      <w:tr w:rsidR="009442E3" w14:paraId="7057D00F" w14:textId="77777777">
        <w:tc>
          <w:tcPr>
            <w:tcW w:w="1395" w:type="dxa"/>
            <w:vAlign w:val="center"/>
          </w:tcPr>
          <w:p w14:paraId="5F41432C" w14:textId="77777777" w:rsidR="009442E3" w:rsidRDefault="0046571D">
            <w:pPr>
              <w:jc w:val="left"/>
            </w:pPr>
            <w:r>
              <w:rPr>
                <w:rFonts w:eastAsiaTheme="minorEastAsia"/>
                <w:color w:val="000000" w:themeColor="text1"/>
                <w:szCs w:val="21"/>
              </w:rPr>
              <w:t>过去五年</w:t>
            </w:r>
          </w:p>
        </w:tc>
        <w:tc>
          <w:tcPr>
            <w:tcW w:w="1092" w:type="dxa"/>
            <w:vAlign w:val="center"/>
          </w:tcPr>
          <w:p w14:paraId="65BAC680" w14:textId="77777777" w:rsidR="009442E3" w:rsidRDefault="0046571D">
            <w:pPr>
              <w:jc w:val="center"/>
            </w:pPr>
            <w:r>
              <w:rPr>
                <w:rFonts w:eastAsiaTheme="minorEastAsia"/>
                <w:color w:val="000000" w:themeColor="text1"/>
                <w:szCs w:val="21"/>
              </w:rPr>
              <w:t>-</w:t>
            </w:r>
          </w:p>
        </w:tc>
        <w:tc>
          <w:tcPr>
            <w:tcW w:w="1161" w:type="dxa"/>
            <w:vAlign w:val="center"/>
          </w:tcPr>
          <w:p w14:paraId="495DFC55" w14:textId="77777777" w:rsidR="009442E3" w:rsidRDefault="0046571D">
            <w:pPr>
              <w:jc w:val="center"/>
            </w:pPr>
            <w:r>
              <w:rPr>
                <w:rFonts w:eastAsiaTheme="minorEastAsia"/>
                <w:color w:val="000000" w:themeColor="text1"/>
                <w:szCs w:val="21"/>
              </w:rPr>
              <w:t>-</w:t>
            </w:r>
          </w:p>
        </w:tc>
        <w:tc>
          <w:tcPr>
            <w:tcW w:w="1181" w:type="dxa"/>
            <w:vAlign w:val="center"/>
          </w:tcPr>
          <w:p w14:paraId="35A62EEF" w14:textId="77777777" w:rsidR="009442E3" w:rsidRDefault="0046571D">
            <w:pPr>
              <w:jc w:val="center"/>
            </w:pPr>
            <w:r>
              <w:rPr>
                <w:rFonts w:eastAsiaTheme="minorEastAsia"/>
                <w:color w:val="000000" w:themeColor="text1"/>
                <w:szCs w:val="21"/>
              </w:rPr>
              <w:t>-</w:t>
            </w:r>
          </w:p>
        </w:tc>
        <w:tc>
          <w:tcPr>
            <w:tcW w:w="1188" w:type="dxa"/>
            <w:vAlign w:val="center"/>
          </w:tcPr>
          <w:p w14:paraId="43634970" w14:textId="77777777" w:rsidR="009442E3" w:rsidRDefault="0046571D">
            <w:pPr>
              <w:jc w:val="center"/>
            </w:pPr>
            <w:r>
              <w:rPr>
                <w:rFonts w:eastAsiaTheme="minorEastAsia"/>
                <w:color w:val="000000" w:themeColor="text1"/>
                <w:szCs w:val="21"/>
              </w:rPr>
              <w:t>-</w:t>
            </w:r>
          </w:p>
        </w:tc>
        <w:tc>
          <w:tcPr>
            <w:tcW w:w="1199" w:type="dxa"/>
            <w:vAlign w:val="center"/>
          </w:tcPr>
          <w:p w14:paraId="53051385" w14:textId="77777777" w:rsidR="009442E3" w:rsidRDefault="0046571D">
            <w:pPr>
              <w:jc w:val="center"/>
            </w:pPr>
            <w:r>
              <w:rPr>
                <w:rFonts w:eastAsiaTheme="minorEastAsia"/>
                <w:color w:val="000000" w:themeColor="text1"/>
                <w:szCs w:val="21"/>
              </w:rPr>
              <w:t>-</w:t>
            </w:r>
          </w:p>
        </w:tc>
        <w:tc>
          <w:tcPr>
            <w:tcW w:w="1204" w:type="dxa"/>
            <w:vAlign w:val="center"/>
          </w:tcPr>
          <w:p w14:paraId="04CABA40" w14:textId="77777777" w:rsidR="009442E3" w:rsidRDefault="0046571D">
            <w:pPr>
              <w:jc w:val="center"/>
            </w:pPr>
            <w:r>
              <w:rPr>
                <w:rFonts w:eastAsiaTheme="minorEastAsia"/>
                <w:color w:val="000000" w:themeColor="text1"/>
                <w:szCs w:val="21"/>
              </w:rPr>
              <w:t>-</w:t>
            </w:r>
          </w:p>
        </w:tc>
      </w:tr>
      <w:tr w:rsidR="009442E3" w14:paraId="2EFBAC00" w14:textId="77777777">
        <w:tc>
          <w:tcPr>
            <w:tcW w:w="1395" w:type="dxa"/>
            <w:vAlign w:val="center"/>
          </w:tcPr>
          <w:p w14:paraId="73D5D318" w14:textId="77777777" w:rsidR="009442E3" w:rsidRDefault="0046571D">
            <w:pPr>
              <w:jc w:val="left"/>
            </w:pPr>
            <w:r>
              <w:rPr>
                <w:rFonts w:eastAsiaTheme="minorEastAsia"/>
                <w:color w:val="000000" w:themeColor="text1"/>
                <w:szCs w:val="21"/>
              </w:rPr>
              <w:t>自基金合同生效起至今</w:t>
            </w:r>
          </w:p>
        </w:tc>
        <w:tc>
          <w:tcPr>
            <w:tcW w:w="1092" w:type="dxa"/>
            <w:vAlign w:val="center"/>
          </w:tcPr>
          <w:p w14:paraId="6D104577" w14:textId="77777777" w:rsidR="009442E3" w:rsidRDefault="0046571D">
            <w:pPr>
              <w:jc w:val="center"/>
            </w:pPr>
            <w:r>
              <w:rPr>
                <w:rFonts w:eastAsiaTheme="minorEastAsia"/>
                <w:color w:val="000000" w:themeColor="text1"/>
                <w:szCs w:val="21"/>
              </w:rPr>
              <w:t>1.18%</w:t>
            </w:r>
          </w:p>
        </w:tc>
        <w:tc>
          <w:tcPr>
            <w:tcW w:w="1161" w:type="dxa"/>
            <w:vAlign w:val="center"/>
          </w:tcPr>
          <w:p w14:paraId="2445C8EA" w14:textId="77777777" w:rsidR="009442E3" w:rsidRDefault="0046571D">
            <w:pPr>
              <w:jc w:val="center"/>
            </w:pPr>
            <w:r>
              <w:rPr>
                <w:rFonts w:eastAsiaTheme="minorEastAsia"/>
                <w:color w:val="000000" w:themeColor="text1"/>
                <w:szCs w:val="21"/>
              </w:rPr>
              <w:t>0.01%</w:t>
            </w:r>
          </w:p>
        </w:tc>
        <w:tc>
          <w:tcPr>
            <w:tcW w:w="1181" w:type="dxa"/>
            <w:vAlign w:val="center"/>
          </w:tcPr>
          <w:p w14:paraId="24397507" w14:textId="77777777" w:rsidR="009442E3" w:rsidRDefault="0046571D">
            <w:pPr>
              <w:jc w:val="center"/>
            </w:pPr>
            <w:r>
              <w:rPr>
                <w:rFonts w:eastAsiaTheme="minorEastAsia"/>
                <w:color w:val="000000" w:themeColor="text1"/>
                <w:szCs w:val="21"/>
              </w:rPr>
              <w:t>1.45%</w:t>
            </w:r>
          </w:p>
        </w:tc>
        <w:tc>
          <w:tcPr>
            <w:tcW w:w="1188" w:type="dxa"/>
            <w:vAlign w:val="center"/>
          </w:tcPr>
          <w:p w14:paraId="4B4B53FA" w14:textId="77777777" w:rsidR="009442E3" w:rsidRDefault="0046571D">
            <w:pPr>
              <w:jc w:val="center"/>
            </w:pPr>
            <w:r>
              <w:rPr>
                <w:rFonts w:eastAsiaTheme="minorEastAsia"/>
                <w:color w:val="000000" w:themeColor="text1"/>
                <w:szCs w:val="21"/>
              </w:rPr>
              <w:t>0.01%</w:t>
            </w:r>
          </w:p>
        </w:tc>
        <w:tc>
          <w:tcPr>
            <w:tcW w:w="1199" w:type="dxa"/>
            <w:vAlign w:val="center"/>
          </w:tcPr>
          <w:p w14:paraId="23E16DC5" w14:textId="77777777" w:rsidR="009442E3" w:rsidRDefault="0046571D">
            <w:pPr>
              <w:jc w:val="center"/>
            </w:pPr>
            <w:r>
              <w:rPr>
                <w:rFonts w:eastAsiaTheme="minorEastAsia"/>
                <w:color w:val="000000" w:themeColor="text1"/>
                <w:szCs w:val="21"/>
              </w:rPr>
              <w:t>-0.27%</w:t>
            </w:r>
          </w:p>
        </w:tc>
        <w:tc>
          <w:tcPr>
            <w:tcW w:w="1204" w:type="dxa"/>
            <w:vAlign w:val="center"/>
          </w:tcPr>
          <w:p w14:paraId="1A3CF124" w14:textId="77777777" w:rsidR="009442E3" w:rsidRDefault="0046571D">
            <w:pPr>
              <w:jc w:val="center"/>
            </w:pPr>
            <w:r>
              <w:rPr>
                <w:rFonts w:eastAsiaTheme="minorEastAsia"/>
                <w:color w:val="000000" w:themeColor="text1"/>
                <w:szCs w:val="21"/>
              </w:rPr>
              <w:t>0.00%</w:t>
            </w:r>
          </w:p>
        </w:tc>
      </w:tr>
    </w:tbl>
    <w:p w14:paraId="08023F24"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593CF1F6" w14:textId="77777777" w:rsidR="00881A82" w:rsidRPr="00473486" w:rsidRDefault="007D1E3A">
      <w:pPr>
        <w:spacing w:line="360" w:lineRule="auto"/>
        <w:rPr>
          <w:rFonts w:eastAsiaTheme="minorEastAsia"/>
          <w:b/>
          <w:color w:val="000000" w:themeColor="text1"/>
          <w:kern w:val="0"/>
          <w:sz w:val="24"/>
        </w:rPr>
      </w:pPr>
      <w:r w:rsidRPr="00473486">
        <w:rPr>
          <w:rFonts w:eastAsiaTheme="minorEastAsia"/>
          <w:b/>
          <w:color w:val="000000" w:themeColor="text1"/>
          <w:kern w:val="0"/>
          <w:sz w:val="24"/>
        </w:rPr>
        <w:t>3.2.2</w:t>
      </w:r>
      <w:r w:rsidRPr="00473486">
        <w:rPr>
          <w:rStyle w:val="af4"/>
          <w:color w:val="000000" w:themeColor="text1"/>
          <w:sz w:val="24"/>
          <w:shd w:val="clear" w:color="auto" w:fill="FFFFFF"/>
        </w:rPr>
        <w:t>自基金合同生效以来</w:t>
      </w:r>
      <w:r w:rsidRPr="00473486">
        <w:rPr>
          <w:rFonts w:eastAsiaTheme="minorEastAsia"/>
          <w:b/>
          <w:bCs/>
          <w:color w:val="000000" w:themeColor="text1"/>
          <w:sz w:val="24"/>
        </w:rPr>
        <w:t>基金累计净值增长率变动及其与同期业绩比较基准收益率变动的比较</w:t>
      </w:r>
    </w:p>
    <w:p w14:paraId="121B58D1" w14:textId="77777777" w:rsidR="00881A82" w:rsidRPr="00473486" w:rsidRDefault="007D1E3A">
      <w:pPr>
        <w:spacing w:line="360" w:lineRule="auto"/>
        <w:jc w:val="center"/>
        <w:rPr>
          <w:rFonts w:eastAsiaTheme="minorEastAsia"/>
          <w:color w:val="000000" w:themeColor="text1"/>
          <w:szCs w:val="21"/>
        </w:rPr>
      </w:pPr>
      <w:r w:rsidRPr="00473486">
        <w:rPr>
          <w:rFonts w:eastAsiaTheme="minorEastAsia"/>
          <w:color w:val="000000" w:themeColor="text1"/>
          <w:szCs w:val="21"/>
        </w:rPr>
        <w:t>摩根中证同业存单</w:t>
      </w:r>
      <w:r w:rsidRPr="00473486">
        <w:rPr>
          <w:rFonts w:eastAsiaTheme="minorEastAsia"/>
          <w:color w:val="000000" w:themeColor="text1"/>
          <w:szCs w:val="21"/>
        </w:rPr>
        <w:t>AAA</w:t>
      </w:r>
      <w:r w:rsidRPr="00473486">
        <w:rPr>
          <w:rFonts w:eastAsiaTheme="minorEastAsia"/>
          <w:color w:val="000000" w:themeColor="text1"/>
          <w:szCs w:val="21"/>
        </w:rPr>
        <w:t>指数</w:t>
      </w:r>
      <w:r w:rsidRPr="00473486">
        <w:rPr>
          <w:rFonts w:eastAsiaTheme="minorEastAsia"/>
          <w:color w:val="000000" w:themeColor="text1"/>
          <w:szCs w:val="21"/>
        </w:rPr>
        <w:t>7</w:t>
      </w:r>
      <w:r w:rsidRPr="00473486">
        <w:rPr>
          <w:rFonts w:eastAsiaTheme="minorEastAsia"/>
          <w:color w:val="000000" w:themeColor="text1"/>
          <w:szCs w:val="21"/>
        </w:rPr>
        <w:t>天持有期证券投资基金</w:t>
      </w:r>
    </w:p>
    <w:p w14:paraId="3E2AF35D" w14:textId="77777777" w:rsidR="00881A82" w:rsidRPr="00473486" w:rsidRDefault="007D1E3A">
      <w:pPr>
        <w:pStyle w:val="a9"/>
        <w:snapToGrid w:val="0"/>
        <w:spacing w:line="360" w:lineRule="auto"/>
        <w:jc w:val="center"/>
        <w:rPr>
          <w:rFonts w:ascii="Times New Roman" w:eastAsiaTheme="minorEastAsia" w:hAnsi="Times New Roman"/>
          <w:color w:val="000000" w:themeColor="text1"/>
        </w:rPr>
      </w:pPr>
      <w:r w:rsidRPr="00473486">
        <w:rPr>
          <w:rFonts w:ascii="Times New Roman" w:eastAsiaTheme="minorEastAsia" w:hAnsi="Times New Roman"/>
          <w:color w:val="000000" w:themeColor="text1"/>
        </w:rPr>
        <w:t>累计净值增长率与业绩比较基准收益率历史走势对比图</w:t>
      </w:r>
    </w:p>
    <w:p w14:paraId="10C6FB6C" w14:textId="77777777" w:rsidR="00881A82" w:rsidRPr="00473486" w:rsidRDefault="007D1E3A">
      <w:pPr>
        <w:spacing w:line="360" w:lineRule="auto"/>
        <w:jc w:val="center"/>
        <w:rPr>
          <w:rFonts w:eastAsiaTheme="minorEastAsia"/>
          <w:color w:val="000000" w:themeColor="text1"/>
          <w:szCs w:val="21"/>
        </w:rPr>
      </w:pPr>
      <w:r w:rsidRPr="00473486">
        <w:rPr>
          <w:rFonts w:eastAsiaTheme="minorEastAsia"/>
          <w:color w:val="000000" w:themeColor="text1"/>
          <w:kern w:val="0"/>
          <w:szCs w:val="21"/>
        </w:rPr>
        <w:t>（</w:t>
      </w:r>
      <w:r w:rsidRPr="00473486">
        <w:rPr>
          <w:rFonts w:eastAsiaTheme="minorEastAsia"/>
          <w:color w:val="000000" w:themeColor="text1"/>
          <w:kern w:val="0"/>
          <w:szCs w:val="21"/>
        </w:rPr>
        <w:t>2023</w:t>
      </w:r>
      <w:r w:rsidRPr="00473486">
        <w:rPr>
          <w:rFonts w:eastAsiaTheme="minorEastAsia"/>
          <w:color w:val="000000" w:themeColor="text1"/>
          <w:kern w:val="0"/>
          <w:szCs w:val="21"/>
        </w:rPr>
        <w:t>年</w:t>
      </w:r>
      <w:r w:rsidRPr="00473486">
        <w:rPr>
          <w:rFonts w:eastAsiaTheme="minorEastAsia"/>
          <w:color w:val="000000" w:themeColor="text1"/>
          <w:kern w:val="0"/>
          <w:szCs w:val="21"/>
        </w:rPr>
        <w:t>12</w:t>
      </w:r>
      <w:r w:rsidRPr="00473486">
        <w:rPr>
          <w:rFonts w:eastAsiaTheme="minorEastAsia"/>
          <w:color w:val="000000" w:themeColor="text1"/>
          <w:kern w:val="0"/>
          <w:szCs w:val="21"/>
        </w:rPr>
        <w:t>月</w:t>
      </w:r>
      <w:r w:rsidRPr="00473486">
        <w:rPr>
          <w:rFonts w:eastAsiaTheme="minorEastAsia"/>
          <w:color w:val="000000" w:themeColor="text1"/>
          <w:kern w:val="0"/>
          <w:szCs w:val="21"/>
        </w:rPr>
        <w:t>18</w:t>
      </w:r>
      <w:r w:rsidRPr="00473486">
        <w:rPr>
          <w:rFonts w:eastAsiaTheme="minorEastAsia"/>
          <w:color w:val="000000" w:themeColor="text1"/>
          <w:kern w:val="0"/>
          <w:szCs w:val="21"/>
        </w:rPr>
        <w:t>日至</w:t>
      </w:r>
      <w:r w:rsidRPr="00473486">
        <w:rPr>
          <w:rFonts w:eastAsiaTheme="minorEastAsia"/>
          <w:color w:val="000000" w:themeColor="text1"/>
          <w:kern w:val="0"/>
          <w:szCs w:val="21"/>
        </w:rPr>
        <w:t>2024</w:t>
      </w:r>
      <w:r w:rsidRPr="00473486">
        <w:rPr>
          <w:rFonts w:eastAsiaTheme="minorEastAsia"/>
          <w:color w:val="000000" w:themeColor="text1"/>
          <w:kern w:val="0"/>
          <w:szCs w:val="21"/>
        </w:rPr>
        <w:t>年</w:t>
      </w:r>
      <w:r w:rsidRPr="00473486">
        <w:rPr>
          <w:rFonts w:eastAsiaTheme="minorEastAsia"/>
          <w:color w:val="000000" w:themeColor="text1"/>
          <w:kern w:val="0"/>
          <w:szCs w:val="21"/>
        </w:rPr>
        <w:t>6</w:t>
      </w:r>
      <w:r w:rsidRPr="00473486">
        <w:rPr>
          <w:rFonts w:eastAsiaTheme="minorEastAsia"/>
          <w:color w:val="000000" w:themeColor="text1"/>
          <w:kern w:val="0"/>
          <w:szCs w:val="21"/>
        </w:rPr>
        <w:t>月</w:t>
      </w:r>
      <w:r w:rsidRPr="00473486">
        <w:rPr>
          <w:rFonts w:eastAsiaTheme="minorEastAsia"/>
          <w:color w:val="000000" w:themeColor="text1"/>
          <w:kern w:val="0"/>
          <w:szCs w:val="21"/>
        </w:rPr>
        <w:t>30</w:t>
      </w:r>
      <w:r w:rsidRPr="00473486">
        <w:rPr>
          <w:rFonts w:eastAsiaTheme="minorEastAsia"/>
          <w:color w:val="000000" w:themeColor="text1"/>
          <w:kern w:val="0"/>
          <w:szCs w:val="21"/>
        </w:rPr>
        <w:t>日）</w:t>
      </w:r>
    </w:p>
    <w:p w14:paraId="3CA82066" w14:textId="77777777" w:rsidR="00881A82" w:rsidRPr="00473486" w:rsidRDefault="007D1E3A">
      <w:pPr>
        <w:tabs>
          <w:tab w:val="left" w:pos="1800"/>
        </w:tabs>
        <w:spacing w:line="360" w:lineRule="auto"/>
        <w:jc w:val="center"/>
        <w:rPr>
          <w:rFonts w:eastAsiaTheme="minorEastAsia"/>
          <w:color w:val="000000" w:themeColor="text1"/>
          <w:sz w:val="24"/>
        </w:rPr>
      </w:pPr>
      <w:r w:rsidRPr="00473486">
        <w:rPr>
          <w:rFonts w:eastAsiaTheme="minorEastAsia"/>
          <w:noProof/>
          <w:color w:val="000000" w:themeColor="text1"/>
          <w:sz w:val="24"/>
        </w:rPr>
        <w:drawing>
          <wp:inline distT="0" distB="0" distL="0" distR="0" wp14:anchorId="0534FA17" wp14:editId="5C6B035E">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浏览器下载\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6850" cy="3086100"/>
                    </a:xfrm>
                    <a:prstGeom prst="rect">
                      <a:avLst/>
                    </a:prstGeom>
                    <a:noFill/>
                    <a:ln>
                      <a:noFill/>
                    </a:ln>
                  </pic:spPr>
                </pic:pic>
              </a:graphicData>
            </a:graphic>
          </wp:inline>
        </w:drawing>
      </w:r>
    </w:p>
    <w:p w14:paraId="18EFAB72" w14:textId="77777777" w:rsidR="0046571D" w:rsidRDefault="0046571D">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2023</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18</w:t>
      </w:r>
      <w:r>
        <w:rPr>
          <w:rFonts w:eastAsiaTheme="minorEastAsia"/>
          <w:color w:val="000000" w:themeColor="text1"/>
          <w:szCs w:val="21"/>
        </w:rPr>
        <w:t>日，截至本报告期末本基金合同生效未满一年。</w:t>
      </w:r>
    </w:p>
    <w:p w14:paraId="3D90E558"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本基金建仓期为本基金合同生效日起</w:t>
      </w:r>
      <w:r w:rsidRPr="00473486">
        <w:rPr>
          <w:rFonts w:eastAsiaTheme="minorEastAsia"/>
          <w:color w:val="000000" w:themeColor="text1"/>
          <w:szCs w:val="21"/>
        </w:rPr>
        <w:t xml:space="preserve"> 6 </w:t>
      </w:r>
      <w:r w:rsidRPr="00473486">
        <w:rPr>
          <w:rFonts w:eastAsiaTheme="minorEastAsia"/>
          <w:color w:val="000000" w:themeColor="text1"/>
          <w:szCs w:val="21"/>
        </w:rPr>
        <w:t>个月，建仓期结束时资产配置比例符合本基金基金合同规定。</w:t>
      </w:r>
    </w:p>
    <w:p w14:paraId="7ABB2BE5" w14:textId="77777777" w:rsidR="00881A82" w:rsidRPr="00473486" w:rsidRDefault="00881A82">
      <w:pPr>
        <w:pStyle w:val="a9"/>
        <w:snapToGrid w:val="0"/>
        <w:spacing w:before="120" w:line="360" w:lineRule="auto"/>
        <w:jc w:val="center"/>
        <w:rPr>
          <w:rFonts w:ascii="Times New Roman" w:eastAsiaTheme="minorEastAsia" w:hAnsi="Times New Roman"/>
          <w:color w:val="000000" w:themeColor="text1"/>
          <w:sz w:val="24"/>
          <w:szCs w:val="24"/>
        </w:rPr>
      </w:pPr>
    </w:p>
    <w:p w14:paraId="798FE29B" w14:textId="77777777" w:rsidR="00881A82" w:rsidRPr="00473486" w:rsidRDefault="00881A82">
      <w:pPr>
        <w:tabs>
          <w:tab w:val="left" w:pos="1800"/>
        </w:tabs>
        <w:spacing w:line="288" w:lineRule="auto"/>
        <w:rPr>
          <w:rFonts w:eastAsiaTheme="minorEastAsia"/>
          <w:color w:val="000000" w:themeColor="text1"/>
          <w:szCs w:val="21"/>
        </w:rPr>
      </w:pPr>
    </w:p>
    <w:p w14:paraId="1FF53C3D"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lastRenderedPageBreak/>
        <w:t xml:space="preserve">§4  </w:t>
      </w:r>
      <w:r w:rsidRPr="00473486">
        <w:rPr>
          <w:rFonts w:eastAsiaTheme="minorEastAsia"/>
          <w:color w:val="000000" w:themeColor="text1"/>
          <w:kern w:val="0"/>
          <w:sz w:val="24"/>
          <w:szCs w:val="24"/>
        </w:rPr>
        <w:t>管理人报告</w:t>
      </w:r>
    </w:p>
    <w:p w14:paraId="1E14A13E"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4.1 </w:t>
      </w:r>
      <w:r w:rsidRPr="00473486">
        <w:rPr>
          <w:rFonts w:eastAsiaTheme="minorEastAsia"/>
          <w:b/>
          <w:color w:val="000000" w:themeColor="text1"/>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560"/>
        <w:gridCol w:w="1559"/>
        <w:gridCol w:w="1417"/>
        <w:gridCol w:w="2694"/>
      </w:tblGrid>
      <w:tr w:rsidR="00881A82" w:rsidRPr="00473486" w14:paraId="65E26E38" w14:textId="77777777">
        <w:trPr>
          <w:cantSplit/>
          <w:trHeight w:val="292"/>
        </w:trPr>
        <w:tc>
          <w:tcPr>
            <w:tcW w:w="851" w:type="dxa"/>
            <w:vMerge w:val="restart"/>
            <w:vAlign w:val="center"/>
          </w:tcPr>
          <w:p w14:paraId="187A7A07" w14:textId="77777777" w:rsidR="00881A82" w:rsidRPr="00473486" w:rsidRDefault="007D1E3A">
            <w:pPr>
              <w:widowControl/>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姓名</w:t>
            </w:r>
          </w:p>
        </w:tc>
        <w:tc>
          <w:tcPr>
            <w:tcW w:w="850" w:type="dxa"/>
            <w:vMerge w:val="restart"/>
            <w:vAlign w:val="center"/>
          </w:tcPr>
          <w:p w14:paraId="2DA8225B" w14:textId="77777777" w:rsidR="00881A82" w:rsidRPr="00473486" w:rsidRDefault="007D1E3A">
            <w:pPr>
              <w:widowControl/>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职务</w:t>
            </w:r>
          </w:p>
        </w:tc>
        <w:tc>
          <w:tcPr>
            <w:tcW w:w="3119" w:type="dxa"/>
            <w:gridSpan w:val="2"/>
            <w:vAlign w:val="center"/>
          </w:tcPr>
          <w:p w14:paraId="263ABF4C"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任本基金的基金经理期限</w:t>
            </w:r>
          </w:p>
        </w:tc>
        <w:tc>
          <w:tcPr>
            <w:tcW w:w="1417" w:type="dxa"/>
            <w:vMerge w:val="restart"/>
            <w:vAlign w:val="center"/>
          </w:tcPr>
          <w:p w14:paraId="36C98FF7"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证券从业年限</w:t>
            </w:r>
          </w:p>
        </w:tc>
        <w:tc>
          <w:tcPr>
            <w:tcW w:w="2694" w:type="dxa"/>
            <w:vMerge w:val="restart"/>
            <w:vAlign w:val="center"/>
          </w:tcPr>
          <w:p w14:paraId="6DA4C9E6" w14:textId="77777777" w:rsidR="00881A82" w:rsidRPr="00473486" w:rsidRDefault="007D1E3A">
            <w:pPr>
              <w:widowControl/>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说明</w:t>
            </w:r>
          </w:p>
        </w:tc>
      </w:tr>
      <w:tr w:rsidR="00881A82" w:rsidRPr="00473486" w14:paraId="2637FC65" w14:textId="77777777">
        <w:trPr>
          <w:cantSplit/>
        </w:trPr>
        <w:tc>
          <w:tcPr>
            <w:tcW w:w="851" w:type="dxa"/>
            <w:vMerge/>
            <w:vAlign w:val="center"/>
          </w:tcPr>
          <w:p w14:paraId="3AAB4950" w14:textId="77777777" w:rsidR="00881A82" w:rsidRPr="00473486" w:rsidRDefault="00881A82">
            <w:pPr>
              <w:widowControl/>
              <w:spacing w:line="360" w:lineRule="auto"/>
              <w:jc w:val="left"/>
              <w:rPr>
                <w:rFonts w:eastAsiaTheme="minorEastAsia"/>
                <w:color w:val="000000" w:themeColor="text1"/>
                <w:kern w:val="0"/>
                <w:szCs w:val="21"/>
              </w:rPr>
            </w:pPr>
          </w:p>
        </w:tc>
        <w:tc>
          <w:tcPr>
            <w:tcW w:w="850" w:type="dxa"/>
            <w:vMerge/>
            <w:vAlign w:val="center"/>
          </w:tcPr>
          <w:p w14:paraId="58285C46" w14:textId="77777777" w:rsidR="00881A82" w:rsidRPr="00473486" w:rsidRDefault="00881A82">
            <w:pPr>
              <w:widowControl/>
              <w:spacing w:line="360" w:lineRule="auto"/>
              <w:jc w:val="left"/>
              <w:rPr>
                <w:rFonts w:eastAsiaTheme="minorEastAsia"/>
                <w:color w:val="000000" w:themeColor="text1"/>
                <w:kern w:val="0"/>
                <w:szCs w:val="21"/>
              </w:rPr>
            </w:pPr>
          </w:p>
        </w:tc>
        <w:tc>
          <w:tcPr>
            <w:tcW w:w="1560" w:type="dxa"/>
            <w:vAlign w:val="center"/>
          </w:tcPr>
          <w:p w14:paraId="1F68DDF2"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任职日期</w:t>
            </w:r>
          </w:p>
        </w:tc>
        <w:tc>
          <w:tcPr>
            <w:tcW w:w="1559" w:type="dxa"/>
            <w:vAlign w:val="center"/>
          </w:tcPr>
          <w:p w14:paraId="151751B4"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离任日期</w:t>
            </w:r>
          </w:p>
        </w:tc>
        <w:tc>
          <w:tcPr>
            <w:tcW w:w="1417" w:type="dxa"/>
            <w:vMerge/>
            <w:vAlign w:val="center"/>
          </w:tcPr>
          <w:p w14:paraId="3AA61020" w14:textId="77777777" w:rsidR="00881A82" w:rsidRPr="00473486" w:rsidRDefault="00881A82">
            <w:pPr>
              <w:widowControl/>
              <w:spacing w:line="360" w:lineRule="auto"/>
              <w:jc w:val="left"/>
              <w:rPr>
                <w:rFonts w:eastAsiaTheme="minorEastAsia"/>
                <w:color w:val="000000" w:themeColor="text1"/>
                <w:kern w:val="0"/>
                <w:szCs w:val="21"/>
              </w:rPr>
            </w:pPr>
          </w:p>
        </w:tc>
        <w:tc>
          <w:tcPr>
            <w:tcW w:w="2694" w:type="dxa"/>
            <w:vMerge/>
            <w:vAlign w:val="center"/>
          </w:tcPr>
          <w:p w14:paraId="0FC57C23" w14:textId="77777777" w:rsidR="00881A82" w:rsidRPr="00473486" w:rsidRDefault="00881A82">
            <w:pPr>
              <w:widowControl/>
              <w:spacing w:line="360" w:lineRule="auto"/>
              <w:jc w:val="left"/>
              <w:rPr>
                <w:rFonts w:eastAsiaTheme="minorEastAsia"/>
                <w:color w:val="000000" w:themeColor="text1"/>
                <w:kern w:val="0"/>
                <w:szCs w:val="21"/>
              </w:rPr>
            </w:pPr>
          </w:p>
        </w:tc>
      </w:tr>
      <w:tr w:rsidR="009442E3" w14:paraId="2C00F046" w14:textId="77777777">
        <w:tc>
          <w:tcPr>
            <w:tcW w:w="851" w:type="dxa"/>
            <w:vAlign w:val="center"/>
          </w:tcPr>
          <w:p w14:paraId="4CDA7293" w14:textId="77777777" w:rsidR="009442E3" w:rsidRDefault="0046571D">
            <w:pPr>
              <w:jc w:val="center"/>
            </w:pPr>
            <w:r>
              <w:rPr>
                <w:rFonts w:eastAsiaTheme="minorEastAsia"/>
                <w:color w:val="000000" w:themeColor="text1"/>
                <w:szCs w:val="21"/>
              </w:rPr>
              <w:t>鞠婷</w:t>
            </w:r>
          </w:p>
        </w:tc>
        <w:tc>
          <w:tcPr>
            <w:tcW w:w="850" w:type="dxa"/>
            <w:vAlign w:val="center"/>
          </w:tcPr>
          <w:p w14:paraId="736A60F8" w14:textId="77777777" w:rsidR="009442E3" w:rsidRDefault="0046571D">
            <w:pPr>
              <w:jc w:val="center"/>
            </w:pPr>
            <w:r>
              <w:rPr>
                <w:rFonts w:eastAsiaTheme="minorEastAsia"/>
                <w:color w:val="000000" w:themeColor="text1"/>
                <w:szCs w:val="21"/>
              </w:rPr>
              <w:t>本基金基金经理</w:t>
            </w:r>
          </w:p>
        </w:tc>
        <w:tc>
          <w:tcPr>
            <w:tcW w:w="1560" w:type="dxa"/>
            <w:vAlign w:val="center"/>
          </w:tcPr>
          <w:p w14:paraId="5316F5B1" w14:textId="77777777" w:rsidR="009442E3" w:rsidRDefault="0046571D">
            <w:pPr>
              <w:jc w:val="center"/>
            </w:pPr>
            <w:r>
              <w:rPr>
                <w:rFonts w:eastAsiaTheme="minorEastAsia"/>
                <w:color w:val="000000" w:themeColor="text1"/>
                <w:szCs w:val="21"/>
              </w:rPr>
              <w:t>2023-12-18</w:t>
            </w:r>
          </w:p>
        </w:tc>
        <w:tc>
          <w:tcPr>
            <w:tcW w:w="1559" w:type="dxa"/>
            <w:vAlign w:val="center"/>
          </w:tcPr>
          <w:p w14:paraId="32DC5AD9" w14:textId="77777777" w:rsidR="009442E3" w:rsidRDefault="0046571D">
            <w:pPr>
              <w:jc w:val="center"/>
            </w:pPr>
            <w:r>
              <w:rPr>
                <w:rFonts w:eastAsiaTheme="minorEastAsia"/>
                <w:color w:val="000000" w:themeColor="text1"/>
                <w:szCs w:val="21"/>
              </w:rPr>
              <w:t>-</w:t>
            </w:r>
          </w:p>
        </w:tc>
        <w:tc>
          <w:tcPr>
            <w:tcW w:w="1417" w:type="dxa"/>
            <w:vAlign w:val="center"/>
          </w:tcPr>
          <w:p w14:paraId="4A95FE9D" w14:textId="77777777" w:rsidR="009442E3" w:rsidRDefault="0046571D">
            <w:pPr>
              <w:jc w:val="center"/>
            </w:pPr>
            <w:r>
              <w:rPr>
                <w:rFonts w:eastAsiaTheme="minorEastAsia"/>
                <w:color w:val="000000" w:themeColor="text1"/>
                <w:szCs w:val="21"/>
              </w:rPr>
              <w:t>18</w:t>
            </w:r>
            <w:r>
              <w:rPr>
                <w:rFonts w:eastAsiaTheme="minorEastAsia"/>
                <w:color w:val="000000" w:themeColor="text1"/>
                <w:szCs w:val="21"/>
              </w:rPr>
              <w:t>年</w:t>
            </w:r>
          </w:p>
        </w:tc>
        <w:tc>
          <w:tcPr>
            <w:tcW w:w="2694" w:type="dxa"/>
            <w:vAlign w:val="center"/>
          </w:tcPr>
          <w:p w14:paraId="7755A752" w14:textId="77777777" w:rsidR="009442E3" w:rsidRDefault="0046571D">
            <w:r>
              <w:rPr>
                <w:rFonts w:eastAsiaTheme="minorEastAsia"/>
                <w:color w:val="000000" w:themeColor="text1"/>
                <w:szCs w:val="21"/>
              </w:rPr>
              <w:t>鞠婷女士曾任中国建设银行第一支行助理经济师，瑞穗银行总行总经理助理。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月起加入摩根基金管理（中国）有限公司（原上投摩根基金管理有限公司），历任基金经理助理、基金经理，高级基金经理，现任货币市场投资部副总监兼资深基金经理。</w:t>
            </w:r>
          </w:p>
        </w:tc>
      </w:tr>
      <w:tr w:rsidR="009442E3" w14:paraId="75C31A3C" w14:textId="77777777">
        <w:tc>
          <w:tcPr>
            <w:tcW w:w="851" w:type="dxa"/>
            <w:vAlign w:val="center"/>
          </w:tcPr>
          <w:p w14:paraId="3B0E6E18" w14:textId="77777777" w:rsidR="009442E3" w:rsidRDefault="0046571D">
            <w:pPr>
              <w:jc w:val="center"/>
            </w:pPr>
            <w:r>
              <w:rPr>
                <w:rFonts w:eastAsiaTheme="minorEastAsia"/>
                <w:color w:val="000000" w:themeColor="text1"/>
                <w:szCs w:val="21"/>
              </w:rPr>
              <w:t>邱林晶</w:t>
            </w:r>
          </w:p>
        </w:tc>
        <w:tc>
          <w:tcPr>
            <w:tcW w:w="850" w:type="dxa"/>
            <w:vAlign w:val="center"/>
          </w:tcPr>
          <w:p w14:paraId="33A25F31" w14:textId="77777777" w:rsidR="009442E3" w:rsidRDefault="0046571D">
            <w:pPr>
              <w:jc w:val="center"/>
            </w:pPr>
            <w:r>
              <w:rPr>
                <w:rFonts w:eastAsiaTheme="minorEastAsia"/>
                <w:color w:val="000000" w:themeColor="text1"/>
                <w:szCs w:val="21"/>
              </w:rPr>
              <w:t>本基金基金经理</w:t>
            </w:r>
          </w:p>
        </w:tc>
        <w:tc>
          <w:tcPr>
            <w:tcW w:w="1560" w:type="dxa"/>
            <w:vAlign w:val="center"/>
          </w:tcPr>
          <w:p w14:paraId="772AB7C9" w14:textId="77777777" w:rsidR="009442E3" w:rsidRDefault="0046571D">
            <w:pPr>
              <w:jc w:val="center"/>
            </w:pPr>
            <w:r>
              <w:rPr>
                <w:rFonts w:eastAsiaTheme="minorEastAsia"/>
                <w:color w:val="000000" w:themeColor="text1"/>
                <w:szCs w:val="21"/>
              </w:rPr>
              <w:t>2023-12-22</w:t>
            </w:r>
          </w:p>
        </w:tc>
        <w:tc>
          <w:tcPr>
            <w:tcW w:w="1559" w:type="dxa"/>
            <w:vAlign w:val="center"/>
          </w:tcPr>
          <w:p w14:paraId="3CD983D2" w14:textId="77777777" w:rsidR="009442E3" w:rsidRDefault="0046571D">
            <w:pPr>
              <w:jc w:val="center"/>
            </w:pPr>
            <w:r>
              <w:rPr>
                <w:rFonts w:eastAsiaTheme="minorEastAsia"/>
                <w:color w:val="000000" w:themeColor="text1"/>
                <w:szCs w:val="21"/>
              </w:rPr>
              <w:t>-</w:t>
            </w:r>
          </w:p>
        </w:tc>
        <w:tc>
          <w:tcPr>
            <w:tcW w:w="1417" w:type="dxa"/>
            <w:vAlign w:val="center"/>
          </w:tcPr>
          <w:p w14:paraId="7FA2D50B" w14:textId="77777777" w:rsidR="009442E3" w:rsidRDefault="0046571D">
            <w:pPr>
              <w:jc w:val="center"/>
            </w:pPr>
            <w:r>
              <w:rPr>
                <w:rFonts w:eastAsiaTheme="minorEastAsia"/>
                <w:color w:val="000000" w:themeColor="text1"/>
                <w:szCs w:val="21"/>
              </w:rPr>
              <w:t>10</w:t>
            </w:r>
            <w:r>
              <w:rPr>
                <w:rFonts w:eastAsiaTheme="minorEastAsia"/>
                <w:color w:val="000000" w:themeColor="text1"/>
                <w:szCs w:val="21"/>
              </w:rPr>
              <w:t>年</w:t>
            </w:r>
          </w:p>
        </w:tc>
        <w:tc>
          <w:tcPr>
            <w:tcW w:w="2694" w:type="dxa"/>
            <w:vAlign w:val="center"/>
          </w:tcPr>
          <w:p w14:paraId="24D40B52" w14:textId="77777777" w:rsidR="009442E3" w:rsidRDefault="0046571D">
            <w:r>
              <w:rPr>
                <w:rFonts w:eastAsiaTheme="minorEastAsia"/>
                <w:color w:val="000000" w:themeColor="text1"/>
                <w:szCs w:val="21"/>
              </w:rPr>
              <w:t>邱林晶女士曾任国泰基金管理有限公司风险管理部分析师，平安资产管理有限责任公司固收交易员，中银理财有限责任公司集中交易室高级经理、活期理财产品部投资经理；自</w:t>
            </w:r>
            <w:r>
              <w:rPr>
                <w:rFonts w:eastAsiaTheme="minorEastAsia"/>
                <w:color w:val="000000" w:themeColor="text1"/>
                <w:szCs w:val="21"/>
              </w:rPr>
              <w:t>2022</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月加入摩根基金管理（中国）有限公司（原上投摩根基金管理有限公司），历任货币市场投资部基金经理助理，现任基金经理。</w:t>
            </w:r>
          </w:p>
        </w:tc>
      </w:tr>
    </w:tbl>
    <w:p w14:paraId="58D25AA5" w14:textId="77777777" w:rsidR="009442E3" w:rsidRDefault="0046571D">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任职日期和离任日期均指根据公司决定确定的聘任日期和解聘日期。</w:t>
      </w:r>
    </w:p>
    <w:p w14:paraId="18EC46AF" w14:textId="77777777" w:rsidR="009442E3" w:rsidRDefault="0046571D">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鞠婷女士为本基金首任基金经理，其任职日期为本基金基金合同生效之日。</w:t>
      </w:r>
    </w:p>
    <w:p w14:paraId="3B6059C7"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3.</w:t>
      </w:r>
      <w:r w:rsidRPr="00473486">
        <w:rPr>
          <w:rFonts w:eastAsiaTheme="minorEastAsia"/>
          <w:color w:val="000000" w:themeColor="text1"/>
          <w:szCs w:val="21"/>
        </w:rPr>
        <w:t>证券从业的含义遵从行业协会《证券业从业人员资格管理办法》的相关规定。</w:t>
      </w:r>
    </w:p>
    <w:p w14:paraId="7A60F597"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4.2</w:t>
      </w:r>
      <w:r w:rsidRPr="00473486">
        <w:rPr>
          <w:b/>
          <w:color w:val="000000"/>
          <w:sz w:val="24"/>
          <w:shd w:val="clear" w:color="auto" w:fill="FFFFFF"/>
        </w:rPr>
        <w:t>管理人对报告期内本基金运作遵规守信情况的说明</w:t>
      </w:r>
    </w:p>
    <w:p w14:paraId="74BA9AF0"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在本报告期内，基金管理人不存在损害基金份额持有人利益的行为，勤勉尽责地为基金份额持有人谋求利益。基金管理人遵守了《证券投资基金法》及其他有关法律法规、本基金基金合同的规定。除以下情况外，基金经理对个股和投资组合的比例遵循了投资决策委员会的授权限制，基金投资比例符合基金合同和法律法规的要求：本基金曾出现个别由于市场原因等基金管理人之外的因素引起的投资组合的投资指标被动偏离相关比例要求的情形，但已在规定时间内调整完毕。</w:t>
      </w:r>
    </w:p>
    <w:p w14:paraId="35D6D768"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0E12921E"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4.3 </w:t>
      </w:r>
      <w:r w:rsidRPr="00473486">
        <w:rPr>
          <w:rFonts w:eastAsiaTheme="minorEastAsia"/>
          <w:b/>
          <w:color w:val="000000" w:themeColor="text1"/>
          <w:kern w:val="0"/>
          <w:sz w:val="24"/>
        </w:rPr>
        <w:t>公平交易专项说明</w:t>
      </w:r>
    </w:p>
    <w:p w14:paraId="797C3A7F"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 xml:space="preserve">4.3.1 </w:t>
      </w:r>
      <w:r w:rsidRPr="00473486">
        <w:rPr>
          <w:rFonts w:eastAsiaTheme="minorEastAsia"/>
          <w:color w:val="000000" w:themeColor="text1"/>
          <w:szCs w:val="21"/>
        </w:rPr>
        <w:t>公平交易制度的执行情况</w:t>
      </w:r>
    </w:p>
    <w:p w14:paraId="2DDD23C8"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14:paraId="17B27D0F"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w:t>
      </w:r>
    </w:p>
    <w:p w14:paraId="35747447"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报告期内，通过对不同投资组合之间的收益率差异比较、对同向交易和反向交易的交易时机和交易价差监控分析，未发现整体公平交易执行出现异常的情况。</w:t>
      </w:r>
    </w:p>
    <w:p w14:paraId="4F9D9ABD"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 xml:space="preserve">4.3.2 </w:t>
      </w:r>
      <w:r w:rsidRPr="00473486">
        <w:rPr>
          <w:rFonts w:eastAsiaTheme="minorEastAsia"/>
          <w:color w:val="000000" w:themeColor="text1"/>
          <w:szCs w:val="21"/>
        </w:rPr>
        <w:t>异常交易行为的专项说明</w:t>
      </w:r>
    </w:p>
    <w:p w14:paraId="6C46216B"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报告期内，通过对交易价格、交易时间、交易方向等的分析，未发现有可能导致不公平交易和利益输送的异常交易行为。</w:t>
      </w:r>
    </w:p>
    <w:p w14:paraId="597D0120"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所有投资组合参与的交易所公开竞价同日反向交易成交较少的单边交易量超过该证券当日成交量的</w:t>
      </w:r>
      <w:r w:rsidRPr="00473486">
        <w:rPr>
          <w:rFonts w:eastAsiaTheme="minorEastAsia"/>
          <w:color w:val="000000" w:themeColor="text1"/>
          <w:szCs w:val="21"/>
        </w:rPr>
        <w:t>5%</w:t>
      </w:r>
      <w:r w:rsidRPr="00473486">
        <w:rPr>
          <w:rFonts w:eastAsiaTheme="minorEastAsia"/>
          <w:color w:val="000000" w:themeColor="text1"/>
          <w:szCs w:val="21"/>
        </w:rPr>
        <w:t>的情形：无。</w:t>
      </w:r>
    </w:p>
    <w:p w14:paraId="2BA12130" w14:textId="77777777" w:rsidR="00881A82" w:rsidRPr="00473486" w:rsidRDefault="00881A82">
      <w:pPr>
        <w:spacing w:line="360" w:lineRule="auto"/>
        <w:ind w:firstLineChars="200" w:firstLine="480"/>
        <w:rPr>
          <w:rFonts w:eastAsiaTheme="minorEastAsia"/>
          <w:color w:val="000000" w:themeColor="text1"/>
          <w:sz w:val="24"/>
        </w:rPr>
      </w:pPr>
    </w:p>
    <w:p w14:paraId="5F82EBE1"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4.4 </w:t>
      </w:r>
      <w:r w:rsidRPr="00473486">
        <w:rPr>
          <w:rFonts w:eastAsiaTheme="minorEastAsia"/>
          <w:b/>
          <w:color w:val="000000" w:themeColor="text1"/>
          <w:kern w:val="0"/>
          <w:sz w:val="24"/>
        </w:rPr>
        <w:t>报告期内基金的投资策略和业绩表现说明</w:t>
      </w:r>
    </w:p>
    <w:p w14:paraId="3C9FEE7B"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4.4.1</w:t>
      </w:r>
      <w:r w:rsidRPr="00473486">
        <w:rPr>
          <w:rFonts w:eastAsiaTheme="minorEastAsia"/>
          <w:color w:val="000000" w:themeColor="text1"/>
          <w:szCs w:val="21"/>
        </w:rPr>
        <w:t>报告期内基金投资策略和运作分析</w:t>
      </w:r>
    </w:p>
    <w:p w14:paraId="5E8CB30F"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2024</w:t>
      </w:r>
      <w:r>
        <w:rPr>
          <w:rFonts w:eastAsiaTheme="minorEastAsia"/>
          <w:color w:val="000000" w:themeColor="text1"/>
          <w:szCs w:val="21"/>
        </w:rPr>
        <w:t>年二季度，经济延续回升向好态势，运行总体平稳。</w:t>
      </w:r>
      <w:r>
        <w:rPr>
          <w:rFonts w:eastAsiaTheme="minorEastAsia"/>
          <w:color w:val="000000" w:themeColor="text1"/>
          <w:szCs w:val="21"/>
        </w:rPr>
        <w:t>1-5</w:t>
      </w:r>
      <w:r>
        <w:rPr>
          <w:rFonts w:eastAsiaTheme="minorEastAsia"/>
          <w:color w:val="000000" w:themeColor="text1"/>
          <w:szCs w:val="21"/>
        </w:rPr>
        <w:t>月份全国规模以上工业企业利润同比增长</w:t>
      </w:r>
      <w:r>
        <w:rPr>
          <w:rFonts w:eastAsiaTheme="minorEastAsia"/>
          <w:color w:val="000000" w:themeColor="text1"/>
          <w:szCs w:val="21"/>
        </w:rPr>
        <w:t>3.4%</w:t>
      </w:r>
      <w:r>
        <w:rPr>
          <w:rFonts w:eastAsiaTheme="minorEastAsia"/>
          <w:color w:val="000000" w:themeColor="text1"/>
          <w:szCs w:val="21"/>
        </w:rPr>
        <w:t>，延续年初以来的增长态势；</w:t>
      </w:r>
      <w:r>
        <w:rPr>
          <w:rFonts w:eastAsiaTheme="minorEastAsia"/>
          <w:color w:val="000000" w:themeColor="text1"/>
          <w:szCs w:val="21"/>
        </w:rPr>
        <w:t>1-5</w:t>
      </w:r>
      <w:r>
        <w:rPr>
          <w:rFonts w:eastAsiaTheme="minorEastAsia"/>
          <w:color w:val="000000" w:themeColor="text1"/>
          <w:szCs w:val="21"/>
        </w:rPr>
        <w:t>月份全国固定资产投资增长</w:t>
      </w:r>
      <w:r>
        <w:rPr>
          <w:rFonts w:eastAsiaTheme="minorEastAsia"/>
          <w:color w:val="000000" w:themeColor="text1"/>
          <w:szCs w:val="21"/>
        </w:rPr>
        <w:t>4.0%</w:t>
      </w:r>
      <w:r>
        <w:rPr>
          <w:rFonts w:eastAsiaTheme="minorEastAsia"/>
          <w:color w:val="000000" w:themeColor="text1"/>
          <w:szCs w:val="21"/>
        </w:rPr>
        <w:t>，高技术产业投资增速加快</w:t>
      </w:r>
      <w:r>
        <w:rPr>
          <w:rFonts w:eastAsiaTheme="minorEastAsia"/>
          <w:color w:val="000000" w:themeColor="text1"/>
          <w:szCs w:val="21"/>
        </w:rPr>
        <w:t>; 5</w:t>
      </w:r>
      <w:r>
        <w:rPr>
          <w:rFonts w:eastAsiaTheme="minorEastAsia"/>
          <w:color w:val="000000" w:themeColor="text1"/>
          <w:szCs w:val="21"/>
        </w:rPr>
        <w:t>月份社会消费品零售总额增长</w:t>
      </w:r>
      <w:r>
        <w:rPr>
          <w:rFonts w:eastAsiaTheme="minorEastAsia"/>
          <w:color w:val="000000" w:themeColor="text1"/>
          <w:szCs w:val="21"/>
        </w:rPr>
        <w:t>3.7%</w:t>
      </w:r>
      <w:r>
        <w:rPr>
          <w:rFonts w:eastAsiaTheme="minorEastAsia"/>
          <w:color w:val="000000" w:themeColor="text1"/>
          <w:szCs w:val="21"/>
        </w:rPr>
        <w:t>，消费品市场稳中有升；</w:t>
      </w:r>
      <w:r>
        <w:rPr>
          <w:rFonts w:eastAsiaTheme="minorEastAsia"/>
          <w:color w:val="000000" w:themeColor="text1"/>
          <w:szCs w:val="21"/>
        </w:rPr>
        <w:t>6</w:t>
      </w:r>
      <w:r>
        <w:rPr>
          <w:rFonts w:eastAsiaTheme="minorEastAsia"/>
          <w:color w:val="000000" w:themeColor="text1"/>
          <w:szCs w:val="21"/>
        </w:rPr>
        <w:t>月份制造业采购经理人指数（</w:t>
      </w:r>
      <w:r>
        <w:rPr>
          <w:rFonts w:eastAsiaTheme="minorEastAsia"/>
          <w:color w:val="000000" w:themeColor="text1"/>
          <w:szCs w:val="21"/>
        </w:rPr>
        <w:t>PMI</w:t>
      </w:r>
      <w:r>
        <w:rPr>
          <w:rFonts w:eastAsiaTheme="minorEastAsia"/>
          <w:color w:val="000000" w:themeColor="text1"/>
          <w:szCs w:val="21"/>
        </w:rPr>
        <w:t>）为</w:t>
      </w:r>
      <w:r>
        <w:rPr>
          <w:rFonts w:eastAsiaTheme="minorEastAsia"/>
          <w:color w:val="000000" w:themeColor="text1"/>
          <w:szCs w:val="21"/>
        </w:rPr>
        <w:t>49.5%</w:t>
      </w:r>
      <w:r>
        <w:rPr>
          <w:rFonts w:eastAsiaTheme="minorEastAsia"/>
          <w:color w:val="000000" w:themeColor="text1"/>
          <w:szCs w:val="21"/>
        </w:rPr>
        <w:t>，与上月持平</w:t>
      </w:r>
      <w:r>
        <w:rPr>
          <w:rFonts w:eastAsiaTheme="minorEastAsia"/>
          <w:color w:val="000000" w:themeColor="text1"/>
          <w:szCs w:val="21"/>
        </w:rPr>
        <w:t>; 5</w:t>
      </w:r>
      <w:r>
        <w:rPr>
          <w:rFonts w:eastAsiaTheme="minorEastAsia"/>
          <w:color w:val="000000" w:themeColor="text1"/>
          <w:szCs w:val="21"/>
        </w:rPr>
        <w:t>月消费者价格指数</w:t>
      </w:r>
      <w:r>
        <w:rPr>
          <w:rFonts w:eastAsiaTheme="minorEastAsia"/>
          <w:color w:val="000000" w:themeColor="text1"/>
          <w:szCs w:val="21"/>
        </w:rPr>
        <w:t>(CPI)</w:t>
      </w:r>
      <w:r>
        <w:rPr>
          <w:rFonts w:eastAsiaTheme="minorEastAsia"/>
          <w:color w:val="000000" w:themeColor="text1"/>
          <w:szCs w:val="21"/>
        </w:rPr>
        <w:t>当月同比上涨</w:t>
      </w:r>
      <w:r>
        <w:rPr>
          <w:rFonts w:eastAsiaTheme="minorEastAsia"/>
          <w:color w:val="000000" w:themeColor="text1"/>
          <w:szCs w:val="21"/>
        </w:rPr>
        <w:t>0.3%</w:t>
      </w:r>
      <w:r>
        <w:rPr>
          <w:rFonts w:eastAsiaTheme="minorEastAsia"/>
          <w:color w:val="000000" w:themeColor="text1"/>
          <w:szCs w:val="21"/>
        </w:rPr>
        <w:t>，生产者价格指数</w:t>
      </w:r>
      <w:r>
        <w:rPr>
          <w:rFonts w:eastAsiaTheme="minorEastAsia"/>
          <w:color w:val="000000" w:themeColor="text1"/>
          <w:szCs w:val="21"/>
        </w:rPr>
        <w:t>(PPI)</w:t>
      </w:r>
      <w:r>
        <w:rPr>
          <w:rFonts w:eastAsiaTheme="minorEastAsia"/>
          <w:color w:val="000000" w:themeColor="text1"/>
          <w:szCs w:val="21"/>
        </w:rPr>
        <w:t>当月同比下降</w:t>
      </w:r>
      <w:r>
        <w:rPr>
          <w:rFonts w:eastAsiaTheme="minorEastAsia"/>
          <w:color w:val="000000" w:themeColor="text1"/>
          <w:szCs w:val="21"/>
        </w:rPr>
        <w:t>1.4%</w:t>
      </w:r>
      <w:r>
        <w:rPr>
          <w:rFonts w:eastAsiaTheme="minorEastAsia"/>
          <w:color w:val="000000" w:themeColor="text1"/>
          <w:szCs w:val="21"/>
        </w:rPr>
        <w:t>。</w:t>
      </w:r>
    </w:p>
    <w:p w14:paraId="56BE2023"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二季度，稳健的货币政策灵活适度、精准有效，社会融资成本继续下降，保持人民币汇率基本稳定。</w:t>
      </w:r>
      <w:r>
        <w:rPr>
          <w:rFonts w:eastAsiaTheme="minorEastAsia"/>
          <w:color w:val="000000" w:themeColor="text1"/>
          <w:szCs w:val="21"/>
        </w:rPr>
        <w:t>4</w:t>
      </w:r>
      <w:r>
        <w:rPr>
          <w:rFonts w:eastAsiaTheme="minorEastAsia"/>
          <w:color w:val="000000" w:themeColor="text1"/>
          <w:szCs w:val="21"/>
        </w:rPr>
        <w:t>月以来，整顿手工补息、减少资金空转套利有效提升了货币政策传导效率，</w:t>
      </w:r>
      <w:r>
        <w:rPr>
          <w:rFonts w:eastAsiaTheme="minorEastAsia"/>
          <w:color w:val="000000" w:themeColor="text1"/>
          <w:szCs w:val="21"/>
        </w:rPr>
        <w:lastRenderedPageBreak/>
        <w:t>有利于金融高质量服务经济社会发展及金融机构、金融市场健康发展，同业存单市场整体供需两旺。总体来看，二季度同业存单收益率整体下行，</w:t>
      </w:r>
      <w:r>
        <w:rPr>
          <w:rFonts w:eastAsiaTheme="minorEastAsia"/>
          <w:color w:val="000000" w:themeColor="text1"/>
          <w:szCs w:val="21"/>
        </w:rPr>
        <w:t>1</w:t>
      </w:r>
      <w:r>
        <w:rPr>
          <w:rFonts w:eastAsiaTheme="minorEastAsia"/>
          <w:color w:val="000000" w:themeColor="text1"/>
          <w:szCs w:val="21"/>
        </w:rPr>
        <w:t>年期国股行同业存单收益率从</w:t>
      </w:r>
      <w:r>
        <w:rPr>
          <w:rFonts w:eastAsiaTheme="minorEastAsia"/>
          <w:color w:val="000000" w:themeColor="text1"/>
          <w:szCs w:val="21"/>
        </w:rPr>
        <w:t>2.23%</w:t>
      </w:r>
      <w:r>
        <w:rPr>
          <w:rFonts w:eastAsiaTheme="minorEastAsia"/>
          <w:color w:val="000000" w:themeColor="text1"/>
          <w:szCs w:val="21"/>
        </w:rPr>
        <w:t>下行</w:t>
      </w:r>
      <w:r>
        <w:rPr>
          <w:rFonts w:eastAsiaTheme="minorEastAsia"/>
          <w:color w:val="000000" w:themeColor="text1"/>
          <w:szCs w:val="21"/>
        </w:rPr>
        <w:t>28bps</w:t>
      </w:r>
      <w:r>
        <w:rPr>
          <w:rFonts w:eastAsiaTheme="minorEastAsia"/>
          <w:color w:val="000000" w:themeColor="text1"/>
          <w:szCs w:val="21"/>
        </w:rPr>
        <w:t>至</w:t>
      </w:r>
      <w:r>
        <w:rPr>
          <w:rFonts w:eastAsiaTheme="minorEastAsia"/>
          <w:color w:val="000000" w:themeColor="text1"/>
          <w:szCs w:val="21"/>
        </w:rPr>
        <w:t>1.95%</w:t>
      </w:r>
      <w:r>
        <w:rPr>
          <w:rFonts w:eastAsiaTheme="minorEastAsia"/>
          <w:color w:val="000000" w:themeColor="text1"/>
          <w:szCs w:val="21"/>
        </w:rPr>
        <w:t>附近。</w:t>
      </w:r>
    </w:p>
    <w:p w14:paraId="56E3C8D0"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报告期内，本基金采用抽样复制和动态最优化的方法，投资于标的指数中具有代表性和流动性的成份券和备选成份券，或选择非成份券作为替代，以实现对标的指数的有效跟踪，二季度组合整体运行状况良好。</w:t>
      </w:r>
    </w:p>
    <w:p w14:paraId="7B9BB531"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展望未来，随着设备更新和消费品以旧换新的大规模推开，政策效应将进一步显现；后续中央预算内投资下达和专项债发行加快，有利于实物工作量的增长，有望推动经济持续向好。人民银行预计加大已出台货币政策实施力度，保持流动性合理充裕，促进物价温和回升，同时防范汇率超调风险。</w:t>
      </w:r>
    </w:p>
    <w:p w14:paraId="1F830CA4"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4.4.2</w:t>
      </w:r>
      <w:r w:rsidRPr="00473486">
        <w:rPr>
          <w:rFonts w:eastAsiaTheme="minorEastAsia"/>
          <w:color w:val="000000" w:themeColor="text1"/>
          <w:szCs w:val="21"/>
        </w:rPr>
        <w:t>报告期内基金的业绩表现</w:t>
      </w:r>
    </w:p>
    <w:p w14:paraId="0188C287"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本报告期摩根中证同业存单</w:t>
      </w:r>
      <w:r w:rsidRPr="00473486">
        <w:rPr>
          <w:rFonts w:eastAsiaTheme="minorEastAsia"/>
          <w:color w:val="000000" w:themeColor="text1"/>
          <w:szCs w:val="21"/>
        </w:rPr>
        <w:t>AAA</w:t>
      </w:r>
      <w:r w:rsidRPr="00473486">
        <w:rPr>
          <w:rFonts w:eastAsiaTheme="minorEastAsia"/>
          <w:color w:val="000000" w:themeColor="text1"/>
          <w:szCs w:val="21"/>
        </w:rPr>
        <w:t>指数</w:t>
      </w:r>
      <w:r w:rsidRPr="00473486">
        <w:rPr>
          <w:rFonts w:eastAsiaTheme="minorEastAsia"/>
          <w:color w:val="000000" w:themeColor="text1"/>
          <w:szCs w:val="21"/>
        </w:rPr>
        <w:t>7</w:t>
      </w:r>
      <w:r w:rsidRPr="00473486">
        <w:rPr>
          <w:rFonts w:eastAsiaTheme="minorEastAsia"/>
          <w:color w:val="000000" w:themeColor="text1"/>
          <w:szCs w:val="21"/>
        </w:rPr>
        <w:t>天份额净值增长率为</w:t>
      </w:r>
      <w:r w:rsidRPr="00473486">
        <w:rPr>
          <w:rFonts w:eastAsiaTheme="minorEastAsia"/>
          <w:color w:val="000000" w:themeColor="text1"/>
          <w:szCs w:val="21"/>
        </w:rPr>
        <w:t>:0.52%</w:t>
      </w:r>
      <w:r w:rsidRPr="00473486">
        <w:rPr>
          <w:rFonts w:eastAsiaTheme="minorEastAsia"/>
          <w:color w:val="000000" w:themeColor="text1"/>
          <w:szCs w:val="21"/>
        </w:rPr>
        <w:t>，同期业绩比较基准收益率为</w:t>
      </w:r>
      <w:r w:rsidRPr="00473486">
        <w:rPr>
          <w:rFonts w:eastAsiaTheme="minorEastAsia"/>
          <w:color w:val="000000" w:themeColor="text1"/>
          <w:szCs w:val="21"/>
        </w:rPr>
        <w:t>:0.62%</w:t>
      </w:r>
      <w:r w:rsidRPr="00473486">
        <w:rPr>
          <w:rFonts w:eastAsiaTheme="minorEastAsia"/>
          <w:color w:val="000000" w:themeColor="text1"/>
          <w:szCs w:val="21"/>
        </w:rPr>
        <w:t>。</w:t>
      </w:r>
    </w:p>
    <w:p w14:paraId="769B6B70" w14:textId="77777777" w:rsidR="00881A82" w:rsidRPr="00473486" w:rsidRDefault="00881A82">
      <w:pPr>
        <w:spacing w:line="360" w:lineRule="auto"/>
        <w:ind w:firstLineChars="200" w:firstLine="480"/>
        <w:rPr>
          <w:rFonts w:eastAsiaTheme="minorEastAsia"/>
          <w:color w:val="000000" w:themeColor="text1"/>
          <w:sz w:val="24"/>
        </w:rPr>
      </w:pPr>
    </w:p>
    <w:p w14:paraId="4375A2F2" w14:textId="77777777" w:rsidR="00881A82" w:rsidRPr="00473486" w:rsidRDefault="007D1E3A">
      <w:pPr>
        <w:spacing w:line="360" w:lineRule="auto"/>
        <w:rPr>
          <w:rFonts w:eastAsiaTheme="minorEastAsia"/>
          <w:color w:val="000000" w:themeColor="text1"/>
          <w:sz w:val="24"/>
        </w:rPr>
      </w:pPr>
      <w:r w:rsidRPr="00473486">
        <w:rPr>
          <w:rFonts w:eastAsiaTheme="minorEastAsia"/>
          <w:b/>
          <w:color w:val="000000" w:themeColor="text1"/>
          <w:kern w:val="0"/>
          <w:sz w:val="24"/>
        </w:rPr>
        <w:t>4.5</w:t>
      </w:r>
      <w:r w:rsidRPr="00473486">
        <w:rPr>
          <w:rFonts w:eastAsiaTheme="minorEastAsia"/>
          <w:b/>
          <w:color w:val="000000" w:themeColor="text1"/>
          <w:kern w:val="0"/>
          <w:sz w:val="24"/>
        </w:rPr>
        <w:t>报告期内基金持有人数或基金资产净值预警说明</w:t>
      </w:r>
    </w:p>
    <w:p w14:paraId="12F8FBA7"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kern w:val="0"/>
          <w:szCs w:val="21"/>
        </w:rPr>
        <w:t>无。</w:t>
      </w:r>
    </w:p>
    <w:p w14:paraId="74DAF20F"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t xml:space="preserve">§5  </w:t>
      </w:r>
      <w:r w:rsidRPr="00473486">
        <w:rPr>
          <w:rFonts w:eastAsiaTheme="minorEastAsia"/>
          <w:color w:val="000000" w:themeColor="text1"/>
          <w:kern w:val="0"/>
          <w:sz w:val="24"/>
          <w:szCs w:val="24"/>
        </w:rPr>
        <w:t>投资组合报告</w:t>
      </w:r>
    </w:p>
    <w:p w14:paraId="0E8512BA"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5.1 </w:t>
      </w:r>
      <w:r w:rsidRPr="00473486">
        <w:rPr>
          <w:rFonts w:eastAsiaTheme="minorEastAsia"/>
          <w:b/>
          <w:color w:val="000000" w:themeColor="text1"/>
          <w:kern w:val="0"/>
          <w:sz w:val="24"/>
        </w:rPr>
        <w:t>报告期末基金资产组合情况</w:t>
      </w:r>
    </w:p>
    <w:tbl>
      <w:tblPr>
        <w:tblStyle w:val="afa"/>
        <w:tblW w:w="8897" w:type="dxa"/>
        <w:jc w:val="center"/>
        <w:tblLayout w:type="fixed"/>
        <w:tblLook w:val="04A0" w:firstRow="1" w:lastRow="0" w:firstColumn="1" w:lastColumn="0" w:noHBand="0" w:noVBand="1"/>
      </w:tblPr>
      <w:tblGrid>
        <w:gridCol w:w="720"/>
        <w:gridCol w:w="3357"/>
        <w:gridCol w:w="2977"/>
        <w:gridCol w:w="1843"/>
      </w:tblGrid>
      <w:tr w:rsidR="00881A82" w:rsidRPr="00473486" w14:paraId="4C21069C" w14:textId="77777777">
        <w:trPr>
          <w:jc w:val="center"/>
        </w:trPr>
        <w:tc>
          <w:tcPr>
            <w:tcW w:w="720" w:type="dxa"/>
            <w:vAlign w:val="center"/>
          </w:tcPr>
          <w:p w14:paraId="222C24FE"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序号</w:t>
            </w:r>
          </w:p>
        </w:tc>
        <w:tc>
          <w:tcPr>
            <w:tcW w:w="3357" w:type="dxa"/>
            <w:vAlign w:val="center"/>
          </w:tcPr>
          <w:p w14:paraId="1293D953"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项目</w:t>
            </w:r>
          </w:p>
        </w:tc>
        <w:tc>
          <w:tcPr>
            <w:tcW w:w="2977" w:type="dxa"/>
            <w:vAlign w:val="center"/>
          </w:tcPr>
          <w:p w14:paraId="4D050FB5"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金额</w:t>
            </w:r>
            <w:r w:rsidRPr="00473486">
              <w:rPr>
                <w:rFonts w:eastAsiaTheme="minorEastAsia"/>
                <w:color w:val="000000" w:themeColor="text1"/>
                <w:szCs w:val="21"/>
              </w:rPr>
              <w:t>(</w:t>
            </w:r>
            <w:r w:rsidRPr="00473486">
              <w:rPr>
                <w:rFonts w:eastAsiaTheme="minorEastAsia"/>
                <w:color w:val="000000" w:themeColor="text1"/>
                <w:szCs w:val="21"/>
              </w:rPr>
              <w:t>元</w:t>
            </w:r>
            <w:r w:rsidRPr="00473486">
              <w:rPr>
                <w:rFonts w:eastAsiaTheme="minorEastAsia"/>
                <w:color w:val="000000" w:themeColor="text1"/>
                <w:szCs w:val="21"/>
              </w:rPr>
              <w:t>)</w:t>
            </w:r>
          </w:p>
        </w:tc>
        <w:tc>
          <w:tcPr>
            <w:tcW w:w="1843" w:type="dxa"/>
            <w:vAlign w:val="center"/>
          </w:tcPr>
          <w:p w14:paraId="56386254"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占基金总资产的比例</w:t>
            </w:r>
            <w:r w:rsidRPr="00473486">
              <w:rPr>
                <w:rFonts w:eastAsiaTheme="minorEastAsia"/>
                <w:color w:val="000000" w:themeColor="text1"/>
                <w:szCs w:val="21"/>
              </w:rPr>
              <w:t>(%)</w:t>
            </w:r>
          </w:p>
        </w:tc>
      </w:tr>
      <w:tr w:rsidR="00881A82" w:rsidRPr="00473486" w14:paraId="1C740DAC" w14:textId="77777777">
        <w:trPr>
          <w:jc w:val="center"/>
        </w:trPr>
        <w:tc>
          <w:tcPr>
            <w:tcW w:w="720" w:type="dxa"/>
            <w:vAlign w:val="center"/>
          </w:tcPr>
          <w:p w14:paraId="2A075D33"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1</w:t>
            </w:r>
          </w:p>
        </w:tc>
        <w:tc>
          <w:tcPr>
            <w:tcW w:w="3357" w:type="dxa"/>
            <w:vAlign w:val="center"/>
          </w:tcPr>
          <w:p w14:paraId="778F2EC9"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权益投资</w:t>
            </w:r>
          </w:p>
        </w:tc>
        <w:tc>
          <w:tcPr>
            <w:tcW w:w="2977" w:type="dxa"/>
            <w:vAlign w:val="center"/>
          </w:tcPr>
          <w:p w14:paraId="4B02DD3D"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47EE4FB1"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742F0929" w14:textId="77777777">
        <w:trPr>
          <w:jc w:val="center"/>
        </w:trPr>
        <w:tc>
          <w:tcPr>
            <w:tcW w:w="720" w:type="dxa"/>
            <w:vAlign w:val="center"/>
          </w:tcPr>
          <w:p w14:paraId="2B3D4731" w14:textId="77777777" w:rsidR="00881A82" w:rsidRPr="00473486" w:rsidRDefault="00881A82">
            <w:pPr>
              <w:spacing w:before="29" w:line="360" w:lineRule="auto"/>
              <w:ind w:left="17"/>
              <w:jc w:val="center"/>
              <w:rPr>
                <w:rFonts w:eastAsiaTheme="minorEastAsia"/>
                <w:color w:val="000000" w:themeColor="text1"/>
                <w:szCs w:val="21"/>
              </w:rPr>
            </w:pPr>
          </w:p>
        </w:tc>
        <w:tc>
          <w:tcPr>
            <w:tcW w:w="3357" w:type="dxa"/>
            <w:vAlign w:val="center"/>
          </w:tcPr>
          <w:p w14:paraId="68E0F61E"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其中：股票</w:t>
            </w:r>
          </w:p>
        </w:tc>
        <w:tc>
          <w:tcPr>
            <w:tcW w:w="2977" w:type="dxa"/>
            <w:vAlign w:val="center"/>
          </w:tcPr>
          <w:p w14:paraId="194EDC81"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016E0128"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1E0E2E62" w14:textId="77777777">
        <w:trPr>
          <w:jc w:val="center"/>
        </w:trPr>
        <w:tc>
          <w:tcPr>
            <w:tcW w:w="720" w:type="dxa"/>
            <w:vAlign w:val="center"/>
          </w:tcPr>
          <w:p w14:paraId="4B7F5B7D"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2</w:t>
            </w:r>
          </w:p>
        </w:tc>
        <w:tc>
          <w:tcPr>
            <w:tcW w:w="3357" w:type="dxa"/>
            <w:vAlign w:val="center"/>
          </w:tcPr>
          <w:p w14:paraId="6FE59782"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固定收益投资</w:t>
            </w:r>
          </w:p>
        </w:tc>
        <w:tc>
          <w:tcPr>
            <w:tcW w:w="2977" w:type="dxa"/>
            <w:vAlign w:val="center"/>
          </w:tcPr>
          <w:p w14:paraId="55F252E8"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577,612,356.51</w:t>
            </w:r>
          </w:p>
        </w:tc>
        <w:tc>
          <w:tcPr>
            <w:tcW w:w="1843" w:type="dxa"/>
            <w:vAlign w:val="center"/>
          </w:tcPr>
          <w:p w14:paraId="4C6371B6"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99.77</w:t>
            </w:r>
          </w:p>
        </w:tc>
      </w:tr>
      <w:tr w:rsidR="00881A82" w:rsidRPr="00473486" w14:paraId="3C9C770B" w14:textId="77777777">
        <w:trPr>
          <w:jc w:val="center"/>
        </w:trPr>
        <w:tc>
          <w:tcPr>
            <w:tcW w:w="720" w:type="dxa"/>
            <w:vAlign w:val="center"/>
          </w:tcPr>
          <w:p w14:paraId="21162239" w14:textId="77777777" w:rsidR="00881A82" w:rsidRPr="00473486" w:rsidRDefault="00881A82">
            <w:pPr>
              <w:spacing w:before="29" w:line="360" w:lineRule="auto"/>
              <w:ind w:left="17"/>
              <w:jc w:val="center"/>
              <w:rPr>
                <w:rFonts w:eastAsiaTheme="minorEastAsia"/>
                <w:color w:val="000000" w:themeColor="text1"/>
                <w:szCs w:val="21"/>
              </w:rPr>
            </w:pPr>
          </w:p>
        </w:tc>
        <w:tc>
          <w:tcPr>
            <w:tcW w:w="3357" w:type="dxa"/>
            <w:vAlign w:val="center"/>
          </w:tcPr>
          <w:p w14:paraId="692B9628"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其中：债券</w:t>
            </w:r>
          </w:p>
        </w:tc>
        <w:tc>
          <w:tcPr>
            <w:tcW w:w="2977" w:type="dxa"/>
            <w:vAlign w:val="center"/>
          </w:tcPr>
          <w:p w14:paraId="482C783D"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577,612,356.51</w:t>
            </w:r>
          </w:p>
        </w:tc>
        <w:tc>
          <w:tcPr>
            <w:tcW w:w="1843" w:type="dxa"/>
            <w:vAlign w:val="center"/>
          </w:tcPr>
          <w:p w14:paraId="6D0D91BA"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99.77</w:t>
            </w:r>
          </w:p>
        </w:tc>
      </w:tr>
      <w:tr w:rsidR="00881A82" w:rsidRPr="00473486" w14:paraId="690B9CAE" w14:textId="77777777">
        <w:trPr>
          <w:jc w:val="center"/>
        </w:trPr>
        <w:tc>
          <w:tcPr>
            <w:tcW w:w="720" w:type="dxa"/>
            <w:vAlign w:val="center"/>
          </w:tcPr>
          <w:p w14:paraId="598FBF2E" w14:textId="77777777" w:rsidR="00881A82" w:rsidRPr="00473486" w:rsidRDefault="00881A82">
            <w:pPr>
              <w:spacing w:before="29" w:line="360" w:lineRule="auto"/>
              <w:ind w:left="17"/>
              <w:jc w:val="center"/>
              <w:rPr>
                <w:rFonts w:eastAsiaTheme="minorEastAsia"/>
                <w:color w:val="000000" w:themeColor="text1"/>
                <w:szCs w:val="21"/>
              </w:rPr>
            </w:pPr>
          </w:p>
        </w:tc>
        <w:tc>
          <w:tcPr>
            <w:tcW w:w="3357" w:type="dxa"/>
            <w:vAlign w:val="center"/>
          </w:tcPr>
          <w:p w14:paraId="7AA62DE9" w14:textId="77777777" w:rsidR="00881A82" w:rsidRPr="00473486" w:rsidRDefault="007D1E3A">
            <w:pPr>
              <w:autoSpaceDE w:val="0"/>
              <w:autoSpaceDN w:val="0"/>
              <w:adjustRightInd w:val="0"/>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资产支持证券</w:t>
            </w:r>
          </w:p>
        </w:tc>
        <w:tc>
          <w:tcPr>
            <w:tcW w:w="2977" w:type="dxa"/>
            <w:vAlign w:val="center"/>
          </w:tcPr>
          <w:p w14:paraId="543C3A8E"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259F3D9E"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28CEB2E6" w14:textId="77777777">
        <w:trPr>
          <w:jc w:val="center"/>
        </w:trPr>
        <w:tc>
          <w:tcPr>
            <w:tcW w:w="720" w:type="dxa"/>
          </w:tcPr>
          <w:p w14:paraId="7D86A795"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3</w:t>
            </w:r>
          </w:p>
        </w:tc>
        <w:tc>
          <w:tcPr>
            <w:tcW w:w="3357" w:type="dxa"/>
          </w:tcPr>
          <w:p w14:paraId="31D8004E" w14:textId="77777777" w:rsidR="00881A82" w:rsidRPr="00473486" w:rsidRDefault="007D1E3A">
            <w:pPr>
              <w:spacing w:before="29" w:line="360" w:lineRule="auto"/>
              <w:ind w:leftChars="50" w:left="105"/>
              <w:rPr>
                <w:rFonts w:eastAsiaTheme="minorEastAsia"/>
                <w:color w:val="000000" w:themeColor="text1"/>
                <w:szCs w:val="21"/>
              </w:rPr>
            </w:pPr>
            <w:r w:rsidRPr="00473486">
              <w:rPr>
                <w:rFonts w:eastAsiaTheme="minorEastAsia"/>
                <w:color w:val="000000" w:themeColor="text1"/>
                <w:szCs w:val="21"/>
              </w:rPr>
              <w:t>贵金属投资</w:t>
            </w:r>
          </w:p>
        </w:tc>
        <w:tc>
          <w:tcPr>
            <w:tcW w:w="2977" w:type="dxa"/>
            <w:vAlign w:val="center"/>
          </w:tcPr>
          <w:p w14:paraId="46908FDF"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32EC2831"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529C7BFE" w14:textId="77777777">
        <w:trPr>
          <w:jc w:val="center"/>
        </w:trPr>
        <w:tc>
          <w:tcPr>
            <w:tcW w:w="720" w:type="dxa"/>
            <w:vAlign w:val="center"/>
          </w:tcPr>
          <w:p w14:paraId="1CB1E5E4"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4</w:t>
            </w:r>
          </w:p>
        </w:tc>
        <w:tc>
          <w:tcPr>
            <w:tcW w:w="3357" w:type="dxa"/>
            <w:vAlign w:val="center"/>
          </w:tcPr>
          <w:p w14:paraId="6FCD287A"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金融衍生品投资</w:t>
            </w:r>
          </w:p>
        </w:tc>
        <w:tc>
          <w:tcPr>
            <w:tcW w:w="2977" w:type="dxa"/>
            <w:vAlign w:val="center"/>
          </w:tcPr>
          <w:p w14:paraId="2C96C98E"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2FBF2288"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772050DB" w14:textId="77777777">
        <w:trPr>
          <w:jc w:val="center"/>
        </w:trPr>
        <w:tc>
          <w:tcPr>
            <w:tcW w:w="720" w:type="dxa"/>
            <w:vAlign w:val="center"/>
          </w:tcPr>
          <w:p w14:paraId="584DAF24"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lastRenderedPageBreak/>
              <w:t>5</w:t>
            </w:r>
          </w:p>
        </w:tc>
        <w:tc>
          <w:tcPr>
            <w:tcW w:w="3357" w:type="dxa"/>
            <w:vAlign w:val="center"/>
          </w:tcPr>
          <w:p w14:paraId="3744D930"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买入返售金融资产</w:t>
            </w:r>
          </w:p>
        </w:tc>
        <w:tc>
          <w:tcPr>
            <w:tcW w:w="2977" w:type="dxa"/>
            <w:vAlign w:val="center"/>
          </w:tcPr>
          <w:p w14:paraId="674CC97F"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07DAFCC9"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6C5723AE" w14:textId="77777777">
        <w:trPr>
          <w:jc w:val="center"/>
        </w:trPr>
        <w:tc>
          <w:tcPr>
            <w:tcW w:w="720" w:type="dxa"/>
            <w:vAlign w:val="center"/>
          </w:tcPr>
          <w:p w14:paraId="2DCAD759" w14:textId="77777777" w:rsidR="00881A82" w:rsidRPr="00473486" w:rsidRDefault="00881A82">
            <w:pPr>
              <w:spacing w:before="29" w:line="360" w:lineRule="auto"/>
              <w:ind w:left="17"/>
              <w:jc w:val="center"/>
              <w:rPr>
                <w:rFonts w:eastAsiaTheme="minorEastAsia"/>
                <w:color w:val="000000" w:themeColor="text1"/>
                <w:szCs w:val="21"/>
              </w:rPr>
            </w:pPr>
          </w:p>
        </w:tc>
        <w:tc>
          <w:tcPr>
            <w:tcW w:w="3357" w:type="dxa"/>
            <w:vAlign w:val="center"/>
          </w:tcPr>
          <w:p w14:paraId="59B4397D"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其中：买断式回购的买入返售金融资产</w:t>
            </w:r>
          </w:p>
        </w:tc>
        <w:tc>
          <w:tcPr>
            <w:tcW w:w="2977" w:type="dxa"/>
            <w:vAlign w:val="center"/>
          </w:tcPr>
          <w:p w14:paraId="720E472D"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28CD703A"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40E995B7" w14:textId="77777777">
        <w:trPr>
          <w:jc w:val="center"/>
        </w:trPr>
        <w:tc>
          <w:tcPr>
            <w:tcW w:w="720" w:type="dxa"/>
            <w:vAlign w:val="center"/>
          </w:tcPr>
          <w:p w14:paraId="6600B668"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6</w:t>
            </w:r>
          </w:p>
        </w:tc>
        <w:tc>
          <w:tcPr>
            <w:tcW w:w="3357" w:type="dxa"/>
            <w:vAlign w:val="center"/>
          </w:tcPr>
          <w:p w14:paraId="446298B6"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银行存款和结算备付金合计</w:t>
            </w:r>
          </w:p>
        </w:tc>
        <w:tc>
          <w:tcPr>
            <w:tcW w:w="2977" w:type="dxa"/>
            <w:vAlign w:val="center"/>
          </w:tcPr>
          <w:p w14:paraId="15894B4C"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203,901.28</w:t>
            </w:r>
          </w:p>
        </w:tc>
        <w:tc>
          <w:tcPr>
            <w:tcW w:w="1843" w:type="dxa"/>
            <w:vAlign w:val="center"/>
          </w:tcPr>
          <w:p w14:paraId="4F1A5988"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0.04</w:t>
            </w:r>
          </w:p>
        </w:tc>
      </w:tr>
      <w:tr w:rsidR="00881A82" w:rsidRPr="00473486" w14:paraId="2A7FD780" w14:textId="77777777">
        <w:trPr>
          <w:jc w:val="center"/>
        </w:trPr>
        <w:tc>
          <w:tcPr>
            <w:tcW w:w="720" w:type="dxa"/>
            <w:vAlign w:val="center"/>
          </w:tcPr>
          <w:p w14:paraId="5C21691E"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7</w:t>
            </w:r>
          </w:p>
        </w:tc>
        <w:tc>
          <w:tcPr>
            <w:tcW w:w="3357" w:type="dxa"/>
            <w:vAlign w:val="center"/>
          </w:tcPr>
          <w:p w14:paraId="08CA835C" w14:textId="77777777" w:rsidR="00881A82" w:rsidRPr="00473486" w:rsidRDefault="007D1E3A">
            <w:pPr>
              <w:jc w:val="left"/>
              <w:rPr>
                <w:rFonts w:eastAsiaTheme="minorEastAsia"/>
                <w:color w:val="000000" w:themeColor="text1"/>
                <w:szCs w:val="21"/>
              </w:rPr>
            </w:pPr>
            <w:r w:rsidRPr="00473486">
              <w:rPr>
                <w:rFonts w:eastAsiaTheme="minorEastAsia"/>
                <w:color w:val="000000" w:themeColor="text1"/>
                <w:szCs w:val="21"/>
              </w:rPr>
              <w:t>其他各项资产</w:t>
            </w:r>
          </w:p>
        </w:tc>
        <w:tc>
          <w:tcPr>
            <w:tcW w:w="2977" w:type="dxa"/>
            <w:vAlign w:val="center"/>
          </w:tcPr>
          <w:p w14:paraId="5C1E23A2" w14:textId="77777777" w:rsidR="00881A82" w:rsidRPr="00473486" w:rsidRDefault="007D1E3A">
            <w:pPr>
              <w:jc w:val="right"/>
              <w:rPr>
                <w:rFonts w:eastAsiaTheme="minorEastAsia"/>
                <w:color w:val="000000" w:themeColor="text1"/>
                <w:szCs w:val="21"/>
              </w:rPr>
            </w:pPr>
            <w:r w:rsidRPr="00473486">
              <w:rPr>
                <w:rFonts w:eastAsiaTheme="minorEastAsia"/>
                <w:color w:val="000000" w:themeColor="text1"/>
                <w:szCs w:val="21"/>
              </w:rPr>
              <w:t>1,119,830.00</w:t>
            </w:r>
          </w:p>
        </w:tc>
        <w:tc>
          <w:tcPr>
            <w:tcW w:w="1843" w:type="dxa"/>
            <w:vAlign w:val="center"/>
          </w:tcPr>
          <w:p w14:paraId="0B49D512" w14:textId="77777777" w:rsidR="00881A82" w:rsidRPr="00473486" w:rsidRDefault="007D1E3A">
            <w:pPr>
              <w:jc w:val="right"/>
              <w:rPr>
                <w:rFonts w:eastAsiaTheme="minorEastAsia"/>
                <w:color w:val="000000" w:themeColor="text1"/>
                <w:szCs w:val="21"/>
              </w:rPr>
            </w:pPr>
            <w:r w:rsidRPr="00473486">
              <w:rPr>
                <w:rFonts w:eastAsiaTheme="minorEastAsia"/>
                <w:color w:val="000000" w:themeColor="text1"/>
                <w:szCs w:val="21"/>
              </w:rPr>
              <w:t>0.19</w:t>
            </w:r>
          </w:p>
        </w:tc>
      </w:tr>
      <w:tr w:rsidR="00881A82" w:rsidRPr="00473486" w14:paraId="0C67A321" w14:textId="77777777">
        <w:trPr>
          <w:jc w:val="center"/>
        </w:trPr>
        <w:tc>
          <w:tcPr>
            <w:tcW w:w="720" w:type="dxa"/>
            <w:vAlign w:val="center"/>
          </w:tcPr>
          <w:p w14:paraId="057B19AD"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8</w:t>
            </w:r>
          </w:p>
        </w:tc>
        <w:tc>
          <w:tcPr>
            <w:tcW w:w="3357" w:type="dxa"/>
            <w:vAlign w:val="center"/>
          </w:tcPr>
          <w:p w14:paraId="5E94C2F5" w14:textId="77777777" w:rsidR="00881A82" w:rsidRPr="00473486" w:rsidRDefault="007D1E3A">
            <w:pPr>
              <w:jc w:val="left"/>
              <w:rPr>
                <w:rFonts w:eastAsiaTheme="minorEastAsia"/>
                <w:color w:val="000000" w:themeColor="text1"/>
                <w:szCs w:val="21"/>
              </w:rPr>
            </w:pPr>
            <w:r w:rsidRPr="00473486">
              <w:rPr>
                <w:rFonts w:eastAsiaTheme="minorEastAsia"/>
                <w:color w:val="000000" w:themeColor="text1"/>
                <w:szCs w:val="21"/>
              </w:rPr>
              <w:t>合计</w:t>
            </w:r>
          </w:p>
        </w:tc>
        <w:tc>
          <w:tcPr>
            <w:tcW w:w="2977" w:type="dxa"/>
            <w:vAlign w:val="center"/>
          </w:tcPr>
          <w:p w14:paraId="0C082B4A" w14:textId="77777777" w:rsidR="00881A82" w:rsidRPr="00473486" w:rsidRDefault="007D1E3A">
            <w:pPr>
              <w:jc w:val="right"/>
              <w:rPr>
                <w:rFonts w:eastAsiaTheme="minorEastAsia"/>
                <w:color w:val="000000" w:themeColor="text1"/>
                <w:szCs w:val="21"/>
              </w:rPr>
            </w:pPr>
            <w:r w:rsidRPr="00473486">
              <w:rPr>
                <w:rFonts w:eastAsiaTheme="minorEastAsia"/>
                <w:color w:val="000000" w:themeColor="text1"/>
                <w:szCs w:val="21"/>
              </w:rPr>
              <w:t>578,936,087.79</w:t>
            </w:r>
          </w:p>
        </w:tc>
        <w:tc>
          <w:tcPr>
            <w:tcW w:w="1843" w:type="dxa"/>
            <w:vAlign w:val="center"/>
          </w:tcPr>
          <w:p w14:paraId="30717A25" w14:textId="77777777" w:rsidR="00881A82" w:rsidRPr="00473486" w:rsidRDefault="007D1E3A">
            <w:pPr>
              <w:jc w:val="right"/>
              <w:rPr>
                <w:rFonts w:eastAsiaTheme="minorEastAsia"/>
                <w:color w:val="000000" w:themeColor="text1"/>
                <w:szCs w:val="21"/>
              </w:rPr>
            </w:pPr>
            <w:r w:rsidRPr="00473486">
              <w:rPr>
                <w:rFonts w:eastAsiaTheme="minorEastAsia"/>
                <w:color w:val="000000" w:themeColor="text1"/>
                <w:szCs w:val="21"/>
              </w:rPr>
              <w:t>100.00</w:t>
            </w:r>
          </w:p>
        </w:tc>
      </w:tr>
    </w:tbl>
    <w:p w14:paraId="7EE9D99D"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6C4E57D0"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5.2 </w:t>
      </w:r>
      <w:r w:rsidRPr="00473486">
        <w:rPr>
          <w:rFonts w:eastAsiaTheme="minorEastAsia"/>
          <w:b/>
          <w:color w:val="000000" w:themeColor="text1"/>
          <w:kern w:val="0"/>
          <w:sz w:val="24"/>
        </w:rPr>
        <w:t>报告期末按行业分类的股票投资组合</w:t>
      </w:r>
    </w:p>
    <w:p w14:paraId="148BC977"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5.2.1</w:t>
      </w:r>
      <w:r w:rsidRPr="00473486">
        <w:rPr>
          <w:rFonts w:eastAsiaTheme="minorEastAsia"/>
          <w:b/>
          <w:color w:val="000000" w:themeColor="text1"/>
          <w:kern w:val="0"/>
          <w:sz w:val="24"/>
        </w:rPr>
        <w:t>积极投资按行业分类的股票投资组合</w:t>
      </w:r>
    </w:p>
    <w:p w14:paraId="51BC9A4B"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本基金本报告期末未持有积极投资股票。</w:t>
      </w:r>
    </w:p>
    <w:p w14:paraId="4B7814B3"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5.2.2</w:t>
      </w:r>
      <w:r w:rsidRPr="00473486">
        <w:rPr>
          <w:rFonts w:eastAsiaTheme="minorEastAsia"/>
          <w:b/>
          <w:color w:val="000000" w:themeColor="text1"/>
          <w:kern w:val="0"/>
          <w:sz w:val="24"/>
        </w:rPr>
        <w:t>指数投资按行业分类的股票投资组合</w:t>
      </w:r>
    </w:p>
    <w:p w14:paraId="58BEEE9E"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本基金本报告期末未持有指数投资股票。</w:t>
      </w:r>
    </w:p>
    <w:p w14:paraId="2FD50A34" w14:textId="77777777" w:rsidR="00881A82" w:rsidRPr="00473486" w:rsidRDefault="00881A82">
      <w:pPr>
        <w:autoSpaceDE w:val="0"/>
        <w:autoSpaceDN w:val="0"/>
        <w:adjustRightInd w:val="0"/>
        <w:spacing w:line="360" w:lineRule="auto"/>
        <w:jc w:val="left"/>
        <w:rPr>
          <w:rFonts w:eastAsiaTheme="minorEastAsia"/>
          <w:color w:val="000000" w:themeColor="text1"/>
          <w:sz w:val="24"/>
        </w:rPr>
      </w:pPr>
    </w:p>
    <w:p w14:paraId="1AF52876"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5.3</w:t>
      </w:r>
      <w:r w:rsidRPr="00473486">
        <w:rPr>
          <w:rFonts w:eastAsiaTheme="minorEastAsia"/>
          <w:b/>
          <w:color w:val="000000" w:themeColor="text1"/>
          <w:kern w:val="0"/>
          <w:sz w:val="24"/>
        </w:rPr>
        <w:t>报告期末按公允价值占基金资产净值比例大小排序的股票投资明细</w:t>
      </w:r>
    </w:p>
    <w:p w14:paraId="4A1DF9DA"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kern w:val="0"/>
          <w:sz w:val="24"/>
        </w:rPr>
        <w:t>5.3.1</w:t>
      </w:r>
      <w:r w:rsidRPr="00473486">
        <w:rPr>
          <w:rFonts w:eastAsiaTheme="minorEastAsia"/>
          <w:b/>
          <w:color w:val="000000" w:themeColor="text1"/>
          <w:kern w:val="0"/>
          <w:sz w:val="24"/>
        </w:rPr>
        <w:t>期末</w:t>
      </w:r>
      <w:r w:rsidRPr="00473486">
        <w:rPr>
          <w:rFonts w:eastAsiaTheme="minorEastAsia"/>
          <w:b/>
          <w:color w:val="000000" w:themeColor="text1"/>
          <w:sz w:val="24"/>
        </w:rPr>
        <w:t>指数投资按公允价值占基金资产净值比例大小排序的前十名股票投资明细</w:t>
      </w:r>
    </w:p>
    <w:p w14:paraId="7B0708DE" w14:textId="77777777" w:rsidR="00881A82" w:rsidRPr="00473486" w:rsidRDefault="007D1E3A">
      <w:pPr>
        <w:autoSpaceDE w:val="0"/>
        <w:autoSpaceDN w:val="0"/>
        <w:adjustRightInd w:val="0"/>
        <w:spacing w:line="360" w:lineRule="auto"/>
        <w:jc w:val="left"/>
        <w:rPr>
          <w:rFonts w:eastAsiaTheme="minorEastAsia"/>
          <w:color w:val="000000" w:themeColor="text1"/>
          <w:sz w:val="24"/>
        </w:rPr>
      </w:pPr>
      <w:r w:rsidRPr="00473486">
        <w:rPr>
          <w:rFonts w:eastAsiaTheme="minorEastAsia"/>
          <w:color w:val="000000" w:themeColor="text1"/>
          <w:szCs w:val="21"/>
        </w:rPr>
        <w:t>本基金本报告期末未持有股票。</w:t>
      </w:r>
    </w:p>
    <w:p w14:paraId="57EC2355"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kern w:val="0"/>
          <w:sz w:val="24"/>
        </w:rPr>
        <w:t>5.3.2</w:t>
      </w:r>
      <w:r w:rsidRPr="00473486">
        <w:rPr>
          <w:rFonts w:eastAsiaTheme="minorEastAsia"/>
          <w:b/>
          <w:color w:val="000000" w:themeColor="text1"/>
          <w:kern w:val="0"/>
          <w:sz w:val="24"/>
        </w:rPr>
        <w:t>期末</w:t>
      </w:r>
      <w:r w:rsidRPr="00473486">
        <w:rPr>
          <w:rFonts w:eastAsiaTheme="minorEastAsia"/>
          <w:b/>
          <w:color w:val="000000" w:themeColor="text1"/>
          <w:sz w:val="24"/>
        </w:rPr>
        <w:t>积极投资按公允价值占基金资产净值比例大小排序的前五名股票投资明细</w:t>
      </w:r>
    </w:p>
    <w:p w14:paraId="1914694B"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本基金本报告期末未持有积极投资股票。</w:t>
      </w:r>
    </w:p>
    <w:p w14:paraId="3F182DED" w14:textId="77777777" w:rsidR="00881A82" w:rsidRPr="000A0010" w:rsidRDefault="00881A82">
      <w:pPr>
        <w:autoSpaceDE w:val="0"/>
        <w:autoSpaceDN w:val="0"/>
        <w:adjustRightInd w:val="0"/>
        <w:spacing w:line="360" w:lineRule="auto"/>
        <w:jc w:val="left"/>
        <w:rPr>
          <w:rFonts w:eastAsiaTheme="minorEastAsia"/>
          <w:color w:val="000000" w:themeColor="text1"/>
          <w:szCs w:val="21"/>
        </w:rPr>
      </w:pPr>
    </w:p>
    <w:p w14:paraId="1DA6A21C"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5.4 </w:t>
      </w:r>
      <w:r w:rsidRPr="00473486">
        <w:rPr>
          <w:rFonts w:eastAsiaTheme="minorEastAsia"/>
          <w:b/>
          <w:color w:val="000000" w:themeColor="text1"/>
          <w:kern w:val="0"/>
          <w:sz w:val="24"/>
        </w:rPr>
        <w:t>报告期末按债券品种分类的债券投资组合</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2694"/>
        <w:gridCol w:w="1757"/>
      </w:tblGrid>
      <w:tr w:rsidR="00881A82" w:rsidRPr="00473486" w14:paraId="671EE933" w14:textId="77777777">
        <w:tc>
          <w:tcPr>
            <w:tcW w:w="1242" w:type="dxa"/>
            <w:shd w:val="clear" w:color="auto" w:fill="auto"/>
            <w:vAlign w:val="center"/>
          </w:tcPr>
          <w:p w14:paraId="1CA5CAD0"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序号</w:t>
            </w:r>
          </w:p>
        </w:tc>
        <w:tc>
          <w:tcPr>
            <w:tcW w:w="2835" w:type="dxa"/>
            <w:shd w:val="clear" w:color="auto" w:fill="auto"/>
            <w:vAlign w:val="center"/>
          </w:tcPr>
          <w:p w14:paraId="1F6261B6"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债券品种</w:t>
            </w:r>
          </w:p>
        </w:tc>
        <w:tc>
          <w:tcPr>
            <w:tcW w:w="2694" w:type="dxa"/>
            <w:shd w:val="clear" w:color="auto" w:fill="auto"/>
            <w:vAlign w:val="center"/>
          </w:tcPr>
          <w:p w14:paraId="1C4B35EC"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公允价值</w:t>
            </w:r>
            <w:r w:rsidRPr="00473486">
              <w:rPr>
                <w:rFonts w:eastAsiaTheme="minorEastAsia"/>
                <w:color w:val="000000" w:themeColor="text1"/>
                <w:szCs w:val="21"/>
              </w:rPr>
              <w:t>(</w:t>
            </w:r>
            <w:r w:rsidRPr="00473486">
              <w:rPr>
                <w:rFonts w:eastAsiaTheme="minorEastAsia"/>
                <w:color w:val="000000" w:themeColor="text1"/>
                <w:szCs w:val="21"/>
              </w:rPr>
              <w:t>元</w:t>
            </w:r>
            <w:r w:rsidRPr="00473486">
              <w:rPr>
                <w:rFonts w:eastAsiaTheme="minorEastAsia"/>
                <w:color w:val="000000" w:themeColor="text1"/>
                <w:szCs w:val="21"/>
              </w:rPr>
              <w:t>)</w:t>
            </w:r>
          </w:p>
        </w:tc>
        <w:tc>
          <w:tcPr>
            <w:tcW w:w="1757" w:type="dxa"/>
            <w:shd w:val="clear" w:color="auto" w:fill="auto"/>
            <w:vAlign w:val="center"/>
          </w:tcPr>
          <w:p w14:paraId="0C60580F"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占基金资产净值比例</w:t>
            </w:r>
            <w:r w:rsidRPr="00473486">
              <w:rPr>
                <w:rFonts w:eastAsiaTheme="minorEastAsia"/>
                <w:color w:val="000000" w:themeColor="text1"/>
                <w:szCs w:val="21"/>
              </w:rPr>
              <w:t>(</w:t>
            </w:r>
            <w:r w:rsidRPr="00473486">
              <w:rPr>
                <w:rFonts w:eastAsiaTheme="minorEastAsia"/>
                <w:color w:val="000000" w:themeColor="text1"/>
                <w:szCs w:val="21"/>
              </w:rPr>
              <w:t>％</w:t>
            </w:r>
            <w:r w:rsidRPr="00473486">
              <w:rPr>
                <w:rFonts w:eastAsiaTheme="minorEastAsia"/>
                <w:color w:val="000000" w:themeColor="text1"/>
                <w:szCs w:val="21"/>
              </w:rPr>
              <w:t>)</w:t>
            </w:r>
          </w:p>
        </w:tc>
      </w:tr>
      <w:tr w:rsidR="00881A82" w:rsidRPr="00473486" w14:paraId="62677B91" w14:textId="77777777">
        <w:tc>
          <w:tcPr>
            <w:tcW w:w="1242" w:type="dxa"/>
            <w:shd w:val="clear" w:color="auto" w:fill="auto"/>
            <w:vAlign w:val="center"/>
          </w:tcPr>
          <w:p w14:paraId="27E53ABF"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1</w:t>
            </w:r>
          </w:p>
        </w:tc>
        <w:tc>
          <w:tcPr>
            <w:tcW w:w="2835" w:type="dxa"/>
            <w:shd w:val="clear" w:color="auto" w:fill="auto"/>
            <w:vAlign w:val="center"/>
          </w:tcPr>
          <w:p w14:paraId="200B7679"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国家债券</w:t>
            </w:r>
          </w:p>
        </w:tc>
        <w:tc>
          <w:tcPr>
            <w:tcW w:w="2694" w:type="dxa"/>
            <w:shd w:val="clear" w:color="auto" w:fill="auto"/>
            <w:vAlign w:val="center"/>
          </w:tcPr>
          <w:p w14:paraId="72CCC590"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757" w:type="dxa"/>
            <w:shd w:val="clear" w:color="auto" w:fill="auto"/>
            <w:vAlign w:val="center"/>
          </w:tcPr>
          <w:p w14:paraId="34C41BB3"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636B9DE7" w14:textId="77777777">
        <w:tc>
          <w:tcPr>
            <w:tcW w:w="1242" w:type="dxa"/>
            <w:shd w:val="clear" w:color="auto" w:fill="auto"/>
            <w:vAlign w:val="center"/>
          </w:tcPr>
          <w:p w14:paraId="36FC45D7"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2</w:t>
            </w:r>
          </w:p>
        </w:tc>
        <w:tc>
          <w:tcPr>
            <w:tcW w:w="2835" w:type="dxa"/>
            <w:shd w:val="clear" w:color="auto" w:fill="auto"/>
            <w:vAlign w:val="center"/>
          </w:tcPr>
          <w:p w14:paraId="07100C9F"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央行票据</w:t>
            </w:r>
          </w:p>
        </w:tc>
        <w:tc>
          <w:tcPr>
            <w:tcW w:w="2694" w:type="dxa"/>
            <w:shd w:val="clear" w:color="auto" w:fill="auto"/>
            <w:vAlign w:val="center"/>
          </w:tcPr>
          <w:p w14:paraId="0DC0D621"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757" w:type="dxa"/>
            <w:shd w:val="clear" w:color="auto" w:fill="auto"/>
            <w:vAlign w:val="center"/>
          </w:tcPr>
          <w:p w14:paraId="39E36377"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14AB6EDF" w14:textId="77777777">
        <w:tc>
          <w:tcPr>
            <w:tcW w:w="1242" w:type="dxa"/>
            <w:shd w:val="clear" w:color="auto" w:fill="auto"/>
            <w:vAlign w:val="center"/>
          </w:tcPr>
          <w:p w14:paraId="3295804F"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3</w:t>
            </w:r>
          </w:p>
        </w:tc>
        <w:tc>
          <w:tcPr>
            <w:tcW w:w="2835" w:type="dxa"/>
            <w:shd w:val="clear" w:color="auto" w:fill="auto"/>
            <w:vAlign w:val="center"/>
          </w:tcPr>
          <w:p w14:paraId="2C6824ED"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金融债券</w:t>
            </w:r>
          </w:p>
        </w:tc>
        <w:tc>
          <w:tcPr>
            <w:tcW w:w="2694" w:type="dxa"/>
            <w:shd w:val="clear" w:color="auto" w:fill="auto"/>
            <w:vAlign w:val="center"/>
          </w:tcPr>
          <w:p w14:paraId="325D63DA"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30,350,025.41</w:t>
            </w:r>
          </w:p>
        </w:tc>
        <w:tc>
          <w:tcPr>
            <w:tcW w:w="1757" w:type="dxa"/>
            <w:shd w:val="clear" w:color="auto" w:fill="auto"/>
            <w:vAlign w:val="center"/>
          </w:tcPr>
          <w:p w14:paraId="43CC6E2C"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6.32</w:t>
            </w:r>
          </w:p>
        </w:tc>
      </w:tr>
      <w:tr w:rsidR="00881A82" w:rsidRPr="00473486" w14:paraId="1A40988D" w14:textId="77777777">
        <w:tc>
          <w:tcPr>
            <w:tcW w:w="1242" w:type="dxa"/>
            <w:shd w:val="clear" w:color="auto" w:fill="auto"/>
            <w:vAlign w:val="center"/>
          </w:tcPr>
          <w:p w14:paraId="0FC90F2C" w14:textId="77777777" w:rsidR="00881A82" w:rsidRPr="00473486" w:rsidRDefault="00881A82">
            <w:pPr>
              <w:spacing w:before="29" w:line="360" w:lineRule="auto"/>
              <w:ind w:left="17"/>
              <w:jc w:val="center"/>
              <w:rPr>
                <w:rFonts w:eastAsiaTheme="minorEastAsia"/>
                <w:color w:val="000000" w:themeColor="text1"/>
                <w:szCs w:val="21"/>
              </w:rPr>
            </w:pPr>
          </w:p>
        </w:tc>
        <w:tc>
          <w:tcPr>
            <w:tcW w:w="2835" w:type="dxa"/>
            <w:shd w:val="clear" w:color="auto" w:fill="auto"/>
            <w:vAlign w:val="center"/>
          </w:tcPr>
          <w:p w14:paraId="2F57BA44"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其中：政策性金融债</w:t>
            </w:r>
          </w:p>
        </w:tc>
        <w:tc>
          <w:tcPr>
            <w:tcW w:w="2694" w:type="dxa"/>
            <w:shd w:val="clear" w:color="auto" w:fill="auto"/>
            <w:vAlign w:val="center"/>
          </w:tcPr>
          <w:p w14:paraId="53918DC8"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30,350,025.41</w:t>
            </w:r>
          </w:p>
        </w:tc>
        <w:tc>
          <w:tcPr>
            <w:tcW w:w="1757" w:type="dxa"/>
            <w:shd w:val="clear" w:color="auto" w:fill="auto"/>
            <w:vAlign w:val="center"/>
          </w:tcPr>
          <w:p w14:paraId="11F90BA6"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6.32</w:t>
            </w:r>
          </w:p>
        </w:tc>
      </w:tr>
      <w:tr w:rsidR="00881A82" w:rsidRPr="00473486" w14:paraId="69A0D7F4" w14:textId="77777777">
        <w:tc>
          <w:tcPr>
            <w:tcW w:w="1242" w:type="dxa"/>
            <w:shd w:val="clear" w:color="auto" w:fill="auto"/>
            <w:vAlign w:val="center"/>
          </w:tcPr>
          <w:p w14:paraId="3B292A5F"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lastRenderedPageBreak/>
              <w:t>4</w:t>
            </w:r>
          </w:p>
        </w:tc>
        <w:tc>
          <w:tcPr>
            <w:tcW w:w="2835" w:type="dxa"/>
            <w:shd w:val="clear" w:color="auto" w:fill="auto"/>
            <w:vAlign w:val="center"/>
          </w:tcPr>
          <w:p w14:paraId="354B4D7D"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企业债券</w:t>
            </w:r>
          </w:p>
        </w:tc>
        <w:tc>
          <w:tcPr>
            <w:tcW w:w="2694" w:type="dxa"/>
            <w:shd w:val="clear" w:color="auto" w:fill="auto"/>
            <w:vAlign w:val="center"/>
          </w:tcPr>
          <w:p w14:paraId="24E8791F"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20,546,410.96</w:t>
            </w:r>
          </w:p>
        </w:tc>
        <w:tc>
          <w:tcPr>
            <w:tcW w:w="1757" w:type="dxa"/>
            <w:shd w:val="clear" w:color="auto" w:fill="auto"/>
            <w:vAlign w:val="center"/>
          </w:tcPr>
          <w:p w14:paraId="057B6365"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4.28</w:t>
            </w:r>
          </w:p>
        </w:tc>
      </w:tr>
      <w:tr w:rsidR="00881A82" w:rsidRPr="00473486" w14:paraId="55A51C6A" w14:textId="77777777">
        <w:tc>
          <w:tcPr>
            <w:tcW w:w="1242" w:type="dxa"/>
            <w:shd w:val="clear" w:color="auto" w:fill="auto"/>
            <w:vAlign w:val="center"/>
          </w:tcPr>
          <w:p w14:paraId="5A89A9AB"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5</w:t>
            </w:r>
          </w:p>
        </w:tc>
        <w:tc>
          <w:tcPr>
            <w:tcW w:w="2835" w:type="dxa"/>
            <w:shd w:val="clear" w:color="auto" w:fill="auto"/>
            <w:vAlign w:val="center"/>
          </w:tcPr>
          <w:p w14:paraId="6E3EF2E3"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企业短期融资券</w:t>
            </w:r>
          </w:p>
        </w:tc>
        <w:tc>
          <w:tcPr>
            <w:tcW w:w="2694" w:type="dxa"/>
            <w:shd w:val="clear" w:color="auto" w:fill="auto"/>
            <w:vAlign w:val="center"/>
          </w:tcPr>
          <w:p w14:paraId="7FF8F2A3"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20,119,448.77</w:t>
            </w:r>
          </w:p>
        </w:tc>
        <w:tc>
          <w:tcPr>
            <w:tcW w:w="1757" w:type="dxa"/>
            <w:shd w:val="clear" w:color="auto" w:fill="auto"/>
            <w:vAlign w:val="center"/>
          </w:tcPr>
          <w:p w14:paraId="0C8140F1"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4.19</w:t>
            </w:r>
          </w:p>
        </w:tc>
      </w:tr>
      <w:tr w:rsidR="00881A82" w:rsidRPr="00473486" w14:paraId="36279644" w14:textId="77777777">
        <w:tc>
          <w:tcPr>
            <w:tcW w:w="1242" w:type="dxa"/>
            <w:shd w:val="clear" w:color="auto" w:fill="auto"/>
            <w:vAlign w:val="center"/>
          </w:tcPr>
          <w:p w14:paraId="3A3FF78F"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6</w:t>
            </w:r>
          </w:p>
        </w:tc>
        <w:tc>
          <w:tcPr>
            <w:tcW w:w="2835" w:type="dxa"/>
            <w:shd w:val="clear" w:color="auto" w:fill="auto"/>
            <w:vAlign w:val="center"/>
          </w:tcPr>
          <w:p w14:paraId="4308F5C0"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中期票据</w:t>
            </w:r>
          </w:p>
        </w:tc>
        <w:tc>
          <w:tcPr>
            <w:tcW w:w="2694" w:type="dxa"/>
            <w:shd w:val="clear" w:color="auto" w:fill="auto"/>
            <w:vAlign w:val="center"/>
          </w:tcPr>
          <w:p w14:paraId="49C8A78F"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30,889,495.08</w:t>
            </w:r>
          </w:p>
        </w:tc>
        <w:tc>
          <w:tcPr>
            <w:tcW w:w="1757" w:type="dxa"/>
            <w:shd w:val="clear" w:color="auto" w:fill="auto"/>
            <w:vAlign w:val="center"/>
          </w:tcPr>
          <w:p w14:paraId="31D0E680"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6.43</w:t>
            </w:r>
          </w:p>
        </w:tc>
      </w:tr>
      <w:tr w:rsidR="00881A82" w:rsidRPr="00473486" w14:paraId="1025C4A5" w14:textId="77777777">
        <w:tc>
          <w:tcPr>
            <w:tcW w:w="1242" w:type="dxa"/>
            <w:shd w:val="clear" w:color="auto" w:fill="auto"/>
            <w:vAlign w:val="center"/>
          </w:tcPr>
          <w:p w14:paraId="27BC7969"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7</w:t>
            </w:r>
          </w:p>
        </w:tc>
        <w:tc>
          <w:tcPr>
            <w:tcW w:w="2835" w:type="dxa"/>
            <w:shd w:val="clear" w:color="auto" w:fill="auto"/>
            <w:vAlign w:val="center"/>
          </w:tcPr>
          <w:p w14:paraId="048A684C"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可转债（可交换债）</w:t>
            </w:r>
          </w:p>
        </w:tc>
        <w:tc>
          <w:tcPr>
            <w:tcW w:w="2694" w:type="dxa"/>
            <w:shd w:val="clear" w:color="auto" w:fill="auto"/>
            <w:vAlign w:val="center"/>
          </w:tcPr>
          <w:p w14:paraId="4CCFD319"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757" w:type="dxa"/>
            <w:shd w:val="clear" w:color="auto" w:fill="auto"/>
            <w:vAlign w:val="center"/>
          </w:tcPr>
          <w:p w14:paraId="5BE2355B"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74093083" w14:textId="77777777">
        <w:tc>
          <w:tcPr>
            <w:tcW w:w="1242" w:type="dxa"/>
            <w:shd w:val="clear" w:color="auto" w:fill="auto"/>
            <w:vAlign w:val="center"/>
          </w:tcPr>
          <w:p w14:paraId="13F5A697"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8</w:t>
            </w:r>
          </w:p>
        </w:tc>
        <w:tc>
          <w:tcPr>
            <w:tcW w:w="2835" w:type="dxa"/>
            <w:shd w:val="clear" w:color="auto" w:fill="auto"/>
            <w:vAlign w:val="center"/>
          </w:tcPr>
          <w:p w14:paraId="5204AE9E"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同业存单</w:t>
            </w:r>
          </w:p>
        </w:tc>
        <w:tc>
          <w:tcPr>
            <w:tcW w:w="2694" w:type="dxa"/>
            <w:shd w:val="clear" w:color="auto" w:fill="auto"/>
            <w:vAlign w:val="center"/>
          </w:tcPr>
          <w:p w14:paraId="18ABD358"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475,706,976.29</w:t>
            </w:r>
          </w:p>
        </w:tc>
        <w:tc>
          <w:tcPr>
            <w:tcW w:w="1757" w:type="dxa"/>
            <w:shd w:val="clear" w:color="auto" w:fill="auto"/>
            <w:vAlign w:val="center"/>
          </w:tcPr>
          <w:p w14:paraId="12D798AF"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99.01</w:t>
            </w:r>
          </w:p>
        </w:tc>
      </w:tr>
      <w:tr w:rsidR="00881A82" w:rsidRPr="00473486" w14:paraId="454EDAAB" w14:textId="77777777">
        <w:tc>
          <w:tcPr>
            <w:tcW w:w="1242" w:type="dxa"/>
            <w:shd w:val="clear" w:color="auto" w:fill="auto"/>
            <w:vAlign w:val="center"/>
          </w:tcPr>
          <w:p w14:paraId="1F97019C"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9</w:t>
            </w:r>
          </w:p>
        </w:tc>
        <w:tc>
          <w:tcPr>
            <w:tcW w:w="2835" w:type="dxa"/>
            <w:shd w:val="clear" w:color="auto" w:fill="auto"/>
            <w:vAlign w:val="center"/>
          </w:tcPr>
          <w:p w14:paraId="7F25866C"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其他</w:t>
            </w:r>
          </w:p>
        </w:tc>
        <w:tc>
          <w:tcPr>
            <w:tcW w:w="2694" w:type="dxa"/>
            <w:shd w:val="clear" w:color="auto" w:fill="auto"/>
            <w:vAlign w:val="center"/>
          </w:tcPr>
          <w:p w14:paraId="5DA2EBBF"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757" w:type="dxa"/>
            <w:shd w:val="clear" w:color="auto" w:fill="auto"/>
            <w:vAlign w:val="center"/>
          </w:tcPr>
          <w:p w14:paraId="4E3AEACF"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69804C15" w14:textId="77777777">
        <w:tc>
          <w:tcPr>
            <w:tcW w:w="1242" w:type="dxa"/>
            <w:shd w:val="clear" w:color="auto" w:fill="auto"/>
            <w:vAlign w:val="center"/>
          </w:tcPr>
          <w:p w14:paraId="7D27B94B"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10</w:t>
            </w:r>
          </w:p>
        </w:tc>
        <w:tc>
          <w:tcPr>
            <w:tcW w:w="2835" w:type="dxa"/>
            <w:shd w:val="clear" w:color="auto" w:fill="auto"/>
            <w:vAlign w:val="center"/>
          </w:tcPr>
          <w:p w14:paraId="77FC7704"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合计</w:t>
            </w:r>
          </w:p>
        </w:tc>
        <w:tc>
          <w:tcPr>
            <w:tcW w:w="2694" w:type="dxa"/>
            <w:shd w:val="clear" w:color="auto" w:fill="auto"/>
            <w:vAlign w:val="center"/>
          </w:tcPr>
          <w:p w14:paraId="2B6ECF90"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577,612,356.51</w:t>
            </w:r>
          </w:p>
        </w:tc>
        <w:tc>
          <w:tcPr>
            <w:tcW w:w="1757" w:type="dxa"/>
            <w:shd w:val="clear" w:color="auto" w:fill="auto"/>
            <w:vAlign w:val="center"/>
          </w:tcPr>
          <w:p w14:paraId="551D8B92"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120.22</w:t>
            </w:r>
          </w:p>
        </w:tc>
      </w:tr>
    </w:tbl>
    <w:p w14:paraId="79F3BEFB" w14:textId="77777777" w:rsidR="00881A82" w:rsidRPr="00473486" w:rsidRDefault="00881A82">
      <w:pPr>
        <w:autoSpaceDE w:val="0"/>
        <w:autoSpaceDN w:val="0"/>
        <w:adjustRightInd w:val="0"/>
        <w:spacing w:line="360" w:lineRule="auto"/>
        <w:jc w:val="left"/>
        <w:rPr>
          <w:rFonts w:eastAsiaTheme="minorEastAsia"/>
          <w:color w:val="000000" w:themeColor="text1"/>
          <w:kern w:val="0"/>
          <w:szCs w:val="21"/>
        </w:rPr>
      </w:pPr>
    </w:p>
    <w:p w14:paraId="16F29EF8"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5.5 </w:t>
      </w:r>
      <w:r w:rsidRPr="00473486">
        <w:rPr>
          <w:rFonts w:eastAsiaTheme="minorEastAsia"/>
          <w:b/>
          <w:color w:val="000000" w:themeColor="text1"/>
          <w:kern w:val="0"/>
          <w:sz w:val="24"/>
        </w:rPr>
        <w:t>报告期末按公允价值占基金资产净值比例大小排序的前五名债券投资明细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310"/>
        <w:gridCol w:w="1282"/>
        <w:gridCol w:w="1426"/>
        <w:gridCol w:w="1646"/>
        <w:gridCol w:w="1612"/>
      </w:tblGrid>
      <w:tr w:rsidR="00881A82" w:rsidRPr="00473486" w14:paraId="6967F5CD" w14:textId="77777777">
        <w:tc>
          <w:tcPr>
            <w:tcW w:w="1252" w:type="dxa"/>
            <w:shd w:val="clear" w:color="auto" w:fill="auto"/>
            <w:vAlign w:val="center"/>
          </w:tcPr>
          <w:p w14:paraId="74C94644"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序号</w:t>
            </w:r>
          </w:p>
        </w:tc>
        <w:tc>
          <w:tcPr>
            <w:tcW w:w="1310" w:type="dxa"/>
            <w:shd w:val="clear" w:color="auto" w:fill="auto"/>
            <w:vAlign w:val="center"/>
          </w:tcPr>
          <w:p w14:paraId="6899850E"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债券代码</w:t>
            </w:r>
          </w:p>
        </w:tc>
        <w:tc>
          <w:tcPr>
            <w:tcW w:w="1282" w:type="dxa"/>
            <w:shd w:val="clear" w:color="auto" w:fill="auto"/>
            <w:vAlign w:val="center"/>
          </w:tcPr>
          <w:p w14:paraId="649248B8"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债券名称</w:t>
            </w:r>
          </w:p>
        </w:tc>
        <w:tc>
          <w:tcPr>
            <w:tcW w:w="1426" w:type="dxa"/>
            <w:shd w:val="clear" w:color="auto" w:fill="auto"/>
            <w:vAlign w:val="center"/>
          </w:tcPr>
          <w:p w14:paraId="5AFCA47E"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数量</w:t>
            </w:r>
            <w:r w:rsidRPr="00473486">
              <w:rPr>
                <w:rFonts w:eastAsiaTheme="minorEastAsia"/>
                <w:color w:val="000000" w:themeColor="text1"/>
                <w:szCs w:val="21"/>
              </w:rPr>
              <w:t>(</w:t>
            </w:r>
            <w:r w:rsidRPr="00473486">
              <w:rPr>
                <w:rFonts w:eastAsiaTheme="minorEastAsia"/>
                <w:color w:val="000000" w:themeColor="text1"/>
                <w:szCs w:val="21"/>
              </w:rPr>
              <w:t>张</w:t>
            </w:r>
            <w:r w:rsidRPr="00473486">
              <w:rPr>
                <w:rFonts w:eastAsiaTheme="minorEastAsia"/>
                <w:color w:val="000000" w:themeColor="text1"/>
                <w:szCs w:val="21"/>
              </w:rPr>
              <w:t>)</w:t>
            </w:r>
          </w:p>
        </w:tc>
        <w:tc>
          <w:tcPr>
            <w:tcW w:w="1646" w:type="dxa"/>
            <w:shd w:val="clear" w:color="auto" w:fill="auto"/>
            <w:vAlign w:val="center"/>
          </w:tcPr>
          <w:p w14:paraId="293F53F6"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公允价值</w:t>
            </w:r>
            <w:r w:rsidRPr="00473486">
              <w:rPr>
                <w:rFonts w:eastAsiaTheme="minorEastAsia"/>
                <w:color w:val="000000" w:themeColor="text1"/>
                <w:szCs w:val="21"/>
              </w:rPr>
              <w:t>(</w:t>
            </w:r>
            <w:r w:rsidRPr="00473486">
              <w:rPr>
                <w:rFonts w:eastAsiaTheme="minorEastAsia"/>
                <w:color w:val="000000" w:themeColor="text1"/>
                <w:szCs w:val="21"/>
              </w:rPr>
              <w:t>元</w:t>
            </w:r>
            <w:r w:rsidRPr="00473486">
              <w:rPr>
                <w:rFonts w:eastAsiaTheme="minorEastAsia"/>
                <w:color w:val="000000" w:themeColor="text1"/>
                <w:szCs w:val="21"/>
              </w:rPr>
              <w:t>)</w:t>
            </w:r>
          </w:p>
        </w:tc>
        <w:tc>
          <w:tcPr>
            <w:tcW w:w="1612" w:type="dxa"/>
            <w:shd w:val="clear" w:color="auto" w:fill="auto"/>
            <w:vAlign w:val="center"/>
          </w:tcPr>
          <w:p w14:paraId="7D84C434"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占基金资产净值比例</w:t>
            </w:r>
            <w:r w:rsidRPr="00473486">
              <w:rPr>
                <w:rFonts w:eastAsiaTheme="minorEastAsia"/>
                <w:color w:val="000000" w:themeColor="text1"/>
                <w:szCs w:val="21"/>
              </w:rPr>
              <w:t>(</w:t>
            </w:r>
            <w:r w:rsidRPr="00473486">
              <w:rPr>
                <w:rFonts w:eastAsiaTheme="minorEastAsia"/>
                <w:color w:val="000000" w:themeColor="text1"/>
                <w:szCs w:val="21"/>
              </w:rPr>
              <w:t>％</w:t>
            </w:r>
            <w:r w:rsidRPr="00473486">
              <w:rPr>
                <w:rFonts w:eastAsiaTheme="minorEastAsia"/>
                <w:color w:val="000000" w:themeColor="text1"/>
                <w:szCs w:val="21"/>
              </w:rPr>
              <w:t>)</w:t>
            </w:r>
          </w:p>
        </w:tc>
      </w:tr>
      <w:tr w:rsidR="009442E3" w14:paraId="1AAD9712" w14:textId="77777777">
        <w:tc>
          <w:tcPr>
            <w:tcW w:w="1252" w:type="dxa"/>
            <w:vAlign w:val="center"/>
          </w:tcPr>
          <w:p w14:paraId="544D9D80" w14:textId="77777777" w:rsidR="009442E3" w:rsidRDefault="0046571D">
            <w:pPr>
              <w:jc w:val="center"/>
            </w:pPr>
            <w:r>
              <w:rPr>
                <w:rFonts w:eastAsiaTheme="minorEastAsia"/>
                <w:color w:val="000000" w:themeColor="text1"/>
                <w:szCs w:val="21"/>
              </w:rPr>
              <w:t>1</w:t>
            </w:r>
          </w:p>
        </w:tc>
        <w:tc>
          <w:tcPr>
            <w:tcW w:w="1310" w:type="dxa"/>
            <w:vAlign w:val="center"/>
          </w:tcPr>
          <w:p w14:paraId="40A02425" w14:textId="77777777" w:rsidR="009442E3" w:rsidRDefault="0046571D">
            <w:pPr>
              <w:jc w:val="center"/>
            </w:pPr>
            <w:r>
              <w:rPr>
                <w:rFonts w:eastAsiaTheme="minorEastAsia"/>
                <w:color w:val="000000" w:themeColor="text1"/>
                <w:szCs w:val="21"/>
              </w:rPr>
              <w:t>112317195</w:t>
            </w:r>
          </w:p>
        </w:tc>
        <w:tc>
          <w:tcPr>
            <w:tcW w:w="1282" w:type="dxa"/>
            <w:vAlign w:val="center"/>
          </w:tcPr>
          <w:p w14:paraId="5A9787D1" w14:textId="77777777" w:rsidR="009442E3" w:rsidRDefault="0046571D">
            <w:pPr>
              <w:jc w:val="center"/>
            </w:pPr>
            <w:r>
              <w:rPr>
                <w:rFonts w:eastAsiaTheme="minorEastAsia"/>
                <w:color w:val="000000" w:themeColor="text1"/>
                <w:szCs w:val="21"/>
              </w:rPr>
              <w:t>23</w:t>
            </w:r>
            <w:r>
              <w:rPr>
                <w:rFonts w:eastAsiaTheme="minorEastAsia"/>
                <w:color w:val="000000" w:themeColor="text1"/>
                <w:szCs w:val="21"/>
              </w:rPr>
              <w:t>光大银行</w:t>
            </w:r>
            <w:r>
              <w:rPr>
                <w:rFonts w:eastAsiaTheme="minorEastAsia"/>
                <w:color w:val="000000" w:themeColor="text1"/>
                <w:szCs w:val="21"/>
              </w:rPr>
              <w:t>CD195</w:t>
            </w:r>
          </w:p>
        </w:tc>
        <w:tc>
          <w:tcPr>
            <w:tcW w:w="1426" w:type="dxa"/>
            <w:vAlign w:val="center"/>
          </w:tcPr>
          <w:p w14:paraId="024237BE" w14:textId="77777777" w:rsidR="009442E3" w:rsidRDefault="0046571D">
            <w:pPr>
              <w:jc w:val="right"/>
            </w:pPr>
            <w:r>
              <w:rPr>
                <w:rFonts w:eastAsiaTheme="minorEastAsia"/>
                <w:color w:val="000000" w:themeColor="text1"/>
                <w:szCs w:val="21"/>
              </w:rPr>
              <w:t>500,000</w:t>
            </w:r>
          </w:p>
        </w:tc>
        <w:tc>
          <w:tcPr>
            <w:tcW w:w="1646" w:type="dxa"/>
            <w:vAlign w:val="center"/>
          </w:tcPr>
          <w:p w14:paraId="41612D32" w14:textId="77777777" w:rsidR="009442E3" w:rsidRDefault="0046571D">
            <w:pPr>
              <w:jc w:val="right"/>
            </w:pPr>
            <w:r>
              <w:rPr>
                <w:rFonts w:eastAsiaTheme="minorEastAsia"/>
                <w:color w:val="000000" w:themeColor="text1"/>
                <w:szCs w:val="21"/>
              </w:rPr>
              <w:t>49,856,854.10</w:t>
            </w:r>
          </w:p>
        </w:tc>
        <w:tc>
          <w:tcPr>
            <w:tcW w:w="1612" w:type="dxa"/>
            <w:vAlign w:val="center"/>
          </w:tcPr>
          <w:p w14:paraId="480FA158" w14:textId="77777777" w:rsidR="009442E3" w:rsidRDefault="0046571D">
            <w:pPr>
              <w:jc w:val="right"/>
            </w:pPr>
            <w:r>
              <w:rPr>
                <w:rFonts w:eastAsiaTheme="minorEastAsia"/>
                <w:color w:val="000000" w:themeColor="text1"/>
                <w:szCs w:val="21"/>
              </w:rPr>
              <w:t>10.38</w:t>
            </w:r>
          </w:p>
        </w:tc>
      </w:tr>
      <w:tr w:rsidR="009442E3" w14:paraId="48DC0D67" w14:textId="77777777">
        <w:tc>
          <w:tcPr>
            <w:tcW w:w="1252" w:type="dxa"/>
            <w:vAlign w:val="center"/>
          </w:tcPr>
          <w:p w14:paraId="108948D0" w14:textId="77777777" w:rsidR="009442E3" w:rsidRDefault="0046571D">
            <w:pPr>
              <w:jc w:val="center"/>
            </w:pPr>
            <w:r>
              <w:rPr>
                <w:rFonts w:eastAsiaTheme="minorEastAsia"/>
                <w:color w:val="000000" w:themeColor="text1"/>
                <w:szCs w:val="21"/>
              </w:rPr>
              <w:t>2</w:t>
            </w:r>
          </w:p>
        </w:tc>
        <w:tc>
          <w:tcPr>
            <w:tcW w:w="1310" w:type="dxa"/>
            <w:vAlign w:val="center"/>
          </w:tcPr>
          <w:p w14:paraId="7DBAFAAC" w14:textId="77777777" w:rsidR="009442E3" w:rsidRDefault="0046571D">
            <w:pPr>
              <w:jc w:val="center"/>
            </w:pPr>
            <w:r>
              <w:rPr>
                <w:rFonts w:eastAsiaTheme="minorEastAsia"/>
                <w:color w:val="000000" w:themeColor="text1"/>
                <w:szCs w:val="21"/>
              </w:rPr>
              <w:t>112303197</w:t>
            </w:r>
          </w:p>
        </w:tc>
        <w:tc>
          <w:tcPr>
            <w:tcW w:w="1282" w:type="dxa"/>
            <w:vAlign w:val="center"/>
          </w:tcPr>
          <w:p w14:paraId="092F91A6" w14:textId="77777777" w:rsidR="009442E3" w:rsidRDefault="0046571D">
            <w:pPr>
              <w:jc w:val="center"/>
            </w:pPr>
            <w:r>
              <w:rPr>
                <w:rFonts w:eastAsiaTheme="minorEastAsia"/>
                <w:color w:val="000000" w:themeColor="text1"/>
                <w:szCs w:val="21"/>
              </w:rPr>
              <w:t>23</w:t>
            </w:r>
            <w:r>
              <w:rPr>
                <w:rFonts w:eastAsiaTheme="minorEastAsia"/>
                <w:color w:val="000000" w:themeColor="text1"/>
                <w:szCs w:val="21"/>
              </w:rPr>
              <w:t>农业银行</w:t>
            </w:r>
            <w:r>
              <w:rPr>
                <w:rFonts w:eastAsiaTheme="minorEastAsia"/>
                <w:color w:val="000000" w:themeColor="text1"/>
                <w:szCs w:val="21"/>
              </w:rPr>
              <w:t>CD197</w:t>
            </w:r>
          </w:p>
        </w:tc>
        <w:tc>
          <w:tcPr>
            <w:tcW w:w="1426" w:type="dxa"/>
            <w:vAlign w:val="center"/>
          </w:tcPr>
          <w:p w14:paraId="00F335D8" w14:textId="77777777" w:rsidR="009442E3" w:rsidRDefault="0046571D">
            <w:pPr>
              <w:jc w:val="right"/>
            </w:pPr>
            <w:r>
              <w:rPr>
                <w:rFonts w:eastAsiaTheme="minorEastAsia"/>
                <w:color w:val="000000" w:themeColor="text1"/>
                <w:szCs w:val="21"/>
              </w:rPr>
              <w:t>500,000</w:t>
            </w:r>
          </w:p>
        </w:tc>
        <w:tc>
          <w:tcPr>
            <w:tcW w:w="1646" w:type="dxa"/>
            <w:vAlign w:val="center"/>
          </w:tcPr>
          <w:p w14:paraId="0D655D37" w14:textId="77777777" w:rsidR="009442E3" w:rsidRDefault="0046571D">
            <w:pPr>
              <w:jc w:val="right"/>
            </w:pPr>
            <w:r>
              <w:rPr>
                <w:rFonts w:eastAsiaTheme="minorEastAsia"/>
                <w:color w:val="000000" w:themeColor="text1"/>
                <w:szCs w:val="21"/>
              </w:rPr>
              <w:t>49,821,362.30</w:t>
            </w:r>
          </w:p>
        </w:tc>
        <w:tc>
          <w:tcPr>
            <w:tcW w:w="1612" w:type="dxa"/>
            <w:vAlign w:val="center"/>
          </w:tcPr>
          <w:p w14:paraId="04B5ADE0" w14:textId="77777777" w:rsidR="009442E3" w:rsidRDefault="0046571D">
            <w:pPr>
              <w:jc w:val="right"/>
            </w:pPr>
            <w:r>
              <w:rPr>
                <w:rFonts w:eastAsiaTheme="minorEastAsia"/>
                <w:color w:val="000000" w:themeColor="text1"/>
                <w:szCs w:val="21"/>
              </w:rPr>
              <w:t>10.37</w:t>
            </w:r>
          </w:p>
        </w:tc>
      </w:tr>
      <w:tr w:rsidR="009442E3" w14:paraId="2077431F" w14:textId="77777777">
        <w:tc>
          <w:tcPr>
            <w:tcW w:w="1252" w:type="dxa"/>
            <w:vAlign w:val="center"/>
          </w:tcPr>
          <w:p w14:paraId="3CFB1241" w14:textId="77777777" w:rsidR="009442E3" w:rsidRDefault="0046571D">
            <w:pPr>
              <w:jc w:val="center"/>
            </w:pPr>
            <w:r>
              <w:rPr>
                <w:rFonts w:eastAsiaTheme="minorEastAsia"/>
                <w:color w:val="000000" w:themeColor="text1"/>
                <w:szCs w:val="21"/>
              </w:rPr>
              <w:t>3</w:t>
            </w:r>
          </w:p>
        </w:tc>
        <w:tc>
          <w:tcPr>
            <w:tcW w:w="1310" w:type="dxa"/>
            <w:vAlign w:val="center"/>
          </w:tcPr>
          <w:p w14:paraId="06F82414" w14:textId="77777777" w:rsidR="009442E3" w:rsidRDefault="0046571D">
            <w:pPr>
              <w:jc w:val="center"/>
            </w:pPr>
            <w:r>
              <w:rPr>
                <w:rFonts w:eastAsiaTheme="minorEastAsia"/>
                <w:color w:val="000000" w:themeColor="text1"/>
                <w:szCs w:val="21"/>
              </w:rPr>
              <w:t>112308261</w:t>
            </w:r>
          </w:p>
        </w:tc>
        <w:tc>
          <w:tcPr>
            <w:tcW w:w="1282" w:type="dxa"/>
            <w:vAlign w:val="center"/>
          </w:tcPr>
          <w:p w14:paraId="788CCC48" w14:textId="77777777" w:rsidR="009442E3" w:rsidRDefault="0046571D">
            <w:pPr>
              <w:jc w:val="center"/>
            </w:pPr>
            <w:r>
              <w:rPr>
                <w:rFonts w:eastAsiaTheme="minorEastAsia"/>
                <w:color w:val="000000" w:themeColor="text1"/>
                <w:szCs w:val="21"/>
              </w:rPr>
              <w:t>23</w:t>
            </w:r>
            <w:r>
              <w:rPr>
                <w:rFonts w:eastAsiaTheme="minorEastAsia"/>
                <w:color w:val="000000" w:themeColor="text1"/>
                <w:szCs w:val="21"/>
              </w:rPr>
              <w:t>中信银行</w:t>
            </w:r>
            <w:r>
              <w:rPr>
                <w:rFonts w:eastAsiaTheme="minorEastAsia"/>
                <w:color w:val="000000" w:themeColor="text1"/>
                <w:szCs w:val="21"/>
              </w:rPr>
              <w:t>CD261</w:t>
            </w:r>
          </w:p>
        </w:tc>
        <w:tc>
          <w:tcPr>
            <w:tcW w:w="1426" w:type="dxa"/>
            <w:vAlign w:val="center"/>
          </w:tcPr>
          <w:p w14:paraId="4C85EF20" w14:textId="77777777" w:rsidR="009442E3" w:rsidRDefault="0046571D">
            <w:pPr>
              <w:jc w:val="right"/>
            </w:pPr>
            <w:r>
              <w:rPr>
                <w:rFonts w:eastAsiaTheme="minorEastAsia"/>
                <w:color w:val="000000" w:themeColor="text1"/>
                <w:szCs w:val="21"/>
              </w:rPr>
              <w:t>500,000</w:t>
            </w:r>
          </w:p>
        </w:tc>
        <w:tc>
          <w:tcPr>
            <w:tcW w:w="1646" w:type="dxa"/>
            <w:vAlign w:val="center"/>
          </w:tcPr>
          <w:p w14:paraId="493379F6" w14:textId="77777777" w:rsidR="009442E3" w:rsidRDefault="0046571D">
            <w:pPr>
              <w:jc w:val="right"/>
            </w:pPr>
            <w:r>
              <w:rPr>
                <w:rFonts w:eastAsiaTheme="minorEastAsia"/>
                <w:color w:val="000000" w:themeColor="text1"/>
                <w:szCs w:val="21"/>
              </w:rPr>
              <w:t>49,674,662.30</w:t>
            </w:r>
          </w:p>
        </w:tc>
        <w:tc>
          <w:tcPr>
            <w:tcW w:w="1612" w:type="dxa"/>
            <w:vAlign w:val="center"/>
          </w:tcPr>
          <w:p w14:paraId="56DABC51" w14:textId="77777777" w:rsidR="009442E3" w:rsidRDefault="0046571D">
            <w:pPr>
              <w:jc w:val="right"/>
            </w:pPr>
            <w:r>
              <w:rPr>
                <w:rFonts w:eastAsiaTheme="minorEastAsia"/>
                <w:color w:val="000000" w:themeColor="text1"/>
                <w:szCs w:val="21"/>
              </w:rPr>
              <w:t>10.34</w:t>
            </w:r>
          </w:p>
        </w:tc>
      </w:tr>
      <w:tr w:rsidR="009442E3" w14:paraId="4E4FC84A" w14:textId="77777777">
        <w:tc>
          <w:tcPr>
            <w:tcW w:w="1252" w:type="dxa"/>
            <w:vAlign w:val="center"/>
          </w:tcPr>
          <w:p w14:paraId="1A56D1FB" w14:textId="77777777" w:rsidR="009442E3" w:rsidRDefault="0046571D">
            <w:pPr>
              <w:jc w:val="center"/>
            </w:pPr>
            <w:r>
              <w:rPr>
                <w:rFonts w:eastAsiaTheme="minorEastAsia"/>
                <w:color w:val="000000" w:themeColor="text1"/>
                <w:szCs w:val="21"/>
              </w:rPr>
              <w:t>4</w:t>
            </w:r>
          </w:p>
        </w:tc>
        <w:tc>
          <w:tcPr>
            <w:tcW w:w="1310" w:type="dxa"/>
            <w:vAlign w:val="center"/>
          </w:tcPr>
          <w:p w14:paraId="0FC25C3C" w14:textId="77777777" w:rsidR="009442E3" w:rsidRDefault="0046571D">
            <w:pPr>
              <w:jc w:val="center"/>
            </w:pPr>
            <w:r>
              <w:rPr>
                <w:rFonts w:eastAsiaTheme="minorEastAsia"/>
                <w:color w:val="000000" w:themeColor="text1"/>
                <w:szCs w:val="21"/>
              </w:rPr>
              <w:t>112415069</w:t>
            </w:r>
          </w:p>
        </w:tc>
        <w:tc>
          <w:tcPr>
            <w:tcW w:w="1282" w:type="dxa"/>
            <w:vAlign w:val="center"/>
          </w:tcPr>
          <w:p w14:paraId="2E59194E" w14:textId="77777777" w:rsidR="009442E3" w:rsidRDefault="0046571D">
            <w:pPr>
              <w:jc w:val="center"/>
            </w:pPr>
            <w:r>
              <w:rPr>
                <w:rFonts w:eastAsiaTheme="minorEastAsia"/>
                <w:color w:val="000000" w:themeColor="text1"/>
                <w:szCs w:val="21"/>
              </w:rPr>
              <w:t>24</w:t>
            </w:r>
            <w:r>
              <w:rPr>
                <w:rFonts w:eastAsiaTheme="minorEastAsia"/>
                <w:color w:val="000000" w:themeColor="text1"/>
                <w:szCs w:val="21"/>
              </w:rPr>
              <w:t>民生银行</w:t>
            </w:r>
            <w:r>
              <w:rPr>
                <w:rFonts w:eastAsiaTheme="minorEastAsia"/>
                <w:color w:val="000000" w:themeColor="text1"/>
                <w:szCs w:val="21"/>
              </w:rPr>
              <w:t>CD069</w:t>
            </w:r>
          </w:p>
        </w:tc>
        <w:tc>
          <w:tcPr>
            <w:tcW w:w="1426" w:type="dxa"/>
            <w:vAlign w:val="center"/>
          </w:tcPr>
          <w:p w14:paraId="2B2C7EF5" w14:textId="77777777" w:rsidR="009442E3" w:rsidRDefault="0046571D">
            <w:pPr>
              <w:jc w:val="right"/>
            </w:pPr>
            <w:r>
              <w:rPr>
                <w:rFonts w:eastAsiaTheme="minorEastAsia"/>
                <w:color w:val="000000" w:themeColor="text1"/>
                <w:szCs w:val="21"/>
              </w:rPr>
              <w:t>500,000</w:t>
            </w:r>
          </w:p>
        </w:tc>
        <w:tc>
          <w:tcPr>
            <w:tcW w:w="1646" w:type="dxa"/>
            <w:vAlign w:val="center"/>
          </w:tcPr>
          <w:p w14:paraId="650F4AA1" w14:textId="77777777" w:rsidR="009442E3" w:rsidRDefault="0046571D">
            <w:pPr>
              <w:jc w:val="right"/>
            </w:pPr>
            <w:r>
              <w:rPr>
                <w:rFonts w:eastAsiaTheme="minorEastAsia"/>
                <w:color w:val="000000" w:themeColor="text1"/>
                <w:szCs w:val="21"/>
              </w:rPr>
              <w:t>49,628,113.14</w:t>
            </w:r>
          </w:p>
        </w:tc>
        <w:tc>
          <w:tcPr>
            <w:tcW w:w="1612" w:type="dxa"/>
            <w:vAlign w:val="center"/>
          </w:tcPr>
          <w:p w14:paraId="16AEE339" w14:textId="77777777" w:rsidR="009442E3" w:rsidRDefault="0046571D">
            <w:pPr>
              <w:jc w:val="right"/>
            </w:pPr>
            <w:r>
              <w:rPr>
                <w:rFonts w:eastAsiaTheme="minorEastAsia"/>
                <w:color w:val="000000" w:themeColor="text1"/>
                <w:szCs w:val="21"/>
              </w:rPr>
              <w:t>10.33</w:t>
            </w:r>
          </w:p>
        </w:tc>
      </w:tr>
      <w:tr w:rsidR="009442E3" w14:paraId="1F0D9E70" w14:textId="77777777">
        <w:tc>
          <w:tcPr>
            <w:tcW w:w="1252" w:type="dxa"/>
            <w:vAlign w:val="center"/>
          </w:tcPr>
          <w:p w14:paraId="65C39CC4" w14:textId="77777777" w:rsidR="009442E3" w:rsidRDefault="0046571D">
            <w:pPr>
              <w:jc w:val="center"/>
            </w:pPr>
            <w:r>
              <w:rPr>
                <w:rFonts w:eastAsiaTheme="minorEastAsia"/>
                <w:color w:val="000000" w:themeColor="text1"/>
                <w:szCs w:val="21"/>
              </w:rPr>
              <w:t>5</w:t>
            </w:r>
          </w:p>
        </w:tc>
        <w:tc>
          <w:tcPr>
            <w:tcW w:w="1310" w:type="dxa"/>
            <w:vAlign w:val="center"/>
          </w:tcPr>
          <w:p w14:paraId="1C61FBE6" w14:textId="77777777" w:rsidR="009442E3" w:rsidRDefault="0046571D">
            <w:pPr>
              <w:jc w:val="center"/>
            </w:pPr>
            <w:r>
              <w:rPr>
                <w:rFonts w:eastAsiaTheme="minorEastAsia"/>
                <w:color w:val="000000" w:themeColor="text1"/>
                <w:szCs w:val="21"/>
              </w:rPr>
              <w:t>112407016</w:t>
            </w:r>
          </w:p>
        </w:tc>
        <w:tc>
          <w:tcPr>
            <w:tcW w:w="1282" w:type="dxa"/>
            <w:vAlign w:val="center"/>
          </w:tcPr>
          <w:p w14:paraId="76096138" w14:textId="77777777" w:rsidR="009442E3" w:rsidRDefault="0046571D">
            <w:pPr>
              <w:jc w:val="center"/>
            </w:pPr>
            <w:r>
              <w:rPr>
                <w:rFonts w:eastAsiaTheme="minorEastAsia"/>
                <w:color w:val="000000" w:themeColor="text1"/>
                <w:szCs w:val="21"/>
              </w:rPr>
              <w:t>24</w:t>
            </w:r>
            <w:r>
              <w:rPr>
                <w:rFonts w:eastAsiaTheme="minorEastAsia"/>
                <w:color w:val="000000" w:themeColor="text1"/>
                <w:szCs w:val="21"/>
              </w:rPr>
              <w:t>招商银行</w:t>
            </w:r>
            <w:r>
              <w:rPr>
                <w:rFonts w:eastAsiaTheme="minorEastAsia"/>
                <w:color w:val="000000" w:themeColor="text1"/>
                <w:szCs w:val="21"/>
              </w:rPr>
              <w:t>CD016</w:t>
            </w:r>
          </w:p>
        </w:tc>
        <w:tc>
          <w:tcPr>
            <w:tcW w:w="1426" w:type="dxa"/>
            <w:vAlign w:val="center"/>
          </w:tcPr>
          <w:p w14:paraId="60E3AA29" w14:textId="77777777" w:rsidR="009442E3" w:rsidRDefault="0046571D">
            <w:pPr>
              <w:jc w:val="right"/>
            </w:pPr>
            <w:r>
              <w:rPr>
                <w:rFonts w:eastAsiaTheme="minorEastAsia"/>
                <w:color w:val="000000" w:themeColor="text1"/>
                <w:szCs w:val="21"/>
              </w:rPr>
              <w:t>500,000</w:t>
            </w:r>
          </w:p>
        </w:tc>
        <w:tc>
          <w:tcPr>
            <w:tcW w:w="1646" w:type="dxa"/>
            <w:vAlign w:val="center"/>
          </w:tcPr>
          <w:p w14:paraId="1903DAD0" w14:textId="77777777" w:rsidR="009442E3" w:rsidRDefault="0046571D">
            <w:pPr>
              <w:jc w:val="right"/>
            </w:pPr>
            <w:r>
              <w:rPr>
                <w:rFonts w:eastAsiaTheme="minorEastAsia"/>
                <w:color w:val="000000" w:themeColor="text1"/>
                <w:szCs w:val="21"/>
              </w:rPr>
              <w:t>49,585,542.55</w:t>
            </w:r>
          </w:p>
        </w:tc>
        <w:tc>
          <w:tcPr>
            <w:tcW w:w="1612" w:type="dxa"/>
            <w:vAlign w:val="center"/>
          </w:tcPr>
          <w:p w14:paraId="43EE10F7" w14:textId="77777777" w:rsidR="009442E3" w:rsidRDefault="0046571D">
            <w:pPr>
              <w:jc w:val="right"/>
            </w:pPr>
            <w:r>
              <w:rPr>
                <w:rFonts w:eastAsiaTheme="minorEastAsia"/>
                <w:color w:val="000000" w:themeColor="text1"/>
                <w:szCs w:val="21"/>
              </w:rPr>
              <w:t>10.32</w:t>
            </w:r>
          </w:p>
        </w:tc>
      </w:tr>
    </w:tbl>
    <w:p w14:paraId="6883E5D5"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27151098"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5.6</w:t>
      </w:r>
      <w:r w:rsidRPr="00473486">
        <w:rPr>
          <w:rFonts w:eastAsiaTheme="minorEastAsia"/>
          <w:b/>
          <w:color w:val="000000" w:themeColor="text1"/>
          <w:kern w:val="0"/>
          <w:sz w:val="24"/>
        </w:rPr>
        <w:t>报告期末按公允价值占基金资产净值比例大小排序的前十名资产支持证券投资明细</w:t>
      </w:r>
    </w:p>
    <w:p w14:paraId="6E2A667E"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本基金本报告期末未持有资产支持证券。</w:t>
      </w:r>
    </w:p>
    <w:p w14:paraId="6BAAD05B"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13081225" w14:textId="77777777" w:rsidR="00881A82" w:rsidRPr="00473486" w:rsidRDefault="007D1E3A">
      <w:pPr>
        <w:autoSpaceDE w:val="0"/>
        <w:autoSpaceDN w:val="0"/>
        <w:adjustRightInd w:val="0"/>
        <w:spacing w:line="360" w:lineRule="auto"/>
        <w:jc w:val="left"/>
        <w:rPr>
          <w:rFonts w:eastAsiaTheme="minorEastAsia"/>
          <w:b/>
          <w:bCs/>
          <w:color w:val="000000" w:themeColor="text1"/>
          <w:kern w:val="0"/>
          <w:sz w:val="24"/>
        </w:rPr>
      </w:pPr>
      <w:r w:rsidRPr="00473486">
        <w:rPr>
          <w:rFonts w:eastAsiaTheme="minorEastAsia"/>
          <w:b/>
          <w:bCs/>
          <w:color w:val="000000" w:themeColor="text1"/>
          <w:kern w:val="0"/>
          <w:sz w:val="24"/>
        </w:rPr>
        <w:t xml:space="preserve">5.7 </w:t>
      </w:r>
      <w:r w:rsidRPr="00473486">
        <w:rPr>
          <w:rFonts w:eastAsiaTheme="minorEastAsia"/>
          <w:b/>
          <w:bCs/>
          <w:color w:val="000000" w:themeColor="text1"/>
          <w:kern w:val="0"/>
          <w:sz w:val="24"/>
        </w:rPr>
        <w:t>报告期末按公允价值占基金资产净值比例大小排序的前五名贵金属投资明细</w:t>
      </w:r>
    </w:p>
    <w:p w14:paraId="37ACDC40" w14:textId="77777777" w:rsidR="00881A82" w:rsidRPr="00473486" w:rsidRDefault="007D1E3A">
      <w:pPr>
        <w:widowControl/>
        <w:spacing w:line="360" w:lineRule="auto"/>
        <w:jc w:val="left"/>
        <w:rPr>
          <w:color w:val="000000" w:themeColor="text1"/>
          <w:szCs w:val="21"/>
        </w:rPr>
      </w:pPr>
      <w:r w:rsidRPr="00473486">
        <w:rPr>
          <w:color w:val="000000" w:themeColor="text1"/>
          <w:szCs w:val="21"/>
        </w:rPr>
        <w:t>本基金本报告期末未持有贵金属。</w:t>
      </w:r>
    </w:p>
    <w:p w14:paraId="7D8A4FAC"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3E1F842D"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5.8</w:t>
      </w:r>
      <w:r w:rsidRPr="00473486">
        <w:rPr>
          <w:rFonts w:eastAsiaTheme="minorEastAsia"/>
          <w:b/>
          <w:bCs/>
          <w:color w:val="000000" w:themeColor="text1"/>
          <w:sz w:val="24"/>
        </w:rPr>
        <w:t>报告期末按公允价值占基金资产净值比例大小排序的前五名权证投资明细</w:t>
      </w:r>
    </w:p>
    <w:p w14:paraId="5A1E9494"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本基金本报告期末未持有权证。</w:t>
      </w:r>
    </w:p>
    <w:p w14:paraId="6236D0A0"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6BEE6250" w14:textId="77777777" w:rsidR="00881A82" w:rsidRPr="00473486" w:rsidRDefault="007D1E3A">
      <w:pPr>
        <w:adjustRightInd w:val="0"/>
        <w:snapToGrid w:val="0"/>
        <w:spacing w:line="360" w:lineRule="auto"/>
        <w:rPr>
          <w:rFonts w:eastAsiaTheme="minorEastAsia"/>
          <w:b/>
          <w:color w:val="000000" w:themeColor="text1"/>
          <w:sz w:val="24"/>
        </w:rPr>
      </w:pPr>
      <w:r w:rsidRPr="00473486">
        <w:rPr>
          <w:rFonts w:eastAsiaTheme="minorEastAsia"/>
          <w:b/>
          <w:color w:val="000000" w:themeColor="text1"/>
          <w:sz w:val="24"/>
        </w:rPr>
        <w:t xml:space="preserve">5.9 </w:t>
      </w:r>
      <w:r w:rsidRPr="00473486">
        <w:rPr>
          <w:rFonts w:eastAsiaTheme="minorEastAsia"/>
          <w:b/>
          <w:color w:val="000000" w:themeColor="text1"/>
          <w:sz w:val="24"/>
        </w:rPr>
        <w:t>报告期末本基金投资的股指期货交易情况说明</w:t>
      </w:r>
    </w:p>
    <w:p w14:paraId="333E8F40"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本基金本报告期末未持有股指期货。</w:t>
      </w:r>
    </w:p>
    <w:p w14:paraId="020A4B38" w14:textId="77777777" w:rsidR="00881A82" w:rsidRPr="00473486" w:rsidRDefault="00881A82">
      <w:pPr>
        <w:adjustRightInd w:val="0"/>
        <w:snapToGrid w:val="0"/>
        <w:spacing w:line="360" w:lineRule="exact"/>
        <w:rPr>
          <w:rFonts w:eastAsiaTheme="minorEastAsia"/>
          <w:color w:val="000000" w:themeColor="text1"/>
          <w:sz w:val="24"/>
        </w:rPr>
      </w:pPr>
    </w:p>
    <w:p w14:paraId="5FF442F6" w14:textId="77777777" w:rsidR="00881A82" w:rsidRPr="00473486" w:rsidRDefault="007D1E3A">
      <w:pPr>
        <w:adjustRightInd w:val="0"/>
        <w:snapToGrid w:val="0"/>
        <w:spacing w:line="360" w:lineRule="auto"/>
        <w:rPr>
          <w:rFonts w:eastAsiaTheme="minorEastAsia"/>
          <w:b/>
          <w:color w:val="000000" w:themeColor="text1"/>
          <w:sz w:val="24"/>
        </w:rPr>
      </w:pPr>
      <w:r w:rsidRPr="00473486">
        <w:rPr>
          <w:rFonts w:eastAsiaTheme="minorEastAsia"/>
          <w:b/>
          <w:color w:val="000000" w:themeColor="text1"/>
          <w:sz w:val="24"/>
        </w:rPr>
        <w:t>5.10</w:t>
      </w:r>
      <w:r w:rsidRPr="00473486">
        <w:rPr>
          <w:rFonts w:eastAsiaTheme="minorEastAsia"/>
          <w:b/>
          <w:color w:val="000000" w:themeColor="text1"/>
          <w:sz w:val="24"/>
        </w:rPr>
        <w:t>报告期末本基金投资的国债期货交易情况说明</w:t>
      </w:r>
    </w:p>
    <w:p w14:paraId="38B9CA3C"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本基金本报告期末未持有国债期货。</w:t>
      </w:r>
    </w:p>
    <w:p w14:paraId="4A903BBC"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5.11</w:t>
      </w:r>
      <w:r w:rsidRPr="00473486">
        <w:rPr>
          <w:rFonts w:eastAsiaTheme="minorEastAsia"/>
          <w:b/>
          <w:color w:val="000000" w:themeColor="text1"/>
          <w:kern w:val="0"/>
          <w:sz w:val="24"/>
        </w:rPr>
        <w:t>投资组合报告附注</w:t>
      </w:r>
    </w:p>
    <w:p w14:paraId="1A507045"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5.11.1</w:t>
      </w:r>
      <w:r w:rsidRPr="00473486">
        <w:rPr>
          <w:rFonts w:eastAsiaTheme="minorEastAsia"/>
          <w:color w:val="000000" w:themeColor="text1"/>
          <w:szCs w:val="21"/>
        </w:rPr>
        <w:t>本基金投资的前十名证券的发行主体中，招商银行股份有限公司在报告编制日前一年内曾受到国家金融监督管理总局、国家金融监督管理总局深圳监管局、国家外汇管理局深圳市分局的处罚。中国民生银行股份有限公司在报告编制日前一年内曾受到国家金融监督管理总局的处罚。平安银行股份有限公司在报告编制日前一年内曾受到国家金融监督管理总局、国家金融监督管理总局深圳监管局、央行的处罚。中国光大银行股份有限公司在报告编制日前一年内曾受到国家金融监督管理总局的处罚。中国农业银行股份有限公司在报告编制日前一年内曾受到国家外汇管理局北京市分局、国家金融监督管理总局的处罚。中信银行股份有限公司在报告编制日前一年内曾受到国家金融监督管理总局的处罚。交通银行股份有限公司在报告编制日前一年内曾受到国家金融监督管理总局的处罚。本基金对上述主体所发行证券的投资决策程序符合相关法律法规、基金合同及公司投资制度的要求。</w:t>
      </w:r>
    </w:p>
    <w:p w14:paraId="1AEFB9CC" w14:textId="77777777" w:rsidR="009442E3" w:rsidRDefault="0046571D">
      <w:pPr>
        <w:spacing w:line="360" w:lineRule="auto"/>
        <w:rPr>
          <w:rFonts w:eastAsiaTheme="minorEastAsia"/>
          <w:color w:val="000000" w:themeColor="text1"/>
          <w:szCs w:val="21"/>
        </w:rPr>
      </w:pPr>
      <w:r>
        <w:rPr>
          <w:rFonts w:eastAsiaTheme="minorEastAsia"/>
          <w:color w:val="000000" w:themeColor="text1"/>
          <w:szCs w:val="21"/>
        </w:rPr>
        <w:t>除上述主体外，本基金投资的其余前十名证券的发行主体本期未出现被监管部门立案调查，或在报告编制日前一年内受到公开谴责、处罚的情形。</w:t>
      </w:r>
    </w:p>
    <w:p w14:paraId="79B77975"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5.11.2</w:t>
      </w:r>
      <w:r w:rsidRPr="00473486">
        <w:rPr>
          <w:rFonts w:eastAsiaTheme="minorEastAsia"/>
          <w:color w:val="000000" w:themeColor="text1"/>
          <w:szCs w:val="21"/>
        </w:rPr>
        <w:t>报告期内本基金投资的前十名股票中没有在基金合同规定备选股票库之外的股票。</w:t>
      </w:r>
    </w:p>
    <w:p w14:paraId="0EBB801B"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5.11.3</w:t>
      </w:r>
      <w:r w:rsidRPr="00473486">
        <w:rPr>
          <w:rFonts w:eastAsiaTheme="minorEastAsia"/>
          <w:b/>
          <w:color w:val="000000" w:themeColor="text1"/>
          <w:kern w:val="0"/>
          <w:sz w:val="24"/>
        </w:rPr>
        <w:t>其他资产构成</w:t>
      </w:r>
    </w:p>
    <w:tbl>
      <w:tblPr>
        <w:tblStyle w:val="afa"/>
        <w:tblW w:w="8513" w:type="dxa"/>
        <w:tblInd w:w="15" w:type="dxa"/>
        <w:tblLayout w:type="fixed"/>
        <w:tblLook w:val="04A0" w:firstRow="1" w:lastRow="0" w:firstColumn="1" w:lastColumn="0" w:noHBand="0" w:noVBand="1"/>
      </w:tblPr>
      <w:tblGrid>
        <w:gridCol w:w="944"/>
        <w:gridCol w:w="2761"/>
        <w:gridCol w:w="4808"/>
      </w:tblGrid>
      <w:tr w:rsidR="00881A82" w:rsidRPr="00473486" w14:paraId="7780FE8D" w14:textId="77777777">
        <w:trPr>
          <w:trHeight w:val="567"/>
        </w:trPr>
        <w:tc>
          <w:tcPr>
            <w:tcW w:w="944" w:type="dxa"/>
            <w:vAlign w:val="center"/>
          </w:tcPr>
          <w:p w14:paraId="4A2E565D"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序号</w:t>
            </w:r>
          </w:p>
        </w:tc>
        <w:tc>
          <w:tcPr>
            <w:tcW w:w="2761" w:type="dxa"/>
            <w:vAlign w:val="center"/>
          </w:tcPr>
          <w:p w14:paraId="6EB3FD5B"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名称</w:t>
            </w:r>
          </w:p>
        </w:tc>
        <w:tc>
          <w:tcPr>
            <w:tcW w:w="4808" w:type="dxa"/>
            <w:vAlign w:val="center"/>
          </w:tcPr>
          <w:p w14:paraId="0A0B8885"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金额</w:t>
            </w:r>
            <w:r w:rsidRPr="00473486">
              <w:rPr>
                <w:rFonts w:eastAsiaTheme="minorEastAsia"/>
                <w:color w:val="000000" w:themeColor="text1"/>
                <w:kern w:val="0"/>
                <w:szCs w:val="21"/>
              </w:rPr>
              <w:t>(</w:t>
            </w:r>
            <w:r w:rsidRPr="00473486">
              <w:rPr>
                <w:rFonts w:eastAsiaTheme="minorEastAsia"/>
                <w:color w:val="000000" w:themeColor="text1"/>
                <w:kern w:val="0"/>
                <w:szCs w:val="21"/>
              </w:rPr>
              <w:t>元</w:t>
            </w:r>
            <w:r w:rsidRPr="00473486">
              <w:rPr>
                <w:rFonts w:eastAsiaTheme="minorEastAsia"/>
                <w:color w:val="000000" w:themeColor="text1"/>
                <w:kern w:val="0"/>
                <w:szCs w:val="21"/>
              </w:rPr>
              <w:t>)</w:t>
            </w:r>
          </w:p>
        </w:tc>
      </w:tr>
      <w:tr w:rsidR="00881A82" w:rsidRPr="00473486" w14:paraId="603FC914" w14:textId="77777777">
        <w:trPr>
          <w:trHeight w:val="567"/>
        </w:trPr>
        <w:tc>
          <w:tcPr>
            <w:tcW w:w="944" w:type="dxa"/>
            <w:vAlign w:val="center"/>
          </w:tcPr>
          <w:p w14:paraId="2AB255D2"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kern w:val="0"/>
                <w:szCs w:val="21"/>
              </w:rPr>
            </w:pPr>
            <w:r w:rsidRPr="00473486">
              <w:rPr>
                <w:rFonts w:eastAsiaTheme="minorEastAsia"/>
                <w:color w:val="000000" w:themeColor="text1"/>
                <w:szCs w:val="21"/>
              </w:rPr>
              <w:t>1</w:t>
            </w:r>
          </w:p>
        </w:tc>
        <w:tc>
          <w:tcPr>
            <w:tcW w:w="2761" w:type="dxa"/>
            <w:vAlign w:val="center"/>
          </w:tcPr>
          <w:p w14:paraId="169310AA"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存出保证金</w:t>
            </w:r>
          </w:p>
        </w:tc>
        <w:tc>
          <w:tcPr>
            <w:tcW w:w="4808" w:type="dxa"/>
            <w:vAlign w:val="center"/>
          </w:tcPr>
          <w:p w14:paraId="22F30627"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2C998F92" w14:textId="77777777">
        <w:trPr>
          <w:trHeight w:val="567"/>
        </w:trPr>
        <w:tc>
          <w:tcPr>
            <w:tcW w:w="944" w:type="dxa"/>
            <w:vAlign w:val="center"/>
          </w:tcPr>
          <w:p w14:paraId="0A11E5FA"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2</w:t>
            </w:r>
          </w:p>
        </w:tc>
        <w:tc>
          <w:tcPr>
            <w:tcW w:w="2761" w:type="dxa"/>
            <w:vAlign w:val="center"/>
          </w:tcPr>
          <w:p w14:paraId="6BB055E6"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应收证券清算款</w:t>
            </w:r>
          </w:p>
        </w:tc>
        <w:tc>
          <w:tcPr>
            <w:tcW w:w="4808" w:type="dxa"/>
            <w:vAlign w:val="center"/>
          </w:tcPr>
          <w:p w14:paraId="66DC4D97"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68215648" w14:textId="77777777">
        <w:trPr>
          <w:trHeight w:val="567"/>
        </w:trPr>
        <w:tc>
          <w:tcPr>
            <w:tcW w:w="944" w:type="dxa"/>
            <w:vAlign w:val="center"/>
          </w:tcPr>
          <w:p w14:paraId="1A25953B"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3</w:t>
            </w:r>
          </w:p>
        </w:tc>
        <w:tc>
          <w:tcPr>
            <w:tcW w:w="2761" w:type="dxa"/>
            <w:vAlign w:val="center"/>
          </w:tcPr>
          <w:p w14:paraId="2EDAACF6"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应收股利</w:t>
            </w:r>
          </w:p>
        </w:tc>
        <w:tc>
          <w:tcPr>
            <w:tcW w:w="4808" w:type="dxa"/>
            <w:vAlign w:val="center"/>
          </w:tcPr>
          <w:p w14:paraId="162A1982"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220AA42B" w14:textId="77777777">
        <w:trPr>
          <w:trHeight w:val="567"/>
        </w:trPr>
        <w:tc>
          <w:tcPr>
            <w:tcW w:w="944" w:type="dxa"/>
            <w:vAlign w:val="center"/>
          </w:tcPr>
          <w:p w14:paraId="61F801FD"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4</w:t>
            </w:r>
          </w:p>
        </w:tc>
        <w:tc>
          <w:tcPr>
            <w:tcW w:w="2761" w:type="dxa"/>
            <w:vAlign w:val="center"/>
          </w:tcPr>
          <w:p w14:paraId="02712E17"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应收利息</w:t>
            </w:r>
          </w:p>
        </w:tc>
        <w:tc>
          <w:tcPr>
            <w:tcW w:w="4808" w:type="dxa"/>
            <w:vAlign w:val="center"/>
          </w:tcPr>
          <w:p w14:paraId="4B01E067"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602D04BD" w14:textId="77777777">
        <w:trPr>
          <w:trHeight w:val="567"/>
        </w:trPr>
        <w:tc>
          <w:tcPr>
            <w:tcW w:w="944" w:type="dxa"/>
            <w:vAlign w:val="center"/>
          </w:tcPr>
          <w:p w14:paraId="0D48BA73"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5</w:t>
            </w:r>
          </w:p>
        </w:tc>
        <w:tc>
          <w:tcPr>
            <w:tcW w:w="2761" w:type="dxa"/>
            <w:vAlign w:val="center"/>
          </w:tcPr>
          <w:p w14:paraId="3A25836D"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应收申购款</w:t>
            </w:r>
          </w:p>
        </w:tc>
        <w:tc>
          <w:tcPr>
            <w:tcW w:w="4808" w:type="dxa"/>
            <w:vAlign w:val="center"/>
          </w:tcPr>
          <w:p w14:paraId="4C2FC889"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1,119,830.00</w:t>
            </w:r>
          </w:p>
        </w:tc>
      </w:tr>
      <w:tr w:rsidR="00881A82" w:rsidRPr="00473486" w14:paraId="36A03C13" w14:textId="77777777">
        <w:trPr>
          <w:trHeight w:val="567"/>
        </w:trPr>
        <w:tc>
          <w:tcPr>
            <w:tcW w:w="944" w:type="dxa"/>
            <w:vAlign w:val="center"/>
          </w:tcPr>
          <w:p w14:paraId="3A1B9FC0"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6</w:t>
            </w:r>
          </w:p>
        </w:tc>
        <w:tc>
          <w:tcPr>
            <w:tcW w:w="2761" w:type="dxa"/>
            <w:vAlign w:val="center"/>
          </w:tcPr>
          <w:p w14:paraId="50CC6177"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其他应收款</w:t>
            </w:r>
          </w:p>
        </w:tc>
        <w:tc>
          <w:tcPr>
            <w:tcW w:w="4808" w:type="dxa"/>
            <w:vAlign w:val="center"/>
          </w:tcPr>
          <w:p w14:paraId="4BC3EE78"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761F16AC" w14:textId="77777777">
        <w:trPr>
          <w:trHeight w:val="567"/>
        </w:trPr>
        <w:tc>
          <w:tcPr>
            <w:tcW w:w="944" w:type="dxa"/>
          </w:tcPr>
          <w:p w14:paraId="3C2D6D82"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lastRenderedPageBreak/>
              <w:t>7</w:t>
            </w:r>
          </w:p>
        </w:tc>
        <w:tc>
          <w:tcPr>
            <w:tcW w:w="2761" w:type="dxa"/>
          </w:tcPr>
          <w:p w14:paraId="35CEEE71"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待摊费用</w:t>
            </w:r>
          </w:p>
        </w:tc>
        <w:tc>
          <w:tcPr>
            <w:tcW w:w="4808" w:type="dxa"/>
            <w:vAlign w:val="center"/>
          </w:tcPr>
          <w:p w14:paraId="5E9E3333"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1EF94292" w14:textId="77777777">
        <w:trPr>
          <w:trHeight w:val="567"/>
        </w:trPr>
        <w:tc>
          <w:tcPr>
            <w:tcW w:w="944" w:type="dxa"/>
            <w:vAlign w:val="center"/>
          </w:tcPr>
          <w:p w14:paraId="21B5BAF3"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8</w:t>
            </w:r>
          </w:p>
        </w:tc>
        <w:tc>
          <w:tcPr>
            <w:tcW w:w="2761" w:type="dxa"/>
            <w:vAlign w:val="center"/>
          </w:tcPr>
          <w:p w14:paraId="53D1B67F"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其他</w:t>
            </w:r>
          </w:p>
        </w:tc>
        <w:tc>
          <w:tcPr>
            <w:tcW w:w="4808" w:type="dxa"/>
            <w:vAlign w:val="center"/>
          </w:tcPr>
          <w:p w14:paraId="2F530526"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1AAA8FFF" w14:textId="77777777">
        <w:trPr>
          <w:trHeight w:val="567"/>
        </w:trPr>
        <w:tc>
          <w:tcPr>
            <w:tcW w:w="944" w:type="dxa"/>
            <w:vAlign w:val="center"/>
          </w:tcPr>
          <w:p w14:paraId="5B7BA49E"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9</w:t>
            </w:r>
          </w:p>
        </w:tc>
        <w:tc>
          <w:tcPr>
            <w:tcW w:w="2761" w:type="dxa"/>
            <w:vAlign w:val="center"/>
          </w:tcPr>
          <w:p w14:paraId="3167297A"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合计</w:t>
            </w:r>
          </w:p>
        </w:tc>
        <w:tc>
          <w:tcPr>
            <w:tcW w:w="4808" w:type="dxa"/>
            <w:vAlign w:val="center"/>
          </w:tcPr>
          <w:p w14:paraId="5DAEEC42"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1,119,830.00</w:t>
            </w:r>
          </w:p>
        </w:tc>
      </w:tr>
    </w:tbl>
    <w:p w14:paraId="1C62F252"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5.11.4</w:t>
      </w:r>
      <w:r w:rsidRPr="00473486">
        <w:rPr>
          <w:rFonts w:eastAsiaTheme="minorEastAsia"/>
          <w:b/>
          <w:color w:val="000000" w:themeColor="text1"/>
          <w:kern w:val="0"/>
          <w:sz w:val="24"/>
        </w:rPr>
        <w:t>报告期末持有的处于转股期的可转换债券明细</w:t>
      </w:r>
    </w:p>
    <w:p w14:paraId="1AF6EE9C"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本基金本报告期末未持有处于转股期的可转换债券。</w:t>
      </w:r>
    </w:p>
    <w:p w14:paraId="0E2CA0B4" w14:textId="77777777" w:rsidR="00881A82" w:rsidRPr="00473486" w:rsidRDefault="007D1E3A">
      <w:pPr>
        <w:spacing w:line="360" w:lineRule="auto"/>
        <w:rPr>
          <w:rFonts w:eastAsiaTheme="minorEastAsia"/>
          <w:b/>
          <w:color w:val="000000" w:themeColor="text1"/>
          <w:kern w:val="0"/>
          <w:sz w:val="24"/>
        </w:rPr>
      </w:pPr>
      <w:r w:rsidRPr="00473486">
        <w:rPr>
          <w:rFonts w:eastAsiaTheme="minorEastAsia"/>
          <w:b/>
          <w:color w:val="000000" w:themeColor="text1"/>
          <w:kern w:val="0"/>
          <w:sz w:val="24"/>
        </w:rPr>
        <w:t>5.11.5</w:t>
      </w:r>
      <w:r w:rsidRPr="00473486">
        <w:rPr>
          <w:rFonts w:eastAsiaTheme="minorEastAsia"/>
          <w:b/>
          <w:color w:val="000000" w:themeColor="text1"/>
          <w:sz w:val="24"/>
        </w:rPr>
        <w:t>报告期末前十名股票中存在流通受限情况的说明</w:t>
      </w:r>
    </w:p>
    <w:p w14:paraId="611DDE8C" w14:textId="77777777" w:rsidR="00881A82" w:rsidRPr="00473486" w:rsidRDefault="007D1E3A">
      <w:pPr>
        <w:spacing w:line="360" w:lineRule="auto"/>
        <w:rPr>
          <w:rFonts w:eastAsiaTheme="minorEastAsia"/>
          <w:b/>
          <w:color w:val="000000" w:themeColor="text1"/>
          <w:kern w:val="0"/>
          <w:sz w:val="24"/>
        </w:rPr>
      </w:pPr>
      <w:r w:rsidRPr="00473486">
        <w:rPr>
          <w:rFonts w:eastAsiaTheme="minorEastAsia"/>
          <w:b/>
          <w:color w:val="000000" w:themeColor="text1"/>
          <w:kern w:val="0"/>
          <w:sz w:val="24"/>
        </w:rPr>
        <w:t>5.11.5.1</w:t>
      </w:r>
      <w:r w:rsidRPr="00473486">
        <w:rPr>
          <w:rFonts w:eastAsiaTheme="minorEastAsia"/>
          <w:b/>
          <w:color w:val="000000" w:themeColor="text1"/>
          <w:sz w:val="24"/>
        </w:rPr>
        <w:t>期末指数投资前十名股票中存在流通受限情况的说明</w:t>
      </w:r>
    </w:p>
    <w:p w14:paraId="51EF93CC"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本基金本报告期末前十名股票中不存在流通受限情况。</w:t>
      </w:r>
    </w:p>
    <w:p w14:paraId="6F05EB5F"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kern w:val="0"/>
          <w:sz w:val="24"/>
        </w:rPr>
        <w:t>5.11.5.2</w:t>
      </w:r>
      <w:r w:rsidRPr="00473486">
        <w:rPr>
          <w:rFonts w:eastAsiaTheme="minorEastAsia"/>
          <w:b/>
          <w:color w:val="000000" w:themeColor="text1"/>
          <w:sz w:val="24"/>
        </w:rPr>
        <w:t>期末积极投资前五名股票中存在流通受限情况的说明</w:t>
      </w:r>
    </w:p>
    <w:p w14:paraId="51239BCA"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本基金本报告期末前五名积极投资中不存在流通受限情况。</w:t>
      </w:r>
    </w:p>
    <w:p w14:paraId="5E1C6D05" w14:textId="77777777" w:rsidR="00881A82" w:rsidRPr="00473486" w:rsidRDefault="00881A82">
      <w:pPr>
        <w:spacing w:line="360" w:lineRule="auto"/>
        <w:rPr>
          <w:rFonts w:eastAsiaTheme="minorEastAsia"/>
          <w:bCs/>
          <w:color w:val="000000" w:themeColor="text1"/>
          <w:szCs w:val="21"/>
        </w:rPr>
      </w:pPr>
    </w:p>
    <w:p w14:paraId="038F5474"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sz w:val="24"/>
        </w:rPr>
        <w:t>5.11.</w:t>
      </w:r>
      <w:r w:rsidRPr="00473486">
        <w:rPr>
          <w:rFonts w:eastAsiaTheme="minorEastAsia"/>
          <w:b/>
          <w:bCs/>
          <w:color w:val="000000" w:themeColor="text1"/>
          <w:sz w:val="24"/>
        </w:rPr>
        <w:t>6</w:t>
      </w:r>
      <w:r w:rsidRPr="00473486">
        <w:rPr>
          <w:rFonts w:eastAsiaTheme="minorEastAsia"/>
          <w:b/>
          <w:bCs/>
          <w:color w:val="000000" w:themeColor="text1"/>
          <w:kern w:val="0"/>
          <w:sz w:val="24"/>
        </w:rPr>
        <w:t>投资组合报告附注的其他文字描述部分</w:t>
      </w:r>
    </w:p>
    <w:p w14:paraId="2CA78E61"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因四舍五入原因，投资组合报告中分项之和与合计可能存在尾差。</w:t>
      </w:r>
    </w:p>
    <w:p w14:paraId="330DE778" w14:textId="77777777" w:rsidR="00881A82" w:rsidRPr="00473486" w:rsidRDefault="00881A82">
      <w:pPr>
        <w:spacing w:line="360" w:lineRule="auto"/>
        <w:ind w:firstLineChars="200" w:firstLine="420"/>
        <w:rPr>
          <w:rFonts w:eastAsiaTheme="minorEastAsia"/>
          <w:color w:val="000000" w:themeColor="text1"/>
          <w:szCs w:val="21"/>
        </w:rPr>
      </w:pPr>
    </w:p>
    <w:p w14:paraId="3775C454"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t xml:space="preserve">§6  </w:t>
      </w:r>
      <w:r w:rsidRPr="00473486">
        <w:rPr>
          <w:rFonts w:eastAsiaTheme="minorEastAsia"/>
          <w:color w:val="000000" w:themeColor="text1"/>
          <w:kern w:val="0"/>
          <w:sz w:val="24"/>
          <w:szCs w:val="24"/>
        </w:rPr>
        <w:t>开放式基金份额变动</w:t>
      </w:r>
    </w:p>
    <w:p w14:paraId="3BF9AD46"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单位：份</w:t>
      </w:r>
    </w:p>
    <w:tbl>
      <w:tblPr>
        <w:tblW w:w="8634" w:type="dxa"/>
        <w:tblInd w:w="-106" w:type="dxa"/>
        <w:tblLayout w:type="fixed"/>
        <w:tblLook w:val="04A0" w:firstRow="1" w:lastRow="0" w:firstColumn="1" w:lastColumn="0" w:noHBand="0" w:noVBand="1"/>
      </w:tblPr>
      <w:tblGrid>
        <w:gridCol w:w="4609"/>
        <w:gridCol w:w="4025"/>
      </w:tblGrid>
      <w:tr w:rsidR="00881A82" w:rsidRPr="00473486" w14:paraId="4DEED182" w14:textId="77777777">
        <w:tc>
          <w:tcPr>
            <w:tcW w:w="4609" w:type="dxa"/>
            <w:tcBorders>
              <w:top w:val="single" w:sz="8" w:space="0" w:color="000000"/>
              <w:left w:val="single" w:sz="8" w:space="0" w:color="000000"/>
              <w:bottom w:val="single" w:sz="8" w:space="0" w:color="000000"/>
              <w:right w:val="single" w:sz="8" w:space="0" w:color="000000"/>
            </w:tcBorders>
            <w:vAlign w:val="center"/>
          </w:tcPr>
          <w:p w14:paraId="74791956" w14:textId="77777777" w:rsidR="00881A82" w:rsidRPr="00473486" w:rsidRDefault="007D1E3A">
            <w:pPr>
              <w:autoSpaceDE w:val="0"/>
              <w:autoSpaceDN w:val="0"/>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14:paraId="64CE004F" w14:textId="77777777" w:rsidR="00881A82" w:rsidRPr="00473486" w:rsidRDefault="007D1E3A">
            <w:pPr>
              <w:autoSpaceDE w:val="0"/>
              <w:autoSpaceDN w:val="0"/>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1,790,270,471.90</w:t>
            </w:r>
          </w:p>
        </w:tc>
      </w:tr>
      <w:tr w:rsidR="00881A82" w:rsidRPr="00473486" w14:paraId="7AAA5782" w14:textId="77777777">
        <w:tc>
          <w:tcPr>
            <w:tcW w:w="4609" w:type="dxa"/>
            <w:tcBorders>
              <w:top w:val="single" w:sz="8" w:space="0" w:color="000000"/>
              <w:left w:val="single" w:sz="8" w:space="0" w:color="000000"/>
              <w:bottom w:val="single" w:sz="8" w:space="0" w:color="000000"/>
              <w:right w:val="single" w:sz="8" w:space="0" w:color="000000"/>
            </w:tcBorders>
            <w:vAlign w:val="center"/>
          </w:tcPr>
          <w:p w14:paraId="5DE836E6" w14:textId="77777777" w:rsidR="00881A82" w:rsidRPr="00473486" w:rsidRDefault="007D1E3A">
            <w:pPr>
              <w:autoSpaceDE w:val="0"/>
              <w:autoSpaceDN w:val="0"/>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报告期期间基金总申购份额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14:paraId="308F0B1E" w14:textId="77777777" w:rsidR="00881A82" w:rsidRPr="00473486" w:rsidRDefault="007D1E3A">
            <w:pPr>
              <w:autoSpaceDE w:val="0"/>
              <w:autoSpaceDN w:val="0"/>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188,412,695.48</w:t>
            </w:r>
          </w:p>
        </w:tc>
      </w:tr>
      <w:tr w:rsidR="00881A82" w:rsidRPr="00473486" w14:paraId="72F189A0" w14:textId="77777777">
        <w:tc>
          <w:tcPr>
            <w:tcW w:w="4609" w:type="dxa"/>
            <w:tcBorders>
              <w:top w:val="single" w:sz="8" w:space="0" w:color="000000"/>
              <w:left w:val="single" w:sz="8" w:space="0" w:color="000000"/>
              <w:bottom w:val="single" w:sz="8" w:space="0" w:color="000000"/>
              <w:right w:val="single" w:sz="8" w:space="0" w:color="000000"/>
            </w:tcBorders>
            <w:vAlign w:val="center"/>
          </w:tcPr>
          <w:p w14:paraId="73EC1FB8" w14:textId="77777777" w:rsidR="00881A82" w:rsidRPr="00473486" w:rsidRDefault="007D1E3A">
            <w:pPr>
              <w:autoSpaceDE w:val="0"/>
              <w:autoSpaceDN w:val="0"/>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减：报告期期间基金总赎回份额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14:paraId="4489BBAC" w14:textId="77777777" w:rsidR="00881A82" w:rsidRPr="00473486" w:rsidRDefault="007D1E3A">
            <w:pPr>
              <w:autoSpaceDE w:val="0"/>
              <w:autoSpaceDN w:val="0"/>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1,503,813,268.40</w:t>
            </w:r>
          </w:p>
        </w:tc>
      </w:tr>
      <w:tr w:rsidR="00881A82" w:rsidRPr="00473486" w14:paraId="57A4D08D" w14:textId="77777777">
        <w:tc>
          <w:tcPr>
            <w:tcW w:w="4609" w:type="dxa"/>
            <w:tcBorders>
              <w:top w:val="single" w:sz="8" w:space="0" w:color="000000"/>
              <w:left w:val="single" w:sz="8" w:space="0" w:color="000000"/>
              <w:bottom w:val="single" w:sz="8" w:space="0" w:color="000000"/>
              <w:right w:val="single" w:sz="8" w:space="0" w:color="000000"/>
            </w:tcBorders>
            <w:vAlign w:val="center"/>
          </w:tcPr>
          <w:p w14:paraId="3739BEA7" w14:textId="77777777" w:rsidR="00881A82" w:rsidRPr="00473486" w:rsidRDefault="007D1E3A">
            <w:pPr>
              <w:autoSpaceDE w:val="0"/>
              <w:autoSpaceDN w:val="0"/>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报告期期间基金拆分变动份额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14:paraId="3D53EC80" w14:textId="77777777" w:rsidR="00881A82" w:rsidRPr="00473486" w:rsidRDefault="007D1E3A">
            <w:pPr>
              <w:autoSpaceDE w:val="0"/>
              <w:autoSpaceDN w:val="0"/>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47151A5A" w14:textId="77777777">
        <w:tc>
          <w:tcPr>
            <w:tcW w:w="4609" w:type="dxa"/>
            <w:tcBorders>
              <w:top w:val="single" w:sz="8" w:space="0" w:color="000000"/>
              <w:left w:val="single" w:sz="8" w:space="0" w:color="000000"/>
              <w:bottom w:val="single" w:sz="8" w:space="0" w:color="000000"/>
              <w:right w:val="single" w:sz="8" w:space="0" w:color="000000"/>
            </w:tcBorders>
            <w:vAlign w:val="center"/>
          </w:tcPr>
          <w:p w14:paraId="68E19A32" w14:textId="77777777" w:rsidR="00881A82" w:rsidRPr="00473486" w:rsidRDefault="007D1E3A">
            <w:pPr>
              <w:autoSpaceDE w:val="0"/>
              <w:autoSpaceDN w:val="0"/>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14:paraId="31E55C5D" w14:textId="77777777" w:rsidR="00881A82" w:rsidRPr="00473486" w:rsidRDefault="007D1E3A">
            <w:pPr>
              <w:autoSpaceDE w:val="0"/>
              <w:autoSpaceDN w:val="0"/>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474,869,898.98</w:t>
            </w:r>
          </w:p>
        </w:tc>
      </w:tr>
    </w:tbl>
    <w:p w14:paraId="0FA0BBE0" w14:textId="77777777" w:rsidR="00881A82" w:rsidRPr="00473486" w:rsidRDefault="007D1E3A">
      <w:pPr>
        <w:pStyle w:val="1"/>
        <w:tabs>
          <w:tab w:val="center" w:pos="4156"/>
          <w:tab w:val="right" w:pos="8312"/>
        </w:tabs>
        <w:spacing w:beforeLines="100" w:before="312" w:afterLines="100" w:after="312" w:line="360" w:lineRule="auto"/>
        <w:jc w:val="center"/>
        <w:rPr>
          <w:color w:val="000000" w:themeColor="text1"/>
          <w:sz w:val="24"/>
          <w:szCs w:val="24"/>
        </w:rPr>
      </w:pPr>
      <w:r w:rsidRPr="00473486">
        <w:rPr>
          <w:rFonts w:eastAsiaTheme="minorEastAsia"/>
          <w:color w:val="000000" w:themeColor="text1"/>
          <w:kern w:val="0"/>
          <w:sz w:val="24"/>
          <w:szCs w:val="24"/>
        </w:rPr>
        <w:t xml:space="preserve">§7  </w:t>
      </w:r>
      <w:r w:rsidRPr="00473486">
        <w:rPr>
          <w:color w:val="000000" w:themeColor="text1"/>
          <w:sz w:val="24"/>
          <w:szCs w:val="24"/>
        </w:rPr>
        <w:t>基金管理人运用固有资金投资本基金情况</w:t>
      </w:r>
    </w:p>
    <w:p w14:paraId="2454374D" w14:textId="77777777" w:rsidR="00881A82" w:rsidRPr="00473486" w:rsidRDefault="007D1E3A">
      <w:pPr>
        <w:spacing w:line="360" w:lineRule="auto"/>
        <w:jc w:val="left"/>
        <w:rPr>
          <w:color w:val="000000" w:themeColor="text1"/>
          <w:sz w:val="24"/>
        </w:rPr>
      </w:pPr>
      <w:r w:rsidRPr="00473486">
        <w:rPr>
          <w:b/>
          <w:color w:val="000000" w:themeColor="text1"/>
          <w:sz w:val="24"/>
        </w:rPr>
        <w:t xml:space="preserve">7.1 </w:t>
      </w:r>
      <w:r w:rsidRPr="00473486">
        <w:rPr>
          <w:b/>
          <w:color w:val="000000" w:themeColor="text1"/>
          <w:sz w:val="24"/>
        </w:rPr>
        <w:t>基金管理人持有本基金份额变动情况</w:t>
      </w:r>
    </w:p>
    <w:p w14:paraId="4DDA3DEB"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无。</w:t>
      </w:r>
    </w:p>
    <w:p w14:paraId="48863C02"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60B8F82F" w14:textId="77777777" w:rsidR="00881A82" w:rsidRPr="00473486" w:rsidRDefault="007D1E3A">
      <w:pPr>
        <w:spacing w:line="360" w:lineRule="auto"/>
        <w:jc w:val="left"/>
        <w:rPr>
          <w:color w:val="000000" w:themeColor="text1"/>
          <w:sz w:val="24"/>
        </w:rPr>
      </w:pPr>
      <w:r w:rsidRPr="00473486">
        <w:rPr>
          <w:b/>
          <w:color w:val="000000" w:themeColor="text1"/>
          <w:sz w:val="24"/>
        </w:rPr>
        <w:t xml:space="preserve">7.2 </w:t>
      </w:r>
      <w:r w:rsidRPr="00473486">
        <w:rPr>
          <w:b/>
          <w:color w:val="000000" w:themeColor="text1"/>
          <w:sz w:val="24"/>
        </w:rPr>
        <w:t>基金管理人运用固有资金投资本基金交易明细</w:t>
      </w:r>
    </w:p>
    <w:p w14:paraId="33160CA6"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lastRenderedPageBreak/>
        <w:t>无。</w:t>
      </w:r>
    </w:p>
    <w:p w14:paraId="6FF01385"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t>§8</w:t>
      </w:r>
      <w:r w:rsidRPr="00473486">
        <w:rPr>
          <w:rFonts w:eastAsiaTheme="minorEastAsia"/>
          <w:color w:val="000000" w:themeColor="text1"/>
          <w:kern w:val="0"/>
          <w:sz w:val="24"/>
          <w:szCs w:val="24"/>
        </w:rPr>
        <w:t>备查文件目录</w:t>
      </w:r>
    </w:p>
    <w:p w14:paraId="6829BFA3"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sz w:val="24"/>
        </w:rPr>
        <w:t xml:space="preserve">8.1 </w:t>
      </w:r>
      <w:r w:rsidRPr="00473486">
        <w:rPr>
          <w:rFonts w:eastAsiaTheme="minorEastAsia"/>
          <w:b/>
          <w:color w:val="000000" w:themeColor="text1"/>
          <w:sz w:val="24"/>
        </w:rPr>
        <w:t>备查文件目录</w:t>
      </w:r>
    </w:p>
    <w:p w14:paraId="24A9C6D4"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一</w:t>
      </w:r>
      <w:r>
        <w:rPr>
          <w:rFonts w:eastAsiaTheme="minorEastAsia"/>
          <w:color w:val="000000" w:themeColor="text1"/>
          <w:szCs w:val="21"/>
        </w:rPr>
        <w:t>)</w:t>
      </w:r>
      <w:r>
        <w:rPr>
          <w:rFonts w:eastAsiaTheme="minorEastAsia"/>
          <w:color w:val="000000" w:themeColor="text1"/>
          <w:szCs w:val="21"/>
        </w:rPr>
        <w:t>中国证监会准予摩根中证同业存单</w:t>
      </w:r>
      <w:r>
        <w:rPr>
          <w:rFonts w:eastAsiaTheme="minorEastAsia"/>
          <w:color w:val="000000" w:themeColor="text1"/>
          <w:szCs w:val="21"/>
        </w:rPr>
        <w:t>AAA</w:t>
      </w:r>
      <w:r>
        <w:rPr>
          <w:rFonts w:eastAsiaTheme="minorEastAsia"/>
          <w:color w:val="000000" w:themeColor="text1"/>
          <w:szCs w:val="21"/>
        </w:rPr>
        <w:t>指数</w:t>
      </w:r>
      <w:r>
        <w:rPr>
          <w:rFonts w:eastAsiaTheme="minorEastAsia"/>
          <w:color w:val="000000" w:themeColor="text1"/>
          <w:szCs w:val="21"/>
        </w:rPr>
        <w:t>7</w:t>
      </w:r>
      <w:r>
        <w:rPr>
          <w:rFonts w:eastAsiaTheme="minorEastAsia"/>
          <w:color w:val="000000" w:themeColor="text1"/>
          <w:szCs w:val="21"/>
        </w:rPr>
        <w:t>天持有期证券投资基金募集注册的文件</w:t>
      </w:r>
    </w:p>
    <w:p w14:paraId="203D7B19"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二</w:t>
      </w:r>
      <w:r>
        <w:rPr>
          <w:rFonts w:eastAsiaTheme="minorEastAsia"/>
          <w:color w:val="000000" w:themeColor="text1"/>
          <w:szCs w:val="21"/>
        </w:rPr>
        <w:t>)</w:t>
      </w:r>
      <w:r>
        <w:rPr>
          <w:rFonts w:eastAsiaTheme="minorEastAsia"/>
          <w:color w:val="000000" w:themeColor="text1"/>
          <w:szCs w:val="21"/>
        </w:rPr>
        <w:t>摩根中证同业存单</w:t>
      </w:r>
      <w:r>
        <w:rPr>
          <w:rFonts w:eastAsiaTheme="minorEastAsia"/>
          <w:color w:val="000000" w:themeColor="text1"/>
          <w:szCs w:val="21"/>
        </w:rPr>
        <w:t>AAA</w:t>
      </w:r>
      <w:r>
        <w:rPr>
          <w:rFonts w:eastAsiaTheme="minorEastAsia"/>
          <w:color w:val="000000" w:themeColor="text1"/>
          <w:szCs w:val="21"/>
        </w:rPr>
        <w:t>指数</w:t>
      </w:r>
      <w:r>
        <w:rPr>
          <w:rFonts w:eastAsiaTheme="minorEastAsia"/>
          <w:color w:val="000000" w:themeColor="text1"/>
          <w:szCs w:val="21"/>
        </w:rPr>
        <w:t>7</w:t>
      </w:r>
      <w:r>
        <w:rPr>
          <w:rFonts w:eastAsiaTheme="minorEastAsia"/>
          <w:color w:val="000000" w:themeColor="text1"/>
          <w:szCs w:val="21"/>
        </w:rPr>
        <w:t>天持有期证券投资基金基金合同</w:t>
      </w:r>
    </w:p>
    <w:p w14:paraId="71A83DE1"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三</w:t>
      </w:r>
      <w:r>
        <w:rPr>
          <w:rFonts w:eastAsiaTheme="minorEastAsia"/>
          <w:color w:val="000000" w:themeColor="text1"/>
          <w:szCs w:val="21"/>
        </w:rPr>
        <w:t>)</w:t>
      </w:r>
      <w:r>
        <w:rPr>
          <w:rFonts w:eastAsiaTheme="minorEastAsia"/>
          <w:color w:val="000000" w:themeColor="text1"/>
          <w:szCs w:val="21"/>
        </w:rPr>
        <w:t>摩根中证同业存单</w:t>
      </w:r>
      <w:r>
        <w:rPr>
          <w:rFonts w:eastAsiaTheme="minorEastAsia"/>
          <w:color w:val="000000" w:themeColor="text1"/>
          <w:szCs w:val="21"/>
        </w:rPr>
        <w:t>AAA</w:t>
      </w:r>
      <w:r>
        <w:rPr>
          <w:rFonts w:eastAsiaTheme="minorEastAsia"/>
          <w:color w:val="000000" w:themeColor="text1"/>
          <w:szCs w:val="21"/>
        </w:rPr>
        <w:t>指数</w:t>
      </w:r>
      <w:r>
        <w:rPr>
          <w:rFonts w:eastAsiaTheme="minorEastAsia"/>
          <w:color w:val="000000" w:themeColor="text1"/>
          <w:szCs w:val="21"/>
        </w:rPr>
        <w:t>7</w:t>
      </w:r>
      <w:r>
        <w:rPr>
          <w:rFonts w:eastAsiaTheme="minorEastAsia"/>
          <w:color w:val="000000" w:themeColor="text1"/>
          <w:szCs w:val="21"/>
        </w:rPr>
        <w:t>天持有期证券投资基金托管协议</w:t>
      </w:r>
    </w:p>
    <w:p w14:paraId="5E5ACBBC"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四</w:t>
      </w:r>
      <w:r>
        <w:rPr>
          <w:rFonts w:eastAsiaTheme="minorEastAsia"/>
          <w:color w:val="000000" w:themeColor="text1"/>
          <w:szCs w:val="21"/>
        </w:rPr>
        <w:t>)</w:t>
      </w:r>
      <w:r>
        <w:rPr>
          <w:rFonts w:eastAsiaTheme="minorEastAsia"/>
          <w:color w:val="000000" w:themeColor="text1"/>
          <w:szCs w:val="21"/>
        </w:rPr>
        <w:t>法律意见书</w:t>
      </w:r>
    </w:p>
    <w:p w14:paraId="5C46D3D2"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五</w:t>
      </w:r>
      <w:r>
        <w:rPr>
          <w:rFonts w:eastAsiaTheme="minorEastAsia"/>
          <w:color w:val="000000" w:themeColor="text1"/>
          <w:szCs w:val="21"/>
        </w:rPr>
        <w:t>)</w:t>
      </w:r>
      <w:r>
        <w:rPr>
          <w:rFonts w:eastAsiaTheme="minorEastAsia"/>
          <w:color w:val="000000" w:themeColor="text1"/>
          <w:szCs w:val="21"/>
        </w:rPr>
        <w:t>基金管理人业务资格批件、营业执照</w:t>
      </w:r>
    </w:p>
    <w:p w14:paraId="2439080A"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六</w:t>
      </w:r>
      <w:r>
        <w:rPr>
          <w:rFonts w:eastAsiaTheme="minorEastAsia"/>
          <w:color w:val="000000" w:themeColor="text1"/>
          <w:szCs w:val="21"/>
        </w:rPr>
        <w:t>)</w:t>
      </w:r>
      <w:r>
        <w:rPr>
          <w:rFonts w:eastAsiaTheme="minorEastAsia"/>
          <w:color w:val="000000" w:themeColor="text1"/>
          <w:szCs w:val="21"/>
        </w:rPr>
        <w:t>基金托管人业务资格批件、营业执照</w:t>
      </w:r>
    </w:p>
    <w:p w14:paraId="3AF63EED" w14:textId="77777777" w:rsidR="009442E3" w:rsidRDefault="0046571D">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七</w:t>
      </w:r>
      <w:r>
        <w:rPr>
          <w:rFonts w:eastAsiaTheme="minorEastAsia"/>
          <w:color w:val="000000" w:themeColor="text1"/>
          <w:szCs w:val="21"/>
        </w:rPr>
        <w:t>)</w:t>
      </w:r>
      <w:r>
        <w:rPr>
          <w:rFonts w:eastAsiaTheme="minorEastAsia"/>
          <w:color w:val="000000" w:themeColor="text1"/>
          <w:szCs w:val="21"/>
        </w:rPr>
        <w:t>摩根基金管理（中国）有限公司开放式基金业务规则</w:t>
      </w:r>
    </w:p>
    <w:p w14:paraId="13D8D507"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w:t>
      </w:r>
      <w:r w:rsidRPr="00473486">
        <w:rPr>
          <w:rFonts w:eastAsiaTheme="minorEastAsia"/>
          <w:color w:val="000000" w:themeColor="text1"/>
          <w:szCs w:val="21"/>
        </w:rPr>
        <w:t>八</w:t>
      </w:r>
      <w:r w:rsidRPr="00473486">
        <w:rPr>
          <w:rFonts w:eastAsiaTheme="minorEastAsia"/>
          <w:color w:val="000000" w:themeColor="text1"/>
          <w:szCs w:val="21"/>
        </w:rPr>
        <w:t>)</w:t>
      </w:r>
      <w:r w:rsidRPr="00473486">
        <w:rPr>
          <w:rFonts w:eastAsiaTheme="minorEastAsia"/>
          <w:color w:val="000000" w:themeColor="text1"/>
          <w:szCs w:val="21"/>
        </w:rPr>
        <w:t>中国证监会要求的其他文件</w:t>
      </w:r>
    </w:p>
    <w:p w14:paraId="00713999" w14:textId="77777777" w:rsidR="00881A82" w:rsidRPr="00473486" w:rsidRDefault="00881A82">
      <w:pPr>
        <w:spacing w:line="360" w:lineRule="auto"/>
        <w:ind w:firstLineChars="200" w:firstLine="480"/>
        <w:rPr>
          <w:rFonts w:eastAsiaTheme="minorEastAsia"/>
          <w:color w:val="000000" w:themeColor="text1"/>
          <w:sz w:val="24"/>
        </w:rPr>
      </w:pPr>
    </w:p>
    <w:p w14:paraId="12BB6413"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sz w:val="24"/>
        </w:rPr>
        <w:t xml:space="preserve">8.2 </w:t>
      </w:r>
      <w:r w:rsidRPr="00473486">
        <w:rPr>
          <w:rFonts w:eastAsiaTheme="minorEastAsia"/>
          <w:b/>
          <w:color w:val="000000" w:themeColor="text1"/>
          <w:sz w:val="24"/>
        </w:rPr>
        <w:t>存放地点</w:t>
      </w:r>
    </w:p>
    <w:p w14:paraId="39FAD6F0"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基金管理人或基金托管人住所。</w:t>
      </w:r>
    </w:p>
    <w:p w14:paraId="671496B4" w14:textId="77777777" w:rsidR="00881A82" w:rsidRPr="00473486" w:rsidRDefault="00881A82">
      <w:pPr>
        <w:spacing w:line="360" w:lineRule="auto"/>
        <w:ind w:firstLineChars="200" w:firstLine="480"/>
        <w:rPr>
          <w:rFonts w:eastAsiaTheme="minorEastAsia"/>
          <w:color w:val="000000" w:themeColor="text1"/>
          <w:sz w:val="24"/>
        </w:rPr>
      </w:pPr>
    </w:p>
    <w:p w14:paraId="1BE673ED"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sz w:val="24"/>
        </w:rPr>
        <w:t xml:space="preserve">8.3 </w:t>
      </w:r>
      <w:r w:rsidRPr="00473486">
        <w:rPr>
          <w:rFonts w:eastAsiaTheme="minorEastAsia"/>
          <w:b/>
          <w:color w:val="000000" w:themeColor="text1"/>
          <w:sz w:val="24"/>
        </w:rPr>
        <w:t>查阅方式</w:t>
      </w:r>
    </w:p>
    <w:p w14:paraId="72F9FA3A"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投资者可在营业时间免费查阅，也可按工本费购买复印件。</w:t>
      </w:r>
    </w:p>
    <w:p w14:paraId="7B016692" w14:textId="77777777" w:rsidR="00881A82" w:rsidRPr="00473486" w:rsidRDefault="00881A82">
      <w:pPr>
        <w:spacing w:line="360" w:lineRule="auto"/>
        <w:ind w:left="840"/>
        <w:jc w:val="right"/>
        <w:rPr>
          <w:rFonts w:eastAsiaTheme="minorEastAsia"/>
          <w:color w:val="000000" w:themeColor="text1"/>
          <w:sz w:val="24"/>
        </w:rPr>
      </w:pPr>
    </w:p>
    <w:p w14:paraId="7FC8F7A1" w14:textId="77777777" w:rsidR="00881A82" w:rsidRPr="00473486" w:rsidRDefault="00881A82">
      <w:pPr>
        <w:spacing w:line="360" w:lineRule="auto"/>
        <w:ind w:left="840"/>
        <w:jc w:val="right"/>
        <w:rPr>
          <w:rFonts w:eastAsiaTheme="minorEastAsia"/>
          <w:color w:val="000000" w:themeColor="text1"/>
          <w:sz w:val="24"/>
        </w:rPr>
      </w:pPr>
    </w:p>
    <w:p w14:paraId="5BD0E0C9" w14:textId="77777777" w:rsidR="00881A82" w:rsidRPr="00473486" w:rsidRDefault="00881A82">
      <w:pPr>
        <w:spacing w:line="360" w:lineRule="auto"/>
        <w:ind w:left="840"/>
        <w:jc w:val="right"/>
        <w:rPr>
          <w:rFonts w:eastAsiaTheme="minorEastAsia"/>
          <w:color w:val="000000" w:themeColor="text1"/>
          <w:sz w:val="24"/>
        </w:rPr>
      </w:pPr>
    </w:p>
    <w:p w14:paraId="774C5E40" w14:textId="77777777" w:rsidR="00881A82" w:rsidRPr="00473486" w:rsidRDefault="00881A82">
      <w:pPr>
        <w:spacing w:line="360" w:lineRule="auto"/>
        <w:ind w:left="840"/>
        <w:jc w:val="right"/>
        <w:rPr>
          <w:rFonts w:eastAsiaTheme="minorEastAsia"/>
          <w:color w:val="000000" w:themeColor="text1"/>
          <w:sz w:val="24"/>
        </w:rPr>
      </w:pPr>
    </w:p>
    <w:p w14:paraId="47C8B848" w14:textId="77777777" w:rsidR="00881A82" w:rsidRPr="00473486" w:rsidRDefault="00881A82">
      <w:pPr>
        <w:spacing w:line="360" w:lineRule="auto"/>
        <w:ind w:left="840"/>
        <w:jc w:val="right"/>
        <w:rPr>
          <w:rFonts w:eastAsiaTheme="minorEastAsia"/>
          <w:color w:val="000000" w:themeColor="text1"/>
          <w:sz w:val="24"/>
        </w:rPr>
      </w:pPr>
    </w:p>
    <w:p w14:paraId="7A5285E2" w14:textId="77777777" w:rsidR="00881A82" w:rsidRPr="00473486" w:rsidRDefault="007D1E3A">
      <w:pPr>
        <w:spacing w:line="360" w:lineRule="auto"/>
        <w:jc w:val="right"/>
        <w:rPr>
          <w:rFonts w:eastAsiaTheme="minorEastAsia"/>
          <w:b/>
          <w:bCs/>
          <w:color w:val="000000" w:themeColor="text1"/>
          <w:sz w:val="24"/>
        </w:rPr>
      </w:pPr>
      <w:r w:rsidRPr="00473486">
        <w:rPr>
          <w:rFonts w:eastAsiaTheme="minorEastAsia"/>
          <w:b/>
          <w:bCs/>
          <w:color w:val="000000" w:themeColor="text1"/>
          <w:sz w:val="24"/>
        </w:rPr>
        <w:t>摩根基金管理（中国）有限公司</w:t>
      </w:r>
    </w:p>
    <w:p w14:paraId="4AE7263D" w14:textId="77777777" w:rsidR="00881A82" w:rsidRPr="00473486" w:rsidRDefault="007D1E3A">
      <w:pPr>
        <w:spacing w:line="360" w:lineRule="auto"/>
        <w:jc w:val="right"/>
        <w:rPr>
          <w:rFonts w:eastAsiaTheme="minorEastAsia"/>
          <w:b/>
          <w:bCs/>
          <w:color w:val="000000" w:themeColor="text1"/>
          <w:sz w:val="24"/>
        </w:rPr>
      </w:pPr>
      <w:r w:rsidRPr="00473486">
        <w:rPr>
          <w:rFonts w:eastAsiaTheme="minorEastAsia"/>
          <w:b/>
          <w:bCs/>
          <w:color w:val="000000" w:themeColor="text1"/>
          <w:sz w:val="24"/>
        </w:rPr>
        <w:t>二〇二四年七月十九日</w:t>
      </w:r>
    </w:p>
    <w:p w14:paraId="20B2C4CF" w14:textId="77777777" w:rsidR="00881A82" w:rsidRPr="00473486" w:rsidRDefault="00881A82">
      <w:pPr>
        <w:spacing w:line="360" w:lineRule="auto"/>
        <w:ind w:firstLineChars="900" w:firstLine="2168"/>
        <w:rPr>
          <w:rFonts w:eastAsiaTheme="minorEastAsia"/>
          <w:b/>
          <w:color w:val="000000" w:themeColor="text1"/>
          <w:sz w:val="24"/>
        </w:rPr>
      </w:pPr>
    </w:p>
    <w:sectPr w:rsidR="00881A82" w:rsidRPr="00473486">
      <w:footerReference w:type="even"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10DE" w14:textId="77777777" w:rsidR="007F3EDF" w:rsidRDefault="007F3EDF">
      <w:r>
        <w:separator/>
      </w:r>
    </w:p>
  </w:endnote>
  <w:endnote w:type="continuationSeparator" w:id="0">
    <w:p w14:paraId="0E688CCD" w14:textId="77777777" w:rsidR="007F3EDF" w:rsidRDefault="007F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920E" w14:textId="77777777" w:rsidR="00881A82" w:rsidRDefault="007D1E3A">
    <w:pPr>
      <w:pStyle w:val="ae"/>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46571D">
      <w:rPr>
        <w:noProof/>
        <w:kern w:val="0"/>
        <w:szCs w:val="21"/>
      </w:rPr>
      <w:t>1</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46571D">
      <w:rPr>
        <w:noProof/>
        <w:kern w:val="0"/>
        <w:szCs w:val="21"/>
      </w:rPr>
      <w:t>13</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4A91" w14:textId="77777777" w:rsidR="00881A82" w:rsidRDefault="007D1E3A">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EE37026" w14:textId="77777777" w:rsidR="00881A82" w:rsidRDefault="00881A8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E5CE" w14:textId="77777777" w:rsidR="00881A82" w:rsidRDefault="007D1E3A">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46571D">
      <w:rPr>
        <w:rStyle w:val="af5"/>
        <w:noProof/>
      </w:rPr>
      <w:t>2</w:t>
    </w:r>
    <w:r>
      <w:rPr>
        <w:rStyle w:val="af5"/>
      </w:rPr>
      <w:fldChar w:fldCharType="end"/>
    </w:r>
  </w:p>
  <w:p w14:paraId="6BAB0AF1" w14:textId="77777777" w:rsidR="00881A82" w:rsidRDefault="00881A8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2423" w14:textId="77777777" w:rsidR="007F3EDF" w:rsidRDefault="007F3EDF">
      <w:r>
        <w:separator/>
      </w:r>
    </w:p>
  </w:footnote>
  <w:footnote w:type="continuationSeparator" w:id="0">
    <w:p w14:paraId="7259B9FC" w14:textId="77777777" w:rsidR="007F3EDF" w:rsidRDefault="007F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F877" w14:textId="77777777" w:rsidR="00881A82" w:rsidRDefault="007D1E3A">
    <w:pPr>
      <w:pStyle w:val="af"/>
      <w:pBdr>
        <w:bottom w:val="single" w:sz="6" w:space="0" w:color="auto"/>
      </w:pBdr>
      <w:jc w:val="right"/>
    </w:pPr>
    <w:r>
      <w:t>摩根中证同业存单</w:t>
    </w:r>
    <w:r>
      <w:t>AAA</w:t>
    </w:r>
    <w:r>
      <w:t>指数</w:t>
    </w:r>
    <w:r>
      <w:t>7</w:t>
    </w:r>
    <w:r>
      <w:t>天持有期证券投资基金</w:t>
    </w:r>
    <w:r>
      <w:t>2024</w:t>
    </w:r>
    <w:r>
      <w:t>年第</w:t>
    </w:r>
    <w:r>
      <w:t>2</w:t>
    </w:r>
    <w:r>
      <w:t>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intPostScriptOverText/>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2A56"/>
    <w:rsid w:val="000009DA"/>
    <w:rsid w:val="000020BB"/>
    <w:rsid w:val="0000403B"/>
    <w:rsid w:val="00005911"/>
    <w:rsid w:val="00010A83"/>
    <w:rsid w:val="00010A8E"/>
    <w:rsid w:val="00010AC3"/>
    <w:rsid w:val="000115A7"/>
    <w:rsid w:val="00011EB5"/>
    <w:rsid w:val="0001280C"/>
    <w:rsid w:val="00017581"/>
    <w:rsid w:val="00020583"/>
    <w:rsid w:val="00021DD4"/>
    <w:rsid w:val="00023BE7"/>
    <w:rsid w:val="00037FCF"/>
    <w:rsid w:val="000421B8"/>
    <w:rsid w:val="000433E8"/>
    <w:rsid w:val="00043ABF"/>
    <w:rsid w:val="000445E4"/>
    <w:rsid w:val="00045BEC"/>
    <w:rsid w:val="000510AB"/>
    <w:rsid w:val="00055AF1"/>
    <w:rsid w:val="000625A6"/>
    <w:rsid w:val="00064AE3"/>
    <w:rsid w:val="00066524"/>
    <w:rsid w:val="00070CD1"/>
    <w:rsid w:val="0007171B"/>
    <w:rsid w:val="00072E4F"/>
    <w:rsid w:val="00074E9F"/>
    <w:rsid w:val="0007721B"/>
    <w:rsid w:val="00081D05"/>
    <w:rsid w:val="000820A8"/>
    <w:rsid w:val="00084EE5"/>
    <w:rsid w:val="00087CF7"/>
    <w:rsid w:val="00091560"/>
    <w:rsid w:val="00093160"/>
    <w:rsid w:val="00094876"/>
    <w:rsid w:val="00095912"/>
    <w:rsid w:val="00095CE0"/>
    <w:rsid w:val="00096933"/>
    <w:rsid w:val="00097230"/>
    <w:rsid w:val="0009778D"/>
    <w:rsid w:val="000A0010"/>
    <w:rsid w:val="000A457E"/>
    <w:rsid w:val="000A53FD"/>
    <w:rsid w:val="000A549A"/>
    <w:rsid w:val="000A5F96"/>
    <w:rsid w:val="000A72F2"/>
    <w:rsid w:val="000B0C56"/>
    <w:rsid w:val="000B3E43"/>
    <w:rsid w:val="000B5CC0"/>
    <w:rsid w:val="000C1723"/>
    <w:rsid w:val="000C1B20"/>
    <w:rsid w:val="000C4107"/>
    <w:rsid w:val="000C45E7"/>
    <w:rsid w:val="000D01F4"/>
    <w:rsid w:val="000D1519"/>
    <w:rsid w:val="000D1C87"/>
    <w:rsid w:val="000E4456"/>
    <w:rsid w:val="000F175F"/>
    <w:rsid w:val="000F17D1"/>
    <w:rsid w:val="000F60FF"/>
    <w:rsid w:val="000F635F"/>
    <w:rsid w:val="000F6C61"/>
    <w:rsid w:val="00100C12"/>
    <w:rsid w:val="00101DBA"/>
    <w:rsid w:val="001049B6"/>
    <w:rsid w:val="001051C6"/>
    <w:rsid w:val="0011177A"/>
    <w:rsid w:val="00112E9B"/>
    <w:rsid w:val="00116E31"/>
    <w:rsid w:val="00122A26"/>
    <w:rsid w:val="0012304E"/>
    <w:rsid w:val="001248EF"/>
    <w:rsid w:val="001257C7"/>
    <w:rsid w:val="00126DDF"/>
    <w:rsid w:val="001270BF"/>
    <w:rsid w:val="00127BAC"/>
    <w:rsid w:val="00131D06"/>
    <w:rsid w:val="0013360F"/>
    <w:rsid w:val="00141121"/>
    <w:rsid w:val="00142A56"/>
    <w:rsid w:val="00144DF5"/>
    <w:rsid w:val="00145A97"/>
    <w:rsid w:val="00146485"/>
    <w:rsid w:val="00150AD6"/>
    <w:rsid w:val="00153B40"/>
    <w:rsid w:val="00154ADA"/>
    <w:rsid w:val="0015531A"/>
    <w:rsid w:val="001600E8"/>
    <w:rsid w:val="00162BD7"/>
    <w:rsid w:val="00163B27"/>
    <w:rsid w:val="00165317"/>
    <w:rsid w:val="00171BAD"/>
    <w:rsid w:val="00172410"/>
    <w:rsid w:val="001744B4"/>
    <w:rsid w:val="001756A1"/>
    <w:rsid w:val="001761EE"/>
    <w:rsid w:val="00176EAA"/>
    <w:rsid w:val="0017725A"/>
    <w:rsid w:val="001775F7"/>
    <w:rsid w:val="001779ED"/>
    <w:rsid w:val="00177C4B"/>
    <w:rsid w:val="00180E68"/>
    <w:rsid w:val="0018325A"/>
    <w:rsid w:val="00186199"/>
    <w:rsid w:val="001928F7"/>
    <w:rsid w:val="00194537"/>
    <w:rsid w:val="0019563C"/>
    <w:rsid w:val="00195F18"/>
    <w:rsid w:val="001A21A9"/>
    <w:rsid w:val="001A59D8"/>
    <w:rsid w:val="001A5FA6"/>
    <w:rsid w:val="001A6A3B"/>
    <w:rsid w:val="001A6F8A"/>
    <w:rsid w:val="001A7FF1"/>
    <w:rsid w:val="001B2F0C"/>
    <w:rsid w:val="001C37F6"/>
    <w:rsid w:val="001C6288"/>
    <w:rsid w:val="001D0F6A"/>
    <w:rsid w:val="001D21BC"/>
    <w:rsid w:val="001D2FA5"/>
    <w:rsid w:val="001D35E0"/>
    <w:rsid w:val="001D3711"/>
    <w:rsid w:val="001D3CDF"/>
    <w:rsid w:val="001D5045"/>
    <w:rsid w:val="001D5A44"/>
    <w:rsid w:val="001D724B"/>
    <w:rsid w:val="001E11D3"/>
    <w:rsid w:val="001E2A6A"/>
    <w:rsid w:val="001E3DC2"/>
    <w:rsid w:val="001E56FF"/>
    <w:rsid w:val="001E5C6B"/>
    <w:rsid w:val="001F03E1"/>
    <w:rsid w:val="001F3CC6"/>
    <w:rsid w:val="001F4530"/>
    <w:rsid w:val="001F5265"/>
    <w:rsid w:val="002010DE"/>
    <w:rsid w:val="00202885"/>
    <w:rsid w:val="00202968"/>
    <w:rsid w:val="00202C32"/>
    <w:rsid w:val="00203AEF"/>
    <w:rsid w:val="00211A26"/>
    <w:rsid w:val="002125F7"/>
    <w:rsid w:val="002141B6"/>
    <w:rsid w:val="00214463"/>
    <w:rsid w:val="00214756"/>
    <w:rsid w:val="00215CF2"/>
    <w:rsid w:val="00217171"/>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D32E3"/>
    <w:rsid w:val="002E0FEB"/>
    <w:rsid w:val="002E300D"/>
    <w:rsid w:val="002F0F79"/>
    <w:rsid w:val="002F1CC8"/>
    <w:rsid w:val="002F280E"/>
    <w:rsid w:val="002F3709"/>
    <w:rsid w:val="002F3A6C"/>
    <w:rsid w:val="002F4296"/>
    <w:rsid w:val="00300951"/>
    <w:rsid w:val="003023C9"/>
    <w:rsid w:val="00302CA8"/>
    <w:rsid w:val="00302DE9"/>
    <w:rsid w:val="00305084"/>
    <w:rsid w:val="00310086"/>
    <w:rsid w:val="00312FE8"/>
    <w:rsid w:val="0031358C"/>
    <w:rsid w:val="00313AE2"/>
    <w:rsid w:val="0031630D"/>
    <w:rsid w:val="003204E9"/>
    <w:rsid w:val="00321690"/>
    <w:rsid w:val="00321E8C"/>
    <w:rsid w:val="00322A86"/>
    <w:rsid w:val="00323AE8"/>
    <w:rsid w:val="00324548"/>
    <w:rsid w:val="003251F4"/>
    <w:rsid w:val="003303E3"/>
    <w:rsid w:val="00331FA4"/>
    <w:rsid w:val="003329EA"/>
    <w:rsid w:val="003347EF"/>
    <w:rsid w:val="00337293"/>
    <w:rsid w:val="003407A5"/>
    <w:rsid w:val="00341188"/>
    <w:rsid w:val="0034147B"/>
    <w:rsid w:val="00343F87"/>
    <w:rsid w:val="00345AA8"/>
    <w:rsid w:val="00350238"/>
    <w:rsid w:val="0035109C"/>
    <w:rsid w:val="00351F0A"/>
    <w:rsid w:val="0035432B"/>
    <w:rsid w:val="00357172"/>
    <w:rsid w:val="003613A8"/>
    <w:rsid w:val="00361E7E"/>
    <w:rsid w:val="0036360E"/>
    <w:rsid w:val="00364504"/>
    <w:rsid w:val="003666D2"/>
    <w:rsid w:val="00370AA4"/>
    <w:rsid w:val="00371FF4"/>
    <w:rsid w:val="00376C39"/>
    <w:rsid w:val="00377520"/>
    <w:rsid w:val="00380D36"/>
    <w:rsid w:val="003822D3"/>
    <w:rsid w:val="003834E0"/>
    <w:rsid w:val="00386630"/>
    <w:rsid w:val="00390B25"/>
    <w:rsid w:val="00397156"/>
    <w:rsid w:val="00397960"/>
    <w:rsid w:val="003A0A94"/>
    <w:rsid w:val="003A3BC4"/>
    <w:rsid w:val="003A458A"/>
    <w:rsid w:val="003B2DA8"/>
    <w:rsid w:val="003B2F13"/>
    <w:rsid w:val="003B405E"/>
    <w:rsid w:val="003B57D3"/>
    <w:rsid w:val="003C1A49"/>
    <w:rsid w:val="003C1F58"/>
    <w:rsid w:val="003C6C58"/>
    <w:rsid w:val="003C792F"/>
    <w:rsid w:val="003D124B"/>
    <w:rsid w:val="003D18F3"/>
    <w:rsid w:val="003D78B5"/>
    <w:rsid w:val="003D7922"/>
    <w:rsid w:val="003E244F"/>
    <w:rsid w:val="003E62A6"/>
    <w:rsid w:val="003E695F"/>
    <w:rsid w:val="003E6C9B"/>
    <w:rsid w:val="003E709C"/>
    <w:rsid w:val="003E712B"/>
    <w:rsid w:val="003E7B89"/>
    <w:rsid w:val="003F4241"/>
    <w:rsid w:val="003F7040"/>
    <w:rsid w:val="003F7C45"/>
    <w:rsid w:val="0040132C"/>
    <w:rsid w:val="00405085"/>
    <w:rsid w:val="004066FC"/>
    <w:rsid w:val="00407C10"/>
    <w:rsid w:val="004113B4"/>
    <w:rsid w:val="00413689"/>
    <w:rsid w:val="004143D6"/>
    <w:rsid w:val="00414827"/>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5317"/>
    <w:rsid w:val="004575E9"/>
    <w:rsid w:val="004576F2"/>
    <w:rsid w:val="00457804"/>
    <w:rsid w:val="004646BF"/>
    <w:rsid w:val="00464744"/>
    <w:rsid w:val="0046571D"/>
    <w:rsid w:val="004665E3"/>
    <w:rsid w:val="00467683"/>
    <w:rsid w:val="004731F1"/>
    <w:rsid w:val="00473486"/>
    <w:rsid w:val="00480BC8"/>
    <w:rsid w:val="00481265"/>
    <w:rsid w:val="004814BF"/>
    <w:rsid w:val="004845B9"/>
    <w:rsid w:val="0048587E"/>
    <w:rsid w:val="00486CB7"/>
    <w:rsid w:val="00487C2B"/>
    <w:rsid w:val="0049297D"/>
    <w:rsid w:val="004929F2"/>
    <w:rsid w:val="00495A03"/>
    <w:rsid w:val="004967FC"/>
    <w:rsid w:val="00497079"/>
    <w:rsid w:val="004A00BD"/>
    <w:rsid w:val="004A1BBA"/>
    <w:rsid w:val="004A3E3C"/>
    <w:rsid w:val="004B0E6D"/>
    <w:rsid w:val="004B16E8"/>
    <w:rsid w:val="004B2015"/>
    <w:rsid w:val="004B2DB9"/>
    <w:rsid w:val="004B5E54"/>
    <w:rsid w:val="004B6250"/>
    <w:rsid w:val="004B76B1"/>
    <w:rsid w:val="004C0057"/>
    <w:rsid w:val="004C03A7"/>
    <w:rsid w:val="004C0541"/>
    <w:rsid w:val="004C2C46"/>
    <w:rsid w:val="004C5189"/>
    <w:rsid w:val="004C7235"/>
    <w:rsid w:val="004C7955"/>
    <w:rsid w:val="004D047F"/>
    <w:rsid w:val="004D1A45"/>
    <w:rsid w:val="004D3D96"/>
    <w:rsid w:val="004D417D"/>
    <w:rsid w:val="004D650F"/>
    <w:rsid w:val="004E2133"/>
    <w:rsid w:val="004E5AB9"/>
    <w:rsid w:val="004E60FB"/>
    <w:rsid w:val="004F4EA9"/>
    <w:rsid w:val="004F759F"/>
    <w:rsid w:val="004F779C"/>
    <w:rsid w:val="004F7846"/>
    <w:rsid w:val="004F7A0E"/>
    <w:rsid w:val="005000D4"/>
    <w:rsid w:val="00500F1D"/>
    <w:rsid w:val="00504285"/>
    <w:rsid w:val="00504432"/>
    <w:rsid w:val="00505EE0"/>
    <w:rsid w:val="0050638D"/>
    <w:rsid w:val="00510CAF"/>
    <w:rsid w:val="00511B6A"/>
    <w:rsid w:val="005128C5"/>
    <w:rsid w:val="00514754"/>
    <w:rsid w:val="0051478B"/>
    <w:rsid w:val="0051566A"/>
    <w:rsid w:val="00515D7B"/>
    <w:rsid w:val="005166E9"/>
    <w:rsid w:val="0052009E"/>
    <w:rsid w:val="00521065"/>
    <w:rsid w:val="00525E59"/>
    <w:rsid w:val="005318CC"/>
    <w:rsid w:val="00531D1B"/>
    <w:rsid w:val="005349B1"/>
    <w:rsid w:val="005374BC"/>
    <w:rsid w:val="00543188"/>
    <w:rsid w:val="00543367"/>
    <w:rsid w:val="00543BFA"/>
    <w:rsid w:val="00547D9C"/>
    <w:rsid w:val="00547DA1"/>
    <w:rsid w:val="00551CED"/>
    <w:rsid w:val="00554EAB"/>
    <w:rsid w:val="0055513C"/>
    <w:rsid w:val="00560ABC"/>
    <w:rsid w:val="00560C94"/>
    <w:rsid w:val="0056291C"/>
    <w:rsid w:val="00565A63"/>
    <w:rsid w:val="00566588"/>
    <w:rsid w:val="00570B1A"/>
    <w:rsid w:val="00572736"/>
    <w:rsid w:val="0057275D"/>
    <w:rsid w:val="00577214"/>
    <w:rsid w:val="005800A9"/>
    <w:rsid w:val="00580488"/>
    <w:rsid w:val="0058074D"/>
    <w:rsid w:val="00580FD1"/>
    <w:rsid w:val="00582FAD"/>
    <w:rsid w:val="00583489"/>
    <w:rsid w:val="00583A98"/>
    <w:rsid w:val="005858C4"/>
    <w:rsid w:val="00590FE4"/>
    <w:rsid w:val="00591D9C"/>
    <w:rsid w:val="00597057"/>
    <w:rsid w:val="00597D8B"/>
    <w:rsid w:val="005A1C30"/>
    <w:rsid w:val="005A1C43"/>
    <w:rsid w:val="005A2DCB"/>
    <w:rsid w:val="005A3295"/>
    <w:rsid w:val="005A46FF"/>
    <w:rsid w:val="005B011E"/>
    <w:rsid w:val="005B1C7D"/>
    <w:rsid w:val="005B1DEC"/>
    <w:rsid w:val="005B2E84"/>
    <w:rsid w:val="005B7B0E"/>
    <w:rsid w:val="005C0A04"/>
    <w:rsid w:val="005C5409"/>
    <w:rsid w:val="005C69AC"/>
    <w:rsid w:val="005C722E"/>
    <w:rsid w:val="005D01A4"/>
    <w:rsid w:val="005D14DE"/>
    <w:rsid w:val="005D3F12"/>
    <w:rsid w:val="005D44E4"/>
    <w:rsid w:val="005D45B3"/>
    <w:rsid w:val="005D4CEB"/>
    <w:rsid w:val="005E491F"/>
    <w:rsid w:val="005E58CE"/>
    <w:rsid w:val="005E59E9"/>
    <w:rsid w:val="005F04E6"/>
    <w:rsid w:val="005F43B9"/>
    <w:rsid w:val="005F68CB"/>
    <w:rsid w:val="005F6A4A"/>
    <w:rsid w:val="00602154"/>
    <w:rsid w:val="006033E3"/>
    <w:rsid w:val="006054E4"/>
    <w:rsid w:val="0061321C"/>
    <w:rsid w:val="00620DB0"/>
    <w:rsid w:val="0062386E"/>
    <w:rsid w:val="00623D9A"/>
    <w:rsid w:val="00623F01"/>
    <w:rsid w:val="006242FB"/>
    <w:rsid w:val="00624E5B"/>
    <w:rsid w:val="00626E2D"/>
    <w:rsid w:val="00627D94"/>
    <w:rsid w:val="00630B42"/>
    <w:rsid w:val="00636A05"/>
    <w:rsid w:val="00636CDE"/>
    <w:rsid w:val="00637BA7"/>
    <w:rsid w:val="00642072"/>
    <w:rsid w:val="00643330"/>
    <w:rsid w:val="006440ED"/>
    <w:rsid w:val="00645293"/>
    <w:rsid w:val="00651B78"/>
    <w:rsid w:val="00652263"/>
    <w:rsid w:val="00652881"/>
    <w:rsid w:val="00652DDE"/>
    <w:rsid w:val="0065417D"/>
    <w:rsid w:val="00661974"/>
    <w:rsid w:val="00664551"/>
    <w:rsid w:val="00664E44"/>
    <w:rsid w:val="00665677"/>
    <w:rsid w:val="0066704D"/>
    <w:rsid w:val="006676A0"/>
    <w:rsid w:val="00670857"/>
    <w:rsid w:val="00671124"/>
    <w:rsid w:val="006727B0"/>
    <w:rsid w:val="0067307E"/>
    <w:rsid w:val="00677AC6"/>
    <w:rsid w:val="00687AD5"/>
    <w:rsid w:val="00691AFA"/>
    <w:rsid w:val="0069335C"/>
    <w:rsid w:val="00695251"/>
    <w:rsid w:val="00695ADE"/>
    <w:rsid w:val="00695C0D"/>
    <w:rsid w:val="00696356"/>
    <w:rsid w:val="006A72C6"/>
    <w:rsid w:val="006B02DA"/>
    <w:rsid w:val="006B2065"/>
    <w:rsid w:val="006B3940"/>
    <w:rsid w:val="006B6C3A"/>
    <w:rsid w:val="006C168D"/>
    <w:rsid w:val="006C1D5C"/>
    <w:rsid w:val="006C3C80"/>
    <w:rsid w:val="006C3F43"/>
    <w:rsid w:val="006C642C"/>
    <w:rsid w:val="006C6FC6"/>
    <w:rsid w:val="006D6A40"/>
    <w:rsid w:val="006D7693"/>
    <w:rsid w:val="006E231B"/>
    <w:rsid w:val="006E346E"/>
    <w:rsid w:val="006E34B7"/>
    <w:rsid w:val="006F0F87"/>
    <w:rsid w:val="006F2F3E"/>
    <w:rsid w:val="006F4CD8"/>
    <w:rsid w:val="006F53D9"/>
    <w:rsid w:val="006F6A94"/>
    <w:rsid w:val="007004DC"/>
    <w:rsid w:val="00701575"/>
    <w:rsid w:val="00703E8A"/>
    <w:rsid w:val="00711522"/>
    <w:rsid w:val="007124FE"/>
    <w:rsid w:val="00713186"/>
    <w:rsid w:val="00713757"/>
    <w:rsid w:val="0071379B"/>
    <w:rsid w:val="0071497D"/>
    <w:rsid w:val="00717772"/>
    <w:rsid w:val="00721AF1"/>
    <w:rsid w:val="0072280F"/>
    <w:rsid w:val="00722B5E"/>
    <w:rsid w:val="00723845"/>
    <w:rsid w:val="0072708F"/>
    <w:rsid w:val="00732D1D"/>
    <w:rsid w:val="00736034"/>
    <w:rsid w:val="0073681C"/>
    <w:rsid w:val="00741EBE"/>
    <w:rsid w:val="00746130"/>
    <w:rsid w:val="00746A40"/>
    <w:rsid w:val="007479DC"/>
    <w:rsid w:val="00750358"/>
    <w:rsid w:val="00755CDF"/>
    <w:rsid w:val="00757A4C"/>
    <w:rsid w:val="00760FFC"/>
    <w:rsid w:val="0076110A"/>
    <w:rsid w:val="00764A94"/>
    <w:rsid w:val="00764DC3"/>
    <w:rsid w:val="007651E5"/>
    <w:rsid w:val="007670DC"/>
    <w:rsid w:val="00767239"/>
    <w:rsid w:val="00770601"/>
    <w:rsid w:val="0077111A"/>
    <w:rsid w:val="00772272"/>
    <w:rsid w:val="007756ED"/>
    <w:rsid w:val="00777CC9"/>
    <w:rsid w:val="007869A0"/>
    <w:rsid w:val="00786A23"/>
    <w:rsid w:val="007870FC"/>
    <w:rsid w:val="00787CD0"/>
    <w:rsid w:val="00791053"/>
    <w:rsid w:val="00791A3A"/>
    <w:rsid w:val="00794196"/>
    <w:rsid w:val="00797637"/>
    <w:rsid w:val="00797D95"/>
    <w:rsid w:val="007A2E54"/>
    <w:rsid w:val="007A3680"/>
    <w:rsid w:val="007A59B8"/>
    <w:rsid w:val="007B2862"/>
    <w:rsid w:val="007B662A"/>
    <w:rsid w:val="007C1A93"/>
    <w:rsid w:val="007C751E"/>
    <w:rsid w:val="007D021A"/>
    <w:rsid w:val="007D1E3A"/>
    <w:rsid w:val="007D28C9"/>
    <w:rsid w:val="007D3CC8"/>
    <w:rsid w:val="007D62F9"/>
    <w:rsid w:val="007D63A4"/>
    <w:rsid w:val="007E1AA2"/>
    <w:rsid w:val="007E4C1F"/>
    <w:rsid w:val="007F0746"/>
    <w:rsid w:val="007F0759"/>
    <w:rsid w:val="007F25C0"/>
    <w:rsid w:val="007F3EDF"/>
    <w:rsid w:val="007F456A"/>
    <w:rsid w:val="007F4C9B"/>
    <w:rsid w:val="007F5F52"/>
    <w:rsid w:val="007F77C6"/>
    <w:rsid w:val="008003A1"/>
    <w:rsid w:val="008006B7"/>
    <w:rsid w:val="00800FDB"/>
    <w:rsid w:val="00802081"/>
    <w:rsid w:val="008020B5"/>
    <w:rsid w:val="008021E8"/>
    <w:rsid w:val="008034CF"/>
    <w:rsid w:val="008063D8"/>
    <w:rsid w:val="00806461"/>
    <w:rsid w:val="00806722"/>
    <w:rsid w:val="0081096D"/>
    <w:rsid w:val="00810EAD"/>
    <w:rsid w:val="00811833"/>
    <w:rsid w:val="008174D4"/>
    <w:rsid w:val="00820FE6"/>
    <w:rsid w:val="00821A66"/>
    <w:rsid w:val="00822476"/>
    <w:rsid w:val="00822882"/>
    <w:rsid w:val="00824CB2"/>
    <w:rsid w:val="00825F68"/>
    <w:rsid w:val="00835408"/>
    <w:rsid w:val="008359DA"/>
    <w:rsid w:val="00837CEF"/>
    <w:rsid w:val="00840035"/>
    <w:rsid w:val="00840220"/>
    <w:rsid w:val="008428A9"/>
    <w:rsid w:val="00844112"/>
    <w:rsid w:val="008456C9"/>
    <w:rsid w:val="0084611D"/>
    <w:rsid w:val="00847BEF"/>
    <w:rsid w:val="00847D9E"/>
    <w:rsid w:val="00850C62"/>
    <w:rsid w:val="00863011"/>
    <w:rsid w:val="00865075"/>
    <w:rsid w:val="0086748F"/>
    <w:rsid w:val="00872CE4"/>
    <w:rsid w:val="00874F4B"/>
    <w:rsid w:val="0087539B"/>
    <w:rsid w:val="00877B62"/>
    <w:rsid w:val="00880199"/>
    <w:rsid w:val="00881015"/>
    <w:rsid w:val="008810B0"/>
    <w:rsid w:val="008813D6"/>
    <w:rsid w:val="008819B6"/>
    <w:rsid w:val="00881A82"/>
    <w:rsid w:val="00881AAC"/>
    <w:rsid w:val="008836B7"/>
    <w:rsid w:val="008841D3"/>
    <w:rsid w:val="0088709F"/>
    <w:rsid w:val="00887DE6"/>
    <w:rsid w:val="00894C2A"/>
    <w:rsid w:val="00897708"/>
    <w:rsid w:val="00897D88"/>
    <w:rsid w:val="008A2F16"/>
    <w:rsid w:val="008B1823"/>
    <w:rsid w:val="008B203C"/>
    <w:rsid w:val="008B6E16"/>
    <w:rsid w:val="008B7110"/>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60C5"/>
    <w:rsid w:val="009010F0"/>
    <w:rsid w:val="00901162"/>
    <w:rsid w:val="0090223A"/>
    <w:rsid w:val="009028E2"/>
    <w:rsid w:val="00914EAB"/>
    <w:rsid w:val="00916597"/>
    <w:rsid w:val="00922D49"/>
    <w:rsid w:val="009259CF"/>
    <w:rsid w:val="00925E37"/>
    <w:rsid w:val="00925EDD"/>
    <w:rsid w:val="00927D0E"/>
    <w:rsid w:val="009309DA"/>
    <w:rsid w:val="00936688"/>
    <w:rsid w:val="00937CFA"/>
    <w:rsid w:val="009406B3"/>
    <w:rsid w:val="009442E3"/>
    <w:rsid w:val="00945CF5"/>
    <w:rsid w:val="009500A1"/>
    <w:rsid w:val="0095037E"/>
    <w:rsid w:val="0095267E"/>
    <w:rsid w:val="00952AAD"/>
    <w:rsid w:val="00954567"/>
    <w:rsid w:val="009547A9"/>
    <w:rsid w:val="009548FE"/>
    <w:rsid w:val="00956F0B"/>
    <w:rsid w:val="00957466"/>
    <w:rsid w:val="00957C7C"/>
    <w:rsid w:val="0096260B"/>
    <w:rsid w:val="009664D5"/>
    <w:rsid w:val="00970C69"/>
    <w:rsid w:val="00971DF7"/>
    <w:rsid w:val="00971F1C"/>
    <w:rsid w:val="0097211D"/>
    <w:rsid w:val="00972E10"/>
    <w:rsid w:val="009746CA"/>
    <w:rsid w:val="00974975"/>
    <w:rsid w:val="00974EA8"/>
    <w:rsid w:val="00981963"/>
    <w:rsid w:val="00983C82"/>
    <w:rsid w:val="00984520"/>
    <w:rsid w:val="0098545C"/>
    <w:rsid w:val="00992BA2"/>
    <w:rsid w:val="00992F83"/>
    <w:rsid w:val="0099508A"/>
    <w:rsid w:val="009974EB"/>
    <w:rsid w:val="009A037F"/>
    <w:rsid w:val="009A1126"/>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1EA4"/>
    <w:rsid w:val="009D27AA"/>
    <w:rsid w:val="009D38BA"/>
    <w:rsid w:val="009D4991"/>
    <w:rsid w:val="009D5BB5"/>
    <w:rsid w:val="009D696D"/>
    <w:rsid w:val="009D6ED2"/>
    <w:rsid w:val="009E0F1A"/>
    <w:rsid w:val="009E140D"/>
    <w:rsid w:val="009E348F"/>
    <w:rsid w:val="009E4465"/>
    <w:rsid w:val="009E6401"/>
    <w:rsid w:val="009E6C54"/>
    <w:rsid w:val="009F2261"/>
    <w:rsid w:val="009F2A25"/>
    <w:rsid w:val="009F4CB1"/>
    <w:rsid w:val="009F5235"/>
    <w:rsid w:val="009F531A"/>
    <w:rsid w:val="009F6550"/>
    <w:rsid w:val="009F786E"/>
    <w:rsid w:val="00A00902"/>
    <w:rsid w:val="00A039FF"/>
    <w:rsid w:val="00A05ACE"/>
    <w:rsid w:val="00A078CB"/>
    <w:rsid w:val="00A14AE3"/>
    <w:rsid w:val="00A16675"/>
    <w:rsid w:val="00A22CD6"/>
    <w:rsid w:val="00A234EC"/>
    <w:rsid w:val="00A2417A"/>
    <w:rsid w:val="00A26668"/>
    <w:rsid w:val="00A27804"/>
    <w:rsid w:val="00A348F0"/>
    <w:rsid w:val="00A36822"/>
    <w:rsid w:val="00A36AB5"/>
    <w:rsid w:val="00A411D1"/>
    <w:rsid w:val="00A428A4"/>
    <w:rsid w:val="00A42CE1"/>
    <w:rsid w:val="00A43389"/>
    <w:rsid w:val="00A43E71"/>
    <w:rsid w:val="00A45753"/>
    <w:rsid w:val="00A47B15"/>
    <w:rsid w:val="00A52F84"/>
    <w:rsid w:val="00A56B05"/>
    <w:rsid w:val="00A57678"/>
    <w:rsid w:val="00A60E2F"/>
    <w:rsid w:val="00A618F3"/>
    <w:rsid w:val="00A63284"/>
    <w:rsid w:val="00A64CB8"/>
    <w:rsid w:val="00A67018"/>
    <w:rsid w:val="00A672F3"/>
    <w:rsid w:val="00A673DC"/>
    <w:rsid w:val="00A7076E"/>
    <w:rsid w:val="00A709BE"/>
    <w:rsid w:val="00A7162E"/>
    <w:rsid w:val="00A7195A"/>
    <w:rsid w:val="00A72D71"/>
    <w:rsid w:val="00A75705"/>
    <w:rsid w:val="00A77C69"/>
    <w:rsid w:val="00A829DE"/>
    <w:rsid w:val="00A83953"/>
    <w:rsid w:val="00A85AF5"/>
    <w:rsid w:val="00A903B6"/>
    <w:rsid w:val="00A90F4F"/>
    <w:rsid w:val="00A92C40"/>
    <w:rsid w:val="00A947AA"/>
    <w:rsid w:val="00A968D2"/>
    <w:rsid w:val="00AA0AC5"/>
    <w:rsid w:val="00AA19FE"/>
    <w:rsid w:val="00AA1B53"/>
    <w:rsid w:val="00AA3556"/>
    <w:rsid w:val="00AA35FD"/>
    <w:rsid w:val="00AA3DB7"/>
    <w:rsid w:val="00AB3012"/>
    <w:rsid w:val="00AB321C"/>
    <w:rsid w:val="00AB5B99"/>
    <w:rsid w:val="00AB688F"/>
    <w:rsid w:val="00AB75EA"/>
    <w:rsid w:val="00AB7AA2"/>
    <w:rsid w:val="00AC44D9"/>
    <w:rsid w:val="00AC4BC1"/>
    <w:rsid w:val="00AD04BD"/>
    <w:rsid w:val="00AD25F6"/>
    <w:rsid w:val="00AD67CB"/>
    <w:rsid w:val="00AD7214"/>
    <w:rsid w:val="00AE1066"/>
    <w:rsid w:val="00AE4518"/>
    <w:rsid w:val="00AE5D7F"/>
    <w:rsid w:val="00AE79F0"/>
    <w:rsid w:val="00AF2DAE"/>
    <w:rsid w:val="00AF5585"/>
    <w:rsid w:val="00AF6EC1"/>
    <w:rsid w:val="00B00331"/>
    <w:rsid w:val="00B01A80"/>
    <w:rsid w:val="00B06D4D"/>
    <w:rsid w:val="00B07C27"/>
    <w:rsid w:val="00B10017"/>
    <w:rsid w:val="00B10DE1"/>
    <w:rsid w:val="00B10FF8"/>
    <w:rsid w:val="00B203C4"/>
    <w:rsid w:val="00B22E81"/>
    <w:rsid w:val="00B23996"/>
    <w:rsid w:val="00B23CB2"/>
    <w:rsid w:val="00B2561A"/>
    <w:rsid w:val="00B25A64"/>
    <w:rsid w:val="00B32AB3"/>
    <w:rsid w:val="00B34E7C"/>
    <w:rsid w:val="00B368EA"/>
    <w:rsid w:val="00B37EEF"/>
    <w:rsid w:val="00B51D20"/>
    <w:rsid w:val="00B5298E"/>
    <w:rsid w:val="00B54370"/>
    <w:rsid w:val="00B54B5F"/>
    <w:rsid w:val="00B55185"/>
    <w:rsid w:val="00B55BB5"/>
    <w:rsid w:val="00B60D38"/>
    <w:rsid w:val="00B61923"/>
    <w:rsid w:val="00B621D6"/>
    <w:rsid w:val="00B63EF5"/>
    <w:rsid w:val="00B65D6F"/>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40D"/>
    <w:rsid w:val="00BA22A8"/>
    <w:rsid w:val="00BA285B"/>
    <w:rsid w:val="00BA3E48"/>
    <w:rsid w:val="00BA4BD3"/>
    <w:rsid w:val="00BA7473"/>
    <w:rsid w:val="00BB0187"/>
    <w:rsid w:val="00BB1EB3"/>
    <w:rsid w:val="00BB22CA"/>
    <w:rsid w:val="00BB2678"/>
    <w:rsid w:val="00BC013A"/>
    <w:rsid w:val="00BC2343"/>
    <w:rsid w:val="00BC23F8"/>
    <w:rsid w:val="00BC56FA"/>
    <w:rsid w:val="00BD30C8"/>
    <w:rsid w:val="00BD3EB4"/>
    <w:rsid w:val="00BD5C65"/>
    <w:rsid w:val="00BD7DB4"/>
    <w:rsid w:val="00BE1A80"/>
    <w:rsid w:val="00BE2F07"/>
    <w:rsid w:val="00BE5751"/>
    <w:rsid w:val="00BE5CAB"/>
    <w:rsid w:val="00BE6018"/>
    <w:rsid w:val="00BF0F8F"/>
    <w:rsid w:val="00BF1F57"/>
    <w:rsid w:val="00BF4086"/>
    <w:rsid w:val="00BF426C"/>
    <w:rsid w:val="00BF47C9"/>
    <w:rsid w:val="00BF58D0"/>
    <w:rsid w:val="00BF7D6A"/>
    <w:rsid w:val="00C013E1"/>
    <w:rsid w:val="00C01611"/>
    <w:rsid w:val="00C02D59"/>
    <w:rsid w:val="00C030B6"/>
    <w:rsid w:val="00C03284"/>
    <w:rsid w:val="00C050D7"/>
    <w:rsid w:val="00C05B5F"/>
    <w:rsid w:val="00C104CC"/>
    <w:rsid w:val="00C152FE"/>
    <w:rsid w:val="00C16739"/>
    <w:rsid w:val="00C21C43"/>
    <w:rsid w:val="00C22C7D"/>
    <w:rsid w:val="00C22CCE"/>
    <w:rsid w:val="00C231D6"/>
    <w:rsid w:val="00C23BA2"/>
    <w:rsid w:val="00C32AF2"/>
    <w:rsid w:val="00C33204"/>
    <w:rsid w:val="00C338EB"/>
    <w:rsid w:val="00C3465D"/>
    <w:rsid w:val="00C379E9"/>
    <w:rsid w:val="00C439FB"/>
    <w:rsid w:val="00C43F23"/>
    <w:rsid w:val="00C47790"/>
    <w:rsid w:val="00C50011"/>
    <w:rsid w:val="00C5274B"/>
    <w:rsid w:val="00C55A77"/>
    <w:rsid w:val="00C645E6"/>
    <w:rsid w:val="00C64D82"/>
    <w:rsid w:val="00C64FBC"/>
    <w:rsid w:val="00C65A83"/>
    <w:rsid w:val="00C721F2"/>
    <w:rsid w:val="00C72C6F"/>
    <w:rsid w:val="00C75BB1"/>
    <w:rsid w:val="00C76CF1"/>
    <w:rsid w:val="00C80F23"/>
    <w:rsid w:val="00C81151"/>
    <w:rsid w:val="00C82CC6"/>
    <w:rsid w:val="00C8434E"/>
    <w:rsid w:val="00C850A3"/>
    <w:rsid w:val="00C85C32"/>
    <w:rsid w:val="00C87568"/>
    <w:rsid w:val="00C905A7"/>
    <w:rsid w:val="00C909E1"/>
    <w:rsid w:val="00C90DB6"/>
    <w:rsid w:val="00C9394F"/>
    <w:rsid w:val="00C93B1A"/>
    <w:rsid w:val="00C96A14"/>
    <w:rsid w:val="00C96F5F"/>
    <w:rsid w:val="00CA21B5"/>
    <w:rsid w:val="00CA5927"/>
    <w:rsid w:val="00CA79EC"/>
    <w:rsid w:val="00CB26A5"/>
    <w:rsid w:val="00CB39C2"/>
    <w:rsid w:val="00CB4664"/>
    <w:rsid w:val="00CB4C8C"/>
    <w:rsid w:val="00CB6782"/>
    <w:rsid w:val="00CC080A"/>
    <w:rsid w:val="00CC52E1"/>
    <w:rsid w:val="00CD319D"/>
    <w:rsid w:val="00CD6BC3"/>
    <w:rsid w:val="00CD72D0"/>
    <w:rsid w:val="00CE3519"/>
    <w:rsid w:val="00CE5277"/>
    <w:rsid w:val="00CE6358"/>
    <w:rsid w:val="00CF2D54"/>
    <w:rsid w:val="00CF3CDE"/>
    <w:rsid w:val="00CF6570"/>
    <w:rsid w:val="00D03538"/>
    <w:rsid w:val="00D049B8"/>
    <w:rsid w:val="00D0516C"/>
    <w:rsid w:val="00D05EE7"/>
    <w:rsid w:val="00D068D0"/>
    <w:rsid w:val="00D078D1"/>
    <w:rsid w:val="00D129A8"/>
    <w:rsid w:val="00D12FB9"/>
    <w:rsid w:val="00D148B5"/>
    <w:rsid w:val="00D200BD"/>
    <w:rsid w:val="00D22399"/>
    <w:rsid w:val="00D26460"/>
    <w:rsid w:val="00D33751"/>
    <w:rsid w:val="00D33924"/>
    <w:rsid w:val="00D36F6E"/>
    <w:rsid w:val="00D37343"/>
    <w:rsid w:val="00D4205E"/>
    <w:rsid w:val="00D42507"/>
    <w:rsid w:val="00D5574C"/>
    <w:rsid w:val="00D61982"/>
    <w:rsid w:val="00D6267A"/>
    <w:rsid w:val="00D67D12"/>
    <w:rsid w:val="00D7585A"/>
    <w:rsid w:val="00D80618"/>
    <w:rsid w:val="00D81A17"/>
    <w:rsid w:val="00D82494"/>
    <w:rsid w:val="00D84A4B"/>
    <w:rsid w:val="00D92168"/>
    <w:rsid w:val="00D940A9"/>
    <w:rsid w:val="00D940B5"/>
    <w:rsid w:val="00D95CB0"/>
    <w:rsid w:val="00D977C0"/>
    <w:rsid w:val="00DA00A3"/>
    <w:rsid w:val="00DA13F3"/>
    <w:rsid w:val="00DA2DE3"/>
    <w:rsid w:val="00DA7146"/>
    <w:rsid w:val="00DA716A"/>
    <w:rsid w:val="00DB1F4F"/>
    <w:rsid w:val="00DB37EE"/>
    <w:rsid w:val="00DB4450"/>
    <w:rsid w:val="00DB7895"/>
    <w:rsid w:val="00DB7B69"/>
    <w:rsid w:val="00DC02EC"/>
    <w:rsid w:val="00DC234A"/>
    <w:rsid w:val="00DC41E4"/>
    <w:rsid w:val="00DC5116"/>
    <w:rsid w:val="00DC77DD"/>
    <w:rsid w:val="00DC7C77"/>
    <w:rsid w:val="00DD2417"/>
    <w:rsid w:val="00DD7EA2"/>
    <w:rsid w:val="00DE00F2"/>
    <w:rsid w:val="00DE117F"/>
    <w:rsid w:val="00DE401C"/>
    <w:rsid w:val="00DE4CDE"/>
    <w:rsid w:val="00DF1ED6"/>
    <w:rsid w:val="00DF63FA"/>
    <w:rsid w:val="00E00A1C"/>
    <w:rsid w:val="00E012CC"/>
    <w:rsid w:val="00E02B71"/>
    <w:rsid w:val="00E02DEB"/>
    <w:rsid w:val="00E042A1"/>
    <w:rsid w:val="00E04CE6"/>
    <w:rsid w:val="00E104FA"/>
    <w:rsid w:val="00E1082A"/>
    <w:rsid w:val="00E11166"/>
    <w:rsid w:val="00E13182"/>
    <w:rsid w:val="00E15383"/>
    <w:rsid w:val="00E1738C"/>
    <w:rsid w:val="00E22D28"/>
    <w:rsid w:val="00E230E3"/>
    <w:rsid w:val="00E23611"/>
    <w:rsid w:val="00E25852"/>
    <w:rsid w:val="00E30EDF"/>
    <w:rsid w:val="00E31FBA"/>
    <w:rsid w:val="00E36AAE"/>
    <w:rsid w:val="00E41773"/>
    <w:rsid w:val="00E427F2"/>
    <w:rsid w:val="00E513F6"/>
    <w:rsid w:val="00E52F3B"/>
    <w:rsid w:val="00E53D94"/>
    <w:rsid w:val="00E53DEA"/>
    <w:rsid w:val="00E55A61"/>
    <w:rsid w:val="00E57F92"/>
    <w:rsid w:val="00E616DB"/>
    <w:rsid w:val="00E627A4"/>
    <w:rsid w:val="00E630ED"/>
    <w:rsid w:val="00E70C95"/>
    <w:rsid w:val="00E74EC5"/>
    <w:rsid w:val="00E75FDC"/>
    <w:rsid w:val="00E76B86"/>
    <w:rsid w:val="00E833B9"/>
    <w:rsid w:val="00E8342F"/>
    <w:rsid w:val="00E8375E"/>
    <w:rsid w:val="00E847A7"/>
    <w:rsid w:val="00E85F25"/>
    <w:rsid w:val="00E86E79"/>
    <w:rsid w:val="00E906B4"/>
    <w:rsid w:val="00E9095B"/>
    <w:rsid w:val="00E926B8"/>
    <w:rsid w:val="00E92E98"/>
    <w:rsid w:val="00E9399B"/>
    <w:rsid w:val="00E94008"/>
    <w:rsid w:val="00E94762"/>
    <w:rsid w:val="00E96B52"/>
    <w:rsid w:val="00EA2244"/>
    <w:rsid w:val="00EA4C93"/>
    <w:rsid w:val="00EA6FA7"/>
    <w:rsid w:val="00EB067F"/>
    <w:rsid w:val="00EB0BF5"/>
    <w:rsid w:val="00EB1F02"/>
    <w:rsid w:val="00EB5BC5"/>
    <w:rsid w:val="00EC086C"/>
    <w:rsid w:val="00EC42D0"/>
    <w:rsid w:val="00EC5CE0"/>
    <w:rsid w:val="00EC638F"/>
    <w:rsid w:val="00ED48AC"/>
    <w:rsid w:val="00EE224C"/>
    <w:rsid w:val="00EE4874"/>
    <w:rsid w:val="00EE4A8C"/>
    <w:rsid w:val="00EE674E"/>
    <w:rsid w:val="00EE79A6"/>
    <w:rsid w:val="00EF0C36"/>
    <w:rsid w:val="00EF2689"/>
    <w:rsid w:val="00EF454D"/>
    <w:rsid w:val="00EF6111"/>
    <w:rsid w:val="00F005A0"/>
    <w:rsid w:val="00F0225B"/>
    <w:rsid w:val="00F06616"/>
    <w:rsid w:val="00F11352"/>
    <w:rsid w:val="00F1498D"/>
    <w:rsid w:val="00F14DDF"/>
    <w:rsid w:val="00F152AD"/>
    <w:rsid w:val="00F20DFE"/>
    <w:rsid w:val="00F2285F"/>
    <w:rsid w:val="00F23155"/>
    <w:rsid w:val="00F24236"/>
    <w:rsid w:val="00F24E0E"/>
    <w:rsid w:val="00F26693"/>
    <w:rsid w:val="00F36130"/>
    <w:rsid w:val="00F40444"/>
    <w:rsid w:val="00F423BD"/>
    <w:rsid w:val="00F432FF"/>
    <w:rsid w:val="00F4715C"/>
    <w:rsid w:val="00F54869"/>
    <w:rsid w:val="00F556B2"/>
    <w:rsid w:val="00F5754B"/>
    <w:rsid w:val="00F576DE"/>
    <w:rsid w:val="00F57CE6"/>
    <w:rsid w:val="00F63BF7"/>
    <w:rsid w:val="00F65617"/>
    <w:rsid w:val="00F710BE"/>
    <w:rsid w:val="00F723CF"/>
    <w:rsid w:val="00F736D2"/>
    <w:rsid w:val="00F7564C"/>
    <w:rsid w:val="00F76220"/>
    <w:rsid w:val="00F769BE"/>
    <w:rsid w:val="00F82E6B"/>
    <w:rsid w:val="00F8677B"/>
    <w:rsid w:val="00F97B71"/>
    <w:rsid w:val="00FA1EC5"/>
    <w:rsid w:val="00FA2DDA"/>
    <w:rsid w:val="00FA34CA"/>
    <w:rsid w:val="00FA4A55"/>
    <w:rsid w:val="00FA4D4F"/>
    <w:rsid w:val="00FA54E8"/>
    <w:rsid w:val="00FA57F6"/>
    <w:rsid w:val="00FA7193"/>
    <w:rsid w:val="00FB2D17"/>
    <w:rsid w:val="00FB2F69"/>
    <w:rsid w:val="00FB368B"/>
    <w:rsid w:val="00FB45FF"/>
    <w:rsid w:val="00FB5D97"/>
    <w:rsid w:val="00FB6DE6"/>
    <w:rsid w:val="00FC023D"/>
    <w:rsid w:val="00FC1CA5"/>
    <w:rsid w:val="00FC2979"/>
    <w:rsid w:val="00FD1C3C"/>
    <w:rsid w:val="00FD38A8"/>
    <w:rsid w:val="00FD5477"/>
    <w:rsid w:val="00FD6AC8"/>
    <w:rsid w:val="00FE3EA1"/>
    <w:rsid w:val="00FE4818"/>
    <w:rsid w:val="00FE5D80"/>
    <w:rsid w:val="00FF1577"/>
    <w:rsid w:val="00FF6ADB"/>
    <w:rsid w:val="2FA97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840B8D"/>
  <w15:docId w15:val="{EBE9B9F7-3084-4E23-82E2-17FB52A4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footnote text" w:semiHidden="1" w:qFormat="1"/>
    <w:lsdException w:name="annotation text" w:semiHidden="1" w:qFormat="1"/>
    <w:lsdException w:name="header" w:uiPriority="99"/>
    <w:lsdException w:name="caption" w:semiHidden="1" w:unhideWhenUsed="1" w:qFormat="1"/>
    <w:lsdException w:name="footnote reference" w:semiHidden="1" w:qFormat="1"/>
    <w:lsdException w:name="annotation reference" w:semiHidden="1"/>
    <w:lsdException w:name="Title" w:qFormat="1"/>
    <w:lsdException w:name="Default Paragraph Font" w:semiHidden="1" w:uiPriority="1" w:unhideWhenUsed="1"/>
    <w:lsdException w:name="Subtitle" w:qFormat="1"/>
    <w:lsdException w:name="Date" w:uiPriority="99"/>
    <w:lsdException w:name="Body Text Indent 3" w:qFormat="1"/>
    <w:lsdException w:name="Hyperlink" w:qFormat="1"/>
    <w:lsdException w:name="Strong" w:uiPriority="22"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semiHidden/>
    <w:rPr>
      <w:b/>
      <w:bCs/>
    </w:rPr>
  </w:style>
  <w:style w:type="paragraph" w:styleId="a5">
    <w:name w:val="annotation text"/>
    <w:basedOn w:val="a"/>
    <w:semiHidden/>
    <w:qFormat/>
    <w:pPr>
      <w:jc w:val="left"/>
    </w:pPr>
  </w:style>
  <w:style w:type="paragraph" w:styleId="a6">
    <w:name w:val="Document Map"/>
    <w:basedOn w:val="a"/>
    <w:semiHidden/>
    <w:pPr>
      <w:shd w:val="clear" w:color="auto" w:fill="000080"/>
    </w:pPr>
  </w:style>
  <w:style w:type="paragraph" w:styleId="a7">
    <w:name w:val="Body Text"/>
    <w:basedOn w:val="a"/>
    <w:pPr>
      <w:spacing w:after="120"/>
    </w:pPr>
  </w:style>
  <w:style w:type="paragraph" w:styleId="a8">
    <w:name w:val="Body Text Inden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aa"/>
    <w:uiPriority w:val="99"/>
    <w:rPr>
      <w:rFonts w:ascii="宋体" w:hAnsi="Courier New"/>
      <w:szCs w:val="21"/>
    </w:rPr>
  </w:style>
  <w:style w:type="paragraph" w:styleId="ab">
    <w:name w:val="Date"/>
    <w:basedOn w:val="a"/>
    <w:next w:val="a"/>
    <w:link w:val="ac"/>
    <w:uiPriority w:val="99"/>
    <w:rPr>
      <w:sz w:val="24"/>
      <w:szCs w:val="20"/>
    </w:rPr>
  </w:style>
  <w:style w:type="paragraph" w:styleId="20">
    <w:name w:val="Body Text Indent 2"/>
    <w:basedOn w:val="a"/>
    <w:pPr>
      <w:spacing w:line="560" w:lineRule="exact"/>
      <w:ind w:firstLineChars="200" w:firstLine="480"/>
    </w:pPr>
    <w:rPr>
      <w:rFonts w:ascii="宋体" w:hAnsi="宋体"/>
      <w:color w:val="FF0000"/>
      <w:sz w:val="24"/>
    </w:rPr>
  </w:style>
  <w:style w:type="paragraph" w:styleId="ad">
    <w:name w:val="Balloon Text"/>
    <w:basedOn w:val="a"/>
    <w:semiHidden/>
    <w:rPr>
      <w:sz w:val="18"/>
      <w:szCs w:val="18"/>
    </w:rPr>
  </w:style>
  <w:style w:type="paragraph" w:styleId="ae">
    <w:name w:val="footer"/>
    <w:basedOn w:val="a"/>
    <w:pPr>
      <w:tabs>
        <w:tab w:val="center" w:pos="4153"/>
        <w:tab w:val="right" w:pos="8306"/>
      </w:tabs>
      <w:snapToGrid w:val="0"/>
      <w:jc w:val="left"/>
    </w:pPr>
    <w:rPr>
      <w:sz w:val="18"/>
      <w:szCs w:val="18"/>
    </w:rPr>
  </w:style>
  <w:style w:type="paragraph" w:styleId="af">
    <w:name w:val="header"/>
    <w:basedOn w:val="a"/>
    <w:link w:val="af0"/>
    <w:uiPriority w:val="99"/>
    <w:pPr>
      <w:pBdr>
        <w:bottom w:val="single" w:sz="6" w:space="1" w:color="auto"/>
      </w:pBdr>
      <w:tabs>
        <w:tab w:val="center" w:pos="4153"/>
        <w:tab w:val="right" w:pos="8306"/>
      </w:tabs>
      <w:snapToGrid w:val="0"/>
      <w:jc w:val="center"/>
    </w:pPr>
    <w:rPr>
      <w:sz w:val="18"/>
      <w:szCs w:val="18"/>
    </w:rPr>
  </w:style>
  <w:style w:type="paragraph" w:styleId="af1">
    <w:name w:val="List"/>
    <w:basedOn w:val="a7"/>
    <w:pPr>
      <w:spacing w:after="220" w:line="220" w:lineRule="atLeast"/>
      <w:ind w:left="1440" w:hanging="360"/>
    </w:pPr>
    <w:rPr>
      <w:szCs w:val="20"/>
    </w:rPr>
  </w:style>
  <w:style w:type="paragraph" w:styleId="af2">
    <w:name w:val="footnote text"/>
    <w:basedOn w:val="a"/>
    <w:semiHidden/>
    <w:qFormat/>
    <w:pPr>
      <w:snapToGrid w:val="0"/>
      <w:jc w:val="left"/>
    </w:pPr>
    <w:rPr>
      <w:sz w:val="18"/>
      <w:szCs w:val="18"/>
    </w:rPr>
  </w:style>
  <w:style w:type="paragraph" w:styleId="3">
    <w:name w:val="Body Text Indent 3"/>
    <w:basedOn w:val="a"/>
    <w:qFormat/>
    <w:pPr>
      <w:spacing w:line="560" w:lineRule="exact"/>
      <w:ind w:firstLineChars="200" w:firstLine="420"/>
    </w:pPr>
    <w:rPr>
      <w:rFonts w:ascii="Arial" w:hAnsi="Arial" w:cs="Arial"/>
      <w:color w:val="FF0000"/>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pPr>
      <w:jc w:val="right"/>
    </w:pPr>
    <w:rPr>
      <w:color w:val="008000"/>
    </w:rPr>
  </w:style>
  <w:style w:type="character" w:styleId="af4">
    <w:name w:val="Strong"/>
    <w:basedOn w:val="a1"/>
    <w:uiPriority w:val="22"/>
    <w:qFormat/>
    <w:rPr>
      <w:b/>
      <w:bCs/>
    </w:rPr>
  </w:style>
  <w:style w:type="character" w:styleId="af5">
    <w:name w:val="page number"/>
    <w:basedOn w:val="a1"/>
  </w:style>
  <w:style w:type="character" w:styleId="af6">
    <w:name w:val="FollowedHyperlink"/>
    <w:basedOn w:val="a1"/>
    <w:rPr>
      <w:color w:val="800080"/>
      <w:u w:val="single"/>
    </w:rPr>
  </w:style>
  <w:style w:type="character" w:styleId="af7">
    <w:name w:val="Hyperlink"/>
    <w:basedOn w:val="a1"/>
    <w:qFormat/>
    <w:rPr>
      <w:color w:val="0000FF"/>
      <w:u w:val="single"/>
    </w:rPr>
  </w:style>
  <w:style w:type="character" w:styleId="af8">
    <w:name w:val="annotation reference"/>
    <w:basedOn w:val="a1"/>
    <w:semiHidden/>
    <w:rPr>
      <w:sz w:val="21"/>
      <w:szCs w:val="21"/>
    </w:rPr>
  </w:style>
  <w:style w:type="character" w:styleId="af9">
    <w:name w:val="footnote reference"/>
    <w:basedOn w:val="a1"/>
    <w:semiHidden/>
    <w:qFormat/>
    <w:rPr>
      <w:vertAlign w:val="superscript"/>
    </w:rPr>
  </w:style>
  <w:style w:type="table" w:styleId="afa">
    <w:name w:val="Table Grid"/>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1"/>
    <w:rPr>
      <w:color w:val="000000"/>
      <w:sz w:val="18"/>
      <w:szCs w:val="18"/>
    </w:rPr>
  </w:style>
  <w:style w:type="paragraph" w:customStyle="1" w:styleId="font5">
    <w:name w:val="font5"/>
    <w:basedOn w:val="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
    <w:name w:val="Char"/>
    <w:basedOn w:val="a"/>
  </w:style>
  <w:style w:type="paragraph" w:customStyle="1" w:styleId="afb">
    <w:name w:val="正文 + (符号) 宋体"/>
    <w:basedOn w:val="a"/>
    <w:qFormat/>
    <w:pPr>
      <w:autoSpaceDE w:val="0"/>
      <w:autoSpaceDN w:val="0"/>
      <w:adjustRightInd w:val="0"/>
      <w:ind w:rightChars="671" w:right="1409" w:firstLineChars="512" w:firstLine="1229"/>
      <w:jc w:val="distribute"/>
    </w:pPr>
    <w:rPr>
      <w:sz w:val="24"/>
    </w:rPr>
  </w:style>
  <w:style w:type="paragraph" w:customStyle="1" w:styleId="Char1">
    <w:name w:val="Char1"/>
    <w:basedOn w:val="a"/>
    <w:qFormat/>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宋体"/>
      <w:kern w:val="0"/>
      <w:sz w:val="34"/>
      <w:szCs w:val="20"/>
    </w:rPr>
  </w:style>
  <w:style w:type="character" w:customStyle="1" w:styleId="aa">
    <w:name w:val="纯文本 字符"/>
    <w:link w:val="a9"/>
    <w:uiPriority w:val="99"/>
    <w:qFormat/>
    <w:rPr>
      <w:rFonts w:ascii="宋体" w:hAnsi="Courier New"/>
      <w:kern w:val="2"/>
      <w:sz w:val="21"/>
      <w:szCs w:val="21"/>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af0">
    <w:name w:val="页眉 字符"/>
    <w:basedOn w:val="a1"/>
    <w:link w:val="af"/>
    <w:uiPriority w:val="99"/>
    <w:qFormat/>
    <w:rPr>
      <w:kern w:val="2"/>
      <w:sz w:val="18"/>
      <w:szCs w:val="18"/>
    </w:rPr>
  </w:style>
  <w:style w:type="character" w:customStyle="1" w:styleId="10">
    <w:name w:val="标题 1 字符"/>
    <w:basedOn w:val="a1"/>
    <w:link w:val="1"/>
    <w:qFormat/>
    <w:rPr>
      <w:b/>
      <w:bCs/>
      <w:kern w:val="44"/>
      <w:sz w:val="44"/>
      <w:szCs w:val="44"/>
    </w:rPr>
  </w:style>
  <w:style w:type="character" w:customStyle="1" w:styleId="ac">
    <w:name w:val="日期 字符"/>
    <w:basedOn w:val="a1"/>
    <w:link w:val="ab"/>
    <w:uiPriority w:val="99"/>
    <w:qFormat/>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19917">
      <w:bodyDiv w:val="1"/>
      <w:marLeft w:val="0"/>
      <w:marRight w:val="0"/>
      <w:marTop w:val="0"/>
      <w:marBottom w:val="0"/>
      <w:divBdr>
        <w:top w:val="none" w:sz="0" w:space="0" w:color="auto"/>
        <w:left w:val="none" w:sz="0" w:space="0" w:color="auto"/>
        <w:bottom w:val="none" w:sz="0" w:space="0" w:color="auto"/>
        <w:right w:val="none" w:sz="0" w:space="0" w:color="auto"/>
      </w:divBdr>
    </w:div>
    <w:div w:id="189033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1098</Words>
  <Characters>6259</Characters>
  <Application>Microsoft Office Word</Application>
  <DocSecurity>0</DocSecurity>
  <Lines>52</Lines>
  <Paragraphs>14</Paragraphs>
  <ScaleCrop>false</ScaleCrop>
  <Company>TRT. Ltd. Co.</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Yang.Wang@FA</cp:lastModifiedBy>
  <cp:revision>159</cp:revision>
  <cp:lastPrinted>2007-07-19T00:46:00Z</cp:lastPrinted>
  <dcterms:created xsi:type="dcterms:W3CDTF">2012-11-21T04:46:00Z</dcterms:created>
  <dcterms:modified xsi:type="dcterms:W3CDTF">2024-07-18T06:24:00Z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