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9333BB" w14:textId="77777777" w:rsidR="00751F10" w:rsidRDefault="00751F10">
      <w:pPr>
        <w:spacing w:line="360" w:lineRule="auto"/>
        <w:rPr>
          <w:rFonts w:ascii="宋体" w:hAnsi="宋体" w:hint="eastAsia"/>
          <w:sz w:val="48"/>
        </w:rPr>
      </w:pPr>
      <w:r>
        <w:rPr>
          <w:rFonts w:ascii="宋体" w:hAnsi="宋体" w:hint="eastAsia"/>
          <w:sz w:val="48"/>
        </w:rPr>
        <w:t xml:space="preserve">　 </w:t>
      </w:r>
    </w:p>
    <w:p w14:paraId="7B344AAC" w14:textId="77777777" w:rsidR="00751F10" w:rsidRDefault="00751F10">
      <w:pPr>
        <w:spacing w:line="360" w:lineRule="auto"/>
        <w:rPr>
          <w:rFonts w:ascii="宋体" w:hAnsi="宋体" w:hint="eastAsia"/>
          <w:sz w:val="48"/>
        </w:rPr>
      </w:pPr>
      <w:r>
        <w:rPr>
          <w:rFonts w:ascii="宋体" w:hAnsi="宋体" w:hint="eastAsia"/>
          <w:sz w:val="48"/>
        </w:rPr>
        <w:t xml:space="preserve">　 </w:t>
      </w:r>
    </w:p>
    <w:p w14:paraId="20219C1A" w14:textId="77777777" w:rsidR="00751F10" w:rsidRDefault="00751F1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摩根纳斯达克100指数型发起式证券投资基金(QDII)</w:t>
      </w:r>
      <w:r>
        <w:rPr>
          <w:rFonts w:ascii="宋体" w:hAnsi="宋体" w:hint="eastAsia"/>
          <w:b/>
          <w:bCs/>
          <w:sz w:val="48"/>
          <w:szCs w:val="48"/>
        </w:rPr>
        <w:br/>
        <w:t>2026年第1季度报告</w:t>
      </w:r>
    </w:p>
    <w:p w14:paraId="446E4F69"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56E9514D" w14:textId="77777777" w:rsidR="00751F10" w:rsidRDefault="00751F10">
      <w:pPr>
        <w:spacing w:line="360" w:lineRule="auto"/>
        <w:jc w:val="center"/>
      </w:pPr>
      <w:r>
        <w:rPr>
          <w:rFonts w:ascii="宋体" w:hAnsi="宋体" w:hint="eastAsia"/>
          <w:b/>
          <w:bCs/>
          <w:sz w:val="28"/>
          <w:szCs w:val="30"/>
        </w:rPr>
        <w:t>2026年3月31日</w:t>
      </w:r>
    </w:p>
    <w:p w14:paraId="4FE0CEDD"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7E6CD098"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2F8B4F08"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0E63AA78" w14:textId="77777777" w:rsidR="00751F10" w:rsidRDefault="00751F1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08F78CA"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3B19A3E4"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61B138BE"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66DAC5D6"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71E48366"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6691C608" w14:textId="77777777" w:rsidR="00751F10" w:rsidRDefault="00751F10">
      <w:pPr>
        <w:spacing w:line="360" w:lineRule="auto"/>
        <w:jc w:val="center"/>
        <w:rPr>
          <w:rFonts w:ascii="宋体" w:hAnsi="宋体" w:hint="eastAsia"/>
          <w:sz w:val="28"/>
          <w:szCs w:val="30"/>
        </w:rPr>
      </w:pPr>
      <w:r>
        <w:rPr>
          <w:rFonts w:ascii="宋体" w:hAnsi="宋体" w:hint="eastAsia"/>
          <w:sz w:val="28"/>
          <w:szCs w:val="30"/>
        </w:rPr>
        <w:t xml:space="preserve">　 </w:t>
      </w:r>
    </w:p>
    <w:p w14:paraId="016702FE" w14:textId="77777777" w:rsidR="00751F10" w:rsidRDefault="00751F10">
      <w:pPr>
        <w:spacing w:line="360" w:lineRule="auto"/>
        <w:ind w:firstLineChars="800" w:firstLine="2249"/>
        <w:jc w:val="left"/>
      </w:pPr>
      <w:r>
        <w:rPr>
          <w:rFonts w:ascii="宋体" w:hAnsi="宋体" w:hint="eastAsia"/>
          <w:b/>
          <w:bCs/>
          <w:sz w:val="28"/>
          <w:szCs w:val="30"/>
        </w:rPr>
        <w:t>基金管理人：摩根基金管理（中国）有限公司</w:t>
      </w:r>
    </w:p>
    <w:p w14:paraId="67EA74D5" w14:textId="77777777" w:rsidR="00751F10" w:rsidRDefault="00751F10">
      <w:pPr>
        <w:spacing w:line="360" w:lineRule="auto"/>
        <w:ind w:firstLineChars="800" w:firstLine="2249"/>
        <w:jc w:val="left"/>
      </w:pPr>
      <w:r>
        <w:rPr>
          <w:rFonts w:ascii="宋体" w:hAnsi="宋体" w:hint="eastAsia"/>
          <w:b/>
          <w:bCs/>
          <w:sz w:val="28"/>
          <w:szCs w:val="30"/>
        </w:rPr>
        <w:t>基金托管人：上海浦东发展银行股份有限公司</w:t>
      </w:r>
    </w:p>
    <w:p w14:paraId="2890EFD1" w14:textId="77777777" w:rsidR="00751F10" w:rsidRDefault="00751F10">
      <w:pPr>
        <w:spacing w:line="360" w:lineRule="auto"/>
        <w:ind w:firstLineChars="800" w:firstLine="2249"/>
        <w:jc w:val="left"/>
      </w:pPr>
      <w:r>
        <w:rPr>
          <w:rFonts w:ascii="宋体" w:hAnsi="宋体" w:hint="eastAsia"/>
          <w:b/>
          <w:bCs/>
          <w:sz w:val="28"/>
          <w:szCs w:val="30"/>
        </w:rPr>
        <w:t>报告送出日期：2026年4月22日</w:t>
      </w:r>
    </w:p>
    <w:p w14:paraId="5B4CDB19" w14:textId="77777777" w:rsidR="00751F10" w:rsidRDefault="00751F10">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2E7E346F" w14:textId="77777777" w:rsidR="00751F10" w:rsidRDefault="00751F10">
      <w:pPr>
        <w:spacing w:line="360" w:lineRule="auto"/>
        <w:ind w:firstLineChars="200" w:firstLine="420"/>
        <w:divId w:val="1314455689"/>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AAE64CF" w14:textId="77777777" w:rsidR="00751F10" w:rsidRDefault="00751F10">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622"/>
        <w:gridCol w:w="1710"/>
        <w:gridCol w:w="1577"/>
        <w:gridCol w:w="1475"/>
        <w:gridCol w:w="1290"/>
      </w:tblGrid>
      <w:tr w:rsidR="00DB4521" w14:paraId="3DCF58FE" w14:textId="77777777">
        <w:trPr>
          <w:divId w:val="717826531"/>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E34E9" w14:textId="77777777" w:rsidR="00751F10" w:rsidRDefault="00751F10">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0B512" w14:textId="77777777" w:rsidR="00751F10" w:rsidRDefault="00751F10">
            <w:pPr>
              <w:spacing w:line="360" w:lineRule="auto"/>
              <w:jc w:val="left"/>
            </w:pPr>
            <w:r>
              <w:rPr>
                <w:rFonts w:ascii="宋体" w:hAnsi="宋体" w:hint="eastAsia"/>
                <w:szCs w:val="24"/>
                <w:lang w:eastAsia="zh-Hans"/>
              </w:rPr>
              <w:t>摩根纳斯达克100指数(QDII)</w:t>
            </w:r>
            <w:r>
              <w:rPr>
                <w:rFonts w:ascii="宋体" w:hAnsi="宋体" w:hint="eastAsia"/>
                <w:lang w:eastAsia="zh-Hans"/>
              </w:rPr>
              <w:t xml:space="preserve"> </w:t>
            </w:r>
          </w:p>
        </w:tc>
      </w:tr>
      <w:tr w:rsidR="00DB4521" w14:paraId="2E61E9B5"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5E003" w14:textId="77777777" w:rsidR="00751F10" w:rsidRDefault="00751F10">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FC7D4" w14:textId="77777777" w:rsidR="00751F10" w:rsidRDefault="00751F10">
            <w:pPr>
              <w:spacing w:line="360" w:lineRule="auto"/>
              <w:jc w:val="left"/>
            </w:pPr>
            <w:r>
              <w:rPr>
                <w:rFonts w:ascii="宋体" w:hAnsi="宋体" w:hint="eastAsia"/>
                <w:lang w:eastAsia="zh-Hans"/>
              </w:rPr>
              <w:t>019172</w:t>
            </w:r>
          </w:p>
        </w:tc>
      </w:tr>
      <w:tr w:rsidR="00DB4521" w14:paraId="39B2448C"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F887C" w14:textId="77777777" w:rsidR="00751F10" w:rsidRDefault="00751F10">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4050A" w14:textId="77777777" w:rsidR="00751F10" w:rsidRDefault="00751F10">
            <w:pPr>
              <w:spacing w:line="360" w:lineRule="auto"/>
              <w:jc w:val="left"/>
            </w:pPr>
            <w:r>
              <w:rPr>
                <w:rFonts w:ascii="宋体" w:hAnsi="宋体" w:hint="eastAsia"/>
                <w:lang w:eastAsia="zh-Hans"/>
              </w:rPr>
              <w:t>契约型开放式</w:t>
            </w:r>
          </w:p>
        </w:tc>
      </w:tr>
      <w:tr w:rsidR="00DB4521" w14:paraId="3F95086B"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C88B4" w14:textId="77777777" w:rsidR="00751F10" w:rsidRDefault="00751F10">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50CB4" w14:textId="77777777" w:rsidR="00751F10" w:rsidRDefault="00751F10">
            <w:pPr>
              <w:spacing w:line="360" w:lineRule="auto"/>
              <w:jc w:val="left"/>
            </w:pPr>
            <w:r>
              <w:rPr>
                <w:rFonts w:ascii="宋体" w:hAnsi="宋体" w:hint="eastAsia"/>
                <w:lang w:eastAsia="zh-Hans"/>
              </w:rPr>
              <w:t>2023年9月25日</w:t>
            </w:r>
          </w:p>
        </w:tc>
      </w:tr>
      <w:tr w:rsidR="00DB4521" w14:paraId="2633F6B9"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0BF18" w14:textId="77777777" w:rsidR="00751F10" w:rsidRDefault="00751F10">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EDD6" w14:textId="77777777" w:rsidR="00751F10" w:rsidRDefault="00751F10">
            <w:pPr>
              <w:spacing w:line="360" w:lineRule="auto"/>
              <w:jc w:val="left"/>
            </w:pPr>
            <w:r>
              <w:rPr>
                <w:rFonts w:ascii="宋体" w:hAnsi="宋体" w:hint="eastAsia"/>
                <w:lang w:eastAsia="zh-Hans"/>
              </w:rPr>
              <w:t>2,117,809,705.50</w:t>
            </w:r>
            <w:r>
              <w:rPr>
                <w:rFonts w:asciiTheme="minorHAnsi" w:eastAsiaTheme="minorEastAsia" w:hAnsiTheme="minorHAnsi" w:hint="eastAsia"/>
              </w:rPr>
              <w:t>份</w:t>
            </w:r>
            <w:r>
              <w:rPr>
                <w:rFonts w:ascii="宋体" w:hAnsi="宋体" w:hint="eastAsia"/>
                <w:lang w:eastAsia="zh-Hans"/>
              </w:rPr>
              <w:t xml:space="preserve"> </w:t>
            </w:r>
          </w:p>
        </w:tc>
      </w:tr>
      <w:tr w:rsidR="00DB4521" w14:paraId="196EC500"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CD1BA" w14:textId="77777777" w:rsidR="00751F10" w:rsidRDefault="00751F10">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6A116" w14:textId="77777777" w:rsidR="00751F10" w:rsidRDefault="00751F10">
            <w:pPr>
              <w:spacing w:line="360" w:lineRule="auto"/>
              <w:jc w:val="left"/>
            </w:pPr>
            <w:r>
              <w:rPr>
                <w:rFonts w:ascii="宋体" w:hAnsi="宋体" w:hint="eastAsia"/>
                <w:lang w:eastAsia="zh-Hans"/>
              </w:rPr>
              <w:t>本基金进行被动指数化投资，紧密跟踪标的指数，追求跟踪偏离度和跟踪误差最小化。</w:t>
            </w:r>
          </w:p>
        </w:tc>
      </w:tr>
      <w:tr w:rsidR="00DB4521" w14:paraId="560AAE39"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85C14" w14:textId="77777777" w:rsidR="00751F10" w:rsidRDefault="00751F10">
            <w:pPr>
              <w:spacing w:line="360" w:lineRule="auto"/>
              <w:jc w:val="left"/>
            </w:pPr>
            <w:r>
              <w:rPr>
                <w:rFonts w:ascii="宋体" w:hAnsi="宋体" w:hint="eastAsia"/>
              </w:rPr>
              <w:t>投资策略</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14542" w14:textId="77777777" w:rsidR="00751F10" w:rsidRDefault="00751F10">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r>
            <w:r>
              <w:rPr>
                <w:rFonts w:ascii="宋体" w:hAnsi="宋体" w:hint="eastAsia"/>
                <w:lang w:eastAsia="zh-Hans"/>
              </w:rPr>
              <w:lastRenderedPageBreak/>
              <w:t>在正常市场情况下，本基金力争控制基金净值增长率与业绩比较基准之间的日均跟踪偏离度小于0.35%，基金净值增长率与业绩比较基准之间的年跟踪误差不超过4%。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纳斯达克100指数成份股的基准权重构建股票资产组合，对于因法规限制、流动性限制而无法交易的成份股，将采用与被限制股预期收益率相近的股票或股票组合进行相应的替代。</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③本基金将根据申购和赎回情况对股票投资组合进行调整，保证基金正常运行，从而有效跟踪标的指数。</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r>
            <w:r>
              <w:rPr>
                <w:rFonts w:ascii="宋体" w:hAnsi="宋体" w:hint="eastAsia"/>
                <w:lang w:eastAsia="zh-Hans"/>
              </w:rPr>
              <w:lastRenderedPageBreak/>
              <w:t>3、其他投资策略：包括基金投资策略、金融衍生品投资策略、债券投资策略、资产支持证券投资策略、存托凭证投资策略。</w:t>
            </w:r>
          </w:p>
        </w:tc>
      </w:tr>
      <w:tr w:rsidR="00DB4521" w14:paraId="1D8D45A2"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A91DA" w14:textId="77777777" w:rsidR="00751F10" w:rsidRDefault="00751F10">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A4D88" w14:textId="77777777" w:rsidR="00751F10" w:rsidRDefault="00751F10">
            <w:pPr>
              <w:spacing w:line="360" w:lineRule="auto"/>
              <w:jc w:val="left"/>
            </w:pPr>
            <w:r>
              <w:rPr>
                <w:rFonts w:ascii="宋体" w:hAnsi="宋体" w:hint="eastAsia"/>
                <w:lang w:eastAsia="zh-Hans"/>
              </w:rPr>
              <w:t>纳斯达克100指数收益率(经汇率调整后)×95%+银行活期存款利率(税后)×5%</w:t>
            </w:r>
          </w:p>
        </w:tc>
      </w:tr>
      <w:tr w:rsidR="00DB4521" w14:paraId="3BD627DF" w14:textId="77777777">
        <w:trPr>
          <w:divId w:val="71782653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5088E" w14:textId="77777777" w:rsidR="00751F10" w:rsidRDefault="00751F10">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60BF8" w14:textId="77777777" w:rsidR="00751F10" w:rsidRDefault="00751F10">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DB4521" w14:paraId="2C99763C" w14:textId="77777777">
        <w:trPr>
          <w:divId w:val="717826531"/>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47CBE" w14:textId="77777777" w:rsidR="00751F10" w:rsidRDefault="00751F10">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239A0" w14:textId="77777777" w:rsidR="00751F10" w:rsidRDefault="00751F10">
            <w:pPr>
              <w:spacing w:line="360" w:lineRule="auto"/>
              <w:jc w:val="left"/>
            </w:pPr>
            <w:r>
              <w:rPr>
                <w:rFonts w:ascii="宋体" w:hAnsi="宋体" w:hint="eastAsia"/>
                <w:lang w:eastAsia="zh-Hans"/>
              </w:rPr>
              <w:t>摩根基金管理（中国）有限公司</w:t>
            </w:r>
          </w:p>
        </w:tc>
      </w:tr>
      <w:tr w:rsidR="00DB4521" w14:paraId="673C8DBB" w14:textId="77777777">
        <w:trPr>
          <w:divId w:val="717826531"/>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99DBD" w14:textId="77777777" w:rsidR="00751F10" w:rsidRDefault="00751F10">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50925" w14:textId="77777777" w:rsidR="00751F10" w:rsidRDefault="00751F10">
            <w:pPr>
              <w:spacing w:line="360" w:lineRule="auto"/>
              <w:jc w:val="left"/>
            </w:pPr>
            <w:r>
              <w:rPr>
                <w:rFonts w:ascii="宋体" w:hAnsi="宋体" w:hint="eastAsia"/>
                <w:lang w:eastAsia="zh-Hans"/>
              </w:rPr>
              <w:t>上海浦东发展银行股份有限公司</w:t>
            </w:r>
          </w:p>
        </w:tc>
      </w:tr>
      <w:tr w:rsidR="00DB4521" w14:paraId="3812A6BA" w14:textId="77777777">
        <w:trPr>
          <w:divId w:val="71782653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62F1B" w14:textId="77777777" w:rsidR="00751F10" w:rsidRDefault="00751F10">
            <w:pPr>
              <w:spacing w:line="360" w:lineRule="auto"/>
              <w:jc w:val="left"/>
            </w:pPr>
            <w:bookmarkStart w:id="26"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9CF11" w14:textId="77777777" w:rsidR="00751F10" w:rsidRDefault="00751F10">
            <w:pPr>
              <w:spacing w:line="360" w:lineRule="auto"/>
              <w:jc w:val="center"/>
            </w:pPr>
            <w:r>
              <w:rPr>
                <w:rFonts w:ascii="宋体" w:hAnsi="宋体" w:hint="eastAsia"/>
                <w:lang w:eastAsia="zh-Hans"/>
              </w:rPr>
              <w:t>摩根纳斯达克100指数(QDII)人民币A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971C1" w14:textId="77777777" w:rsidR="00751F10" w:rsidRDefault="00751F10">
            <w:pPr>
              <w:spacing w:line="360" w:lineRule="auto"/>
              <w:jc w:val="center"/>
            </w:pPr>
            <w:r>
              <w:rPr>
                <w:rFonts w:ascii="宋体" w:hAnsi="宋体" w:hint="eastAsia"/>
                <w:lang w:eastAsia="zh-Hans"/>
              </w:rPr>
              <w:t>摩根纳斯达克100指数(QDII)人民币C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DC3E5" w14:textId="77777777" w:rsidR="00751F10" w:rsidRDefault="00751F10">
            <w:pPr>
              <w:spacing w:line="360" w:lineRule="auto"/>
              <w:jc w:val="center"/>
            </w:pPr>
            <w:r>
              <w:rPr>
                <w:rFonts w:ascii="宋体" w:hAnsi="宋体" w:hint="eastAsia"/>
                <w:lang w:eastAsia="zh-Hans"/>
              </w:rPr>
              <w:t>摩根纳斯达克100指数(QDII)美元A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50FD4F" w14:textId="77777777" w:rsidR="00751F10" w:rsidRDefault="00751F10">
            <w:pPr>
              <w:spacing w:line="360" w:lineRule="auto"/>
              <w:jc w:val="center"/>
            </w:pPr>
            <w:r>
              <w:rPr>
                <w:rFonts w:ascii="宋体" w:hAnsi="宋体" w:hint="eastAsia"/>
                <w:lang w:eastAsia="zh-Hans"/>
              </w:rPr>
              <w:t>摩根纳斯达克100指数(QDII)美元C</w:t>
            </w:r>
            <w:r>
              <w:rPr>
                <w:rFonts w:ascii="宋体" w:hAnsi="宋体" w:hint="eastAsia"/>
                <w:kern w:val="0"/>
                <w:sz w:val="20"/>
                <w:lang w:eastAsia="zh-Hans"/>
              </w:rPr>
              <w:t xml:space="preserve"> </w:t>
            </w:r>
          </w:p>
        </w:tc>
      </w:tr>
      <w:tr w:rsidR="00DB4521" w14:paraId="1D5A41E9" w14:textId="77777777">
        <w:trPr>
          <w:divId w:val="71782653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92FE0B" w14:textId="77777777" w:rsidR="00751F10" w:rsidRDefault="00751F10">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28C8FC" w14:textId="77777777" w:rsidR="00751F10" w:rsidRDefault="00751F10">
            <w:pPr>
              <w:spacing w:line="360" w:lineRule="auto"/>
              <w:jc w:val="center"/>
            </w:pPr>
            <w:r>
              <w:rPr>
                <w:rFonts w:ascii="宋体" w:hAnsi="宋体" w:hint="eastAsia"/>
                <w:lang w:eastAsia="zh-Hans"/>
              </w:rPr>
              <w:t>019172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32EFC" w14:textId="77777777" w:rsidR="00751F10" w:rsidRDefault="00751F10">
            <w:pPr>
              <w:spacing w:line="360" w:lineRule="auto"/>
              <w:jc w:val="center"/>
            </w:pPr>
            <w:r>
              <w:rPr>
                <w:rFonts w:ascii="宋体" w:hAnsi="宋体" w:hint="eastAsia"/>
                <w:lang w:eastAsia="zh-Hans"/>
              </w:rPr>
              <w:t>019173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E3F4E" w14:textId="77777777" w:rsidR="00751F10" w:rsidRDefault="00751F10">
            <w:pPr>
              <w:spacing w:line="360" w:lineRule="auto"/>
              <w:jc w:val="center"/>
            </w:pPr>
            <w:r>
              <w:rPr>
                <w:rFonts w:ascii="宋体" w:hAnsi="宋体" w:hint="eastAsia"/>
                <w:lang w:eastAsia="zh-Hans"/>
              </w:rPr>
              <w:t>019174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F714C" w14:textId="77777777" w:rsidR="00751F10" w:rsidRDefault="00751F10">
            <w:pPr>
              <w:spacing w:line="360" w:lineRule="auto"/>
              <w:jc w:val="center"/>
            </w:pPr>
            <w:r>
              <w:rPr>
                <w:rFonts w:ascii="宋体" w:hAnsi="宋体" w:hint="eastAsia"/>
                <w:lang w:eastAsia="zh-Hans"/>
              </w:rPr>
              <w:t>019175</w:t>
            </w:r>
            <w:r>
              <w:rPr>
                <w:rFonts w:ascii="宋体" w:hAnsi="宋体" w:hint="eastAsia"/>
                <w:kern w:val="0"/>
                <w:sz w:val="20"/>
                <w:lang w:eastAsia="zh-Hans"/>
              </w:rPr>
              <w:t xml:space="preserve"> </w:t>
            </w:r>
          </w:p>
        </w:tc>
      </w:tr>
      <w:bookmarkEnd w:id="26"/>
      <w:tr w:rsidR="00DB4521" w14:paraId="68A32BDE" w14:textId="77777777">
        <w:trPr>
          <w:divId w:val="71782653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9F3E32" w14:textId="77777777" w:rsidR="00751F10" w:rsidRDefault="00751F10">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1C0A2" w14:textId="77777777" w:rsidR="00751F10" w:rsidRDefault="00751F10">
            <w:pPr>
              <w:spacing w:line="360" w:lineRule="auto"/>
              <w:jc w:val="center"/>
            </w:pPr>
            <w:r>
              <w:rPr>
                <w:rFonts w:ascii="宋体" w:hAnsi="宋体" w:hint="eastAsia"/>
                <w:lang w:eastAsia="zh-Hans"/>
              </w:rPr>
              <w:t>1,496,183,644.88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7D0BB" w14:textId="77777777" w:rsidR="00751F10" w:rsidRDefault="00751F10">
            <w:pPr>
              <w:spacing w:line="360" w:lineRule="auto"/>
              <w:jc w:val="center"/>
            </w:pPr>
            <w:r>
              <w:rPr>
                <w:rFonts w:ascii="宋体" w:hAnsi="宋体" w:hint="eastAsia"/>
                <w:lang w:eastAsia="zh-Hans"/>
              </w:rPr>
              <w:t>619,441,466.14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F7385" w14:textId="77777777" w:rsidR="00751F10" w:rsidRDefault="00751F10">
            <w:pPr>
              <w:spacing w:line="360" w:lineRule="auto"/>
              <w:jc w:val="center"/>
            </w:pPr>
            <w:r>
              <w:rPr>
                <w:rFonts w:ascii="宋体" w:hAnsi="宋体" w:hint="eastAsia"/>
                <w:lang w:eastAsia="zh-Hans"/>
              </w:rPr>
              <w:t>1,090,638.33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F8A22" w14:textId="77777777" w:rsidR="00751F10" w:rsidRDefault="00751F10">
            <w:pPr>
              <w:spacing w:line="360" w:lineRule="auto"/>
              <w:jc w:val="center"/>
            </w:pPr>
            <w:r>
              <w:rPr>
                <w:rFonts w:ascii="宋体" w:hAnsi="宋体" w:hint="eastAsia"/>
                <w:lang w:eastAsia="zh-Hans"/>
              </w:rPr>
              <w:t>1,093,956.15</w:t>
            </w:r>
            <w:r>
              <w:rPr>
                <w:rFonts w:hint="eastAsia"/>
              </w:rPr>
              <w:t>份</w:t>
            </w:r>
            <w:r>
              <w:rPr>
                <w:rFonts w:ascii="宋体" w:hAnsi="宋体" w:hint="eastAsia"/>
                <w:lang w:eastAsia="zh-Hans"/>
              </w:rPr>
              <w:t xml:space="preserve"> </w:t>
            </w:r>
          </w:p>
        </w:tc>
      </w:tr>
      <w:tr w:rsidR="00DB4521" w14:paraId="4BB8E8A2" w14:textId="77777777">
        <w:trPr>
          <w:divId w:val="717826531"/>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6C49B" w14:textId="77777777" w:rsidR="00751F10" w:rsidRDefault="00751F10">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84149CD" w14:textId="77777777" w:rsidR="00751F10" w:rsidRDefault="00751F10">
            <w:pPr>
              <w:widowControl/>
              <w:spacing w:line="315" w:lineRule="atLeast"/>
              <w:jc w:val="left"/>
            </w:pPr>
            <w:r>
              <w:rPr>
                <w:rFonts w:asciiTheme="minorEastAsia" w:eastAsiaTheme="minorEastAsia" w:hAnsiTheme="minorEastAsia" w:hint="eastAsia"/>
              </w:rPr>
              <w:t>英文名称：Citibank N.A.</w:t>
            </w:r>
          </w:p>
        </w:tc>
      </w:tr>
      <w:tr w:rsidR="00DB4521" w14:paraId="5B3A01D6" w14:textId="77777777">
        <w:trPr>
          <w:divId w:val="717826531"/>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15A4F" w14:textId="77777777" w:rsidR="00751F10" w:rsidRDefault="00751F10">
            <w:pPr>
              <w:widowControl/>
              <w:jc w:val="left"/>
            </w:pP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7B238CF" w14:textId="77777777" w:rsidR="00751F10" w:rsidRDefault="00751F10">
            <w:pPr>
              <w:widowControl/>
              <w:spacing w:line="315" w:lineRule="atLeast"/>
              <w:jc w:val="left"/>
            </w:pPr>
            <w:r>
              <w:rPr>
                <w:rFonts w:asciiTheme="minorEastAsia" w:eastAsiaTheme="minorEastAsia" w:hAnsiTheme="minorEastAsia" w:hint="eastAsia"/>
              </w:rPr>
              <w:t>中文名称：花旗银行</w:t>
            </w:r>
          </w:p>
        </w:tc>
      </w:tr>
    </w:tbl>
    <w:p w14:paraId="5B656820" w14:textId="77777777" w:rsidR="00751F10" w:rsidRDefault="00751F10">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5C58775A" w14:textId="77777777" w:rsidR="00751F10" w:rsidRDefault="00751F10">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48E7AED5" w14:textId="77777777" w:rsidR="00751F10" w:rsidRDefault="00751F10">
      <w:pPr>
        <w:jc w:val="right"/>
        <w:divId w:val="40202905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2171"/>
        <w:gridCol w:w="2016"/>
        <w:gridCol w:w="1884"/>
        <w:gridCol w:w="1884"/>
      </w:tblGrid>
      <w:tr w:rsidR="00DB4521" w14:paraId="15DF9A8F" w14:textId="77777777">
        <w:trPr>
          <w:divId w:val="40202905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B2AF3DF" w14:textId="77777777" w:rsidR="00751F10" w:rsidRDefault="00751F10">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9DAB1B1" w14:textId="77777777" w:rsidR="00751F10" w:rsidRDefault="00751F10">
            <w:pPr>
              <w:pStyle w:val="a5"/>
              <w:jc w:val="center"/>
              <w:rPr>
                <w:rFonts w:hint="eastAsia"/>
              </w:rPr>
            </w:pPr>
            <w:r>
              <w:rPr>
                <w:rFonts w:hint="eastAsia"/>
                <w:kern w:val="2"/>
                <w:sz w:val="21"/>
                <w:szCs w:val="24"/>
                <w:lang w:eastAsia="zh-Hans"/>
              </w:rPr>
              <w:t xml:space="preserve">报告期（2026年1月1日 - 2026年3月31日） </w:t>
            </w:r>
          </w:p>
        </w:tc>
      </w:tr>
      <w:tr w:rsidR="00DB4521" w14:paraId="72F20A74" w14:textId="77777777">
        <w:trPr>
          <w:divId w:val="40202905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92FD3" w14:textId="77777777" w:rsidR="00751F10" w:rsidRDefault="00751F1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EC7D42" w14:textId="77777777" w:rsidR="00751F10" w:rsidRDefault="00751F10">
            <w:pPr>
              <w:jc w:val="center"/>
            </w:pPr>
            <w:r>
              <w:rPr>
                <w:rFonts w:ascii="宋体" w:hAnsi="宋体" w:hint="eastAsia"/>
                <w:szCs w:val="24"/>
                <w:lang w:eastAsia="zh-Hans"/>
              </w:rPr>
              <w:t>摩根纳斯达克100指数(QDII)人民币A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58E0B05" w14:textId="77777777" w:rsidR="00751F10" w:rsidRDefault="00751F10">
            <w:pPr>
              <w:jc w:val="center"/>
            </w:pPr>
            <w:r>
              <w:rPr>
                <w:rFonts w:ascii="宋体" w:hAnsi="宋体" w:hint="eastAsia"/>
                <w:szCs w:val="24"/>
                <w:lang w:eastAsia="zh-Hans"/>
              </w:rPr>
              <w:t>摩根纳斯达克100指数(QDII)人民币C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498194" w14:textId="77777777" w:rsidR="00751F10" w:rsidRDefault="00751F10">
            <w:pPr>
              <w:jc w:val="center"/>
            </w:pPr>
            <w:r>
              <w:rPr>
                <w:rFonts w:ascii="宋体" w:hAnsi="宋体" w:hint="eastAsia"/>
                <w:szCs w:val="24"/>
                <w:lang w:eastAsia="zh-Hans"/>
              </w:rPr>
              <w:t>摩根纳斯达克100指数(QDII)美元A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FFCDE8A" w14:textId="77777777" w:rsidR="00751F10" w:rsidRDefault="00751F10">
            <w:pPr>
              <w:jc w:val="center"/>
            </w:pPr>
            <w:r>
              <w:rPr>
                <w:rFonts w:ascii="宋体" w:hAnsi="宋体" w:hint="eastAsia"/>
                <w:szCs w:val="24"/>
                <w:lang w:eastAsia="zh-Hans"/>
              </w:rPr>
              <w:t>摩根纳斯达克100指数(QDII)美元C</w:t>
            </w:r>
          </w:p>
        </w:tc>
      </w:tr>
      <w:tr w:rsidR="00DB4521" w14:paraId="14C50C5A" w14:textId="77777777">
        <w:trPr>
          <w:divId w:val="4020290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87F86E" w14:textId="77777777" w:rsidR="00751F10" w:rsidRDefault="00751F1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526A34" w14:textId="77777777" w:rsidR="00751F10" w:rsidRDefault="00751F10">
            <w:pPr>
              <w:jc w:val="right"/>
            </w:pPr>
            <w:r>
              <w:rPr>
                <w:rFonts w:ascii="宋体" w:hAnsi="宋体" w:hint="eastAsia"/>
                <w:szCs w:val="24"/>
                <w:lang w:eastAsia="zh-Hans"/>
              </w:rPr>
              <w:t>15,325,898.09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C1295A" w14:textId="77777777" w:rsidR="00751F10" w:rsidRDefault="00751F10">
            <w:pPr>
              <w:jc w:val="right"/>
            </w:pPr>
            <w:r>
              <w:rPr>
                <w:rFonts w:ascii="宋体" w:hAnsi="宋体" w:hint="eastAsia"/>
                <w:szCs w:val="24"/>
                <w:lang w:eastAsia="zh-Hans"/>
              </w:rPr>
              <w:t>6,105,391.20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5C4114" w14:textId="77777777" w:rsidR="00751F10" w:rsidRDefault="00751F10">
            <w:pPr>
              <w:jc w:val="right"/>
            </w:pPr>
            <w:r>
              <w:rPr>
                <w:rFonts w:ascii="宋体" w:hAnsi="宋体" w:hint="eastAsia"/>
                <w:szCs w:val="24"/>
                <w:lang w:eastAsia="zh-Hans"/>
              </w:rPr>
              <w:t>75,334.43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397EE0" w14:textId="77777777" w:rsidR="00751F10" w:rsidRDefault="00751F10">
            <w:pPr>
              <w:jc w:val="right"/>
            </w:pPr>
            <w:r>
              <w:rPr>
                <w:rFonts w:ascii="宋体" w:hAnsi="宋体" w:hint="eastAsia"/>
                <w:szCs w:val="24"/>
                <w:lang w:eastAsia="zh-Hans"/>
              </w:rPr>
              <w:t>76,112.29</w:t>
            </w:r>
          </w:p>
        </w:tc>
      </w:tr>
      <w:tr w:rsidR="00DB4521" w14:paraId="44C33AA0" w14:textId="77777777">
        <w:trPr>
          <w:divId w:val="4020290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779C47" w14:textId="77777777" w:rsidR="00751F10" w:rsidRDefault="00751F1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B349DB" w14:textId="77777777" w:rsidR="00751F10" w:rsidRDefault="00751F10">
            <w:pPr>
              <w:jc w:val="right"/>
            </w:pPr>
            <w:r>
              <w:rPr>
                <w:rFonts w:ascii="宋体" w:hAnsi="宋体" w:hint="eastAsia"/>
                <w:szCs w:val="24"/>
                <w:lang w:eastAsia="zh-Hans"/>
              </w:rPr>
              <w:t>-173,752,133.47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2505EA" w14:textId="77777777" w:rsidR="00751F10" w:rsidRDefault="00751F10">
            <w:pPr>
              <w:jc w:val="right"/>
            </w:pPr>
            <w:r>
              <w:rPr>
                <w:rFonts w:ascii="宋体" w:hAnsi="宋体" w:hint="eastAsia"/>
                <w:szCs w:val="24"/>
                <w:lang w:eastAsia="zh-Hans"/>
              </w:rPr>
              <w:t>-73,708,323.61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60B40F" w14:textId="77777777" w:rsidR="00751F10" w:rsidRDefault="00751F10">
            <w:pPr>
              <w:jc w:val="right"/>
            </w:pPr>
            <w:r>
              <w:rPr>
                <w:rFonts w:ascii="宋体" w:hAnsi="宋体" w:hint="eastAsia"/>
                <w:szCs w:val="24"/>
                <w:lang w:eastAsia="zh-Hans"/>
              </w:rPr>
              <w:t>-891,159.80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E852F5" w14:textId="77777777" w:rsidR="00751F10" w:rsidRDefault="00751F10">
            <w:pPr>
              <w:jc w:val="right"/>
            </w:pPr>
            <w:r>
              <w:rPr>
                <w:rFonts w:ascii="宋体" w:hAnsi="宋体" w:hint="eastAsia"/>
                <w:szCs w:val="24"/>
                <w:lang w:eastAsia="zh-Hans"/>
              </w:rPr>
              <w:t>-924,940.14</w:t>
            </w:r>
          </w:p>
        </w:tc>
      </w:tr>
      <w:tr w:rsidR="00DB4521" w14:paraId="3213A4ED" w14:textId="77777777">
        <w:trPr>
          <w:divId w:val="4020290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ACD9C1" w14:textId="77777777" w:rsidR="00751F10" w:rsidRDefault="00751F10">
            <w:pPr>
              <w:pStyle w:val="a5"/>
              <w:rPr>
                <w:rFonts w:hint="eastAsia"/>
              </w:rPr>
            </w:pPr>
            <w:r>
              <w:rPr>
                <w:rFonts w:hint="eastAsia"/>
                <w:kern w:val="2"/>
                <w:sz w:val="21"/>
              </w:rPr>
              <w:t>3.加权平均基金份</w:t>
            </w:r>
            <w:r>
              <w:rPr>
                <w:rFonts w:hint="eastAsia"/>
                <w:kern w:val="2"/>
                <w:sz w:val="21"/>
              </w:rPr>
              <w:lastRenderedPageBreak/>
              <w:t>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2A7B7B" w14:textId="77777777" w:rsidR="00751F10" w:rsidRDefault="00751F10">
            <w:pPr>
              <w:jc w:val="right"/>
            </w:pPr>
            <w:r>
              <w:rPr>
                <w:rFonts w:ascii="宋体" w:hAnsi="宋体" w:hint="eastAsia"/>
                <w:szCs w:val="24"/>
                <w:lang w:eastAsia="zh-Hans"/>
              </w:rPr>
              <w:lastRenderedPageBreak/>
              <w:t>-0.1110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D00AA1" w14:textId="77777777" w:rsidR="00751F10" w:rsidRDefault="00751F10">
            <w:pPr>
              <w:jc w:val="right"/>
            </w:pPr>
            <w:r>
              <w:rPr>
                <w:rFonts w:ascii="宋体" w:hAnsi="宋体" w:hint="eastAsia"/>
                <w:szCs w:val="24"/>
                <w:lang w:eastAsia="zh-Hans"/>
              </w:rPr>
              <w:t>-0.1073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34A060" w14:textId="77777777" w:rsidR="00751F10" w:rsidRDefault="00751F10">
            <w:pPr>
              <w:jc w:val="right"/>
            </w:pPr>
            <w:r>
              <w:rPr>
                <w:rFonts w:ascii="宋体" w:hAnsi="宋体" w:hint="eastAsia"/>
                <w:szCs w:val="24"/>
                <w:lang w:eastAsia="zh-Hans"/>
              </w:rPr>
              <w:t>-0.8101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F94D33" w14:textId="77777777" w:rsidR="00751F10" w:rsidRDefault="00751F10">
            <w:pPr>
              <w:jc w:val="right"/>
            </w:pPr>
            <w:r>
              <w:rPr>
                <w:rFonts w:ascii="宋体" w:hAnsi="宋体" w:hint="eastAsia"/>
                <w:szCs w:val="24"/>
                <w:lang w:eastAsia="zh-Hans"/>
              </w:rPr>
              <w:t>-0.7771</w:t>
            </w:r>
          </w:p>
        </w:tc>
      </w:tr>
      <w:tr w:rsidR="00DB4521" w14:paraId="663AB13E" w14:textId="77777777">
        <w:trPr>
          <w:divId w:val="4020290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AAD444" w14:textId="77777777" w:rsidR="00751F10" w:rsidRDefault="00751F1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9E0912" w14:textId="77777777" w:rsidR="00751F10" w:rsidRDefault="00751F10">
            <w:pPr>
              <w:jc w:val="right"/>
            </w:pPr>
            <w:r>
              <w:rPr>
                <w:rFonts w:ascii="宋体" w:hAnsi="宋体" w:hint="eastAsia"/>
                <w:szCs w:val="24"/>
                <w:lang w:eastAsia="zh-Hans"/>
              </w:rPr>
              <w:t>2,177,654,587.36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CEE59D" w14:textId="77777777" w:rsidR="00751F10" w:rsidRDefault="00751F10">
            <w:pPr>
              <w:jc w:val="right"/>
            </w:pPr>
            <w:r>
              <w:rPr>
                <w:rFonts w:ascii="宋体" w:hAnsi="宋体" w:hint="eastAsia"/>
                <w:szCs w:val="24"/>
                <w:lang w:eastAsia="zh-Hans"/>
              </w:rPr>
              <w:t>894,373,933.82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4B64FF" w14:textId="77777777" w:rsidR="00751F10" w:rsidRDefault="00751F10">
            <w:pPr>
              <w:jc w:val="right"/>
            </w:pPr>
            <w:r>
              <w:rPr>
                <w:rFonts w:ascii="宋体" w:hAnsi="宋体" w:hint="eastAsia"/>
                <w:szCs w:val="24"/>
                <w:lang w:eastAsia="zh-Hans"/>
              </w:rPr>
              <w:t>11,344,105.90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6E3D82" w14:textId="77777777" w:rsidR="00751F10" w:rsidRDefault="00751F10">
            <w:pPr>
              <w:jc w:val="right"/>
            </w:pPr>
            <w:r>
              <w:rPr>
                <w:rFonts w:ascii="宋体" w:hAnsi="宋体" w:hint="eastAsia"/>
                <w:szCs w:val="24"/>
                <w:lang w:eastAsia="zh-Hans"/>
              </w:rPr>
              <w:t>11,341,911.02</w:t>
            </w:r>
          </w:p>
        </w:tc>
      </w:tr>
      <w:tr w:rsidR="00DB4521" w14:paraId="34315096" w14:textId="77777777">
        <w:trPr>
          <w:divId w:val="4020290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AE8298" w14:textId="77777777" w:rsidR="00751F10" w:rsidRDefault="00751F1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D4F0B6" w14:textId="77777777" w:rsidR="00751F10" w:rsidRDefault="00751F10">
            <w:pPr>
              <w:jc w:val="right"/>
            </w:pPr>
            <w:r>
              <w:rPr>
                <w:rFonts w:ascii="宋体" w:hAnsi="宋体" w:hint="eastAsia"/>
                <w:szCs w:val="24"/>
                <w:lang w:eastAsia="zh-Hans"/>
              </w:rPr>
              <w:t>1.4555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235ABF" w14:textId="77777777" w:rsidR="00751F10" w:rsidRDefault="00751F10">
            <w:pPr>
              <w:jc w:val="right"/>
            </w:pPr>
            <w:r>
              <w:rPr>
                <w:rFonts w:ascii="宋体" w:hAnsi="宋体" w:hint="eastAsia"/>
                <w:szCs w:val="24"/>
                <w:lang w:eastAsia="zh-Hans"/>
              </w:rPr>
              <w:t>1.4438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5D290E" w14:textId="76F203F9" w:rsidR="00751F10" w:rsidRDefault="00D1367F">
            <w:pPr>
              <w:jc w:val="right"/>
            </w:pPr>
            <w:r>
              <w:rPr>
                <w:rFonts w:ascii="宋体" w:hAnsi="宋体" w:hint="eastAsia"/>
                <w:szCs w:val="24"/>
                <w:lang w:eastAsia="zh-Hans"/>
              </w:rPr>
              <w:t>1.5032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FCC57F" w14:textId="5AC7FE72" w:rsidR="00751F10" w:rsidRDefault="00D1367F">
            <w:pPr>
              <w:jc w:val="right"/>
            </w:pPr>
            <w:r>
              <w:rPr>
                <w:rFonts w:ascii="宋体" w:hAnsi="宋体" w:hint="eastAsia"/>
                <w:szCs w:val="24"/>
                <w:lang w:eastAsia="zh-Hans"/>
              </w:rPr>
              <w:t>1.4984</w:t>
            </w:r>
          </w:p>
        </w:tc>
      </w:tr>
    </w:tbl>
    <w:p w14:paraId="62ED4DDA" w14:textId="77777777" w:rsidR="00751F10" w:rsidRDefault="00751F10">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4D08959" w14:textId="77777777" w:rsidR="00751F10" w:rsidRDefault="00751F10">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0F31FD6B" w14:textId="77777777" w:rsidR="00751F10" w:rsidRDefault="00751F10">
      <w:pPr>
        <w:pStyle w:val="XBRLTitle3"/>
        <w:spacing w:before="156"/>
        <w:ind w:left="0"/>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0BD39C6F" w14:textId="77777777" w:rsidR="00751F10" w:rsidRDefault="00751F10">
      <w:pPr>
        <w:spacing w:line="360" w:lineRule="auto"/>
        <w:jc w:val="center"/>
        <w:divId w:val="460080245"/>
      </w:pPr>
      <w:r>
        <w:rPr>
          <w:rFonts w:ascii="宋体" w:hAnsi="宋体" w:hint="eastAsia"/>
        </w:rPr>
        <w:t>摩根纳斯达克100指数(QDII)人民币A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521" w14:paraId="616B0774" w14:textId="77777777">
        <w:trPr>
          <w:divId w:val="4600802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250865" w14:textId="77777777" w:rsidR="00751F10" w:rsidRDefault="00751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BFDBC4" w14:textId="77777777" w:rsidR="00751F10" w:rsidRDefault="00751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EB635" w14:textId="77777777" w:rsidR="00751F10" w:rsidRDefault="00751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80FE73" w14:textId="77777777" w:rsidR="00751F10" w:rsidRDefault="00751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AE4A89" w14:textId="77777777" w:rsidR="00751F10" w:rsidRDefault="00751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E2B8E" w14:textId="77777777" w:rsidR="00751F10" w:rsidRDefault="00751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89D2DC" w14:textId="77777777" w:rsidR="00751F10" w:rsidRDefault="00751F10">
            <w:pPr>
              <w:spacing w:line="360" w:lineRule="auto"/>
              <w:jc w:val="center"/>
            </w:pPr>
            <w:r>
              <w:rPr>
                <w:rFonts w:ascii="宋体" w:hAnsi="宋体" w:hint="eastAsia"/>
              </w:rPr>
              <w:t xml:space="preserve">②－④ </w:t>
            </w:r>
          </w:p>
        </w:tc>
      </w:tr>
      <w:tr w:rsidR="00DB4521" w14:paraId="0B4D3E98" w14:textId="77777777">
        <w:trPr>
          <w:divId w:val="4600802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9DC8F" w14:textId="77777777" w:rsidR="00751F10" w:rsidRDefault="00751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F379C" w14:textId="77777777" w:rsidR="00751F10" w:rsidRDefault="00751F10">
            <w:pPr>
              <w:spacing w:line="360" w:lineRule="auto"/>
              <w:jc w:val="right"/>
            </w:pPr>
            <w:r>
              <w:rPr>
                <w:rFonts w:ascii="宋体" w:hAnsi="宋体" w:hint="eastAsia"/>
              </w:rPr>
              <w:t xml:space="preserve">-7.27%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53775"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D70E6" w14:textId="77777777" w:rsidR="00751F10" w:rsidRDefault="00751F10">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108E2"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2EC46E" w14:textId="77777777" w:rsidR="00751F10" w:rsidRDefault="00751F10">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29365" w14:textId="77777777" w:rsidR="00751F10" w:rsidRDefault="00751F10">
            <w:pPr>
              <w:spacing w:line="360" w:lineRule="auto"/>
              <w:jc w:val="right"/>
            </w:pPr>
            <w:r>
              <w:rPr>
                <w:rFonts w:ascii="宋体" w:hAnsi="宋体" w:hint="eastAsia"/>
              </w:rPr>
              <w:t xml:space="preserve">0.00% </w:t>
            </w:r>
          </w:p>
        </w:tc>
      </w:tr>
      <w:tr w:rsidR="00DB4521" w14:paraId="7D12929F" w14:textId="77777777">
        <w:trPr>
          <w:divId w:val="4600802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709D6" w14:textId="77777777" w:rsidR="00751F10" w:rsidRDefault="00751F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12E8E" w14:textId="77777777" w:rsidR="00751F10" w:rsidRDefault="00751F10">
            <w:pPr>
              <w:spacing w:line="360" w:lineRule="auto"/>
              <w:jc w:val="right"/>
            </w:pPr>
            <w:r>
              <w:rPr>
                <w:rFonts w:ascii="宋体" w:hAnsi="宋体" w:hint="eastAsia"/>
              </w:rPr>
              <w:t xml:space="preserve">-5.79%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3F94C" w14:textId="77777777" w:rsidR="00751F10" w:rsidRDefault="00751F1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F87D1" w14:textId="77777777" w:rsidR="00751F10" w:rsidRDefault="00751F10">
            <w:pPr>
              <w:spacing w:line="360" w:lineRule="auto"/>
              <w:jc w:val="right"/>
            </w:pPr>
            <w:r>
              <w:rPr>
                <w:rFonts w:ascii="宋体" w:hAnsi="宋体" w:hint="eastAsia"/>
              </w:rPr>
              <w:t xml:space="preserve">-6.00%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A2109"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F23461" w14:textId="77777777" w:rsidR="00751F10" w:rsidRDefault="00751F10">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04C79" w14:textId="77777777" w:rsidR="00751F10" w:rsidRDefault="00751F10">
            <w:pPr>
              <w:spacing w:line="360" w:lineRule="auto"/>
              <w:jc w:val="right"/>
            </w:pPr>
            <w:r>
              <w:rPr>
                <w:rFonts w:ascii="宋体" w:hAnsi="宋体" w:hint="eastAsia"/>
              </w:rPr>
              <w:t xml:space="preserve">-0.05% </w:t>
            </w:r>
          </w:p>
        </w:tc>
      </w:tr>
      <w:tr w:rsidR="00DB4521" w14:paraId="2AC72BD4" w14:textId="77777777">
        <w:trPr>
          <w:divId w:val="4600802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FE7B4" w14:textId="77777777" w:rsidR="00751F10" w:rsidRDefault="00751F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8CDAA" w14:textId="77777777" w:rsidR="00751F10" w:rsidRDefault="00751F10">
            <w:pPr>
              <w:spacing w:line="360" w:lineRule="auto"/>
              <w:jc w:val="right"/>
            </w:pPr>
            <w:r>
              <w:rPr>
                <w:rFonts w:ascii="宋体" w:hAnsi="宋体" w:hint="eastAsia"/>
              </w:rPr>
              <w:t xml:space="preserve">17.66%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6D478" w14:textId="77777777" w:rsidR="00751F10" w:rsidRDefault="00751F10">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1ADAC" w14:textId="77777777" w:rsidR="00751F10" w:rsidRDefault="00751F10">
            <w:pPr>
              <w:spacing w:line="360" w:lineRule="auto"/>
              <w:jc w:val="right"/>
            </w:pPr>
            <w:r>
              <w:rPr>
                <w:rFonts w:ascii="宋体" w:hAnsi="宋体" w:hint="eastAsia"/>
              </w:rPr>
              <w:t xml:space="preserve">17.79%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09486" w14:textId="77777777" w:rsidR="00751F10" w:rsidRDefault="00751F1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FEA7E1" w14:textId="77777777" w:rsidR="00751F10" w:rsidRDefault="00751F10">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B3C59" w14:textId="77777777" w:rsidR="00751F10" w:rsidRDefault="00751F10">
            <w:pPr>
              <w:spacing w:line="360" w:lineRule="auto"/>
              <w:jc w:val="right"/>
            </w:pPr>
            <w:r>
              <w:rPr>
                <w:rFonts w:ascii="宋体" w:hAnsi="宋体" w:hint="eastAsia"/>
              </w:rPr>
              <w:t xml:space="preserve">-0.02% </w:t>
            </w:r>
          </w:p>
        </w:tc>
      </w:tr>
      <w:tr w:rsidR="00DB4521" w14:paraId="0B1B1071" w14:textId="77777777">
        <w:trPr>
          <w:divId w:val="4600802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9237B" w14:textId="77777777" w:rsidR="00751F10" w:rsidRDefault="00751F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2F9C1" w14:textId="77777777" w:rsidR="00751F10" w:rsidRDefault="00751F10">
            <w:pPr>
              <w:spacing w:line="360" w:lineRule="auto"/>
              <w:jc w:val="right"/>
            </w:pPr>
            <w:r>
              <w:rPr>
                <w:rFonts w:ascii="宋体" w:hAnsi="宋体" w:hint="eastAsia"/>
              </w:rPr>
              <w:t xml:space="preserve">45.55%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43350" w14:textId="77777777" w:rsidR="00751F10" w:rsidRDefault="00751F10">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14181" w14:textId="77777777" w:rsidR="00751F10" w:rsidRDefault="00751F10">
            <w:pPr>
              <w:spacing w:line="360" w:lineRule="auto"/>
              <w:jc w:val="right"/>
            </w:pPr>
            <w:r>
              <w:rPr>
                <w:rFonts w:ascii="宋体" w:hAnsi="宋体" w:hint="eastAsia"/>
              </w:rPr>
              <w:t xml:space="preserve">53.03%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AC99C" w14:textId="77777777" w:rsidR="00751F10" w:rsidRDefault="00751F1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F50DAF" w14:textId="77777777" w:rsidR="00751F10" w:rsidRDefault="00751F10">
            <w:pPr>
              <w:spacing w:line="360" w:lineRule="auto"/>
              <w:jc w:val="right"/>
            </w:pPr>
            <w:r>
              <w:rPr>
                <w:rFonts w:ascii="宋体" w:hAnsi="宋体" w:hint="eastAsia"/>
              </w:rPr>
              <w:t xml:space="preserve">-7.48%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ACC43" w14:textId="77777777" w:rsidR="00751F10" w:rsidRDefault="00751F10">
            <w:pPr>
              <w:spacing w:line="360" w:lineRule="auto"/>
              <w:jc w:val="right"/>
            </w:pPr>
            <w:r>
              <w:rPr>
                <w:rFonts w:ascii="宋体" w:hAnsi="宋体" w:hint="eastAsia"/>
              </w:rPr>
              <w:t xml:space="preserve">-0.01% </w:t>
            </w:r>
          </w:p>
        </w:tc>
      </w:tr>
    </w:tbl>
    <w:p w14:paraId="28527A52" w14:textId="77777777" w:rsidR="00751F10" w:rsidRDefault="00751F10">
      <w:pPr>
        <w:spacing w:line="360" w:lineRule="auto"/>
        <w:jc w:val="center"/>
        <w:divId w:val="685904060"/>
      </w:pPr>
      <w:r>
        <w:rPr>
          <w:rFonts w:ascii="宋体" w:hAnsi="宋体" w:hint="eastAsia"/>
        </w:rPr>
        <w:t>摩根纳斯达克100指数(QDII)人民币C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521" w14:paraId="32995135" w14:textId="77777777">
        <w:trPr>
          <w:divId w:val="6859040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2B6943" w14:textId="77777777" w:rsidR="00751F10" w:rsidRDefault="00751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722880" w14:textId="77777777" w:rsidR="00751F10" w:rsidRDefault="00751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888567" w14:textId="77777777" w:rsidR="00751F10" w:rsidRDefault="00751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727E29" w14:textId="77777777" w:rsidR="00751F10" w:rsidRDefault="00751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5EB826" w14:textId="77777777" w:rsidR="00751F10" w:rsidRDefault="00751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B47B2" w14:textId="77777777" w:rsidR="00751F10" w:rsidRDefault="00751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8A52DB" w14:textId="77777777" w:rsidR="00751F10" w:rsidRDefault="00751F10">
            <w:pPr>
              <w:spacing w:line="360" w:lineRule="auto"/>
              <w:jc w:val="center"/>
            </w:pPr>
            <w:r>
              <w:rPr>
                <w:rFonts w:ascii="宋体" w:hAnsi="宋体" w:hint="eastAsia"/>
              </w:rPr>
              <w:t xml:space="preserve">②－④ </w:t>
            </w:r>
          </w:p>
        </w:tc>
      </w:tr>
      <w:tr w:rsidR="00DB4521" w14:paraId="178A467C" w14:textId="77777777">
        <w:trPr>
          <w:divId w:val="6859040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D3A31" w14:textId="77777777" w:rsidR="00751F10" w:rsidRDefault="00751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E4A45" w14:textId="77777777" w:rsidR="00751F10" w:rsidRDefault="00751F10">
            <w:pPr>
              <w:spacing w:line="360" w:lineRule="auto"/>
              <w:jc w:val="right"/>
            </w:pPr>
            <w:r>
              <w:rPr>
                <w:rFonts w:ascii="宋体" w:hAnsi="宋体" w:hint="eastAsia"/>
              </w:rPr>
              <w:t xml:space="preserve">-7.34%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420C5"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9E807" w14:textId="77777777" w:rsidR="00751F10" w:rsidRDefault="00751F10">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732CF"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D4CFA5" w14:textId="77777777" w:rsidR="00751F10" w:rsidRDefault="00751F10">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EB95F" w14:textId="77777777" w:rsidR="00751F10" w:rsidRDefault="00751F10">
            <w:pPr>
              <w:spacing w:line="360" w:lineRule="auto"/>
              <w:jc w:val="right"/>
            </w:pPr>
            <w:r>
              <w:rPr>
                <w:rFonts w:ascii="宋体" w:hAnsi="宋体" w:hint="eastAsia"/>
              </w:rPr>
              <w:t xml:space="preserve">0.00% </w:t>
            </w:r>
          </w:p>
        </w:tc>
      </w:tr>
      <w:tr w:rsidR="00DB4521" w14:paraId="544BBF3E" w14:textId="77777777">
        <w:trPr>
          <w:divId w:val="6859040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EB5C6" w14:textId="77777777" w:rsidR="00751F10" w:rsidRDefault="00751F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045A5" w14:textId="77777777" w:rsidR="00751F10" w:rsidRDefault="00751F10">
            <w:pPr>
              <w:spacing w:line="360" w:lineRule="auto"/>
              <w:jc w:val="right"/>
            </w:pPr>
            <w:r>
              <w:rPr>
                <w:rFonts w:ascii="宋体" w:hAnsi="宋体" w:hint="eastAsia"/>
              </w:rPr>
              <w:t xml:space="preserve">-5.94%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CA72D" w14:textId="77777777" w:rsidR="00751F10" w:rsidRDefault="00751F1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65A30" w14:textId="77777777" w:rsidR="00751F10" w:rsidRDefault="00751F10">
            <w:pPr>
              <w:spacing w:line="360" w:lineRule="auto"/>
              <w:jc w:val="right"/>
            </w:pPr>
            <w:r>
              <w:rPr>
                <w:rFonts w:ascii="宋体" w:hAnsi="宋体" w:hint="eastAsia"/>
              </w:rPr>
              <w:t xml:space="preserve">-6.00%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ED267"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0AB9FE" w14:textId="77777777" w:rsidR="00751F10" w:rsidRDefault="00751F10">
            <w:pPr>
              <w:spacing w:line="360" w:lineRule="auto"/>
              <w:jc w:val="right"/>
            </w:pPr>
            <w:r>
              <w:rPr>
                <w:rFonts w:ascii="宋体" w:hAnsi="宋体" w:hint="eastAsia"/>
              </w:rPr>
              <w:t xml:space="preserve">0.06%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E39C9" w14:textId="77777777" w:rsidR="00751F10" w:rsidRDefault="00751F10">
            <w:pPr>
              <w:spacing w:line="360" w:lineRule="auto"/>
              <w:jc w:val="right"/>
            </w:pPr>
            <w:r>
              <w:rPr>
                <w:rFonts w:ascii="宋体" w:hAnsi="宋体" w:hint="eastAsia"/>
              </w:rPr>
              <w:t xml:space="preserve">-0.05% </w:t>
            </w:r>
          </w:p>
        </w:tc>
      </w:tr>
      <w:tr w:rsidR="00DB4521" w14:paraId="51DD469E" w14:textId="77777777">
        <w:trPr>
          <w:divId w:val="6859040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484A9" w14:textId="77777777" w:rsidR="00751F10" w:rsidRDefault="00751F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2511D" w14:textId="77777777" w:rsidR="00751F10" w:rsidRDefault="00751F10">
            <w:pPr>
              <w:spacing w:line="360" w:lineRule="auto"/>
              <w:jc w:val="right"/>
            </w:pPr>
            <w:r>
              <w:rPr>
                <w:rFonts w:ascii="宋体" w:hAnsi="宋体" w:hint="eastAsia"/>
              </w:rPr>
              <w:t xml:space="preserve">17.30%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E99FB" w14:textId="77777777" w:rsidR="00751F10" w:rsidRDefault="00751F10">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600DC" w14:textId="77777777" w:rsidR="00751F10" w:rsidRDefault="00751F10">
            <w:pPr>
              <w:spacing w:line="360" w:lineRule="auto"/>
              <w:jc w:val="right"/>
            </w:pPr>
            <w:r>
              <w:rPr>
                <w:rFonts w:ascii="宋体" w:hAnsi="宋体" w:hint="eastAsia"/>
              </w:rPr>
              <w:t xml:space="preserve">17.79%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BC720" w14:textId="77777777" w:rsidR="00751F10" w:rsidRDefault="00751F1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92C9E0" w14:textId="77777777" w:rsidR="00751F10" w:rsidRDefault="00751F10">
            <w:pPr>
              <w:spacing w:line="360" w:lineRule="auto"/>
              <w:jc w:val="right"/>
            </w:pPr>
            <w:r>
              <w:rPr>
                <w:rFonts w:ascii="宋体" w:hAnsi="宋体" w:hint="eastAsia"/>
              </w:rPr>
              <w:t xml:space="preserve">-0.49%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77982" w14:textId="77777777" w:rsidR="00751F10" w:rsidRDefault="00751F10">
            <w:pPr>
              <w:spacing w:line="360" w:lineRule="auto"/>
              <w:jc w:val="right"/>
            </w:pPr>
            <w:r>
              <w:rPr>
                <w:rFonts w:ascii="宋体" w:hAnsi="宋体" w:hint="eastAsia"/>
              </w:rPr>
              <w:t xml:space="preserve">-0.02% </w:t>
            </w:r>
          </w:p>
        </w:tc>
      </w:tr>
      <w:tr w:rsidR="00DB4521" w14:paraId="0EEC666B" w14:textId="77777777">
        <w:trPr>
          <w:divId w:val="6859040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B05CC" w14:textId="77777777" w:rsidR="00751F10" w:rsidRDefault="00751F10">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A3A40" w14:textId="77777777" w:rsidR="00751F10" w:rsidRDefault="00751F10">
            <w:pPr>
              <w:spacing w:line="360" w:lineRule="auto"/>
              <w:jc w:val="right"/>
            </w:pPr>
            <w:r>
              <w:rPr>
                <w:rFonts w:ascii="宋体" w:hAnsi="宋体" w:hint="eastAsia"/>
              </w:rPr>
              <w:lastRenderedPageBreak/>
              <w:t xml:space="preserve">44.38%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98C9C" w14:textId="77777777" w:rsidR="00751F10" w:rsidRDefault="00751F10">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3EA9B" w14:textId="77777777" w:rsidR="00751F10" w:rsidRDefault="00751F10">
            <w:pPr>
              <w:spacing w:line="360" w:lineRule="auto"/>
              <w:jc w:val="right"/>
            </w:pPr>
            <w:r>
              <w:rPr>
                <w:rFonts w:ascii="宋体" w:hAnsi="宋体" w:hint="eastAsia"/>
              </w:rPr>
              <w:t xml:space="preserve">53.03%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BFD0C" w14:textId="77777777" w:rsidR="00751F10" w:rsidRDefault="00751F1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B78CCD" w14:textId="77777777" w:rsidR="00751F10" w:rsidRDefault="00751F10">
            <w:pPr>
              <w:spacing w:line="360" w:lineRule="auto"/>
              <w:jc w:val="right"/>
            </w:pPr>
            <w:r>
              <w:rPr>
                <w:rFonts w:ascii="宋体" w:hAnsi="宋体" w:hint="eastAsia"/>
              </w:rPr>
              <w:t xml:space="preserve">-8.65%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16D57" w14:textId="77777777" w:rsidR="00751F10" w:rsidRDefault="00751F10">
            <w:pPr>
              <w:spacing w:line="360" w:lineRule="auto"/>
              <w:jc w:val="right"/>
            </w:pPr>
            <w:r>
              <w:rPr>
                <w:rFonts w:ascii="宋体" w:hAnsi="宋体" w:hint="eastAsia"/>
              </w:rPr>
              <w:t xml:space="preserve">-0.01% </w:t>
            </w:r>
          </w:p>
        </w:tc>
      </w:tr>
    </w:tbl>
    <w:p w14:paraId="1E21D91C" w14:textId="77777777" w:rsidR="00751F10" w:rsidRDefault="00751F10">
      <w:pPr>
        <w:spacing w:line="360" w:lineRule="auto"/>
        <w:jc w:val="center"/>
        <w:divId w:val="1386442797"/>
      </w:pPr>
      <w:r>
        <w:rPr>
          <w:rFonts w:ascii="宋体" w:hAnsi="宋体" w:hint="eastAsia"/>
        </w:rPr>
        <w:t>摩根纳斯达克100指数(QDII)美元A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521" w14:paraId="37FB02B1" w14:textId="77777777">
        <w:trPr>
          <w:divId w:val="138644279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92D088" w14:textId="77777777" w:rsidR="00751F10" w:rsidRDefault="00751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569E38" w14:textId="77777777" w:rsidR="00751F10" w:rsidRDefault="00751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006F48" w14:textId="77777777" w:rsidR="00751F10" w:rsidRDefault="00751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BA0C0E" w14:textId="77777777" w:rsidR="00751F10" w:rsidRDefault="00751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D38F8" w14:textId="77777777" w:rsidR="00751F10" w:rsidRDefault="00751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F71A9" w14:textId="77777777" w:rsidR="00751F10" w:rsidRDefault="00751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284C11" w14:textId="77777777" w:rsidR="00751F10" w:rsidRDefault="00751F10">
            <w:pPr>
              <w:spacing w:line="360" w:lineRule="auto"/>
              <w:jc w:val="center"/>
            </w:pPr>
            <w:r>
              <w:rPr>
                <w:rFonts w:ascii="宋体" w:hAnsi="宋体" w:hint="eastAsia"/>
              </w:rPr>
              <w:t xml:space="preserve">②－④ </w:t>
            </w:r>
          </w:p>
        </w:tc>
      </w:tr>
      <w:tr w:rsidR="00DB4521" w14:paraId="77483CDC" w14:textId="77777777">
        <w:trPr>
          <w:divId w:val="13864427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303F6" w14:textId="77777777" w:rsidR="00751F10" w:rsidRDefault="00751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BCF09" w14:textId="77777777" w:rsidR="00751F10" w:rsidRDefault="00751F10">
            <w:pPr>
              <w:spacing w:line="360" w:lineRule="auto"/>
              <w:jc w:val="right"/>
            </w:pPr>
            <w:r>
              <w:rPr>
                <w:rFonts w:ascii="宋体" w:hAnsi="宋体" w:hint="eastAsia"/>
              </w:rPr>
              <w:t xml:space="preserve">-5.80%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23780"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82249" w14:textId="77777777" w:rsidR="00751F10" w:rsidRDefault="00751F10">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81CDD"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C83C07" w14:textId="77777777" w:rsidR="00751F10" w:rsidRDefault="00751F10">
            <w:pPr>
              <w:spacing w:line="360" w:lineRule="auto"/>
              <w:jc w:val="right"/>
            </w:pPr>
            <w:r>
              <w:rPr>
                <w:rFonts w:ascii="宋体" w:hAnsi="宋体" w:hint="eastAsia"/>
              </w:rPr>
              <w:t xml:space="preserve">1.27%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3A831" w14:textId="77777777" w:rsidR="00751F10" w:rsidRDefault="00751F10">
            <w:pPr>
              <w:spacing w:line="360" w:lineRule="auto"/>
              <w:jc w:val="right"/>
            </w:pPr>
            <w:r>
              <w:rPr>
                <w:rFonts w:ascii="宋体" w:hAnsi="宋体" w:hint="eastAsia"/>
              </w:rPr>
              <w:t xml:space="preserve">-0.01% </w:t>
            </w:r>
          </w:p>
        </w:tc>
      </w:tr>
      <w:tr w:rsidR="00DB4521" w14:paraId="5F3F3652" w14:textId="77777777">
        <w:trPr>
          <w:divId w:val="13864427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3B4B1" w14:textId="77777777" w:rsidR="00751F10" w:rsidRDefault="00751F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7AC04" w14:textId="77777777" w:rsidR="00751F10" w:rsidRDefault="00751F10">
            <w:pPr>
              <w:spacing w:line="360" w:lineRule="auto"/>
              <w:jc w:val="right"/>
            </w:pPr>
            <w:r>
              <w:rPr>
                <w:rFonts w:ascii="宋体" w:hAnsi="宋体" w:hint="eastAsia"/>
              </w:rPr>
              <w:t xml:space="preserve">-3.26%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ED464" w14:textId="77777777" w:rsidR="00751F10" w:rsidRDefault="00751F1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6F05A" w14:textId="77777777" w:rsidR="00751F10" w:rsidRDefault="00751F10">
            <w:pPr>
              <w:spacing w:line="360" w:lineRule="auto"/>
              <w:jc w:val="right"/>
            </w:pPr>
            <w:r>
              <w:rPr>
                <w:rFonts w:ascii="宋体" w:hAnsi="宋体" w:hint="eastAsia"/>
              </w:rPr>
              <w:t xml:space="preserve">-6.00%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F4F03"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070746" w14:textId="77777777" w:rsidR="00751F10" w:rsidRDefault="00751F10">
            <w:pPr>
              <w:spacing w:line="360" w:lineRule="auto"/>
              <w:jc w:val="right"/>
            </w:pPr>
            <w:r>
              <w:rPr>
                <w:rFonts w:ascii="宋体" w:hAnsi="宋体" w:hint="eastAsia"/>
              </w:rPr>
              <w:t xml:space="preserve">2.74%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EE976" w14:textId="77777777" w:rsidR="00751F10" w:rsidRDefault="00751F10">
            <w:pPr>
              <w:spacing w:line="360" w:lineRule="auto"/>
              <w:jc w:val="right"/>
            </w:pPr>
            <w:r>
              <w:rPr>
                <w:rFonts w:ascii="宋体" w:hAnsi="宋体" w:hint="eastAsia"/>
              </w:rPr>
              <w:t xml:space="preserve">-0.06% </w:t>
            </w:r>
          </w:p>
        </w:tc>
      </w:tr>
      <w:tr w:rsidR="00DB4521" w14:paraId="6AA32D3F" w14:textId="77777777">
        <w:trPr>
          <w:divId w:val="13864427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3DB8E" w14:textId="77777777" w:rsidR="00751F10" w:rsidRDefault="00751F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AA269" w14:textId="77777777" w:rsidR="00751F10" w:rsidRDefault="00751F10">
            <w:pPr>
              <w:spacing w:line="360" w:lineRule="auto"/>
              <w:jc w:val="right"/>
            </w:pPr>
            <w:r>
              <w:rPr>
                <w:rFonts w:ascii="宋体" w:hAnsi="宋体" w:hint="eastAsia"/>
              </w:rPr>
              <w:t xml:space="preserve">21.54%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58F74" w14:textId="77777777" w:rsidR="00751F10" w:rsidRDefault="00751F10">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D31FA" w14:textId="77777777" w:rsidR="00751F10" w:rsidRDefault="00751F10">
            <w:pPr>
              <w:spacing w:line="360" w:lineRule="auto"/>
              <w:jc w:val="right"/>
            </w:pPr>
            <w:r>
              <w:rPr>
                <w:rFonts w:ascii="宋体" w:hAnsi="宋体" w:hint="eastAsia"/>
              </w:rPr>
              <w:t xml:space="preserve">17.79%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31FAE" w14:textId="77777777" w:rsidR="00751F10" w:rsidRDefault="00751F1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C34A94" w14:textId="77777777" w:rsidR="00751F10" w:rsidRDefault="00751F10">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0C6B0" w14:textId="77777777" w:rsidR="00751F10" w:rsidRDefault="00751F10">
            <w:pPr>
              <w:spacing w:line="360" w:lineRule="auto"/>
              <w:jc w:val="right"/>
            </w:pPr>
            <w:r>
              <w:rPr>
                <w:rFonts w:ascii="宋体" w:hAnsi="宋体" w:hint="eastAsia"/>
              </w:rPr>
              <w:t xml:space="preserve">-0.01% </w:t>
            </w:r>
          </w:p>
        </w:tc>
      </w:tr>
      <w:tr w:rsidR="00DB4521" w14:paraId="0BAF9737" w14:textId="77777777">
        <w:trPr>
          <w:divId w:val="13864427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BBC88" w14:textId="77777777" w:rsidR="00751F10" w:rsidRDefault="00751F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C5D70" w14:textId="77777777" w:rsidR="00751F10" w:rsidRDefault="00751F10">
            <w:pPr>
              <w:spacing w:line="360" w:lineRule="auto"/>
              <w:jc w:val="right"/>
            </w:pPr>
            <w:r>
              <w:rPr>
                <w:rFonts w:ascii="宋体" w:hAnsi="宋体" w:hint="eastAsia"/>
              </w:rPr>
              <w:t xml:space="preserve">50.32%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955B9" w14:textId="77777777" w:rsidR="00751F10" w:rsidRDefault="00751F10">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A715A" w14:textId="77777777" w:rsidR="00751F10" w:rsidRDefault="00751F10">
            <w:pPr>
              <w:spacing w:line="360" w:lineRule="auto"/>
              <w:jc w:val="right"/>
            </w:pPr>
            <w:r>
              <w:rPr>
                <w:rFonts w:ascii="宋体" w:hAnsi="宋体" w:hint="eastAsia"/>
              </w:rPr>
              <w:t xml:space="preserve">53.03%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B46B1" w14:textId="77777777" w:rsidR="00751F10" w:rsidRDefault="00751F1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03A23B" w14:textId="77777777" w:rsidR="00751F10" w:rsidRDefault="00751F10">
            <w:pPr>
              <w:spacing w:line="360" w:lineRule="auto"/>
              <w:jc w:val="right"/>
            </w:pPr>
            <w:r>
              <w:rPr>
                <w:rFonts w:ascii="宋体" w:hAnsi="宋体" w:hint="eastAsia"/>
              </w:rPr>
              <w:t xml:space="preserve">-2.71%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39889" w14:textId="77777777" w:rsidR="00751F10" w:rsidRDefault="00751F10">
            <w:pPr>
              <w:spacing w:line="360" w:lineRule="auto"/>
              <w:jc w:val="right"/>
            </w:pPr>
            <w:r>
              <w:rPr>
                <w:rFonts w:ascii="宋体" w:hAnsi="宋体" w:hint="eastAsia"/>
              </w:rPr>
              <w:t xml:space="preserve">-0.01% </w:t>
            </w:r>
          </w:p>
        </w:tc>
      </w:tr>
    </w:tbl>
    <w:p w14:paraId="6A48CB7B" w14:textId="77777777" w:rsidR="00751F10" w:rsidRDefault="00751F10">
      <w:pPr>
        <w:spacing w:line="360" w:lineRule="auto"/>
        <w:jc w:val="center"/>
        <w:divId w:val="1674533252"/>
      </w:pPr>
      <w:r>
        <w:rPr>
          <w:rFonts w:ascii="宋体" w:hAnsi="宋体" w:hint="eastAsia"/>
        </w:rPr>
        <w:t>摩根纳斯达克100指数(QDII)美元C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B4521" w14:paraId="354B66A3" w14:textId="77777777">
        <w:trPr>
          <w:divId w:val="16745332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B317DC" w14:textId="77777777" w:rsidR="00751F10" w:rsidRDefault="00751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A71529" w14:textId="77777777" w:rsidR="00751F10" w:rsidRDefault="00751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E38F40" w14:textId="77777777" w:rsidR="00751F10" w:rsidRDefault="00751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FB5D6C" w14:textId="77777777" w:rsidR="00751F10" w:rsidRDefault="00751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3BC38A" w14:textId="77777777" w:rsidR="00751F10" w:rsidRDefault="00751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94DA9" w14:textId="77777777" w:rsidR="00751F10" w:rsidRDefault="00751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B54601" w14:textId="77777777" w:rsidR="00751F10" w:rsidRDefault="00751F10">
            <w:pPr>
              <w:spacing w:line="360" w:lineRule="auto"/>
              <w:jc w:val="center"/>
            </w:pPr>
            <w:r>
              <w:rPr>
                <w:rFonts w:ascii="宋体" w:hAnsi="宋体" w:hint="eastAsia"/>
              </w:rPr>
              <w:t xml:space="preserve">②－④ </w:t>
            </w:r>
          </w:p>
        </w:tc>
      </w:tr>
      <w:tr w:rsidR="00DB4521" w14:paraId="16E4498D" w14:textId="77777777">
        <w:trPr>
          <w:divId w:val="1674533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D3FA0" w14:textId="77777777" w:rsidR="00751F10" w:rsidRDefault="00751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B0BF" w14:textId="77777777" w:rsidR="00751F10" w:rsidRDefault="00751F10">
            <w:pPr>
              <w:spacing w:line="360" w:lineRule="auto"/>
              <w:jc w:val="right"/>
            </w:pPr>
            <w:r>
              <w:rPr>
                <w:rFonts w:ascii="宋体" w:hAnsi="宋体" w:hint="eastAsia"/>
              </w:rPr>
              <w:t xml:space="preserve">-5.87%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F5E23"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B3AE2" w14:textId="77777777" w:rsidR="00751F10" w:rsidRDefault="00751F10">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EC599" w14:textId="77777777" w:rsidR="00751F10" w:rsidRDefault="00751F10">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8F3BB9" w14:textId="77777777" w:rsidR="00751F10" w:rsidRDefault="00751F10">
            <w:pPr>
              <w:spacing w:line="360" w:lineRule="auto"/>
              <w:jc w:val="right"/>
            </w:pPr>
            <w:r>
              <w:rPr>
                <w:rFonts w:ascii="宋体" w:hAnsi="宋体" w:hint="eastAsia"/>
              </w:rPr>
              <w:t xml:space="preserve">1.20%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30A70" w14:textId="77777777" w:rsidR="00751F10" w:rsidRDefault="00751F10">
            <w:pPr>
              <w:spacing w:line="360" w:lineRule="auto"/>
              <w:jc w:val="right"/>
            </w:pPr>
            <w:r>
              <w:rPr>
                <w:rFonts w:ascii="宋体" w:hAnsi="宋体" w:hint="eastAsia"/>
              </w:rPr>
              <w:t xml:space="preserve">-0.01% </w:t>
            </w:r>
          </w:p>
        </w:tc>
      </w:tr>
      <w:tr w:rsidR="00DB4521" w14:paraId="004EA106" w14:textId="77777777">
        <w:trPr>
          <w:divId w:val="1674533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6580D" w14:textId="77777777" w:rsidR="00751F10" w:rsidRDefault="00751F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CBC8B" w14:textId="77777777" w:rsidR="00751F10" w:rsidRDefault="00751F10">
            <w:pPr>
              <w:spacing w:line="360" w:lineRule="auto"/>
              <w:jc w:val="right"/>
            </w:pPr>
            <w:r>
              <w:rPr>
                <w:rFonts w:ascii="宋体" w:hAnsi="宋体" w:hint="eastAsia"/>
              </w:rPr>
              <w:t xml:space="preserve">-3.40%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A07D2" w14:textId="77777777" w:rsidR="00751F10" w:rsidRDefault="00751F1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AEFB5" w14:textId="77777777" w:rsidR="00751F10" w:rsidRDefault="00751F10">
            <w:pPr>
              <w:spacing w:line="360" w:lineRule="auto"/>
              <w:jc w:val="right"/>
            </w:pPr>
            <w:r>
              <w:rPr>
                <w:rFonts w:ascii="宋体" w:hAnsi="宋体" w:hint="eastAsia"/>
              </w:rPr>
              <w:t xml:space="preserve">-6.00%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AEC95" w14:textId="77777777" w:rsidR="00751F10" w:rsidRDefault="00751F10">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A31DAB" w14:textId="77777777" w:rsidR="00751F10" w:rsidRDefault="00751F10">
            <w:pPr>
              <w:spacing w:line="360" w:lineRule="auto"/>
              <w:jc w:val="right"/>
            </w:pPr>
            <w:r>
              <w:rPr>
                <w:rFonts w:ascii="宋体" w:hAnsi="宋体" w:hint="eastAsia"/>
              </w:rPr>
              <w:t xml:space="preserve">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6079B" w14:textId="77777777" w:rsidR="00751F10" w:rsidRDefault="00751F10">
            <w:pPr>
              <w:spacing w:line="360" w:lineRule="auto"/>
              <w:jc w:val="right"/>
            </w:pPr>
            <w:r>
              <w:rPr>
                <w:rFonts w:ascii="宋体" w:hAnsi="宋体" w:hint="eastAsia"/>
              </w:rPr>
              <w:t xml:space="preserve">-0.06% </w:t>
            </w:r>
          </w:p>
        </w:tc>
      </w:tr>
      <w:tr w:rsidR="00DB4521" w14:paraId="11C54A0D" w14:textId="77777777">
        <w:trPr>
          <w:divId w:val="1674533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4233E" w14:textId="77777777" w:rsidR="00751F10" w:rsidRDefault="00751F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8E6FA" w14:textId="77777777" w:rsidR="00751F10" w:rsidRDefault="00751F10">
            <w:pPr>
              <w:spacing w:line="360" w:lineRule="auto"/>
              <w:jc w:val="right"/>
            </w:pPr>
            <w:r>
              <w:rPr>
                <w:rFonts w:ascii="宋体" w:hAnsi="宋体" w:hint="eastAsia"/>
              </w:rPr>
              <w:t xml:space="preserve">21.71%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1EACD" w14:textId="77777777" w:rsidR="00751F10" w:rsidRDefault="00751F10">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9761E" w14:textId="77777777" w:rsidR="00751F10" w:rsidRDefault="00751F10">
            <w:pPr>
              <w:spacing w:line="360" w:lineRule="auto"/>
              <w:jc w:val="right"/>
            </w:pPr>
            <w:r>
              <w:rPr>
                <w:rFonts w:ascii="宋体" w:hAnsi="宋体" w:hint="eastAsia"/>
              </w:rPr>
              <w:t xml:space="preserve">17.79%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526D9" w14:textId="77777777" w:rsidR="00751F10" w:rsidRDefault="00751F1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D05DC1" w14:textId="77777777" w:rsidR="00751F10" w:rsidRDefault="00751F10">
            <w:pPr>
              <w:spacing w:line="360" w:lineRule="auto"/>
              <w:jc w:val="right"/>
            </w:pPr>
            <w:r>
              <w:rPr>
                <w:rFonts w:ascii="宋体" w:hAnsi="宋体" w:hint="eastAsia"/>
              </w:rPr>
              <w:t xml:space="preserve">3.92%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95F9A" w14:textId="77777777" w:rsidR="00751F10" w:rsidRDefault="00751F10">
            <w:pPr>
              <w:spacing w:line="360" w:lineRule="auto"/>
              <w:jc w:val="right"/>
            </w:pPr>
            <w:r>
              <w:rPr>
                <w:rFonts w:ascii="宋体" w:hAnsi="宋体" w:hint="eastAsia"/>
              </w:rPr>
              <w:t xml:space="preserve">-0.02% </w:t>
            </w:r>
          </w:p>
        </w:tc>
      </w:tr>
      <w:tr w:rsidR="00DB4521" w14:paraId="12460CBB" w14:textId="77777777">
        <w:trPr>
          <w:divId w:val="1674533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6838D" w14:textId="77777777" w:rsidR="00751F10" w:rsidRDefault="00751F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1A637" w14:textId="77777777" w:rsidR="00751F10" w:rsidRDefault="00751F10">
            <w:pPr>
              <w:spacing w:line="360" w:lineRule="auto"/>
              <w:jc w:val="right"/>
            </w:pPr>
            <w:r>
              <w:rPr>
                <w:rFonts w:ascii="宋体" w:hAnsi="宋体" w:hint="eastAsia"/>
              </w:rPr>
              <w:t xml:space="preserve">49.84%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27EB3" w14:textId="77777777" w:rsidR="00751F10" w:rsidRDefault="00751F10">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3501B" w14:textId="77777777" w:rsidR="00751F10" w:rsidRDefault="00751F10">
            <w:pPr>
              <w:spacing w:line="360" w:lineRule="auto"/>
              <w:jc w:val="right"/>
            </w:pPr>
            <w:r>
              <w:rPr>
                <w:rFonts w:ascii="宋体" w:hAnsi="宋体" w:hint="eastAsia"/>
              </w:rPr>
              <w:t xml:space="preserve">53.03%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4BC54" w14:textId="77777777" w:rsidR="00751F10" w:rsidRDefault="00751F1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89B5E8" w14:textId="77777777" w:rsidR="00751F10" w:rsidRDefault="00751F10">
            <w:pPr>
              <w:spacing w:line="360" w:lineRule="auto"/>
              <w:jc w:val="right"/>
            </w:pPr>
            <w:r>
              <w:rPr>
                <w:rFonts w:ascii="宋体" w:hAnsi="宋体" w:hint="eastAsia"/>
              </w:rPr>
              <w:t xml:space="preserve">-3.19%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48BDA" w14:textId="77777777" w:rsidR="00751F10" w:rsidRDefault="00751F10">
            <w:pPr>
              <w:spacing w:line="360" w:lineRule="auto"/>
              <w:jc w:val="right"/>
            </w:pPr>
            <w:r>
              <w:rPr>
                <w:rFonts w:ascii="宋体" w:hAnsi="宋体" w:hint="eastAsia"/>
              </w:rPr>
              <w:t xml:space="preserve">-0.02% </w:t>
            </w:r>
          </w:p>
        </w:tc>
      </w:tr>
    </w:tbl>
    <w:p w14:paraId="24630FF1" w14:textId="77777777" w:rsidR="00751F10" w:rsidRDefault="00751F10">
      <w:pPr>
        <w:pStyle w:val="XBRLTitle3"/>
        <w:spacing w:before="156"/>
        <w:ind w:left="0"/>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2B56B26E" w14:textId="77777777" w:rsidR="00D4091E" w:rsidRDefault="00D4091E" w:rsidP="00D4091E">
      <w:pPr>
        <w:pStyle w:val="XBRLTitle1"/>
        <w:numPr>
          <w:ilvl w:val="0"/>
          <w:numId w:val="0"/>
        </w:numPr>
        <w:spacing w:before="156" w:line="360" w:lineRule="auto"/>
        <w:jc w:val="left"/>
        <w:divId w:val="934551898"/>
        <w:rPr>
          <w:rFonts w:hint="eastAsia"/>
        </w:rPr>
      </w:pPr>
      <w:bookmarkStart w:id="52" w:name="m07_04_07_09_tab"/>
      <w:bookmarkStart w:id="53" w:name="m07_04_07_09"/>
      <w:bookmarkStart w:id="54" w:name="m01_01"/>
      <w:r>
        <w:rPr>
          <w:rFonts w:hint="eastAsia"/>
          <w:noProof/>
        </w:rPr>
        <w:lastRenderedPageBreak/>
        <w:drawing>
          <wp:inline distT="0" distB="0" distL="0" distR="0" wp14:anchorId="7846D996" wp14:editId="51164D25">
            <wp:extent cx="5226050" cy="3009900"/>
            <wp:effectExtent l="0" t="0" r="0" b="0"/>
            <wp:docPr id="1911257792" name="图片 191125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807DEE8" w14:textId="77777777" w:rsidR="00D4091E" w:rsidRDefault="00D4091E" w:rsidP="00D4091E">
      <w:pPr>
        <w:pStyle w:val="XBRLTitle1"/>
        <w:numPr>
          <w:ilvl w:val="0"/>
          <w:numId w:val="0"/>
        </w:numPr>
        <w:spacing w:before="156" w:line="360" w:lineRule="auto"/>
        <w:jc w:val="left"/>
        <w:divId w:val="934551898"/>
        <w:rPr>
          <w:rFonts w:hint="eastAsia"/>
        </w:rPr>
      </w:pPr>
      <w:r>
        <w:rPr>
          <w:rFonts w:hint="eastAsia"/>
          <w:noProof/>
        </w:rPr>
        <w:drawing>
          <wp:inline distT="0" distB="0" distL="0" distR="0" wp14:anchorId="5F9A75CE" wp14:editId="43A65938">
            <wp:extent cx="5226050" cy="3009900"/>
            <wp:effectExtent l="0" t="0" r="0" b="0"/>
            <wp:docPr id="1378383758" name="图片 137838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0FF45EC" w14:textId="77777777" w:rsidR="00D4091E" w:rsidRDefault="00D4091E" w:rsidP="00D4091E">
      <w:pPr>
        <w:pStyle w:val="XBRLTitle1"/>
        <w:numPr>
          <w:ilvl w:val="0"/>
          <w:numId w:val="0"/>
        </w:numPr>
        <w:spacing w:before="156" w:line="360" w:lineRule="auto"/>
        <w:jc w:val="left"/>
        <w:divId w:val="934551898"/>
        <w:rPr>
          <w:rFonts w:hint="eastAsia"/>
        </w:rPr>
      </w:pPr>
      <w:r>
        <w:rPr>
          <w:rFonts w:hint="eastAsia"/>
          <w:noProof/>
        </w:rPr>
        <w:lastRenderedPageBreak/>
        <w:drawing>
          <wp:inline distT="0" distB="0" distL="0" distR="0" wp14:anchorId="5FB99D12" wp14:editId="6ECBB2AC">
            <wp:extent cx="5226050" cy="3009900"/>
            <wp:effectExtent l="0" t="0" r="0" b="0"/>
            <wp:docPr id="1652232023" name="图片 165223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989E7D" w14:textId="1C0D33F3" w:rsidR="00751F10" w:rsidRDefault="00D4091E">
      <w:pPr>
        <w:spacing w:line="360" w:lineRule="auto"/>
        <w:jc w:val="left"/>
        <w:divId w:val="912158796"/>
      </w:pPr>
      <w:r>
        <w:rPr>
          <w:rFonts w:ascii="宋体" w:hAnsi="宋体" w:hint="eastAsia"/>
          <w:noProof/>
          <w:kern w:val="44"/>
          <w:sz w:val="28"/>
          <w:szCs w:val="44"/>
          <w:lang w:val="x-none" w:eastAsia="x-none"/>
        </w:rPr>
        <w:drawing>
          <wp:inline distT="0" distB="0" distL="0" distR="0" wp14:anchorId="17926959" wp14:editId="66E02E5B">
            <wp:extent cx="5226050" cy="3009900"/>
            <wp:effectExtent l="0" t="0" r="0" b="0"/>
            <wp:docPr id="1584438956" name="图片 158443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204CF0A" w14:textId="77777777" w:rsidR="00751F10" w:rsidRDefault="00751F10">
      <w:pPr>
        <w:spacing w:line="360" w:lineRule="auto"/>
      </w:pPr>
      <w:r>
        <w:rPr>
          <w:rFonts w:ascii="宋体" w:hAnsi="宋体" w:hint="eastAsia"/>
        </w:rPr>
        <w:t>注：</w:t>
      </w:r>
      <w:r>
        <w:rPr>
          <w:rFonts w:ascii="宋体" w:hAnsi="宋体" w:hint="eastAsia"/>
          <w:lang w:eastAsia="zh-Hans"/>
        </w:rPr>
        <w:t>本基金合同生效日为2023年9月25日，图示的时间段为合同生效日至本报告期末。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6D87A439" w14:textId="77777777" w:rsidR="00751F10" w:rsidRDefault="00751F10">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07B406A3" w14:textId="77777777" w:rsidR="00751F10" w:rsidRDefault="00751F10">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B4521" w14:paraId="02B76DDE" w14:textId="77777777">
        <w:trPr>
          <w:divId w:val="8533461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F4C4C" w14:textId="77777777" w:rsidR="00751F10" w:rsidRDefault="00751F10">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EB21C" w14:textId="77777777" w:rsidR="00751F10" w:rsidRDefault="00751F1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3C658" w14:textId="77777777" w:rsidR="00751F10" w:rsidRDefault="00751F1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D0692" w14:textId="77777777" w:rsidR="00751F10" w:rsidRDefault="00751F1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1D865" w14:textId="77777777" w:rsidR="00751F10" w:rsidRDefault="00751F1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B4521" w14:paraId="04AB2674" w14:textId="77777777">
        <w:trPr>
          <w:divId w:val="8533461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E8296" w14:textId="77777777" w:rsidR="00751F10" w:rsidRDefault="00751F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4A364" w14:textId="77777777" w:rsidR="00751F10" w:rsidRDefault="00751F1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CF736" w14:textId="77777777" w:rsidR="00751F10" w:rsidRDefault="00751F1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4C22F" w14:textId="77777777" w:rsidR="00751F10" w:rsidRDefault="00751F1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A70BE" w14:textId="77777777" w:rsidR="00751F10" w:rsidRDefault="00751F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429FA" w14:textId="77777777" w:rsidR="00751F10" w:rsidRDefault="00751F10">
            <w:pPr>
              <w:widowControl/>
              <w:jc w:val="left"/>
            </w:pPr>
          </w:p>
        </w:tc>
      </w:tr>
      <w:tr w:rsidR="00DB4521" w14:paraId="719F7BBF" w14:textId="77777777">
        <w:trPr>
          <w:divId w:val="8533461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EE052" w14:textId="77777777" w:rsidR="00751F10" w:rsidRDefault="00751F10">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07BC3" w14:textId="77777777" w:rsidR="00751F10" w:rsidRDefault="00751F1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8B6BD" w14:textId="77777777" w:rsidR="00751F10" w:rsidRDefault="00751F10">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754C3" w14:textId="77777777" w:rsidR="00751F10" w:rsidRDefault="00751F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BB074" w14:textId="77777777" w:rsidR="00751F10" w:rsidRDefault="00751F10">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D3679" w14:textId="77777777" w:rsidR="00751F10" w:rsidRDefault="00751F10">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bl>
    <w:p w14:paraId="0E5B4CA5" w14:textId="77777777" w:rsidR="00751F10" w:rsidRDefault="00751F10">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F980BF7" w14:textId="77777777" w:rsidR="00751F10" w:rsidRDefault="00751F10">
      <w:pPr>
        <w:pStyle w:val="XBRLTitle2"/>
        <w:spacing w:before="156" w:line="360" w:lineRule="auto"/>
        <w:ind w:left="454"/>
        <w:rPr>
          <w:rFonts w:hint="eastAsia"/>
        </w:rPr>
      </w:pPr>
      <w:bookmarkStart w:id="75" w:name="m402"/>
      <w:bookmarkStart w:id="76" w:name="_Toc459213772"/>
      <w:bookmarkStart w:id="77" w:name="_Toc456107126"/>
      <w:bookmarkStart w:id="78" w:name="_Toc438654080"/>
      <w:bookmarkStart w:id="79" w:name="_Toc448480292"/>
      <w:bookmarkStart w:id="80" w:name="_Toc480465423"/>
      <w:bookmarkStart w:id="81" w:name="_Toc512611289"/>
      <w:bookmarkStart w:id="82" w:name="_Toc512612085"/>
      <w:bookmarkStart w:id="83" w:name="_Toc512612261"/>
      <w:bookmarkStart w:id="84" w:name="_Toc513658015"/>
      <w:bookmarkStart w:id="85" w:name="_Toc514178677"/>
      <w:bookmarkStart w:id="86" w:name="m403"/>
      <w:bookmarkEnd w:id="75"/>
      <w:proofErr w:type="spellStart"/>
      <w:r>
        <w:rPr>
          <w:rFonts w:hint="eastAsia"/>
        </w:rPr>
        <w:t>报告期内本基金运作遵规守信情况说明</w:t>
      </w:r>
      <w:bookmarkEnd w:id="76"/>
      <w:bookmarkEnd w:id="77"/>
      <w:bookmarkEnd w:id="78"/>
      <w:bookmarkEnd w:id="79"/>
      <w:bookmarkEnd w:id="80"/>
      <w:bookmarkEnd w:id="81"/>
      <w:bookmarkEnd w:id="82"/>
      <w:bookmarkEnd w:id="83"/>
      <w:bookmarkEnd w:id="84"/>
      <w:bookmarkEnd w:id="85"/>
      <w:proofErr w:type="spellEnd"/>
      <w:r>
        <w:rPr>
          <w:rFonts w:hint="eastAsia"/>
        </w:rPr>
        <w:t xml:space="preserve"> </w:t>
      </w:r>
    </w:p>
    <w:p w14:paraId="670FDB25" w14:textId="77777777" w:rsidR="00751F10" w:rsidRDefault="00751F10">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6657012B" w14:textId="77777777" w:rsidR="00751F10" w:rsidRDefault="00751F10">
      <w:pPr>
        <w:pStyle w:val="XBRLTitle2"/>
        <w:spacing w:before="156" w:line="360" w:lineRule="auto"/>
        <w:ind w:left="454"/>
        <w:rPr>
          <w:rFonts w:hint="eastAsia"/>
        </w:rPr>
      </w:pPr>
      <w:bookmarkStart w:id="87" w:name="_Toc459213773"/>
      <w:bookmarkStart w:id="88" w:name="_Toc456107127"/>
      <w:bookmarkStart w:id="89" w:name="_Toc438654081"/>
      <w:bookmarkStart w:id="90" w:name="_Toc448480293"/>
      <w:bookmarkStart w:id="91" w:name="_Toc480465424"/>
      <w:bookmarkStart w:id="92" w:name="_Toc512611290"/>
      <w:bookmarkStart w:id="93" w:name="_Toc512612086"/>
      <w:bookmarkStart w:id="94" w:name="_Toc512612262"/>
      <w:bookmarkStart w:id="95" w:name="_Toc513658016"/>
      <w:bookmarkStart w:id="96" w:name="_Toc514178678"/>
      <w:bookmarkEnd w:id="86"/>
      <w:proofErr w:type="spellStart"/>
      <w:r>
        <w:rPr>
          <w:rFonts w:hint="eastAsia"/>
        </w:rPr>
        <w:t>公平交易专项说明</w:t>
      </w:r>
      <w:bookmarkEnd w:id="87"/>
      <w:bookmarkEnd w:id="88"/>
      <w:bookmarkEnd w:id="89"/>
      <w:bookmarkEnd w:id="90"/>
      <w:bookmarkEnd w:id="91"/>
      <w:bookmarkEnd w:id="92"/>
      <w:bookmarkEnd w:id="93"/>
      <w:bookmarkEnd w:id="94"/>
      <w:bookmarkEnd w:id="95"/>
      <w:bookmarkEnd w:id="96"/>
      <w:proofErr w:type="spellEnd"/>
      <w:r>
        <w:rPr>
          <w:rFonts w:hint="eastAsia"/>
        </w:rPr>
        <w:t xml:space="preserve"> </w:t>
      </w:r>
    </w:p>
    <w:p w14:paraId="32D4A996" w14:textId="77777777" w:rsidR="00751F10" w:rsidRDefault="00751F10">
      <w:pPr>
        <w:pStyle w:val="XBRLTitle3"/>
        <w:spacing w:before="156"/>
        <w:ind w:left="0"/>
        <w:rPr>
          <w:rFonts w:hint="eastAsia"/>
        </w:rPr>
      </w:pPr>
      <w:bookmarkStart w:id="97" w:name="_Toc513658017"/>
      <w:bookmarkStart w:id="98" w:name="_Toc514178679"/>
      <w:bookmarkStart w:id="99" w:name="_Toc480465425"/>
      <w:bookmarkStart w:id="100" w:name="m404_01_0570"/>
      <w:proofErr w:type="spellStart"/>
      <w:r>
        <w:rPr>
          <w:rFonts w:hint="eastAsia"/>
        </w:rPr>
        <w:t>公平交易制度的执行情况</w:t>
      </w:r>
      <w:bookmarkEnd w:id="97"/>
      <w:bookmarkEnd w:id="98"/>
      <w:proofErr w:type="spellEnd"/>
    </w:p>
    <w:p w14:paraId="237AA69A" w14:textId="77777777" w:rsidR="00751F10" w:rsidRDefault="00751F1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35623E2" w14:textId="77777777" w:rsidR="00751F10" w:rsidRDefault="00751F10">
      <w:pPr>
        <w:pStyle w:val="XBRLTitle3"/>
        <w:spacing w:before="156"/>
        <w:ind w:left="0"/>
        <w:rPr>
          <w:rFonts w:hint="eastAsia"/>
        </w:rPr>
      </w:pPr>
      <w:bookmarkStart w:id="101" w:name="_Toc513658018"/>
      <w:bookmarkStart w:id="102" w:name="_Toc514178680"/>
      <w:bookmarkStart w:id="103" w:name="_Toc480465426"/>
      <w:bookmarkStart w:id="104" w:name="m404_01_0578"/>
      <w:proofErr w:type="spellStart"/>
      <w:r>
        <w:rPr>
          <w:rFonts w:hint="eastAsia"/>
        </w:rPr>
        <w:t>异常交易行为的专项说明</w:t>
      </w:r>
      <w:bookmarkEnd w:id="101"/>
      <w:bookmarkEnd w:id="102"/>
      <w:proofErr w:type="spellEnd"/>
    </w:p>
    <w:p w14:paraId="0AAB68F3" w14:textId="77777777" w:rsidR="00751F10" w:rsidRDefault="00751F1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r>
      <w:r>
        <w:rPr>
          <w:rFonts w:ascii="宋体" w:hAnsi="宋体" w:cs="宋体" w:hint="eastAsia"/>
          <w:color w:val="000000"/>
          <w:kern w:val="0"/>
        </w:rPr>
        <w:lastRenderedPageBreak/>
        <w:t xml:space="preserve">　　本报告期内，未发现本基金有可能导致不公平交易和利益输送的异常交易。</w:t>
      </w:r>
    </w:p>
    <w:p w14:paraId="6CE5EF91" w14:textId="77777777" w:rsidR="00751F10" w:rsidRDefault="00751F10">
      <w:pPr>
        <w:pStyle w:val="XBRLTitle2"/>
        <w:spacing w:before="156" w:line="360" w:lineRule="auto"/>
        <w:ind w:left="454"/>
        <w:rPr>
          <w:rFonts w:hint="eastAsia"/>
        </w:rPr>
      </w:pPr>
      <w:bookmarkStart w:id="105" w:name="_Toc459213774"/>
      <w:bookmarkStart w:id="106" w:name="_Toc456107128"/>
      <w:bookmarkStart w:id="107" w:name="_Toc438654082"/>
      <w:bookmarkStart w:id="108" w:name="_Toc448480294"/>
      <w:bookmarkStart w:id="109" w:name="_Toc480465427"/>
      <w:bookmarkStart w:id="110" w:name="_Toc512611291"/>
      <w:bookmarkStart w:id="111" w:name="_Toc512612087"/>
      <w:bookmarkStart w:id="112" w:name="_Toc512612263"/>
      <w:bookmarkStart w:id="113" w:name="_Toc513658019"/>
      <w:bookmarkStart w:id="114" w:name="_Toc514178681"/>
      <w:proofErr w:type="spellStart"/>
      <w:r>
        <w:rPr>
          <w:rFonts w:hint="eastAsia"/>
        </w:rPr>
        <w:t>报告期内基金的投资策略和业绩表现说明</w:t>
      </w:r>
      <w:bookmarkEnd w:id="105"/>
      <w:bookmarkEnd w:id="106"/>
      <w:bookmarkEnd w:id="107"/>
      <w:bookmarkEnd w:id="108"/>
      <w:bookmarkEnd w:id="109"/>
      <w:bookmarkEnd w:id="110"/>
      <w:bookmarkEnd w:id="111"/>
      <w:bookmarkEnd w:id="112"/>
      <w:bookmarkEnd w:id="113"/>
      <w:bookmarkEnd w:id="114"/>
      <w:proofErr w:type="spellEnd"/>
      <w:r>
        <w:rPr>
          <w:rFonts w:hint="eastAsia"/>
        </w:rPr>
        <w:t xml:space="preserve"> </w:t>
      </w:r>
    </w:p>
    <w:p w14:paraId="4C247DD8" w14:textId="77777777" w:rsidR="00751F10" w:rsidRDefault="00751F10">
      <w:pPr>
        <w:pStyle w:val="XBRLTitle3"/>
        <w:spacing w:before="156"/>
        <w:ind w:left="0"/>
        <w:rPr>
          <w:rFonts w:hint="eastAsia"/>
        </w:rPr>
      </w:pPr>
      <w:bookmarkStart w:id="115" w:name="_Toc51408825711"/>
      <w:bookmarkStart w:id="116" w:name="_Toc513542656"/>
      <w:proofErr w:type="spellStart"/>
      <w:r>
        <w:rPr>
          <w:rFonts w:hint="eastAsia"/>
        </w:rPr>
        <w:t>报告期内基金投资策略和运作分析</w:t>
      </w:r>
      <w:bookmarkEnd w:id="99"/>
      <w:bookmarkEnd w:id="115"/>
      <w:bookmarkEnd w:id="116"/>
      <w:proofErr w:type="spellEnd"/>
      <w:r>
        <w:rPr>
          <w:rFonts w:hint="eastAsia"/>
        </w:rPr>
        <w:t xml:space="preserve"> </w:t>
      </w:r>
    </w:p>
    <w:p w14:paraId="2EFC9E2A" w14:textId="77777777" w:rsidR="00751F10" w:rsidRDefault="00751F10">
      <w:pPr>
        <w:spacing w:line="360" w:lineRule="auto"/>
        <w:ind w:firstLineChars="200" w:firstLine="420"/>
        <w:divId w:val="44261372"/>
      </w:pPr>
      <w:r>
        <w:rPr>
          <w:rFonts w:ascii="宋体" w:hAnsi="宋体" w:hint="eastAsia"/>
          <w:color w:val="000000"/>
          <w:kern w:val="0"/>
          <w:szCs w:val="21"/>
          <w:lang w:eastAsia="zh-Hans"/>
        </w:rPr>
        <w:t>2026年一季度，纳斯达克100指数（NDX）震荡下行，季度累计下跌5.98%，市场波动明显加大。行情回撤背后，一方面是AI投入回报预期分化引发的科技股估值重定价，软件、半导体板块首当其冲；另一方面，关税与中东局势带来的通胀压力持续压制降息预期，资金阶段性撤离高估值成长股，进一步放大了指数的调整幅度。</w:t>
      </w:r>
      <w:r>
        <w:rPr>
          <w:rFonts w:ascii="宋体" w:hAnsi="宋体" w:hint="eastAsia"/>
          <w:color w:val="000000"/>
          <w:kern w:val="0"/>
          <w:szCs w:val="21"/>
          <w:lang w:eastAsia="zh-Hans"/>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hint="eastAsia"/>
          <w:color w:val="000000"/>
          <w:kern w:val="0"/>
          <w:szCs w:val="21"/>
          <w:lang w:eastAsia="zh-Hans"/>
        </w:rPr>
        <w:br/>
        <w:t xml:space="preserve">　　展望未来，宏观层面，油价高企带来的通胀压力已使美联储降息窗口明显推后，关税政策走向仍存不确定性，两者叠加构成纳斯达克100指数短期估值扩张的主要约束。产业层面，AI投入回报预期的分化是核心变量：若商业落地进展加快，有望重燃市场信心；若回报兑现低于预期，则科技股估值仍将承压。中长期看，AI从基础设施建设向应用层渗透的趋势未变，相关板块有望成为指数修复的主要驱动力。</w:t>
      </w:r>
      <w:r>
        <w:rPr>
          <w:rFonts w:ascii="宋体" w:hAnsi="宋体" w:hint="eastAsia"/>
          <w:color w:val="000000"/>
          <w:kern w:val="0"/>
          <w:sz w:val="24"/>
        </w:rPr>
        <w:t xml:space="preserve"> </w:t>
      </w:r>
      <w:bookmarkEnd w:id="54"/>
    </w:p>
    <w:p w14:paraId="2C4C6ACE" w14:textId="77777777" w:rsidR="00751F10" w:rsidRDefault="00751F10">
      <w:pPr>
        <w:pStyle w:val="XBRLTitle3"/>
        <w:spacing w:before="156"/>
        <w:ind w:left="0"/>
        <w:rPr>
          <w:rFonts w:hint="eastAsia"/>
        </w:rPr>
      </w:pPr>
      <w:bookmarkStart w:id="117" w:name="_Toc51408825712"/>
      <w:bookmarkStart w:id="118" w:name="_Toc513542657"/>
      <w:bookmarkEnd w:id="100"/>
      <w:proofErr w:type="spellStart"/>
      <w:r>
        <w:rPr>
          <w:rFonts w:hint="eastAsia"/>
        </w:rPr>
        <w:t>报告期内基金的业绩表现</w:t>
      </w:r>
      <w:bookmarkEnd w:id="103"/>
      <w:bookmarkEnd w:id="117"/>
      <w:bookmarkEnd w:id="118"/>
      <w:proofErr w:type="spellEnd"/>
      <w:r>
        <w:rPr>
          <w:rFonts w:hint="eastAsia"/>
        </w:rPr>
        <w:t xml:space="preserve"> </w:t>
      </w:r>
    </w:p>
    <w:p w14:paraId="0AAA277F" w14:textId="77777777" w:rsidR="00751F10" w:rsidRDefault="00751F10">
      <w:pPr>
        <w:spacing w:line="360" w:lineRule="auto"/>
        <w:ind w:firstLineChars="200" w:firstLine="420"/>
        <w:jc w:val="left"/>
      </w:pPr>
      <w:r>
        <w:rPr>
          <w:rFonts w:ascii="宋体" w:hAnsi="宋体" w:cs="宋体" w:hint="eastAsia"/>
          <w:color w:val="000000"/>
          <w:kern w:val="0"/>
        </w:rPr>
        <w:t>本报告期摩根纳斯达克100指数(QDII)人民币A份额净值增长率为：-7.27%，同期业绩比较基准收益率为：-7.07%；</w:t>
      </w:r>
      <w:r>
        <w:rPr>
          <w:rFonts w:ascii="宋体" w:hAnsi="宋体" w:cs="宋体" w:hint="eastAsia"/>
          <w:color w:val="000000"/>
          <w:kern w:val="0"/>
        </w:rPr>
        <w:br/>
        <w:t xml:space="preserve">　　摩根纳斯达克100指数(QDII)人民币C份额净值增长率为：-7.34%，同期业绩比较基准收益率为：-7.07%；</w:t>
      </w:r>
      <w:r>
        <w:rPr>
          <w:rFonts w:ascii="宋体" w:hAnsi="宋体" w:cs="宋体" w:hint="eastAsia"/>
          <w:color w:val="000000"/>
          <w:kern w:val="0"/>
        </w:rPr>
        <w:br/>
        <w:t xml:space="preserve">　　摩根纳斯达克100指数(QDII)美元A份额净值增长率为：-5.80%，同期业绩比较基准收益率为：-7.07%；</w:t>
      </w:r>
      <w:r>
        <w:rPr>
          <w:rFonts w:ascii="宋体" w:hAnsi="宋体" w:cs="宋体" w:hint="eastAsia"/>
          <w:color w:val="000000"/>
          <w:kern w:val="0"/>
        </w:rPr>
        <w:br/>
        <w:t xml:space="preserve">　　摩根纳斯达克100指数(QDII)美元C份额净值增长率为：-5.87%，同期业绩比较基准收益率为：-7.07%。</w:t>
      </w:r>
      <w:bookmarkEnd w:id="104"/>
    </w:p>
    <w:p w14:paraId="3CB9F1A1" w14:textId="77777777" w:rsidR="00751F10" w:rsidRDefault="00751F10">
      <w:pPr>
        <w:pStyle w:val="XBRLTitle2"/>
        <w:spacing w:before="156" w:line="360" w:lineRule="auto"/>
        <w:ind w:left="454"/>
        <w:rPr>
          <w:rFonts w:hint="eastAsia"/>
        </w:rPr>
      </w:pPr>
      <w:bookmarkStart w:id="119" w:name="m405_01_2550"/>
      <w:bookmarkStart w:id="120" w:name="_Toc459213775"/>
      <w:bookmarkStart w:id="121" w:name="_Toc456107129"/>
      <w:bookmarkStart w:id="122" w:name="_Toc438654084"/>
      <w:bookmarkStart w:id="123" w:name="_Toc448480296"/>
      <w:bookmarkStart w:id="124" w:name="_Toc480465430"/>
      <w:bookmarkStart w:id="125" w:name="_Toc512611292"/>
      <w:bookmarkStart w:id="126" w:name="_Toc512612088"/>
      <w:bookmarkStart w:id="127" w:name="_Toc512612264"/>
      <w:bookmarkStart w:id="128" w:name="_Toc513658020"/>
      <w:bookmarkStart w:id="129" w:name="_Toc514178682"/>
      <w:bookmarkStart w:id="130" w:name="m407"/>
      <w:bookmarkEnd w:id="119"/>
      <w:proofErr w:type="spellStart"/>
      <w:r>
        <w:rPr>
          <w:rFonts w:hint="eastAsia"/>
        </w:rPr>
        <w:t>报告期内基金持有人数或基金资产净值预警说明</w:t>
      </w:r>
      <w:bookmarkEnd w:id="120"/>
      <w:bookmarkEnd w:id="121"/>
      <w:bookmarkEnd w:id="122"/>
      <w:bookmarkEnd w:id="123"/>
      <w:bookmarkEnd w:id="124"/>
      <w:bookmarkEnd w:id="125"/>
      <w:bookmarkEnd w:id="126"/>
      <w:bookmarkEnd w:id="127"/>
      <w:bookmarkEnd w:id="128"/>
      <w:bookmarkEnd w:id="129"/>
      <w:proofErr w:type="spellEnd"/>
      <w:r>
        <w:rPr>
          <w:rFonts w:hint="eastAsia"/>
        </w:rPr>
        <w:t xml:space="preserve"> </w:t>
      </w:r>
    </w:p>
    <w:p w14:paraId="447773B2" w14:textId="77777777" w:rsidR="00751F10" w:rsidRDefault="00751F10">
      <w:pPr>
        <w:spacing w:line="360" w:lineRule="auto"/>
        <w:ind w:firstLineChars="200" w:firstLine="420"/>
        <w:jc w:val="left"/>
      </w:pPr>
      <w:r>
        <w:rPr>
          <w:rFonts w:ascii="宋体" w:hAnsi="宋体" w:hint="eastAsia"/>
        </w:rPr>
        <w:t>无。</w:t>
      </w:r>
    </w:p>
    <w:p w14:paraId="359E5512" w14:textId="77777777" w:rsidR="00751F10" w:rsidRDefault="00751F10">
      <w:pPr>
        <w:pStyle w:val="XBRLTitle1"/>
        <w:spacing w:before="156" w:line="360" w:lineRule="auto"/>
        <w:ind w:left="425"/>
        <w:rPr>
          <w:rFonts w:hint="eastAsia"/>
        </w:rPr>
      </w:pPr>
      <w:bookmarkStart w:id="131" w:name="_Toc514178683"/>
      <w:bookmarkEnd w:id="130"/>
      <w:proofErr w:type="spellStart"/>
      <w:r>
        <w:rPr>
          <w:rFonts w:hint="eastAsia"/>
        </w:rPr>
        <w:t>投资组合报告</w:t>
      </w:r>
      <w:bookmarkEnd w:id="70"/>
      <w:bookmarkEnd w:id="71"/>
      <w:bookmarkEnd w:id="72"/>
      <w:bookmarkEnd w:id="73"/>
      <w:bookmarkEnd w:id="131"/>
      <w:proofErr w:type="spellEnd"/>
      <w:r>
        <w:rPr>
          <w:rFonts w:hint="eastAsia"/>
        </w:rPr>
        <w:t xml:space="preserve"> </w:t>
      </w:r>
    </w:p>
    <w:p w14:paraId="1632727A" w14:textId="77777777" w:rsidR="00751F10" w:rsidRDefault="00751F10">
      <w:pPr>
        <w:pStyle w:val="XBRLTitle2"/>
        <w:spacing w:before="156" w:line="360" w:lineRule="auto"/>
        <w:ind w:left="454"/>
        <w:rPr>
          <w:rFonts w:hint="eastAsia"/>
        </w:rPr>
      </w:pPr>
      <w:bookmarkStart w:id="132" w:name="_Toc459213777"/>
      <w:bookmarkStart w:id="133" w:name="_Toc456107131"/>
      <w:bookmarkStart w:id="134" w:name="_Toc438654086"/>
      <w:bookmarkStart w:id="135" w:name="_Toc448480298"/>
      <w:bookmarkStart w:id="136" w:name="_Toc480465432"/>
      <w:bookmarkStart w:id="137" w:name="_Toc514178684"/>
      <w:bookmarkStart w:id="138" w:name="_Toc512611294"/>
      <w:bookmarkStart w:id="139" w:name="_Toc512612090"/>
      <w:bookmarkStart w:id="140" w:name="_Toc512612266"/>
      <w:bookmarkStart w:id="141" w:name="_Toc513658022"/>
      <w:bookmarkStart w:id="142" w:name="m501"/>
      <w:bookmarkStart w:id="143" w:name="_Toc490050042"/>
      <w:bookmarkStart w:id="144" w:name="_Toc438646477"/>
      <w:bookmarkStart w:id="145" w:name="_Toc481075089"/>
      <w:bookmarkStart w:id="146" w:name="_Toc512519521"/>
      <w:bookmarkStart w:id="147" w:name="m601"/>
      <w:proofErr w:type="spellStart"/>
      <w:r>
        <w:rPr>
          <w:rFonts w:hint="eastAsia"/>
        </w:rPr>
        <w:t>报告期末基金资产组合情况</w:t>
      </w:r>
      <w:bookmarkEnd w:id="132"/>
      <w:bookmarkEnd w:id="133"/>
      <w:bookmarkEnd w:id="134"/>
      <w:bookmarkEnd w:id="135"/>
      <w:bookmarkEnd w:id="136"/>
      <w:bookmarkEnd w:id="137"/>
      <w:proofErr w:type="spellEnd"/>
      <w:r>
        <w:rPr>
          <w:rFonts w:hint="eastAsia"/>
        </w:rPr>
        <w:t xml:space="preserve"> </w:t>
      </w:r>
      <w:bookmarkEnd w:id="138"/>
      <w:bookmarkEnd w:id="139"/>
      <w:bookmarkEnd w:id="140"/>
      <w:bookmarkEnd w:id="14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DB4521" w14:paraId="26763972"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5E6B1E" w14:textId="77777777" w:rsidR="00751F10" w:rsidRDefault="00751F10">
            <w:pPr>
              <w:jc w:val="center"/>
            </w:pPr>
            <w:bookmarkStart w:id="148" w:name="m08QD_01_tab"/>
            <w:bookmarkStart w:id="149" w:name="OLE_LINK46"/>
            <w:bookmarkStart w:id="150" w:name="OLE_LINK45"/>
            <w:bookmarkStart w:id="151" w:name="OLE_LINK42"/>
            <w:bookmarkStart w:id="152" w:name="OLE_LINK41"/>
            <w:bookmarkEnd w:id="148"/>
            <w:r>
              <w:rPr>
                <w:rFonts w:ascii="宋体" w:hAnsi="宋体" w:hint="eastAsia"/>
                <w:color w:val="000000"/>
              </w:rPr>
              <w:lastRenderedPageBreak/>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49402B99" w14:textId="77777777" w:rsidR="00751F10" w:rsidRDefault="00751F10">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DD57449" w14:textId="77777777" w:rsidR="00751F10" w:rsidRDefault="00751F10">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40DAD6FB" w14:textId="77777777" w:rsidR="00751F10" w:rsidRDefault="00751F1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B4521" w14:paraId="0760DF0B"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869139" w14:textId="77777777" w:rsidR="00751F10" w:rsidRDefault="00751F10">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657E0422" w14:textId="77777777" w:rsidR="00751F10" w:rsidRDefault="00751F1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E7170AF" w14:textId="77777777" w:rsidR="00751F10" w:rsidRDefault="00751F10">
            <w:pPr>
              <w:jc w:val="right"/>
            </w:pPr>
            <w:r>
              <w:rPr>
                <w:rFonts w:ascii="宋体" w:hAnsi="宋体" w:hint="eastAsia"/>
                <w:szCs w:val="24"/>
                <w:lang w:eastAsia="zh-Hans"/>
              </w:rPr>
              <w:t>2,950,017,862.14</w:t>
            </w:r>
          </w:p>
        </w:tc>
        <w:tc>
          <w:tcPr>
            <w:tcW w:w="2373" w:type="dxa"/>
            <w:tcBorders>
              <w:top w:val="single" w:sz="4" w:space="0" w:color="auto"/>
              <w:left w:val="nil"/>
              <w:bottom w:val="single" w:sz="4" w:space="0" w:color="auto"/>
              <w:right w:val="single" w:sz="4" w:space="0" w:color="auto"/>
            </w:tcBorders>
            <w:vAlign w:val="center"/>
            <w:hideMark/>
          </w:tcPr>
          <w:p w14:paraId="50FCA55E" w14:textId="77777777" w:rsidR="00751F10" w:rsidRDefault="00751F10">
            <w:pPr>
              <w:jc w:val="right"/>
            </w:pPr>
            <w:r>
              <w:rPr>
                <w:rFonts w:ascii="宋体" w:hAnsi="宋体" w:hint="eastAsia"/>
                <w:szCs w:val="24"/>
                <w:lang w:eastAsia="zh-Hans"/>
              </w:rPr>
              <w:t>94.06</w:t>
            </w:r>
          </w:p>
        </w:tc>
      </w:tr>
      <w:tr w:rsidR="00DB4521" w14:paraId="25D93FA9"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595EF2"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9C3B5D" w14:textId="77777777" w:rsidR="00751F10" w:rsidRDefault="00751F10">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9E2346" w14:textId="77777777" w:rsidR="00751F10" w:rsidRDefault="00751F10">
            <w:pPr>
              <w:jc w:val="right"/>
            </w:pPr>
            <w:r>
              <w:rPr>
                <w:rFonts w:ascii="宋体" w:hAnsi="宋体" w:hint="eastAsia"/>
                <w:szCs w:val="24"/>
                <w:lang w:eastAsia="zh-Hans"/>
              </w:rPr>
              <w:t>2,915,696,862.47</w:t>
            </w:r>
          </w:p>
        </w:tc>
        <w:tc>
          <w:tcPr>
            <w:tcW w:w="2373" w:type="dxa"/>
            <w:tcBorders>
              <w:top w:val="single" w:sz="4" w:space="0" w:color="auto"/>
              <w:left w:val="nil"/>
              <w:bottom w:val="single" w:sz="4" w:space="0" w:color="auto"/>
              <w:right w:val="single" w:sz="4" w:space="0" w:color="auto"/>
            </w:tcBorders>
            <w:vAlign w:val="center"/>
            <w:hideMark/>
          </w:tcPr>
          <w:p w14:paraId="4ABBE8A8" w14:textId="77777777" w:rsidR="00751F10" w:rsidRDefault="00751F10">
            <w:pPr>
              <w:jc w:val="right"/>
            </w:pPr>
            <w:r>
              <w:rPr>
                <w:rFonts w:ascii="宋体" w:hAnsi="宋体" w:hint="eastAsia"/>
                <w:szCs w:val="24"/>
                <w:lang w:eastAsia="zh-Hans"/>
              </w:rPr>
              <w:t>92.96</w:t>
            </w:r>
          </w:p>
        </w:tc>
      </w:tr>
      <w:tr w:rsidR="00DB4521" w14:paraId="4EF0AF72"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6C0CF0"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E392529" w14:textId="77777777" w:rsidR="00751F10" w:rsidRDefault="00751F10">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5364CC"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4EA3D9" w14:textId="77777777" w:rsidR="00751F10" w:rsidRDefault="00751F10">
            <w:pPr>
              <w:jc w:val="right"/>
            </w:pPr>
            <w:r>
              <w:rPr>
                <w:rFonts w:ascii="宋体" w:hAnsi="宋体" w:hint="eastAsia"/>
                <w:szCs w:val="24"/>
                <w:lang w:eastAsia="zh-Hans"/>
              </w:rPr>
              <w:t>-</w:t>
            </w:r>
          </w:p>
        </w:tc>
      </w:tr>
      <w:tr w:rsidR="00DB4521" w14:paraId="53C5355A"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878CAC"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52C5750" w14:textId="77777777" w:rsidR="00751F10" w:rsidRDefault="00751F10">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1E4DB7" w14:textId="77777777" w:rsidR="00751F10" w:rsidRDefault="00751F10">
            <w:pPr>
              <w:jc w:val="right"/>
            </w:pPr>
            <w:r>
              <w:rPr>
                <w:rFonts w:ascii="宋体" w:hAnsi="宋体" w:hint="eastAsia"/>
                <w:szCs w:val="24"/>
                <w:lang w:eastAsia="zh-Hans"/>
              </w:rPr>
              <w:t>34,320,999.67</w:t>
            </w:r>
          </w:p>
        </w:tc>
        <w:tc>
          <w:tcPr>
            <w:tcW w:w="2373" w:type="dxa"/>
            <w:tcBorders>
              <w:top w:val="single" w:sz="4" w:space="0" w:color="auto"/>
              <w:left w:val="nil"/>
              <w:bottom w:val="single" w:sz="4" w:space="0" w:color="auto"/>
              <w:right w:val="single" w:sz="4" w:space="0" w:color="auto"/>
            </w:tcBorders>
            <w:vAlign w:val="center"/>
            <w:hideMark/>
          </w:tcPr>
          <w:p w14:paraId="7298320E" w14:textId="77777777" w:rsidR="00751F10" w:rsidRDefault="00751F10">
            <w:pPr>
              <w:jc w:val="right"/>
            </w:pPr>
            <w:r>
              <w:rPr>
                <w:rFonts w:ascii="宋体" w:hAnsi="宋体" w:hint="eastAsia"/>
                <w:szCs w:val="24"/>
                <w:lang w:eastAsia="zh-Hans"/>
              </w:rPr>
              <w:t>1.09</w:t>
            </w:r>
          </w:p>
        </w:tc>
      </w:tr>
      <w:tr w:rsidR="00DB4521" w14:paraId="3B05D349"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F9C97AF"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573F42F" w14:textId="77777777" w:rsidR="00751F10" w:rsidRDefault="00751F10">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6B803A"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322D9AF" w14:textId="77777777" w:rsidR="00751F10" w:rsidRDefault="00751F10">
            <w:pPr>
              <w:jc w:val="right"/>
            </w:pPr>
            <w:r>
              <w:rPr>
                <w:rFonts w:ascii="宋体" w:hAnsi="宋体" w:hint="eastAsia"/>
                <w:szCs w:val="24"/>
                <w:lang w:eastAsia="zh-Hans"/>
              </w:rPr>
              <w:t>-</w:t>
            </w:r>
          </w:p>
        </w:tc>
      </w:tr>
      <w:tr w:rsidR="00DB4521" w14:paraId="79E84385"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8760A6" w14:textId="77777777" w:rsidR="00751F10" w:rsidRDefault="00751F10">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993A4F0" w14:textId="77777777" w:rsidR="00751F10" w:rsidRDefault="00751F1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2B3C7F"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5BC752F" w14:textId="77777777" w:rsidR="00751F10" w:rsidRDefault="00751F10">
            <w:pPr>
              <w:jc w:val="right"/>
            </w:pPr>
            <w:r>
              <w:rPr>
                <w:rFonts w:ascii="宋体" w:hAnsi="宋体" w:hint="eastAsia"/>
                <w:szCs w:val="24"/>
                <w:lang w:eastAsia="zh-Hans"/>
              </w:rPr>
              <w:t>-</w:t>
            </w:r>
          </w:p>
        </w:tc>
      </w:tr>
      <w:tr w:rsidR="00DB4521" w14:paraId="1BD895B7"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733D68" w14:textId="77777777" w:rsidR="00751F10" w:rsidRDefault="00751F10">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0607A703" w14:textId="77777777" w:rsidR="00751F10" w:rsidRDefault="00751F1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9EC49A"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BE92FB8" w14:textId="77777777" w:rsidR="00751F10" w:rsidRDefault="00751F10">
            <w:pPr>
              <w:jc w:val="right"/>
            </w:pPr>
            <w:r>
              <w:rPr>
                <w:rFonts w:ascii="宋体" w:hAnsi="宋体" w:hint="eastAsia"/>
                <w:szCs w:val="24"/>
                <w:lang w:eastAsia="zh-Hans"/>
              </w:rPr>
              <w:t>-</w:t>
            </w:r>
          </w:p>
        </w:tc>
      </w:tr>
      <w:tr w:rsidR="00DB4521" w14:paraId="7FF18482"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F44839"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C839C21" w14:textId="77777777" w:rsidR="00751F10" w:rsidRDefault="00751F1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098DA2"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98B4C0E" w14:textId="77777777" w:rsidR="00751F10" w:rsidRDefault="00751F10">
            <w:pPr>
              <w:jc w:val="right"/>
            </w:pPr>
            <w:r>
              <w:rPr>
                <w:rFonts w:ascii="宋体" w:hAnsi="宋体" w:hint="eastAsia"/>
                <w:szCs w:val="24"/>
                <w:lang w:eastAsia="zh-Hans"/>
              </w:rPr>
              <w:t>-</w:t>
            </w:r>
          </w:p>
        </w:tc>
      </w:tr>
      <w:tr w:rsidR="00DB4521" w14:paraId="2915B884"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755DBE"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49A3F3C" w14:textId="77777777" w:rsidR="00751F10" w:rsidRDefault="00751F10">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C7881FE"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61FB2A9" w14:textId="77777777" w:rsidR="00751F10" w:rsidRDefault="00751F10">
            <w:pPr>
              <w:jc w:val="right"/>
            </w:pPr>
            <w:r>
              <w:rPr>
                <w:rFonts w:ascii="宋体" w:hAnsi="宋体" w:hint="eastAsia"/>
                <w:szCs w:val="24"/>
                <w:lang w:eastAsia="zh-Hans"/>
              </w:rPr>
              <w:t>-</w:t>
            </w:r>
          </w:p>
        </w:tc>
      </w:tr>
      <w:tr w:rsidR="00DB4521" w14:paraId="03A51FEA"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1545F7E" w14:textId="77777777" w:rsidR="00751F10" w:rsidRDefault="00751F10">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5CE03FCF" w14:textId="77777777" w:rsidR="00751F10" w:rsidRDefault="00751F1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FCDCA4"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CA93D64" w14:textId="77777777" w:rsidR="00751F10" w:rsidRDefault="00751F10">
            <w:pPr>
              <w:jc w:val="right"/>
            </w:pPr>
            <w:r>
              <w:rPr>
                <w:rFonts w:ascii="宋体" w:hAnsi="宋体" w:hint="eastAsia"/>
                <w:szCs w:val="24"/>
                <w:lang w:eastAsia="zh-Hans"/>
              </w:rPr>
              <w:t>-</w:t>
            </w:r>
          </w:p>
        </w:tc>
      </w:tr>
      <w:tr w:rsidR="00DB4521" w14:paraId="35D9AD95"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0C60DC6"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90B66DA" w14:textId="77777777" w:rsidR="00751F10" w:rsidRDefault="00751F10">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575B833"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02851DF" w14:textId="77777777" w:rsidR="00751F10" w:rsidRDefault="00751F10">
            <w:pPr>
              <w:jc w:val="right"/>
            </w:pPr>
            <w:r>
              <w:rPr>
                <w:rFonts w:ascii="宋体" w:hAnsi="宋体" w:hint="eastAsia"/>
                <w:szCs w:val="24"/>
                <w:lang w:eastAsia="zh-Hans"/>
              </w:rPr>
              <w:t>-</w:t>
            </w:r>
          </w:p>
        </w:tc>
      </w:tr>
      <w:tr w:rsidR="00DB4521" w14:paraId="33E8CE29"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AE4F13C"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C078F45" w14:textId="77777777" w:rsidR="00751F10" w:rsidRDefault="00751F10">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10294E"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C0D43A4" w14:textId="77777777" w:rsidR="00751F10" w:rsidRDefault="00751F10">
            <w:pPr>
              <w:jc w:val="right"/>
            </w:pPr>
            <w:r>
              <w:rPr>
                <w:rFonts w:ascii="宋体" w:hAnsi="宋体" w:hint="eastAsia"/>
                <w:szCs w:val="24"/>
                <w:lang w:eastAsia="zh-Hans"/>
              </w:rPr>
              <w:t>-</w:t>
            </w:r>
          </w:p>
        </w:tc>
      </w:tr>
      <w:tr w:rsidR="00DB4521" w14:paraId="4BC059E6"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539BDBC"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33089AD" w14:textId="77777777" w:rsidR="00751F10" w:rsidRDefault="00751F10">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81E640D"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0F11506" w14:textId="77777777" w:rsidR="00751F10" w:rsidRDefault="00751F10">
            <w:pPr>
              <w:jc w:val="right"/>
            </w:pPr>
            <w:r>
              <w:rPr>
                <w:rFonts w:ascii="宋体" w:hAnsi="宋体" w:hint="eastAsia"/>
                <w:szCs w:val="24"/>
                <w:lang w:eastAsia="zh-Hans"/>
              </w:rPr>
              <w:t>-</w:t>
            </w:r>
          </w:p>
        </w:tc>
      </w:tr>
      <w:tr w:rsidR="00DB4521" w14:paraId="1E289E86"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D45BAC7"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71B1F2F" w14:textId="77777777" w:rsidR="00751F10" w:rsidRDefault="00751F10">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884570"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4DC9ABB" w14:textId="77777777" w:rsidR="00751F10" w:rsidRDefault="00751F10">
            <w:pPr>
              <w:jc w:val="right"/>
            </w:pPr>
            <w:r>
              <w:rPr>
                <w:rFonts w:ascii="宋体" w:hAnsi="宋体" w:hint="eastAsia"/>
                <w:szCs w:val="24"/>
                <w:lang w:eastAsia="zh-Hans"/>
              </w:rPr>
              <w:t>-</w:t>
            </w:r>
          </w:p>
        </w:tc>
      </w:tr>
      <w:tr w:rsidR="00DB4521" w14:paraId="2C8CCD4E"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7564310" w14:textId="77777777" w:rsidR="00751F10" w:rsidRDefault="00751F10">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6357821F" w14:textId="77777777" w:rsidR="00751F10" w:rsidRDefault="00751F1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F27B9C7"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20ECAF5" w14:textId="77777777" w:rsidR="00751F10" w:rsidRDefault="00751F10">
            <w:pPr>
              <w:jc w:val="right"/>
            </w:pPr>
            <w:r>
              <w:rPr>
                <w:rFonts w:ascii="宋体" w:hAnsi="宋体" w:hint="eastAsia"/>
                <w:szCs w:val="24"/>
                <w:lang w:eastAsia="zh-Hans"/>
              </w:rPr>
              <w:t>-</w:t>
            </w:r>
          </w:p>
        </w:tc>
      </w:tr>
      <w:tr w:rsidR="00DB4521" w14:paraId="54E156B7"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ACFAEF" w14:textId="77777777" w:rsidR="00751F10" w:rsidRDefault="00751F10">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723753E" w14:textId="77777777" w:rsidR="00751F10" w:rsidRDefault="00751F1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655C43C"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355FD40" w14:textId="77777777" w:rsidR="00751F10" w:rsidRDefault="00751F10">
            <w:pPr>
              <w:jc w:val="right"/>
            </w:pPr>
            <w:r>
              <w:rPr>
                <w:rFonts w:ascii="宋体" w:hAnsi="宋体" w:hint="eastAsia"/>
                <w:szCs w:val="24"/>
                <w:lang w:eastAsia="zh-Hans"/>
              </w:rPr>
              <w:t>-</w:t>
            </w:r>
          </w:p>
        </w:tc>
      </w:tr>
      <w:tr w:rsidR="00DB4521" w14:paraId="48CD7D82"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C89BD8" w14:textId="77777777" w:rsidR="00751F10" w:rsidRDefault="00751F10">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220FA6DB" w14:textId="77777777" w:rsidR="00751F10" w:rsidRDefault="00751F10">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D80DCED" w14:textId="77777777" w:rsidR="00751F10" w:rsidRDefault="00751F10">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3A840DE" w14:textId="77777777" w:rsidR="00751F10" w:rsidRDefault="00751F10">
            <w:pPr>
              <w:jc w:val="right"/>
            </w:pPr>
            <w:r>
              <w:rPr>
                <w:rFonts w:ascii="宋体" w:hAnsi="宋体" w:hint="eastAsia"/>
                <w:szCs w:val="24"/>
                <w:lang w:eastAsia="zh-Hans"/>
              </w:rPr>
              <w:t>-</w:t>
            </w:r>
          </w:p>
        </w:tc>
      </w:tr>
      <w:tr w:rsidR="00DB4521" w14:paraId="20366DFF"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54BD8B" w14:textId="77777777" w:rsidR="00751F10" w:rsidRDefault="00751F10">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63F844C0" w14:textId="77777777" w:rsidR="00751F10" w:rsidRDefault="00751F1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726FFD" w14:textId="77777777" w:rsidR="00751F10" w:rsidRDefault="00751F10">
            <w:pPr>
              <w:jc w:val="right"/>
            </w:pPr>
            <w:r>
              <w:rPr>
                <w:rFonts w:ascii="宋体" w:hAnsi="宋体" w:hint="eastAsia"/>
                <w:szCs w:val="24"/>
                <w:lang w:eastAsia="zh-Hans"/>
              </w:rPr>
              <w:t>178,287,835.23</w:t>
            </w:r>
          </w:p>
        </w:tc>
        <w:tc>
          <w:tcPr>
            <w:tcW w:w="2373" w:type="dxa"/>
            <w:tcBorders>
              <w:top w:val="single" w:sz="4" w:space="0" w:color="auto"/>
              <w:left w:val="nil"/>
              <w:bottom w:val="single" w:sz="4" w:space="0" w:color="auto"/>
              <w:right w:val="single" w:sz="4" w:space="0" w:color="auto"/>
            </w:tcBorders>
            <w:vAlign w:val="center"/>
            <w:hideMark/>
          </w:tcPr>
          <w:p w14:paraId="2F3F0884" w14:textId="77777777" w:rsidR="00751F10" w:rsidRDefault="00751F10">
            <w:pPr>
              <w:jc w:val="right"/>
            </w:pPr>
            <w:r>
              <w:rPr>
                <w:rFonts w:ascii="宋体" w:hAnsi="宋体" w:hint="eastAsia"/>
                <w:szCs w:val="24"/>
                <w:lang w:eastAsia="zh-Hans"/>
              </w:rPr>
              <w:t>5.68</w:t>
            </w:r>
          </w:p>
        </w:tc>
      </w:tr>
      <w:tr w:rsidR="00DB4521" w14:paraId="03D1A3A7"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269265" w14:textId="77777777" w:rsidR="00751F10" w:rsidRDefault="00751F10">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9CB26D3" w14:textId="77777777" w:rsidR="00751F10" w:rsidRDefault="00751F1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19D4956" w14:textId="77777777" w:rsidR="00751F10" w:rsidRDefault="00751F10">
            <w:pPr>
              <w:jc w:val="right"/>
            </w:pPr>
            <w:r>
              <w:rPr>
                <w:rFonts w:ascii="宋体" w:hAnsi="宋体" w:hint="eastAsia"/>
                <w:szCs w:val="24"/>
                <w:lang w:eastAsia="zh-Hans"/>
              </w:rPr>
              <w:t>8,055,239.05</w:t>
            </w:r>
          </w:p>
        </w:tc>
        <w:tc>
          <w:tcPr>
            <w:tcW w:w="2373" w:type="dxa"/>
            <w:tcBorders>
              <w:top w:val="single" w:sz="4" w:space="0" w:color="auto"/>
              <w:left w:val="nil"/>
              <w:bottom w:val="single" w:sz="4" w:space="0" w:color="auto"/>
              <w:right w:val="single" w:sz="4" w:space="0" w:color="auto"/>
            </w:tcBorders>
            <w:vAlign w:val="center"/>
            <w:hideMark/>
          </w:tcPr>
          <w:p w14:paraId="6A135C87" w14:textId="77777777" w:rsidR="00751F10" w:rsidRDefault="00751F10">
            <w:pPr>
              <w:jc w:val="right"/>
            </w:pPr>
            <w:r>
              <w:rPr>
                <w:rFonts w:ascii="宋体" w:hAnsi="宋体" w:hint="eastAsia"/>
                <w:szCs w:val="24"/>
                <w:lang w:eastAsia="zh-Hans"/>
              </w:rPr>
              <w:t>0.26</w:t>
            </w:r>
          </w:p>
        </w:tc>
      </w:tr>
      <w:tr w:rsidR="00DB4521" w14:paraId="75EB82D1" w14:textId="77777777">
        <w:trPr>
          <w:divId w:val="121885956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7FF3C5" w14:textId="77777777" w:rsidR="00751F10" w:rsidRDefault="00751F10">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73B78596" w14:textId="77777777" w:rsidR="00751F10" w:rsidRDefault="00751F1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28CAE19" w14:textId="77777777" w:rsidR="00751F10" w:rsidRDefault="00751F10">
            <w:pPr>
              <w:jc w:val="right"/>
            </w:pPr>
            <w:r>
              <w:rPr>
                <w:rFonts w:ascii="宋体" w:hAnsi="宋体" w:hint="eastAsia"/>
                <w:szCs w:val="24"/>
                <w:lang w:eastAsia="zh-Hans"/>
              </w:rPr>
              <w:t>3,136,360,936.42</w:t>
            </w:r>
          </w:p>
        </w:tc>
        <w:tc>
          <w:tcPr>
            <w:tcW w:w="2373" w:type="dxa"/>
            <w:tcBorders>
              <w:top w:val="single" w:sz="4" w:space="0" w:color="auto"/>
              <w:left w:val="nil"/>
              <w:bottom w:val="single" w:sz="4" w:space="0" w:color="auto"/>
              <w:right w:val="single" w:sz="4" w:space="0" w:color="auto"/>
            </w:tcBorders>
            <w:vAlign w:val="center"/>
            <w:hideMark/>
          </w:tcPr>
          <w:p w14:paraId="49FFD06B" w14:textId="77777777" w:rsidR="00751F10" w:rsidRDefault="00751F10">
            <w:pPr>
              <w:jc w:val="right"/>
            </w:pPr>
            <w:r>
              <w:rPr>
                <w:rFonts w:ascii="宋体" w:hAnsi="宋体" w:hint="eastAsia"/>
                <w:szCs w:val="24"/>
                <w:lang w:eastAsia="zh-Hans"/>
              </w:rPr>
              <w:t>100.00</w:t>
            </w:r>
          </w:p>
        </w:tc>
      </w:tr>
    </w:tbl>
    <w:p w14:paraId="670685FB" w14:textId="77777777" w:rsidR="00751F10" w:rsidRDefault="00751F10">
      <w:pPr>
        <w:pStyle w:val="XBRLTitle2"/>
        <w:spacing w:before="156" w:line="360" w:lineRule="auto"/>
        <w:ind w:left="454"/>
        <w:rPr>
          <w:rFonts w:hint="eastAsia"/>
        </w:rPr>
      </w:pPr>
      <w:bookmarkStart w:id="153" w:name="_Toc459213778"/>
      <w:bookmarkStart w:id="154" w:name="_Toc456107132"/>
      <w:bookmarkStart w:id="155" w:name="_Toc438654087"/>
      <w:bookmarkStart w:id="156" w:name="_Toc448480299"/>
      <w:bookmarkStart w:id="157" w:name="_Toc480465433"/>
      <w:bookmarkStart w:id="158" w:name="_Toc512611295"/>
      <w:bookmarkStart w:id="159" w:name="_Toc512612091"/>
      <w:bookmarkStart w:id="160" w:name="_Toc512612267"/>
      <w:bookmarkStart w:id="161" w:name="_Toc513658023"/>
      <w:bookmarkStart w:id="162" w:name="_Toc514178685"/>
      <w:bookmarkEnd w:id="142"/>
      <w:proofErr w:type="spellStart"/>
      <w:r>
        <w:rPr>
          <w:rFonts w:hint="eastAsia"/>
        </w:rPr>
        <w:t>报告期末在各个国家（地区）证券市场的股票及存托凭证投资分布</w:t>
      </w:r>
      <w:bookmarkEnd w:id="153"/>
      <w:bookmarkEnd w:id="154"/>
      <w:bookmarkEnd w:id="155"/>
      <w:bookmarkEnd w:id="156"/>
      <w:bookmarkEnd w:id="157"/>
      <w:bookmarkEnd w:id="158"/>
      <w:bookmarkEnd w:id="159"/>
      <w:bookmarkEnd w:id="160"/>
      <w:bookmarkEnd w:id="161"/>
      <w:bookmarkEnd w:id="162"/>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DB4521" w14:paraId="6F755F0B" w14:textId="77777777">
        <w:trPr>
          <w:divId w:val="1766996587"/>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04EEA58" w14:textId="77777777" w:rsidR="00751F10" w:rsidRDefault="00751F10">
            <w:pPr>
              <w:jc w:val="center"/>
            </w:pPr>
            <w:bookmarkStart w:id="163" w:name="m08QD_02"/>
            <w:bookmarkStart w:id="164"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E80E49E" w14:textId="77777777" w:rsidR="00751F10" w:rsidRDefault="00751F10">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1CF7982" w14:textId="77777777" w:rsidR="00751F10" w:rsidRDefault="00751F10">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DB4521" w14:paraId="4EFB00AD" w14:textId="77777777">
        <w:trPr>
          <w:divId w:val="17669965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CC1BA4" w14:textId="77777777" w:rsidR="00751F10" w:rsidRDefault="00751F10">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4D12C2" w14:textId="77777777" w:rsidR="00751F10" w:rsidRDefault="00751F10">
            <w:pPr>
              <w:jc w:val="right"/>
            </w:pPr>
            <w:r>
              <w:rPr>
                <w:rFonts w:ascii="宋体" w:hAnsi="宋体" w:hint="eastAsia"/>
                <w:szCs w:val="21"/>
                <w:lang w:eastAsia="zh-Hans"/>
              </w:rPr>
              <w:t>2,950,017,862.14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D56E73" w14:textId="77777777" w:rsidR="00751F10" w:rsidRDefault="00751F10">
            <w:pPr>
              <w:jc w:val="right"/>
            </w:pPr>
            <w:r>
              <w:rPr>
                <w:rFonts w:ascii="宋体" w:hAnsi="宋体" w:hint="eastAsia"/>
                <w:szCs w:val="21"/>
                <w:lang w:eastAsia="zh-Hans"/>
              </w:rPr>
              <w:t>95.32</w:t>
            </w:r>
          </w:p>
        </w:tc>
      </w:tr>
      <w:tr w:rsidR="00DB4521" w14:paraId="67FA88D1" w14:textId="77777777">
        <w:trPr>
          <w:divId w:val="17669965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55D0F5" w14:textId="77777777" w:rsidR="00751F10" w:rsidRDefault="00751F10">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3DEDE5" w14:textId="77777777" w:rsidR="00751F10" w:rsidRDefault="00751F10">
            <w:pPr>
              <w:jc w:val="right"/>
            </w:pPr>
            <w:r>
              <w:rPr>
                <w:rFonts w:ascii="宋体" w:hAnsi="宋体" w:hint="eastAsia"/>
                <w:szCs w:val="21"/>
                <w:lang w:eastAsia="zh-Hans"/>
              </w:rPr>
              <w:t>2,950,017,862.14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DC2816" w14:textId="77777777" w:rsidR="00751F10" w:rsidRDefault="00751F10">
            <w:pPr>
              <w:jc w:val="right"/>
            </w:pPr>
            <w:r>
              <w:rPr>
                <w:rFonts w:ascii="宋体" w:hAnsi="宋体" w:hint="eastAsia"/>
                <w:szCs w:val="21"/>
                <w:lang w:eastAsia="zh-Hans"/>
              </w:rPr>
              <w:t>95.32</w:t>
            </w:r>
            <w:bookmarkEnd w:id="163"/>
          </w:p>
        </w:tc>
      </w:tr>
    </w:tbl>
    <w:p w14:paraId="115F95F1" w14:textId="77777777" w:rsidR="00751F10" w:rsidRDefault="00751F10">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1B07F421" w14:textId="77777777" w:rsidR="00751F10" w:rsidRDefault="00751F10">
      <w:pPr>
        <w:pStyle w:val="XBRLTitle2"/>
        <w:spacing w:before="156" w:line="360" w:lineRule="auto"/>
        <w:ind w:left="454"/>
        <w:rPr>
          <w:rFonts w:hint="eastAsia"/>
        </w:rPr>
      </w:pPr>
      <w:bookmarkStart w:id="165" w:name="_Toc459213779"/>
      <w:bookmarkStart w:id="166" w:name="_Toc456107133"/>
      <w:bookmarkStart w:id="167" w:name="_Toc438654088"/>
      <w:bookmarkStart w:id="168" w:name="_Toc448480300"/>
      <w:bookmarkStart w:id="169" w:name="_Toc480465434"/>
      <w:bookmarkStart w:id="170" w:name="_Toc512611296"/>
      <w:bookmarkStart w:id="171" w:name="_Toc512612092"/>
      <w:bookmarkStart w:id="172" w:name="_Toc512612268"/>
      <w:bookmarkStart w:id="173" w:name="_Toc513658024"/>
      <w:bookmarkStart w:id="174" w:name="_Toc514178686"/>
      <w:bookmarkStart w:id="175" w:name="m503"/>
      <w:bookmarkEnd w:id="164"/>
      <w:proofErr w:type="spellStart"/>
      <w:r>
        <w:rPr>
          <w:rFonts w:hint="eastAsia"/>
        </w:rPr>
        <w:t>报告期末按行业分类的股票及存托凭证投资组合</w:t>
      </w:r>
      <w:bookmarkStart w:id="176" w:name="_Toc513637368"/>
      <w:bookmarkEnd w:id="165"/>
      <w:bookmarkEnd w:id="166"/>
      <w:bookmarkEnd w:id="167"/>
      <w:bookmarkEnd w:id="168"/>
      <w:bookmarkEnd w:id="169"/>
      <w:bookmarkEnd w:id="170"/>
      <w:bookmarkEnd w:id="171"/>
      <w:bookmarkEnd w:id="172"/>
      <w:bookmarkEnd w:id="173"/>
      <w:bookmarkEnd w:id="174"/>
      <w:bookmarkEnd w:id="176"/>
      <w:proofErr w:type="spellEnd"/>
      <w:r>
        <w:rPr>
          <w:rFonts w:hint="eastAsia"/>
          <w:lang w:eastAsia="zh-CN"/>
        </w:rPr>
        <w:t xml:space="preserve"> </w:t>
      </w:r>
    </w:p>
    <w:p w14:paraId="1B2D4499" w14:textId="77777777" w:rsidR="00751F10" w:rsidRDefault="00751F10">
      <w:pPr>
        <w:pStyle w:val="XBRLTitle3"/>
        <w:spacing w:before="156"/>
        <w:ind w:left="0"/>
        <w:rPr>
          <w:rFonts w:hint="eastAsia"/>
        </w:rPr>
      </w:pPr>
      <w:bookmarkStart w:id="177" w:name="_Toc513658025"/>
      <w:bookmarkStart w:id="178" w:name="_Toc514178687"/>
      <w:proofErr w:type="spellStart"/>
      <w:r>
        <w:rPr>
          <w:rFonts w:hint="eastAsia"/>
          <w:kern w:val="0"/>
        </w:rPr>
        <w:t>报告期末指数投资按行业分类的股票及存托凭证投资组合</w:t>
      </w:r>
      <w:bookmarkEnd w:id="177"/>
      <w:bookmarkEnd w:id="178"/>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DB4521" w14:paraId="6C657ADD" w14:textId="77777777">
        <w:trPr>
          <w:divId w:val="91753170"/>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AD544F" w14:textId="77777777" w:rsidR="00751F10" w:rsidRDefault="00751F10">
            <w:pPr>
              <w:jc w:val="center"/>
            </w:pPr>
            <w:bookmarkStart w:id="179" w:name="_Toc247616244"/>
            <w:bookmarkStart w:id="180" w:name="_Toc433036708"/>
            <w:bookmarkStart w:id="181" w:name="_Toc247613259"/>
            <w:bookmarkStart w:id="182" w:name="m08QD_03_01_tab"/>
            <w:bookmarkStart w:id="183" w:name="m08QD_03_tab"/>
            <w:bookmarkStart w:id="184"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88336A" w14:textId="77777777" w:rsidR="00751F10" w:rsidRDefault="00751F10">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2945C0" w14:textId="77777777" w:rsidR="00751F10" w:rsidRDefault="00751F10">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DB4521" w14:paraId="6D91714B"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75F42" w14:textId="77777777" w:rsidR="00751F10" w:rsidRDefault="00751F10">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E1AE7" w14:textId="77777777" w:rsidR="00751F10" w:rsidRDefault="00751F10">
            <w:pPr>
              <w:jc w:val="right"/>
            </w:pPr>
            <w:r>
              <w:rPr>
                <w:rFonts w:ascii="宋体" w:hAnsi="宋体" w:hint="eastAsia"/>
                <w:color w:val="000000"/>
                <w:lang w:eastAsia="zh-Hans"/>
              </w:rPr>
              <w:t>38,368,596.11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E509" w14:textId="77777777" w:rsidR="00751F10" w:rsidRDefault="00751F10">
            <w:pPr>
              <w:jc w:val="right"/>
            </w:pPr>
            <w:r>
              <w:rPr>
                <w:rFonts w:ascii="宋体" w:hAnsi="宋体" w:hint="eastAsia"/>
                <w:color w:val="000000"/>
                <w:lang w:eastAsia="zh-Hans"/>
              </w:rPr>
              <w:t>1.24</w:t>
            </w:r>
          </w:p>
        </w:tc>
      </w:tr>
      <w:tr w:rsidR="00DB4521" w14:paraId="2FF21227"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44114" w14:textId="77777777" w:rsidR="00751F10" w:rsidRDefault="00751F10">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19FC4" w14:textId="77777777" w:rsidR="00751F10" w:rsidRDefault="00751F10">
            <w:pPr>
              <w:jc w:val="right"/>
            </w:pPr>
            <w:r>
              <w:rPr>
                <w:rFonts w:ascii="宋体" w:hAnsi="宋体" w:hint="eastAsia"/>
                <w:color w:val="000000"/>
                <w:lang w:eastAsia="zh-Hans"/>
              </w:rPr>
              <w:t>371,209,964.80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AF3A7" w14:textId="77777777" w:rsidR="00751F10" w:rsidRDefault="00751F10">
            <w:pPr>
              <w:jc w:val="right"/>
            </w:pPr>
            <w:r>
              <w:rPr>
                <w:rFonts w:ascii="宋体" w:hAnsi="宋体" w:hint="eastAsia"/>
                <w:color w:val="000000"/>
                <w:lang w:eastAsia="zh-Hans"/>
              </w:rPr>
              <w:t>11.99</w:t>
            </w:r>
          </w:p>
        </w:tc>
      </w:tr>
      <w:tr w:rsidR="00DB4521" w14:paraId="331C19AC"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F3CC1" w14:textId="77777777" w:rsidR="00751F10" w:rsidRDefault="00751F10">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AA91C" w14:textId="77777777" w:rsidR="00751F10" w:rsidRDefault="00751F10">
            <w:pPr>
              <w:jc w:val="right"/>
            </w:pPr>
            <w:r>
              <w:rPr>
                <w:rFonts w:ascii="宋体" w:hAnsi="宋体" w:hint="eastAsia"/>
                <w:color w:val="000000"/>
                <w:lang w:eastAsia="zh-Hans"/>
              </w:rPr>
              <w:t>252,301,162.75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64759" w14:textId="77777777" w:rsidR="00751F10" w:rsidRDefault="00751F10">
            <w:pPr>
              <w:jc w:val="right"/>
            </w:pPr>
            <w:r>
              <w:rPr>
                <w:rFonts w:ascii="宋体" w:hAnsi="宋体" w:hint="eastAsia"/>
                <w:color w:val="000000"/>
                <w:lang w:eastAsia="zh-Hans"/>
              </w:rPr>
              <w:t>8.15</w:t>
            </w:r>
          </w:p>
        </w:tc>
      </w:tr>
      <w:tr w:rsidR="00DB4521" w14:paraId="3941F741"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19B19" w14:textId="77777777" w:rsidR="00751F10" w:rsidRDefault="00751F10">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7F017" w14:textId="77777777" w:rsidR="00751F10" w:rsidRDefault="00751F10">
            <w:pPr>
              <w:jc w:val="right"/>
            </w:pPr>
            <w:r>
              <w:rPr>
                <w:rFonts w:ascii="宋体" w:hAnsi="宋体" w:hint="eastAsia"/>
                <w:color w:val="000000"/>
                <w:lang w:eastAsia="zh-Hans"/>
              </w:rPr>
              <w:t>19,395,346.74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26C50" w14:textId="77777777" w:rsidR="00751F10" w:rsidRDefault="00751F10">
            <w:pPr>
              <w:jc w:val="right"/>
            </w:pPr>
            <w:r>
              <w:rPr>
                <w:rFonts w:ascii="宋体" w:hAnsi="宋体" w:hint="eastAsia"/>
                <w:color w:val="000000"/>
                <w:lang w:eastAsia="zh-Hans"/>
              </w:rPr>
              <w:t>0.63</w:t>
            </w:r>
          </w:p>
        </w:tc>
      </w:tr>
      <w:tr w:rsidR="00DB4521" w14:paraId="5F6A3F20"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74950" w14:textId="77777777" w:rsidR="00751F10" w:rsidRDefault="00751F10">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44D97" w14:textId="77777777" w:rsidR="00751F10" w:rsidRDefault="00751F10">
            <w:pPr>
              <w:jc w:val="right"/>
            </w:pPr>
            <w:r>
              <w:rPr>
                <w:rFonts w:ascii="宋体" w:hAnsi="宋体" w:hint="eastAsia"/>
                <w:color w:val="000000"/>
                <w:lang w:eastAsia="zh-Hans"/>
              </w:rPr>
              <w:t>6,955,009.24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1774B" w14:textId="77777777" w:rsidR="00751F10" w:rsidRDefault="00751F10">
            <w:pPr>
              <w:jc w:val="right"/>
            </w:pPr>
            <w:r>
              <w:rPr>
                <w:rFonts w:ascii="宋体" w:hAnsi="宋体" w:hint="eastAsia"/>
                <w:color w:val="000000"/>
                <w:lang w:eastAsia="zh-Hans"/>
              </w:rPr>
              <w:t>0.22</w:t>
            </w:r>
          </w:p>
        </w:tc>
      </w:tr>
      <w:tr w:rsidR="00DB4521" w14:paraId="1DF35461"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4A863" w14:textId="77777777" w:rsidR="00751F10" w:rsidRDefault="00751F10">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C97CF" w14:textId="77777777" w:rsidR="00751F10" w:rsidRDefault="00751F10">
            <w:pPr>
              <w:jc w:val="right"/>
            </w:pPr>
            <w:r>
              <w:rPr>
                <w:rFonts w:ascii="宋体" w:hAnsi="宋体" w:hint="eastAsia"/>
                <w:color w:val="000000"/>
                <w:lang w:eastAsia="zh-Hans"/>
              </w:rPr>
              <w:t>150,416,616.58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8C2BB" w14:textId="77777777" w:rsidR="00751F10" w:rsidRDefault="00751F10">
            <w:pPr>
              <w:jc w:val="right"/>
            </w:pPr>
            <w:r>
              <w:rPr>
                <w:rFonts w:ascii="宋体" w:hAnsi="宋体" w:hint="eastAsia"/>
                <w:color w:val="000000"/>
                <w:lang w:eastAsia="zh-Hans"/>
              </w:rPr>
              <w:t>4.86</w:t>
            </w:r>
          </w:p>
        </w:tc>
      </w:tr>
      <w:tr w:rsidR="00DB4521" w14:paraId="4BA2B0C7"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8DBEA" w14:textId="77777777" w:rsidR="00751F10" w:rsidRDefault="00751F10">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96F35" w14:textId="77777777" w:rsidR="00751F10" w:rsidRDefault="00751F10">
            <w:pPr>
              <w:jc w:val="right"/>
            </w:pPr>
            <w:r>
              <w:rPr>
                <w:rFonts w:ascii="宋体" w:hAnsi="宋体" w:hint="eastAsia"/>
                <w:color w:val="000000"/>
                <w:lang w:eastAsia="zh-Hans"/>
              </w:rPr>
              <w:t>123,023,779.43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C1DDE" w14:textId="77777777" w:rsidR="00751F10" w:rsidRDefault="00751F10">
            <w:pPr>
              <w:jc w:val="right"/>
            </w:pPr>
            <w:r>
              <w:rPr>
                <w:rFonts w:ascii="宋体" w:hAnsi="宋体" w:hint="eastAsia"/>
                <w:color w:val="000000"/>
                <w:lang w:eastAsia="zh-Hans"/>
              </w:rPr>
              <w:t>3.98</w:t>
            </w:r>
          </w:p>
        </w:tc>
      </w:tr>
      <w:tr w:rsidR="00DB4521" w14:paraId="6D8AA880"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4A80C" w14:textId="77777777" w:rsidR="00751F10" w:rsidRDefault="00751F10">
            <w:pPr>
              <w:jc w:val="left"/>
            </w:pPr>
            <w:r>
              <w:rPr>
                <w:rFonts w:ascii="宋体" w:hAnsi="宋体" w:hint="eastAsia"/>
                <w:color w:val="000000"/>
                <w:lang w:eastAsia="zh-Hans"/>
              </w:rPr>
              <w:lastRenderedPageBreak/>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FA177" w14:textId="77777777" w:rsidR="00751F10" w:rsidRDefault="00751F10">
            <w:pPr>
              <w:jc w:val="right"/>
            </w:pPr>
            <w:r>
              <w:rPr>
                <w:rFonts w:ascii="宋体" w:hAnsi="宋体" w:hint="eastAsia"/>
                <w:color w:val="000000"/>
                <w:lang w:eastAsia="zh-Hans"/>
              </w:rPr>
              <w:t>1,488,156,460.31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2022F" w14:textId="77777777" w:rsidR="00751F10" w:rsidRDefault="00751F10">
            <w:pPr>
              <w:jc w:val="right"/>
            </w:pPr>
            <w:r>
              <w:rPr>
                <w:rFonts w:ascii="宋体" w:hAnsi="宋体" w:hint="eastAsia"/>
                <w:color w:val="000000"/>
                <w:lang w:eastAsia="zh-Hans"/>
              </w:rPr>
              <w:t>48.09</w:t>
            </w:r>
          </w:p>
        </w:tc>
      </w:tr>
      <w:tr w:rsidR="00DB4521" w14:paraId="43AB94B2"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F381F" w14:textId="77777777" w:rsidR="00751F10" w:rsidRDefault="00751F10">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906C1" w14:textId="77777777" w:rsidR="00751F10" w:rsidRDefault="00751F10">
            <w:pPr>
              <w:jc w:val="right"/>
            </w:pPr>
            <w:r>
              <w:rPr>
                <w:rFonts w:ascii="宋体" w:hAnsi="宋体" w:hint="eastAsia"/>
                <w:color w:val="000000"/>
                <w:lang w:eastAsia="zh-Hans"/>
              </w:rPr>
              <w:t>451,985,259.20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4FFF0" w14:textId="77777777" w:rsidR="00751F10" w:rsidRDefault="00751F10">
            <w:pPr>
              <w:jc w:val="right"/>
            </w:pPr>
            <w:r>
              <w:rPr>
                <w:rFonts w:ascii="宋体" w:hAnsi="宋体" w:hint="eastAsia"/>
                <w:color w:val="000000"/>
                <w:lang w:eastAsia="zh-Hans"/>
              </w:rPr>
              <w:t>14.61</w:t>
            </w:r>
          </w:p>
        </w:tc>
      </w:tr>
      <w:tr w:rsidR="00DB4521" w14:paraId="514BA64B"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449D5" w14:textId="77777777" w:rsidR="00751F10" w:rsidRDefault="00751F10">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4129B4" w14:textId="77777777" w:rsidR="00751F10" w:rsidRDefault="00751F10">
            <w:pPr>
              <w:jc w:val="right"/>
            </w:pPr>
            <w:r>
              <w:rPr>
                <w:rFonts w:ascii="宋体" w:hAnsi="宋体" w:hint="eastAsia"/>
                <w:color w:val="000000"/>
                <w:lang w:eastAsia="zh-Hans"/>
              </w:rPr>
              <w:t>45,377,256.92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9025" w14:textId="77777777" w:rsidR="00751F10" w:rsidRDefault="00751F10">
            <w:pPr>
              <w:jc w:val="right"/>
            </w:pPr>
            <w:r>
              <w:rPr>
                <w:rFonts w:ascii="宋体" w:hAnsi="宋体" w:hint="eastAsia"/>
                <w:color w:val="000000"/>
                <w:lang w:eastAsia="zh-Hans"/>
              </w:rPr>
              <w:t>1.47</w:t>
            </w:r>
          </w:p>
        </w:tc>
      </w:tr>
      <w:tr w:rsidR="00DB4521" w14:paraId="546B04AE"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776B1" w14:textId="77777777" w:rsidR="00751F10" w:rsidRDefault="00751F10">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15047" w14:textId="77777777" w:rsidR="00751F10" w:rsidRDefault="00751F10">
            <w:pPr>
              <w:jc w:val="right"/>
            </w:pPr>
            <w:r>
              <w:rPr>
                <w:rFonts w:ascii="宋体" w:hAnsi="宋体" w:hint="eastAsia"/>
                <w:color w:val="000000"/>
                <w:lang w:eastAsia="zh-Hans"/>
              </w:rPr>
              <w:t>2,828,410.06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15D74" w14:textId="77777777" w:rsidR="00751F10" w:rsidRDefault="00751F10">
            <w:pPr>
              <w:jc w:val="right"/>
            </w:pPr>
            <w:r>
              <w:rPr>
                <w:rFonts w:ascii="宋体" w:hAnsi="宋体" w:hint="eastAsia"/>
                <w:color w:val="000000"/>
                <w:lang w:eastAsia="zh-Hans"/>
              </w:rPr>
              <w:t>0.09</w:t>
            </w:r>
          </w:p>
        </w:tc>
      </w:tr>
      <w:tr w:rsidR="00DB4521" w14:paraId="2510FF24" w14:textId="77777777">
        <w:trPr>
          <w:divId w:val="91753170"/>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F6360" w14:textId="77777777" w:rsidR="00751F10" w:rsidRDefault="00751F10">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41D64" w14:textId="77777777" w:rsidR="00751F10" w:rsidRDefault="00751F10">
            <w:pPr>
              <w:jc w:val="right"/>
            </w:pPr>
            <w:r>
              <w:rPr>
                <w:rFonts w:ascii="宋体" w:hAnsi="宋体" w:hint="eastAsia"/>
                <w:color w:val="000000"/>
                <w:lang w:eastAsia="zh-Hans"/>
              </w:rPr>
              <w:t>2,950,017,862.14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82BB0" w14:textId="77777777" w:rsidR="00751F10" w:rsidRDefault="00751F10">
            <w:pPr>
              <w:jc w:val="right"/>
            </w:pPr>
            <w:r>
              <w:rPr>
                <w:rFonts w:ascii="宋体" w:hAnsi="宋体" w:hint="eastAsia"/>
                <w:color w:val="000000"/>
                <w:lang w:eastAsia="zh-Hans"/>
              </w:rPr>
              <w:t>95.32</w:t>
            </w:r>
            <w:bookmarkEnd w:id="179"/>
            <w:bookmarkEnd w:id="180"/>
            <w:bookmarkEnd w:id="181"/>
          </w:p>
        </w:tc>
      </w:tr>
    </w:tbl>
    <w:bookmarkEnd w:id="182"/>
    <w:bookmarkEnd w:id="183"/>
    <w:p w14:paraId="1818D9C1" w14:textId="77777777" w:rsidR="00751F10" w:rsidRDefault="00751F10">
      <w:pPr>
        <w:widowControl/>
        <w:spacing w:line="315" w:lineRule="atLeast"/>
        <w:divId w:val="476187318"/>
      </w:pPr>
      <w:r>
        <w:rPr>
          <w:rFonts w:ascii="宋体" w:hAnsi="宋体" w:cs="宋体" w:hint="eastAsia"/>
          <w:color w:val="000000"/>
          <w:kern w:val="0"/>
          <w:szCs w:val="21"/>
        </w:rPr>
        <w:t>注：以上分类采用全球行业分类标准(GICS)。</w:t>
      </w:r>
    </w:p>
    <w:p w14:paraId="0C667425" w14:textId="77777777" w:rsidR="00751F10" w:rsidRDefault="00751F10">
      <w:pPr>
        <w:pStyle w:val="XBRLTitle3"/>
        <w:spacing w:before="156"/>
        <w:ind w:left="0"/>
        <w:rPr>
          <w:rFonts w:hint="eastAsia"/>
        </w:rPr>
      </w:pPr>
      <w:bookmarkStart w:id="185" w:name="_Toc513658026"/>
      <w:bookmarkStart w:id="186" w:name="_Toc514178688"/>
      <w:proofErr w:type="spellStart"/>
      <w:r>
        <w:rPr>
          <w:rFonts w:hint="eastAsia"/>
          <w:kern w:val="0"/>
        </w:rPr>
        <w:t>报告期末积极投资按行业分类的股票及存托凭证投资组合</w:t>
      </w:r>
      <w:bookmarkEnd w:id="185"/>
      <w:bookmarkEnd w:id="186"/>
      <w:proofErr w:type="spellEnd"/>
      <w:r>
        <w:rPr>
          <w:rFonts w:hint="eastAsia"/>
        </w:rPr>
        <w:t xml:space="preserve"> </w:t>
      </w:r>
    </w:p>
    <w:p w14:paraId="5182574D" w14:textId="77777777" w:rsidR="00751F10" w:rsidRDefault="00751F10">
      <w:pPr>
        <w:widowControl/>
        <w:spacing w:line="315" w:lineRule="atLeast"/>
        <w:ind w:firstLineChars="200" w:firstLine="420"/>
        <w:divId w:val="1939634794"/>
      </w:pPr>
      <w:r>
        <w:rPr>
          <w:rFonts w:ascii="宋体" w:hAnsi="宋体" w:cs="宋体" w:hint="eastAsia"/>
          <w:color w:val="000000"/>
          <w:kern w:val="0"/>
          <w:szCs w:val="21"/>
        </w:rPr>
        <w:t>本基金本报告期末未持有积极投资股票。</w:t>
      </w:r>
    </w:p>
    <w:p w14:paraId="105C1717" w14:textId="77777777" w:rsidR="00751F10" w:rsidRDefault="00751F10">
      <w:pPr>
        <w:pStyle w:val="XBRLTitle2"/>
        <w:spacing w:before="156" w:line="360" w:lineRule="auto"/>
        <w:ind w:left="454"/>
        <w:rPr>
          <w:rFonts w:hint="eastAsia"/>
        </w:rPr>
      </w:pPr>
      <w:bookmarkStart w:id="187" w:name="_Toc459213780"/>
      <w:bookmarkStart w:id="188" w:name="_Toc456107134"/>
      <w:bookmarkStart w:id="189" w:name="_Toc438654089"/>
      <w:bookmarkStart w:id="190" w:name="_Toc448480301"/>
      <w:bookmarkStart w:id="191" w:name="_Toc480465435"/>
      <w:bookmarkStart w:id="192" w:name="_Toc512611297"/>
      <w:bookmarkStart w:id="193" w:name="_Toc512612093"/>
      <w:bookmarkStart w:id="194" w:name="_Toc512612269"/>
      <w:bookmarkStart w:id="195" w:name="_Toc513658027"/>
      <w:bookmarkStart w:id="196" w:name="_Toc514178689"/>
      <w:bookmarkEnd w:id="175"/>
      <w:proofErr w:type="spellStart"/>
      <w:r>
        <w:rPr>
          <w:rFonts w:hint="eastAsia"/>
        </w:rPr>
        <w:t>期末按公允价值占基金资产净值比例大小排序的权益投资明细</w:t>
      </w:r>
      <w:bookmarkStart w:id="197" w:name="_Toc513637371"/>
      <w:bookmarkEnd w:id="187"/>
      <w:bookmarkEnd w:id="188"/>
      <w:bookmarkEnd w:id="189"/>
      <w:bookmarkEnd w:id="190"/>
      <w:bookmarkEnd w:id="191"/>
      <w:bookmarkEnd w:id="192"/>
      <w:bookmarkEnd w:id="193"/>
      <w:bookmarkEnd w:id="194"/>
      <w:bookmarkEnd w:id="195"/>
      <w:bookmarkEnd w:id="196"/>
      <w:bookmarkEnd w:id="197"/>
      <w:proofErr w:type="spellEnd"/>
      <w:r>
        <w:rPr>
          <w:rFonts w:hint="eastAsia"/>
        </w:rPr>
        <w:t xml:space="preserve"> </w:t>
      </w:r>
    </w:p>
    <w:p w14:paraId="37EE9955" w14:textId="77777777" w:rsidR="00751F10" w:rsidRDefault="00751F10">
      <w:pPr>
        <w:pStyle w:val="XBRLTitle3"/>
        <w:spacing w:before="156"/>
        <w:ind w:left="0"/>
        <w:rPr>
          <w:rFonts w:hint="eastAsia"/>
        </w:rPr>
      </w:pPr>
      <w:bookmarkStart w:id="198" w:name="_Toc513658028"/>
      <w:bookmarkStart w:id="199" w:name="_Toc514178690"/>
      <w:proofErr w:type="spellStart"/>
      <w:r>
        <w:rPr>
          <w:rFonts w:hint="eastAsia"/>
        </w:rPr>
        <w:t>报告期末指数投资按公允价值占基金资产净值比例大小排序的前十名股票及存托凭证投资明细</w:t>
      </w:r>
      <w:bookmarkEnd w:id="198"/>
      <w:bookmarkEnd w:id="199"/>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DB4521" w14:paraId="04301292"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7D32C3" w14:textId="77777777" w:rsidR="00751F10" w:rsidRDefault="00751F10">
            <w:pPr>
              <w:jc w:val="center"/>
            </w:pPr>
            <w:bookmarkStart w:id="200" w:name="m08QD_04_01_tab"/>
            <w:bookmarkStart w:id="201" w:name="_Toc433036709"/>
            <w:bookmarkStart w:id="202" w:name="_Toc247616246"/>
            <w:bookmarkStart w:id="203" w:name="_Toc458182097"/>
            <w:bookmarkStart w:id="204"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11375B" w14:textId="77777777" w:rsidR="00751F10" w:rsidRDefault="00751F10">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859A11" w14:textId="77777777" w:rsidR="00751F10" w:rsidRDefault="00751F10">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744954" w14:textId="77777777" w:rsidR="00751F10" w:rsidRDefault="00751F10">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DFC78" w14:textId="77777777" w:rsidR="00751F10" w:rsidRDefault="00751F10">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3B8972" w14:textId="77777777" w:rsidR="00751F10" w:rsidRDefault="00751F10">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14AC02" w14:textId="77777777" w:rsidR="00751F10" w:rsidRDefault="00751F10">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17C184" w14:textId="77777777" w:rsidR="00751F10" w:rsidRDefault="00751F10">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6790F0" w14:textId="77777777" w:rsidR="00751F10" w:rsidRDefault="00751F10">
            <w:pPr>
              <w:jc w:val="center"/>
            </w:pPr>
            <w:r>
              <w:rPr>
                <w:rFonts w:ascii="宋体" w:hAnsi="宋体" w:hint="eastAsia"/>
              </w:rPr>
              <w:t>占基金资产净值比例</w:t>
            </w:r>
            <w:r>
              <w:rPr>
                <w:rFonts w:ascii="宋体" w:hAnsi="宋体" w:hint="eastAsia"/>
                <w:lang w:eastAsia="zh-Hans"/>
              </w:rPr>
              <w:t xml:space="preserve">(%) </w:t>
            </w:r>
          </w:p>
        </w:tc>
      </w:tr>
      <w:tr w:rsidR="00DB4521" w14:paraId="532C6185"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345142D" w14:textId="77777777" w:rsidR="00751F10" w:rsidRDefault="00751F10">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C23D179" w14:textId="77777777" w:rsidR="00751F10" w:rsidRDefault="00751F10">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527E19B"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606B833" w14:textId="77777777" w:rsidR="00751F10" w:rsidRDefault="00751F10">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AD53B8B"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15A141F"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7C2ADD3" w14:textId="77777777" w:rsidR="00751F10" w:rsidRDefault="00751F10">
            <w:pPr>
              <w:jc w:val="right"/>
            </w:pPr>
            <w:r>
              <w:rPr>
                <w:rFonts w:ascii="宋体" w:hAnsi="宋体" w:hint="eastAsia"/>
                <w:color w:val="000000"/>
                <w:lang w:eastAsia="zh-Hans"/>
              </w:rPr>
              <w:t>212,466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29332D9" w14:textId="77777777" w:rsidR="00751F10" w:rsidRDefault="00751F10">
            <w:pPr>
              <w:jc w:val="right"/>
            </w:pPr>
            <w:r>
              <w:rPr>
                <w:rFonts w:ascii="宋体" w:hAnsi="宋体" w:hint="eastAsia"/>
                <w:color w:val="000000"/>
                <w:lang w:eastAsia="zh-Hans"/>
              </w:rPr>
              <w:t>256,391,934.73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4127558" w14:textId="77777777" w:rsidR="00751F10" w:rsidRDefault="00751F10">
            <w:pPr>
              <w:jc w:val="right"/>
            </w:pPr>
            <w:r>
              <w:rPr>
                <w:rFonts w:ascii="宋体" w:hAnsi="宋体" w:hint="eastAsia"/>
                <w:color w:val="000000"/>
                <w:lang w:eastAsia="zh-Hans"/>
              </w:rPr>
              <w:t>8.28</w:t>
            </w:r>
          </w:p>
        </w:tc>
      </w:tr>
      <w:tr w:rsidR="00DB4521" w14:paraId="460E245B"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8A62021" w14:textId="77777777" w:rsidR="00751F10" w:rsidRDefault="00751F10">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82B72A5" w14:textId="77777777" w:rsidR="00751F10" w:rsidRDefault="00751F10">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5DA09EB"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8BB5E60" w14:textId="77777777" w:rsidR="00751F10" w:rsidRDefault="00751F10">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7207932"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3D6315B"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B3040C1" w14:textId="77777777" w:rsidR="00751F10" w:rsidRDefault="00751F10">
            <w:pPr>
              <w:jc w:val="right"/>
            </w:pPr>
            <w:r>
              <w:rPr>
                <w:rFonts w:ascii="宋体" w:hAnsi="宋体" w:hint="eastAsia"/>
                <w:color w:val="000000"/>
                <w:lang w:eastAsia="zh-Hans"/>
              </w:rPr>
              <w:t>128,364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5311E01" w14:textId="77777777" w:rsidR="00751F10" w:rsidRDefault="00751F10">
            <w:pPr>
              <w:jc w:val="right"/>
            </w:pPr>
            <w:r>
              <w:rPr>
                <w:rFonts w:ascii="宋体" w:hAnsi="宋体" w:hint="eastAsia"/>
                <w:color w:val="000000"/>
                <w:lang w:eastAsia="zh-Hans"/>
              </w:rPr>
              <w:t>225,416,750.46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858E9CD" w14:textId="77777777" w:rsidR="00751F10" w:rsidRDefault="00751F10">
            <w:pPr>
              <w:jc w:val="right"/>
            </w:pPr>
            <w:r>
              <w:rPr>
                <w:rFonts w:ascii="宋体" w:hAnsi="宋体" w:hint="eastAsia"/>
                <w:color w:val="000000"/>
                <w:lang w:eastAsia="zh-Hans"/>
              </w:rPr>
              <w:t>7.28</w:t>
            </w:r>
          </w:p>
        </w:tc>
      </w:tr>
      <w:tr w:rsidR="00DB4521" w14:paraId="60B9F418"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7958A75" w14:textId="77777777" w:rsidR="00751F10" w:rsidRDefault="00751F10">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EED645A" w14:textId="77777777" w:rsidR="00751F10" w:rsidRDefault="00751F10">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42F8CDC"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F3BCEA8" w14:textId="77777777" w:rsidR="00751F10" w:rsidRDefault="00751F10">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473CABE"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93587FA"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5AE816C" w14:textId="77777777" w:rsidR="00751F10" w:rsidRDefault="00751F10">
            <w:pPr>
              <w:jc w:val="right"/>
            </w:pPr>
            <w:r>
              <w:rPr>
                <w:rFonts w:ascii="宋体" w:hAnsi="宋体" w:hint="eastAsia"/>
                <w:color w:val="000000"/>
                <w:lang w:eastAsia="zh-Hans"/>
              </w:rPr>
              <w:t>64,926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2A7F2E3" w14:textId="77777777" w:rsidR="00751F10" w:rsidRDefault="00751F10">
            <w:pPr>
              <w:jc w:val="right"/>
            </w:pPr>
            <w:r>
              <w:rPr>
                <w:rFonts w:ascii="宋体" w:hAnsi="宋体" w:hint="eastAsia"/>
                <w:color w:val="000000"/>
                <w:lang w:eastAsia="zh-Hans"/>
              </w:rPr>
              <w:t>166,298,489.15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01DC276" w14:textId="77777777" w:rsidR="00751F10" w:rsidRDefault="00751F10">
            <w:pPr>
              <w:jc w:val="right"/>
            </w:pPr>
            <w:r>
              <w:rPr>
                <w:rFonts w:ascii="宋体" w:hAnsi="宋体" w:hint="eastAsia"/>
                <w:color w:val="000000"/>
                <w:lang w:eastAsia="zh-Hans"/>
              </w:rPr>
              <w:t>5.37</w:t>
            </w:r>
          </w:p>
        </w:tc>
      </w:tr>
      <w:tr w:rsidR="00DB4521" w14:paraId="3BDB69E1"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8D624A5" w14:textId="77777777" w:rsidR="00751F10" w:rsidRDefault="00751F10">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A48A54F" w14:textId="77777777" w:rsidR="00751F10" w:rsidRDefault="00751F10">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FFA9999"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BE34A84" w14:textId="77777777" w:rsidR="00751F10" w:rsidRDefault="00751F10">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9AE6BD1"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36AFDCE"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A97893F" w14:textId="77777777" w:rsidR="00751F10" w:rsidRDefault="00751F10">
            <w:pPr>
              <w:jc w:val="right"/>
            </w:pPr>
            <w:r>
              <w:rPr>
                <w:rFonts w:ascii="宋体" w:hAnsi="宋体" w:hint="eastAsia"/>
                <w:color w:val="000000"/>
                <w:lang w:eastAsia="zh-Hans"/>
              </w:rPr>
              <w:t>93,860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27925AF" w14:textId="77777777" w:rsidR="00751F10" w:rsidRDefault="00751F10">
            <w:pPr>
              <w:jc w:val="right"/>
            </w:pPr>
            <w:r>
              <w:rPr>
                <w:rFonts w:ascii="宋体" w:hAnsi="宋体" w:hint="eastAsia"/>
                <w:color w:val="000000"/>
                <w:lang w:eastAsia="zh-Hans"/>
              </w:rPr>
              <w:t>135,261,968.69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CA75E59" w14:textId="77777777" w:rsidR="00751F10" w:rsidRDefault="00751F10">
            <w:pPr>
              <w:jc w:val="right"/>
            </w:pPr>
            <w:r>
              <w:rPr>
                <w:rFonts w:ascii="宋体" w:hAnsi="宋体" w:hint="eastAsia"/>
                <w:color w:val="000000"/>
                <w:lang w:eastAsia="zh-Hans"/>
              </w:rPr>
              <w:t>4.37</w:t>
            </w:r>
          </w:p>
        </w:tc>
      </w:tr>
      <w:tr w:rsidR="00DB4521" w14:paraId="35F5D4C3"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B79BCB8" w14:textId="77777777" w:rsidR="00751F10" w:rsidRDefault="00751F10">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849D2D5" w14:textId="77777777" w:rsidR="00751F10" w:rsidRDefault="00751F10">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32A161E"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09F1D1F" w14:textId="77777777" w:rsidR="00751F10" w:rsidRDefault="00751F10">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32CE5C8"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C783159"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A09E831" w14:textId="77777777" w:rsidR="00751F10" w:rsidRDefault="00751F10">
            <w:pPr>
              <w:jc w:val="right"/>
            </w:pPr>
            <w:r>
              <w:rPr>
                <w:rFonts w:ascii="宋体" w:hAnsi="宋体" w:hint="eastAsia"/>
                <w:color w:val="000000"/>
                <w:lang w:eastAsia="zh-Hans"/>
              </w:rPr>
              <w:t>43,639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91D76DD" w14:textId="77777777" w:rsidR="00751F10" w:rsidRDefault="00751F10">
            <w:pPr>
              <w:jc w:val="right"/>
            </w:pPr>
            <w:r>
              <w:rPr>
                <w:rFonts w:ascii="宋体" w:hAnsi="宋体" w:hint="eastAsia"/>
                <w:color w:val="000000"/>
                <w:lang w:eastAsia="zh-Hans"/>
              </w:rPr>
              <w:t>112,252,030.21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A65FF08" w14:textId="77777777" w:rsidR="00751F10" w:rsidRDefault="00751F10">
            <w:pPr>
              <w:jc w:val="right"/>
            </w:pPr>
            <w:r>
              <w:rPr>
                <w:rFonts w:ascii="宋体" w:hAnsi="宋体" w:hint="eastAsia"/>
                <w:color w:val="000000"/>
                <w:lang w:eastAsia="zh-Hans"/>
              </w:rPr>
              <w:t>3.63</w:t>
            </w:r>
          </w:p>
        </w:tc>
      </w:tr>
      <w:tr w:rsidR="00DB4521" w14:paraId="76F960E7"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2F0043F" w14:textId="77777777" w:rsidR="00751F10" w:rsidRDefault="00751F10">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CDFC2B3" w14:textId="77777777" w:rsidR="00751F10" w:rsidRDefault="00751F10">
            <w:pPr>
              <w:jc w:val="center"/>
            </w:pPr>
            <w:r>
              <w:rPr>
                <w:rFonts w:ascii="宋体" w:hAnsi="宋体" w:hint="eastAsia"/>
                <w:color w:val="000000"/>
                <w:lang w:eastAsia="zh-Hans"/>
              </w:rPr>
              <w:t>META PLATFORMS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F3D1063"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4AA8B1F" w14:textId="77777777" w:rsidR="00751F10" w:rsidRDefault="00751F10">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DA7E021"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C4E30D9"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EB4CD2C" w14:textId="77777777" w:rsidR="00751F10" w:rsidRDefault="00751F10">
            <w:pPr>
              <w:jc w:val="right"/>
            </w:pPr>
            <w:r>
              <w:rPr>
                <w:rFonts w:ascii="宋体" w:hAnsi="宋体" w:hint="eastAsia"/>
                <w:color w:val="000000"/>
                <w:lang w:eastAsia="zh-Hans"/>
              </w:rPr>
              <w:t>25,788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92FF0BE" w14:textId="77777777" w:rsidR="00751F10" w:rsidRDefault="00751F10">
            <w:pPr>
              <w:jc w:val="right"/>
            </w:pPr>
            <w:r>
              <w:rPr>
                <w:rFonts w:ascii="宋体" w:hAnsi="宋体" w:hint="eastAsia"/>
                <w:color w:val="000000"/>
                <w:lang w:eastAsia="zh-Hans"/>
              </w:rPr>
              <w:t>102,089,439.55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F33881B" w14:textId="77777777" w:rsidR="00751F10" w:rsidRDefault="00751F10">
            <w:pPr>
              <w:jc w:val="right"/>
            </w:pPr>
            <w:r>
              <w:rPr>
                <w:rFonts w:ascii="宋体" w:hAnsi="宋体" w:hint="eastAsia"/>
                <w:color w:val="000000"/>
                <w:lang w:eastAsia="zh-Hans"/>
              </w:rPr>
              <w:t>3.30</w:t>
            </w:r>
          </w:p>
        </w:tc>
      </w:tr>
      <w:tr w:rsidR="00DB4521" w14:paraId="0511F64D"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80769BD" w14:textId="77777777" w:rsidR="00751F10" w:rsidRDefault="00751F10">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F706030" w14:textId="77777777" w:rsidR="00751F10" w:rsidRDefault="00751F10">
            <w:pPr>
              <w:jc w:val="center"/>
            </w:pPr>
            <w:r>
              <w:rPr>
                <w:rFonts w:ascii="宋体" w:hAnsi="宋体" w:hint="eastAsia"/>
                <w:color w:val="000000"/>
                <w:lang w:eastAsia="zh-Hans"/>
              </w:rPr>
              <w:t>WALMART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526D3D4"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D991CF2" w14:textId="77777777" w:rsidR="00751F10" w:rsidRDefault="00751F10">
            <w:pPr>
              <w:jc w:val="center"/>
            </w:pPr>
            <w:r>
              <w:rPr>
                <w:rFonts w:ascii="宋体" w:hAnsi="宋体" w:hint="eastAsia"/>
                <w:color w:val="000000"/>
                <w:lang w:eastAsia="zh-Hans"/>
              </w:rPr>
              <w:t>WMT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5F83AD8"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EF63C86"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77CA22B" w14:textId="77777777" w:rsidR="00751F10" w:rsidRDefault="00751F10">
            <w:pPr>
              <w:jc w:val="right"/>
            </w:pPr>
            <w:r>
              <w:rPr>
                <w:rFonts w:ascii="宋体" w:hAnsi="宋体" w:hint="eastAsia"/>
                <w:color w:val="000000"/>
                <w:lang w:eastAsia="zh-Hans"/>
              </w:rPr>
              <w:t>117,968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3661C05" w14:textId="77777777" w:rsidR="00751F10" w:rsidRDefault="00751F10">
            <w:pPr>
              <w:jc w:val="right"/>
            </w:pPr>
            <w:r>
              <w:rPr>
                <w:rFonts w:ascii="宋体" w:hAnsi="宋体" w:hint="eastAsia"/>
                <w:color w:val="000000"/>
                <w:lang w:eastAsia="zh-Hans"/>
              </w:rPr>
              <w:t>101,445,759.60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F4DC1D6" w14:textId="77777777" w:rsidR="00751F10" w:rsidRDefault="00751F10">
            <w:pPr>
              <w:jc w:val="right"/>
            </w:pPr>
            <w:r>
              <w:rPr>
                <w:rFonts w:ascii="宋体" w:hAnsi="宋体" w:hint="eastAsia"/>
                <w:color w:val="000000"/>
                <w:lang w:eastAsia="zh-Hans"/>
              </w:rPr>
              <w:t>3.28</w:t>
            </w:r>
          </w:p>
        </w:tc>
      </w:tr>
      <w:tr w:rsidR="00DB4521" w14:paraId="1CB44CC4"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D22AD5C" w14:textId="77777777" w:rsidR="00751F10" w:rsidRDefault="00751F10">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6615D8A" w14:textId="77777777" w:rsidR="00751F10" w:rsidRDefault="00751F10">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04E5D08"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953FD50" w14:textId="77777777" w:rsidR="00751F10" w:rsidRDefault="00751F10">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6298DD9"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333A8FB"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FE6756E" w14:textId="77777777" w:rsidR="00751F10" w:rsidRDefault="00751F10">
            <w:pPr>
              <w:jc w:val="right"/>
            </w:pPr>
            <w:r>
              <w:rPr>
                <w:rFonts w:ascii="宋体" w:hAnsi="宋体" w:hint="eastAsia"/>
                <w:color w:val="000000"/>
                <w:lang w:eastAsia="zh-Hans"/>
              </w:rPr>
              <w:t>50,904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733EB68" w14:textId="77777777" w:rsidR="00751F10" w:rsidRDefault="00751F10">
            <w:pPr>
              <w:jc w:val="right"/>
            </w:pPr>
            <w:r>
              <w:rPr>
                <w:rFonts w:ascii="宋体" w:hAnsi="宋体" w:hint="eastAsia"/>
                <w:color w:val="000000"/>
                <w:lang w:eastAsia="zh-Hans"/>
              </w:rPr>
              <w:t>101,285,860.57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DDAC495" w14:textId="77777777" w:rsidR="00751F10" w:rsidRDefault="00751F10">
            <w:pPr>
              <w:jc w:val="right"/>
            </w:pPr>
            <w:r>
              <w:rPr>
                <w:rFonts w:ascii="宋体" w:hAnsi="宋体" w:hint="eastAsia"/>
                <w:color w:val="000000"/>
                <w:lang w:eastAsia="zh-Hans"/>
              </w:rPr>
              <w:t>3.27</w:t>
            </w:r>
          </w:p>
        </w:tc>
      </w:tr>
      <w:tr w:rsidR="00DB4521" w14:paraId="6DF9871C"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BF1BD5D" w14:textId="77777777" w:rsidR="00751F10" w:rsidRDefault="00751F10">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3FA818A" w14:textId="77777777" w:rsidR="00751F10" w:rsidRDefault="00751F10">
            <w:pPr>
              <w:jc w:val="center"/>
            </w:pPr>
            <w:r>
              <w:rPr>
                <w:rFonts w:ascii="宋体" w:hAnsi="宋体" w:hint="eastAsia"/>
                <w:color w:val="000000"/>
                <w:lang w:eastAsia="zh-Hans"/>
              </w:rPr>
              <w:t xml:space="preserve">ALPHABET </w:t>
            </w:r>
            <w:r>
              <w:rPr>
                <w:rFonts w:ascii="宋体" w:hAnsi="宋体" w:hint="eastAsia"/>
                <w:color w:val="000000"/>
                <w:lang w:eastAsia="zh-Hans"/>
              </w:rPr>
              <w:lastRenderedPageBreak/>
              <w:t>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C483C11" w14:textId="77777777" w:rsidR="00751F10" w:rsidRDefault="00751F10">
            <w:pPr>
              <w:jc w:val="center"/>
            </w:pPr>
            <w:r>
              <w:rPr>
                <w:rFonts w:ascii="宋体" w:hAnsi="宋体" w:hint="eastAsia"/>
                <w:color w:val="000000"/>
                <w:lang w:eastAsia="zh-Hans"/>
              </w:rPr>
              <w:lastRenderedPageBreak/>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A34FCBE" w14:textId="77777777" w:rsidR="00751F10" w:rsidRDefault="00751F10">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DD0D113" w14:textId="77777777" w:rsidR="00751F10" w:rsidRDefault="00751F10">
            <w:r>
              <w:rPr>
                <w:rFonts w:ascii="宋体" w:hAnsi="宋体" w:hint="eastAsia"/>
                <w:color w:val="000000"/>
                <w:lang w:eastAsia="zh-Hans"/>
              </w:rPr>
              <w:t>纳斯达</w:t>
            </w:r>
            <w:r>
              <w:rPr>
                <w:rFonts w:ascii="宋体" w:hAnsi="宋体" w:hint="eastAsia"/>
                <w:color w:val="000000"/>
                <w:lang w:eastAsia="zh-Hans"/>
              </w:rPr>
              <w:lastRenderedPageBreak/>
              <w:t>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EF1ADC0" w14:textId="77777777" w:rsidR="00751F10" w:rsidRDefault="00751F10">
            <w:r>
              <w:rPr>
                <w:rFonts w:ascii="宋体" w:hAnsi="宋体" w:hint="eastAsia"/>
                <w:color w:val="000000"/>
                <w:lang w:eastAsia="zh-Hans"/>
              </w:rPr>
              <w:lastRenderedPageBreak/>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8A395AA" w14:textId="77777777" w:rsidR="00751F10" w:rsidRDefault="00751F10">
            <w:pPr>
              <w:jc w:val="right"/>
            </w:pPr>
            <w:r>
              <w:rPr>
                <w:rFonts w:ascii="宋体" w:hAnsi="宋体" w:hint="eastAsia"/>
                <w:color w:val="000000"/>
                <w:lang w:eastAsia="zh-Hans"/>
              </w:rPr>
              <w:t>47,54</w:t>
            </w:r>
            <w:r>
              <w:rPr>
                <w:rFonts w:ascii="宋体" w:hAnsi="宋体" w:hint="eastAsia"/>
                <w:color w:val="000000"/>
                <w:lang w:eastAsia="zh-Hans"/>
              </w:rPr>
              <w:lastRenderedPageBreak/>
              <w:t>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6B1586C" w14:textId="77777777" w:rsidR="00751F10" w:rsidRDefault="00751F10">
            <w:pPr>
              <w:jc w:val="right"/>
            </w:pPr>
            <w:r>
              <w:rPr>
                <w:rFonts w:ascii="宋体" w:hAnsi="宋体" w:hint="eastAsia"/>
                <w:color w:val="000000"/>
                <w:lang w:eastAsia="zh-Hans"/>
              </w:rPr>
              <w:lastRenderedPageBreak/>
              <w:t>94,375,996.</w:t>
            </w:r>
            <w:r>
              <w:rPr>
                <w:rFonts w:ascii="宋体" w:hAnsi="宋体" w:hint="eastAsia"/>
                <w:color w:val="000000"/>
                <w:lang w:eastAsia="zh-Hans"/>
              </w:rPr>
              <w:lastRenderedPageBreak/>
              <w:t>75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C9A13E1" w14:textId="77777777" w:rsidR="00751F10" w:rsidRDefault="00751F10">
            <w:pPr>
              <w:jc w:val="right"/>
            </w:pPr>
            <w:r>
              <w:rPr>
                <w:rFonts w:ascii="宋体" w:hAnsi="宋体" w:hint="eastAsia"/>
                <w:color w:val="000000"/>
                <w:lang w:eastAsia="zh-Hans"/>
              </w:rPr>
              <w:lastRenderedPageBreak/>
              <w:t>3.05</w:t>
            </w:r>
          </w:p>
        </w:tc>
      </w:tr>
      <w:tr w:rsidR="00DB4521" w14:paraId="27B0EF9D" w14:textId="77777777">
        <w:trPr>
          <w:divId w:val="17261744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8C13E6D" w14:textId="77777777" w:rsidR="00751F10" w:rsidRDefault="00751F10">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8849BD0" w14:textId="77777777" w:rsidR="00751F10" w:rsidRDefault="00751F10">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25A4797" w14:textId="77777777" w:rsidR="00751F10" w:rsidRDefault="00751F10">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C793B33" w14:textId="77777777" w:rsidR="00751F10" w:rsidRDefault="00751F10">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1E12171" w14:textId="77777777" w:rsidR="00751F10" w:rsidRDefault="00751F10">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4CCC717" w14:textId="77777777" w:rsidR="00751F10" w:rsidRDefault="00751F10">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EFE8B6D" w14:textId="77777777" w:rsidR="00751F10" w:rsidRDefault="00751F10">
            <w:pPr>
              <w:jc w:val="right"/>
            </w:pPr>
            <w:r>
              <w:rPr>
                <w:rFonts w:ascii="宋体" w:hAnsi="宋体" w:hint="eastAsia"/>
                <w:color w:val="000000"/>
                <w:lang w:eastAsia="zh-Hans"/>
              </w:rPr>
              <w:t>41,455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637DF25" w14:textId="77777777" w:rsidR="00751F10" w:rsidRDefault="00751F10">
            <w:pPr>
              <w:jc w:val="right"/>
            </w:pPr>
            <w:r>
              <w:rPr>
                <w:rFonts w:ascii="宋体" w:hAnsi="宋体" w:hint="eastAsia"/>
                <w:color w:val="000000"/>
                <w:lang w:eastAsia="zh-Hans"/>
              </w:rPr>
              <w:t>88,781,001.94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8783C60" w14:textId="77777777" w:rsidR="00751F10" w:rsidRDefault="00751F10">
            <w:pPr>
              <w:jc w:val="right"/>
            </w:pPr>
            <w:r>
              <w:rPr>
                <w:rFonts w:ascii="宋体" w:hAnsi="宋体" w:hint="eastAsia"/>
                <w:color w:val="000000"/>
                <w:lang w:eastAsia="zh-Hans"/>
              </w:rPr>
              <w:t>2.87</w:t>
            </w:r>
          </w:p>
        </w:tc>
      </w:tr>
    </w:tbl>
    <w:p w14:paraId="49E5317A" w14:textId="77777777" w:rsidR="00751F10" w:rsidRDefault="00751F10">
      <w:pPr>
        <w:spacing w:line="360" w:lineRule="auto"/>
        <w:divId w:val="1613895391"/>
      </w:pPr>
      <w:bookmarkStart w:id="205" w:name="m07_04_07_02"/>
      <w:bookmarkEnd w:id="200"/>
      <w:r>
        <w:rPr>
          <w:rFonts w:ascii="宋体" w:hAnsi="宋体" w:hint="eastAsia"/>
          <w:kern w:val="0"/>
          <w:szCs w:val="21"/>
        </w:rPr>
        <w:t>注：</w:t>
      </w:r>
      <w:r>
        <w:rPr>
          <w:rFonts w:ascii="宋体" w:hAnsi="宋体" w:hint="eastAsia"/>
          <w:lang w:eastAsia="zh-Hans"/>
        </w:rPr>
        <w:t>此处所用证券代码的类别是当地市场代码。</w:t>
      </w:r>
      <w:bookmarkEnd w:id="184"/>
      <w:bookmarkEnd w:id="201"/>
      <w:bookmarkEnd w:id="202"/>
      <w:bookmarkEnd w:id="203"/>
      <w:bookmarkEnd w:id="204"/>
    </w:p>
    <w:p w14:paraId="78A7EE2F" w14:textId="77777777" w:rsidR="00751F10" w:rsidRDefault="00751F10">
      <w:pPr>
        <w:pStyle w:val="XBRLTitle3"/>
        <w:spacing w:before="156"/>
        <w:ind w:left="0"/>
        <w:rPr>
          <w:rFonts w:hint="eastAsia"/>
        </w:rPr>
      </w:pPr>
      <w:bookmarkStart w:id="206" w:name="_Toc513658029"/>
      <w:bookmarkStart w:id="207" w:name="_Toc514178691"/>
      <w:proofErr w:type="spellStart"/>
      <w:r>
        <w:rPr>
          <w:rFonts w:hint="eastAsia"/>
        </w:rPr>
        <w:t>报告期末积极投资按公允价值占基金资产净值比例大小排序的前五名股票及存托凭证投资明细</w:t>
      </w:r>
      <w:bookmarkEnd w:id="206"/>
      <w:bookmarkEnd w:id="207"/>
      <w:proofErr w:type="spellEnd"/>
      <w:r>
        <w:rPr>
          <w:rFonts w:hint="eastAsia"/>
        </w:rPr>
        <w:t xml:space="preserve"> </w:t>
      </w:r>
    </w:p>
    <w:p w14:paraId="5D696B3F" w14:textId="77777777" w:rsidR="00751F10" w:rsidRDefault="00751F10">
      <w:pPr>
        <w:spacing w:line="360" w:lineRule="auto"/>
        <w:ind w:firstLineChars="200" w:firstLine="420"/>
        <w:jc w:val="left"/>
      </w:pPr>
      <w:r>
        <w:rPr>
          <w:rFonts w:ascii="宋体" w:hAnsi="宋体" w:hint="eastAsia"/>
        </w:rPr>
        <w:t>本基金本报告期末未持有积极投资股票。</w:t>
      </w:r>
    </w:p>
    <w:p w14:paraId="30443890" w14:textId="77777777" w:rsidR="00751F10" w:rsidRDefault="00751F10">
      <w:pPr>
        <w:pStyle w:val="XBRLTitle2"/>
        <w:spacing w:before="156" w:line="360" w:lineRule="auto"/>
        <w:ind w:left="454"/>
        <w:rPr>
          <w:rFonts w:hint="eastAsia"/>
        </w:rPr>
      </w:pPr>
      <w:bookmarkStart w:id="208" w:name="_Toc459213781"/>
      <w:bookmarkStart w:id="209" w:name="_Toc456107135"/>
      <w:bookmarkStart w:id="210" w:name="_Toc438654090"/>
      <w:bookmarkStart w:id="211" w:name="_Toc448480302"/>
      <w:bookmarkStart w:id="212" w:name="_Toc480465436"/>
      <w:bookmarkStart w:id="213" w:name="_Toc512611298"/>
      <w:bookmarkStart w:id="214" w:name="_Toc512612094"/>
      <w:bookmarkStart w:id="215" w:name="_Toc512612270"/>
      <w:bookmarkStart w:id="216" w:name="_Toc513658030"/>
      <w:bookmarkStart w:id="217" w:name="_Toc514178692"/>
      <w:bookmarkStart w:id="218" w:name="m505"/>
      <w:proofErr w:type="spellStart"/>
      <w:r>
        <w:rPr>
          <w:rFonts w:hint="eastAsia"/>
        </w:rPr>
        <w:t>报告期末按债券信用等级分类的债券投资组合</w:t>
      </w:r>
      <w:bookmarkEnd w:id="208"/>
      <w:bookmarkEnd w:id="209"/>
      <w:bookmarkEnd w:id="210"/>
      <w:bookmarkEnd w:id="211"/>
      <w:bookmarkEnd w:id="212"/>
      <w:bookmarkEnd w:id="213"/>
      <w:bookmarkEnd w:id="214"/>
      <w:bookmarkEnd w:id="215"/>
      <w:bookmarkEnd w:id="216"/>
      <w:bookmarkEnd w:id="217"/>
      <w:proofErr w:type="spellEnd"/>
      <w:r>
        <w:rPr>
          <w:rFonts w:hint="eastAsia"/>
        </w:rPr>
        <w:t xml:space="preserve"> </w:t>
      </w:r>
    </w:p>
    <w:p w14:paraId="443ABCA3" w14:textId="77777777" w:rsidR="00751F10" w:rsidRDefault="00751F10">
      <w:pPr>
        <w:spacing w:line="360" w:lineRule="auto"/>
        <w:ind w:firstLineChars="200" w:firstLine="420"/>
        <w:jc w:val="left"/>
      </w:pPr>
      <w:r>
        <w:rPr>
          <w:rFonts w:ascii="宋体" w:hAnsi="宋体" w:hint="eastAsia"/>
        </w:rPr>
        <w:t>本基金本报告期末未持有债券。</w:t>
      </w:r>
    </w:p>
    <w:p w14:paraId="1C638844" w14:textId="77777777" w:rsidR="00751F10" w:rsidRDefault="00751F10">
      <w:pPr>
        <w:pStyle w:val="XBRLTitle2"/>
        <w:spacing w:before="156" w:line="360" w:lineRule="auto"/>
        <w:ind w:left="454"/>
        <w:rPr>
          <w:rFonts w:hint="eastAsia"/>
        </w:rPr>
      </w:pPr>
      <w:bookmarkStart w:id="219" w:name="_Toc459213782"/>
      <w:bookmarkStart w:id="220" w:name="_Toc456107136"/>
      <w:bookmarkStart w:id="221" w:name="_Toc438654091"/>
      <w:bookmarkStart w:id="222" w:name="_Toc448480303"/>
      <w:bookmarkStart w:id="223" w:name="_Toc480465437"/>
      <w:bookmarkStart w:id="224" w:name="_Toc514178693"/>
      <w:bookmarkStart w:id="225" w:name="_Toc512611299"/>
      <w:bookmarkStart w:id="226" w:name="_Toc512612095"/>
      <w:bookmarkStart w:id="227" w:name="_Toc512612271"/>
      <w:bookmarkStart w:id="228" w:name="_Toc513658031"/>
      <w:bookmarkStart w:id="229" w:name="m506"/>
      <w:bookmarkEnd w:id="218"/>
      <w:proofErr w:type="spellStart"/>
      <w:r>
        <w:rPr>
          <w:rFonts w:hint="eastAsia"/>
        </w:rPr>
        <w:t>报告期末按公允价值占基金资产净值比例大小排名的前五名债券投资明细</w:t>
      </w:r>
      <w:bookmarkEnd w:id="219"/>
      <w:bookmarkEnd w:id="220"/>
      <w:bookmarkEnd w:id="221"/>
      <w:bookmarkEnd w:id="222"/>
      <w:bookmarkEnd w:id="223"/>
      <w:bookmarkEnd w:id="224"/>
      <w:proofErr w:type="spellEnd"/>
      <w:r>
        <w:rPr>
          <w:rFonts w:hint="eastAsia"/>
        </w:rPr>
        <w:t xml:space="preserve"> </w:t>
      </w:r>
      <w:bookmarkEnd w:id="225"/>
      <w:bookmarkEnd w:id="226"/>
      <w:bookmarkEnd w:id="227"/>
      <w:bookmarkEnd w:id="228"/>
    </w:p>
    <w:p w14:paraId="316F6462" w14:textId="77777777" w:rsidR="00751F10" w:rsidRDefault="00751F10">
      <w:pPr>
        <w:spacing w:line="360" w:lineRule="auto"/>
        <w:ind w:firstLineChars="200" w:firstLine="420"/>
        <w:jc w:val="left"/>
        <w:divId w:val="1929383211"/>
      </w:pPr>
      <w:r>
        <w:rPr>
          <w:rFonts w:ascii="宋体" w:hAnsi="宋体" w:hint="eastAsia"/>
          <w:color w:val="000000"/>
          <w:szCs w:val="21"/>
          <w:lang w:eastAsia="zh-Hans"/>
        </w:rPr>
        <w:t>本基金本报告期末未持有债券。</w:t>
      </w:r>
    </w:p>
    <w:p w14:paraId="196AC89D" w14:textId="77777777" w:rsidR="00751F10" w:rsidRDefault="00751F10">
      <w:pPr>
        <w:pStyle w:val="XBRLTitle2"/>
        <w:spacing w:before="156" w:line="360" w:lineRule="auto"/>
        <w:ind w:left="454"/>
        <w:rPr>
          <w:rFonts w:hint="eastAsia"/>
        </w:rPr>
      </w:pPr>
      <w:bookmarkStart w:id="230" w:name="_Toc459213783"/>
      <w:bookmarkStart w:id="231" w:name="_Toc456107137"/>
      <w:bookmarkStart w:id="232" w:name="_Toc438654092"/>
      <w:bookmarkStart w:id="233" w:name="_Toc448480304"/>
      <w:bookmarkStart w:id="234" w:name="_Toc480465438"/>
      <w:bookmarkStart w:id="235" w:name="_Toc514178694"/>
      <w:bookmarkStart w:id="236" w:name="_Toc512611300"/>
      <w:bookmarkStart w:id="237" w:name="_Toc512612096"/>
      <w:bookmarkStart w:id="238" w:name="_Toc512612272"/>
      <w:bookmarkStart w:id="239" w:name="_Toc513658032"/>
      <w:bookmarkStart w:id="240" w:name="m507"/>
      <w:bookmarkEnd w:id="229"/>
      <w:proofErr w:type="spellStart"/>
      <w:r>
        <w:rPr>
          <w:rFonts w:hint="eastAsia"/>
        </w:rPr>
        <w:t>报告期末按公允价值占基金资产净值比例大小排名的前十名资产支持证券投资明细</w:t>
      </w:r>
      <w:bookmarkEnd w:id="230"/>
      <w:bookmarkEnd w:id="231"/>
      <w:bookmarkEnd w:id="232"/>
      <w:bookmarkEnd w:id="233"/>
      <w:bookmarkEnd w:id="234"/>
      <w:bookmarkEnd w:id="235"/>
      <w:proofErr w:type="spellEnd"/>
      <w:r>
        <w:rPr>
          <w:rFonts w:hint="eastAsia"/>
        </w:rPr>
        <w:t xml:space="preserve"> </w:t>
      </w:r>
      <w:bookmarkEnd w:id="236"/>
      <w:bookmarkEnd w:id="237"/>
      <w:bookmarkEnd w:id="238"/>
      <w:bookmarkEnd w:id="239"/>
    </w:p>
    <w:p w14:paraId="309EEDAD" w14:textId="77777777" w:rsidR="00751F10" w:rsidRDefault="00751F10">
      <w:pPr>
        <w:spacing w:line="360" w:lineRule="auto"/>
        <w:ind w:firstLineChars="200" w:firstLine="420"/>
        <w:jc w:val="left"/>
        <w:divId w:val="1133794899"/>
      </w:pPr>
      <w:r>
        <w:rPr>
          <w:rFonts w:ascii="宋体" w:hAnsi="宋体" w:hint="eastAsia"/>
          <w:color w:val="000000"/>
          <w:szCs w:val="21"/>
          <w:lang w:eastAsia="zh-Hans"/>
        </w:rPr>
        <w:t>本基金本报告期末未持有资产支持证券。</w:t>
      </w:r>
    </w:p>
    <w:p w14:paraId="5C10D9FE" w14:textId="77777777" w:rsidR="00751F10" w:rsidRDefault="00751F10">
      <w:pPr>
        <w:pStyle w:val="XBRLTitle2"/>
        <w:spacing w:before="156" w:line="360" w:lineRule="auto"/>
        <w:ind w:left="454"/>
        <w:rPr>
          <w:rFonts w:hint="eastAsia"/>
        </w:rPr>
      </w:pPr>
      <w:bookmarkStart w:id="241" w:name="_Toc448480305"/>
      <w:bookmarkStart w:id="242" w:name="_Toc438654093"/>
      <w:bookmarkStart w:id="243" w:name="_Toc456107138"/>
      <w:bookmarkStart w:id="244" w:name="_Toc459213784"/>
      <w:bookmarkStart w:id="245" w:name="_Toc480465439"/>
      <w:bookmarkStart w:id="246" w:name="_Toc514178695"/>
      <w:bookmarkStart w:id="247" w:name="_Toc512611301"/>
      <w:bookmarkStart w:id="248" w:name="_Toc512612097"/>
      <w:bookmarkStart w:id="249" w:name="_Toc512612273"/>
      <w:bookmarkStart w:id="250" w:name="_Toc513658033"/>
      <w:bookmarkStart w:id="251" w:name="m508"/>
      <w:bookmarkEnd w:id="240"/>
      <w:proofErr w:type="spellStart"/>
      <w:r>
        <w:rPr>
          <w:rFonts w:hint="eastAsia"/>
        </w:rPr>
        <w:t>报告期末按公允价值占基金资产净值比例大小排名的前五名金融衍生品投资明细</w:t>
      </w:r>
      <w:bookmarkEnd w:id="241"/>
      <w:bookmarkEnd w:id="242"/>
      <w:bookmarkEnd w:id="243"/>
      <w:bookmarkEnd w:id="244"/>
      <w:bookmarkEnd w:id="245"/>
      <w:bookmarkEnd w:id="246"/>
      <w:proofErr w:type="spellEnd"/>
      <w:r>
        <w:rPr>
          <w:rFonts w:hint="eastAsia"/>
        </w:rPr>
        <w:t xml:space="preserve"> </w:t>
      </w:r>
      <w:bookmarkEnd w:id="247"/>
      <w:bookmarkEnd w:id="248"/>
      <w:bookmarkEnd w:id="249"/>
      <w:bookmarkEnd w:id="250"/>
    </w:p>
    <w:p w14:paraId="0D87BE71" w14:textId="77777777" w:rsidR="00751F10" w:rsidRDefault="00751F10">
      <w:pPr>
        <w:spacing w:line="360" w:lineRule="auto"/>
        <w:ind w:firstLineChars="200" w:firstLine="420"/>
        <w:divId w:val="1256404531"/>
      </w:pPr>
      <w:bookmarkStart w:id="252"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2"/>
      <w:r>
        <w:rPr>
          <w:rFonts w:ascii="宋体" w:hAnsi="宋体" w:hint="eastAsia"/>
          <w:szCs w:val="24"/>
          <w:lang w:eastAsia="zh-Hans"/>
        </w:rPr>
        <w:t xml:space="preserve"> </w:t>
      </w:r>
    </w:p>
    <w:p w14:paraId="2BA1AE5F" w14:textId="77777777" w:rsidR="00751F10" w:rsidRDefault="00751F10">
      <w:pPr>
        <w:pStyle w:val="XBRLTitle2"/>
        <w:spacing w:before="156" w:line="360" w:lineRule="auto"/>
        <w:ind w:left="454"/>
        <w:rPr>
          <w:rFonts w:hint="eastAsia"/>
        </w:rPr>
      </w:pPr>
      <w:bookmarkStart w:id="253" w:name="_Toc448480306"/>
      <w:bookmarkStart w:id="254" w:name="_Toc438654094"/>
      <w:bookmarkStart w:id="255" w:name="_Toc456107139"/>
      <w:bookmarkStart w:id="256" w:name="_Toc459213785"/>
      <w:bookmarkStart w:id="257" w:name="_Toc480465440"/>
      <w:bookmarkStart w:id="258" w:name="_Toc514178696"/>
      <w:bookmarkStart w:id="259" w:name="_Toc512611302"/>
      <w:bookmarkStart w:id="260" w:name="_Toc512612098"/>
      <w:bookmarkStart w:id="261" w:name="_Toc512612274"/>
      <w:bookmarkStart w:id="262" w:name="_Toc513658034"/>
      <w:bookmarkStart w:id="263" w:name="m509"/>
      <w:bookmarkEnd w:id="251"/>
      <w:proofErr w:type="spellStart"/>
      <w:r>
        <w:rPr>
          <w:rFonts w:hint="eastAsia"/>
        </w:rPr>
        <w:t>报告期末按公允价值占基金资产净值比例大小排序的前十名基金投资明细</w:t>
      </w:r>
      <w:bookmarkEnd w:id="253"/>
      <w:bookmarkEnd w:id="254"/>
      <w:bookmarkEnd w:id="255"/>
      <w:bookmarkEnd w:id="256"/>
      <w:bookmarkEnd w:id="257"/>
      <w:bookmarkEnd w:id="258"/>
      <w:proofErr w:type="spellEnd"/>
      <w:r>
        <w:rPr>
          <w:rFonts w:hint="eastAsia"/>
        </w:rPr>
        <w:t xml:space="preserve"> </w:t>
      </w:r>
      <w:bookmarkEnd w:id="259"/>
      <w:bookmarkEnd w:id="260"/>
      <w:bookmarkEnd w:id="261"/>
      <w:bookmarkEnd w:id="262"/>
    </w:p>
    <w:p w14:paraId="74AB4AA0" w14:textId="77777777" w:rsidR="00751F10" w:rsidRDefault="00751F10">
      <w:pPr>
        <w:spacing w:line="360" w:lineRule="auto"/>
        <w:ind w:firstLineChars="200" w:firstLine="420"/>
      </w:pPr>
      <w:bookmarkStart w:id="264" w:name="m08QD_10"/>
      <w:bookmarkEnd w:id="205"/>
      <w:r>
        <w:rPr>
          <w:rFonts w:ascii="宋体" w:hAnsi="宋体" w:hint="eastAsia"/>
          <w:szCs w:val="21"/>
          <w:lang w:eastAsia="zh-Hans"/>
        </w:rPr>
        <w:t>本基金本报告期末未持有基金。</w:t>
      </w:r>
      <w:r>
        <w:rPr>
          <w:rFonts w:ascii="宋体" w:hAnsi="宋体" w:hint="eastAsia"/>
          <w:lang w:eastAsia="zh-Hans"/>
        </w:rPr>
        <w:t xml:space="preserve"> </w:t>
      </w:r>
      <w:bookmarkEnd w:id="149"/>
      <w:bookmarkEnd w:id="150"/>
      <w:bookmarkEnd w:id="151"/>
      <w:bookmarkEnd w:id="152"/>
      <w:bookmarkEnd w:id="264"/>
    </w:p>
    <w:p w14:paraId="6A5ACD57" w14:textId="77777777" w:rsidR="00751F10" w:rsidRDefault="00751F10">
      <w:pPr>
        <w:pStyle w:val="XBRLTitle2"/>
        <w:spacing w:before="156" w:line="360" w:lineRule="auto"/>
        <w:ind w:left="454"/>
        <w:rPr>
          <w:rFonts w:hint="eastAsia"/>
        </w:rPr>
      </w:pPr>
      <w:bookmarkStart w:id="265" w:name="_Toc448480307"/>
      <w:bookmarkStart w:id="266" w:name="_Toc438654095"/>
      <w:bookmarkStart w:id="267" w:name="_Toc456107140"/>
      <w:bookmarkStart w:id="268" w:name="_Toc459213786"/>
      <w:bookmarkStart w:id="269" w:name="_Toc480465441"/>
      <w:bookmarkStart w:id="270" w:name="_Toc512611303"/>
      <w:bookmarkStart w:id="271" w:name="_Toc512612099"/>
      <w:bookmarkStart w:id="272" w:name="_Toc512612275"/>
      <w:bookmarkStart w:id="273" w:name="_Toc513658035"/>
      <w:bookmarkStart w:id="274" w:name="_Toc514178697"/>
      <w:bookmarkEnd w:id="263"/>
      <w:proofErr w:type="spellStart"/>
      <w:r>
        <w:rPr>
          <w:rFonts w:hint="eastAsia"/>
        </w:rPr>
        <w:t>投资组合报告附注</w:t>
      </w:r>
      <w:bookmarkEnd w:id="265"/>
      <w:bookmarkEnd w:id="266"/>
      <w:bookmarkEnd w:id="267"/>
      <w:bookmarkEnd w:id="268"/>
      <w:bookmarkEnd w:id="269"/>
      <w:bookmarkEnd w:id="270"/>
      <w:bookmarkEnd w:id="271"/>
      <w:bookmarkEnd w:id="272"/>
      <w:bookmarkEnd w:id="273"/>
      <w:bookmarkEnd w:id="274"/>
      <w:proofErr w:type="spellEnd"/>
      <w:r>
        <w:rPr>
          <w:rFonts w:hint="eastAsia"/>
        </w:rPr>
        <w:t xml:space="preserve"> </w:t>
      </w:r>
    </w:p>
    <w:p w14:paraId="38846E21" w14:textId="77777777" w:rsidR="00751F10" w:rsidRDefault="00751F10">
      <w:pPr>
        <w:pStyle w:val="XBRLTitle3"/>
        <w:spacing w:before="156"/>
        <w:ind w:left="0"/>
        <w:rPr>
          <w:rFonts w:hint="eastAsia"/>
        </w:rPr>
      </w:pPr>
      <w:bookmarkStart w:id="275" w:name="m510_01_1597"/>
      <w:r>
        <w:rPr>
          <w:rFonts w:hint="eastAsia"/>
        </w:rPr>
        <w:t> </w:t>
      </w:r>
      <w:r>
        <w:rPr>
          <w:rFonts w:hint="eastAsia"/>
          <w:lang w:eastAsia="zh-CN"/>
        </w:rPr>
        <w:t xml:space="preserve"> </w:t>
      </w:r>
      <w:bookmarkStart w:id="276" w:name="_Toc514088270"/>
      <w:bookmarkStart w:id="277" w:name="_Toc513542671"/>
      <w:bookmarkStart w:id="278" w:name="_Toc480465442"/>
      <w:bookmarkEnd w:id="276"/>
      <w:bookmarkEnd w:id="277"/>
      <w:bookmarkEnd w:id="278"/>
      <w:r>
        <w:rPr>
          <w:rFonts w:hint="eastAsia"/>
        </w:rPr>
        <w:t xml:space="preserve"> </w:t>
      </w:r>
    </w:p>
    <w:p w14:paraId="4B81B491" w14:textId="77777777" w:rsidR="00751F10" w:rsidRDefault="00751F1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9F8EA94" w14:textId="77777777" w:rsidR="00751F10" w:rsidRDefault="00751F10">
      <w:pPr>
        <w:pStyle w:val="XBRLTitle3"/>
        <w:spacing w:before="156"/>
        <w:ind w:left="0"/>
        <w:rPr>
          <w:rFonts w:hint="eastAsia"/>
        </w:rPr>
      </w:pPr>
      <w:bookmarkStart w:id="279" w:name="m510_01_1598"/>
      <w:bookmarkEnd w:id="275"/>
      <w:r>
        <w:rPr>
          <w:rFonts w:hint="eastAsia"/>
        </w:rPr>
        <w:t> </w:t>
      </w:r>
      <w:r>
        <w:rPr>
          <w:rFonts w:hint="eastAsia"/>
          <w:lang w:eastAsia="zh-CN"/>
        </w:rPr>
        <w:t xml:space="preserve"> </w:t>
      </w:r>
      <w:bookmarkStart w:id="280" w:name="_Toc514088271"/>
      <w:bookmarkStart w:id="281" w:name="_Toc513542672"/>
      <w:bookmarkStart w:id="282" w:name="_Toc480465443"/>
      <w:bookmarkEnd w:id="280"/>
      <w:bookmarkEnd w:id="281"/>
      <w:bookmarkEnd w:id="282"/>
      <w:r>
        <w:rPr>
          <w:rFonts w:hint="eastAsia"/>
        </w:rPr>
        <w:t xml:space="preserve"> </w:t>
      </w:r>
    </w:p>
    <w:p w14:paraId="6D4C09AD" w14:textId="77777777" w:rsidR="00751F10" w:rsidRDefault="00751F10">
      <w:pPr>
        <w:spacing w:line="360" w:lineRule="auto"/>
        <w:ind w:firstLineChars="200" w:firstLine="420"/>
      </w:pPr>
      <w:r>
        <w:rPr>
          <w:rFonts w:ascii="宋体" w:hAnsi="宋体" w:hint="eastAsia"/>
        </w:rPr>
        <w:t>报告期内本基金投资的前十名股票中没有在基金合同规定备选股票库之外的股票。</w:t>
      </w:r>
    </w:p>
    <w:p w14:paraId="191C30DB" w14:textId="77777777" w:rsidR="00751F10" w:rsidRDefault="00751F10">
      <w:pPr>
        <w:pStyle w:val="XBRLTitle3"/>
        <w:spacing w:before="156"/>
        <w:ind w:left="0"/>
        <w:rPr>
          <w:rFonts w:hint="eastAsia"/>
        </w:rPr>
      </w:pPr>
      <w:bookmarkStart w:id="283" w:name="_Toc480465444"/>
      <w:bookmarkStart w:id="284" w:name="_Toc514178700"/>
      <w:bookmarkStart w:id="285" w:name="_Toc513658038"/>
      <w:bookmarkStart w:id="286" w:name="m510_02"/>
      <w:bookmarkEnd w:id="279"/>
      <w:proofErr w:type="spellStart"/>
      <w:r>
        <w:rPr>
          <w:rFonts w:hint="eastAsia"/>
        </w:rPr>
        <w:lastRenderedPageBreak/>
        <w:t>其他资产构成</w:t>
      </w:r>
      <w:bookmarkEnd w:id="283"/>
      <w:bookmarkEnd w:id="284"/>
      <w:proofErr w:type="spellEnd"/>
      <w:r>
        <w:rPr>
          <w:rFonts w:hint="eastAsia"/>
        </w:rPr>
        <w:t xml:space="preserve"> </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B4521" w14:paraId="11DB409D" w14:textId="77777777">
        <w:trPr>
          <w:divId w:val="19955251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AF089" w14:textId="77777777" w:rsidR="00751F10" w:rsidRDefault="00751F1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AB3B4" w14:textId="77777777" w:rsidR="00751F10" w:rsidRDefault="00751F1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CC47F" w14:textId="77777777" w:rsidR="00751F10" w:rsidRDefault="00751F10">
            <w:pPr>
              <w:jc w:val="center"/>
            </w:pPr>
            <w:r>
              <w:rPr>
                <w:rFonts w:ascii="宋体" w:hAnsi="宋体" w:hint="eastAsia"/>
              </w:rPr>
              <w:t>金额（人民币元）</w:t>
            </w:r>
            <w:r>
              <w:t xml:space="preserve"> </w:t>
            </w:r>
          </w:p>
        </w:tc>
      </w:tr>
      <w:tr w:rsidR="00DB4521" w14:paraId="41C786D5"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A7FE8" w14:textId="77777777" w:rsidR="00751F10" w:rsidRDefault="00751F1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BBF2" w14:textId="77777777" w:rsidR="00751F10" w:rsidRDefault="00751F1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C3CDC" w14:textId="77777777" w:rsidR="00751F10" w:rsidRDefault="00751F10">
            <w:pPr>
              <w:jc w:val="right"/>
            </w:pPr>
            <w:r>
              <w:rPr>
                <w:rFonts w:ascii="宋体" w:hAnsi="宋体" w:hint="eastAsia"/>
              </w:rPr>
              <w:t>-</w:t>
            </w:r>
          </w:p>
        </w:tc>
      </w:tr>
      <w:tr w:rsidR="00DB4521" w14:paraId="58D51D6B"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C7B17" w14:textId="77777777" w:rsidR="00751F10" w:rsidRDefault="00751F1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AE671" w14:textId="77777777" w:rsidR="00751F10" w:rsidRDefault="00751F1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742A9" w14:textId="77777777" w:rsidR="00751F10" w:rsidRDefault="00751F10">
            <w:pPr>
              <w:jc w:val="right"/>
            </w:pPr>
            <w:r>
              <w:rPr>
                <w:rFonts w:ascii="宋体" w:hAnsi="宋体" w:hint="eastAsia"/>
              </w:rPr>
              <w:t>-</w:t>
            </w:r>
          </w:p>
        </w:tc>
      </w:tr>
      <w:tr w:rsidR="00DB4521" w14:paraId="2A545C59"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66B6A" w14:textId="77777777" w:rsidR="00751F10" w:rsidRDefault="00751F1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3774E" w14:textId="77777777" w:rsidR="00751F10" w:rsidRDefault="00751F1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4D537" w14:textId="77777777" w:rsidR="00751F10" w:rsidRDefault="00751F10">
            <w:pPr>
              <w:jc w:val="right"/>
            </w:pPr>
            <w:r>
              <w:rPr>
                <w:rFonts w:ascii="宋体" w:hAnsi="宋体" w:hint="eastAsia"/>
              </w:rPr>
              <w:t>647,614.54</w:t>
            </w:r>
          </w:p>
        </w:tc>
      </w:tr>
      <w:tr w:rsidR="00DB4521" w14:paraId="0867CB78"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7931C" w14:textId="77777777" w:rsidR="00751F10" w:rsidRDefault="00751F1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3454D" w14:textId="77777777" w:rsidR="00751F10" w:rsidRDefault="00751F1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69AA7" w14:textId="77777777" w:rsidR="00751F10" w:rsidRDefault="00751F10">
            <w:pPr>
              <w:jc w:val="right"/>
            </w:pPr>
            <w:r>
              <w:rPr>
                <w:rFonts w:ascii="宋体" w:hAnsi="宋体" w:hint="eastAsia"/>
              </w:rPr>
              <w:t>-</w:t>
            </w:r>
          </w:p>
        </w:tc>
      </w:tr>
      <w:tr w:rsidR="00DB4521" w14:paraId="14FA6426"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5630F" w14:textId="77777777" w:rsidR="00751F10" w:rsidRDefault="00751F1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5ED39" w14:textId="77777777" w:rsidR="00751F10" w:rsidRDefault="00751F1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A7513" w14:textId="77777777" w:rsidR="00751F10" w:rsidRDefault="00751F10">
            <w:pPr>
              <w:jc w:val="right"/>
            </w:pPr>
            <w:r>
              <w:rPr>
                <w:rFonts w:ascii="宋体" w:hAnsi="宋体" w:hint="eastAsia"/>
              </w:rPr>
              <w:t>7,407,624.51</w:t>
            </w:r>
          </w:p>
        </w:tc>
      </w:tr>
      <w:tr w:rsidR="00DB4521" w14:paraId="4F55C763"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0BE39" w14:textId="77777777" w:rsidR="00751F10" w:rsidRDefault="00751F1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E884C" w14:textId="77777777" w:rsidR="00751F10" w:rsidRDefault="00751F1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F7B31" w14:textId="77777777" w:rsidR="00751F10" w:rsidRDefault="00751F10">
            <w:pPr>
              <w:jc w:val="right"/>
            </w:pPr>
            <w:r>
              <w:rPr>
                <w:rFonts w:ascii="宋体" w:hAnsi="宋体" w:hint="eastAsia"/>
              </w:rPr>
              <w:t>-</w:t>
            </w:r>
          </w:p>
        </w:tc>
      </w:tr>
      <w:tr w:rsidR="00DB4521" w14:paraId="7F972D3C"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F10D6" w14:textId="77777777" w:rsidR="00751F10" w:rsidRDefault="00751F1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59C7D" w14:textId="77777777" w:rsidR="00751F10" w:rsidRDefault="00751F1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12A78" w14:textId="77777777" w:rsidR="00751F10" w:rsidRDefault="00751F10">
            <w:pPr>
              <w:jc w:val="right"/>
            </w:pPr>
            <w:r>
              <w:rPr>
                <w:rFonts w:ascii="宋体" w:hAnsi="宋体" w:hint="eastAsia"/>
              </w:rPr>
              <w:t>-</w:t>
            </w:r>
          </w:p>
        </w:tc>
      </w:tr>
      <w:tr w:rsidR="00DB4521" w14:paraId="202FF3FF" w14:textId="77777777">
        <w:trPr>
          <w:divId w:val="19955251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F4983" w14:textId="77777777" w:rsidR="00751F10" w:rsidRDefault="00751F1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40407" w14:textId="77777777" w:rsidR="00751F10" w:rsidRDefault="00751F1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B476C" w14:textId="77777777" w:rsidR="00751F10" w:rsidRDefault="00751F10">
            <w:pPr>
              <w:jc w:val="right"/>
            </w:pPr>
            <w:r>
              <w:rPr>
                <w:rFonts w:ascii="宋体" w:hAnsi="宋体" w:hint="eastAsia"/>
              </w:rPr>
              <w:t>8,055,239.05</w:t>
            </w:r>
          </w:p>
        </w:tc>
      </w:tr>
    </w:tbl>
    <w:p w14:paraId="6AB0378E" w14:textId="77777777" w:rsidR="00751F10" w:rsidRDefault="00751F10">
      <w:pPr>
        <w:pStyle w:val="XBRLTitle3"/>
        <w:spacing w:before="156"/>
        <w:ind w:left="0"/>
        <w:rPr>
          <w:rFonts w:hint="eastAsia"/>
        </w:rPr>
      </w:pPr>
      <w:bookmarkStart w:id="287" w:name="_Toc480465445"/>
      <w:bookmarkStart w:id="288" w:name="_Toc514178701"/>
      <w:bookmarkStart w:id="289" w:name="_Toc513658039"/>
      <w:bookmarkStart w:id="290" w:name="m510_03"/>
      <w:bookmarkEnd w:id="286"/>
      <w:proofErr w:type="spellStart"/>
      <w:r>
        <w:rPr>
          <w:rFonts w:hint="eastAsia"/>
        </w:rPr>
        <w:t>报告期末持有的处于转股期的可转换债券明细</w:t>
      </w:r>
      <w:bookmarkEnd w:id="287"/>
      <w:bookmarkEnd w:id="288"/>
      <w:proofErr w:type="spellEnd"/>
      <w:r>
        <w:rPr>
          <w:rFonts w:hint="eastAsia"/>
        </w:rPr>
        <w:t xml:space="preserve"> </w:t>
      </w:r>
      <w:bookmarkEnd w:id="289"/>
    </w:p>
    <w:p w14:paraId="05502C17" w14:textId="77777777" w:rsidR="00751F10" w:rsidRDefault="00751F10">
      <w:pPr>
        <w:spacing w:line="360" w:lineRule="auto"/>
        <w:ind w:firstLineChars="200" w:firstLine="420"/>
        <w:jc w:val="left"/>
        <w:divId w:val="83382051"/>
      </w:pPr>
      <w:r>
        <w:rPr>
          <w:rFonts w:ascii="宋体" w:hAnsi="宋体" w:hint="eastAsia"/>
        </w:rPr>
        <w:t xml:space="preserve">本基金本报告期末未持有处于转股期的可转换债券。 </w:t>
      </w:r>
    </w:p>
    <w:p w14:paraId="6FB8183D" w14:textId="77777777" w:rsidR="00751F10" w:rsidRDefault="00751F10">
      <w:pPr>
        <w:pStyle w:val="XBRLTitle3"/>
        <w:spacing w:before="156"/>
        <w:ind w:left="0"/>
        <w:rPr>
          <w:rFonts w:hint="eastAsia"/>
        </w:rPr>
      </w:pPr>
      <w:bookmarkStart w:id="291" w:name="_Toc480465446"/>
      <w:bookmarkStart w:id="292" w:name="_Toc513658040"/>
      <w:bookmarkStart w:id="293" w:name="_Toc514178702"/>
      <w:bookmarkStart w:id="294" w:name="m510_04"/>
      <w:bookmarkEnd w:id="290"/>
      <w:proofErr w:type="spellStart"/>
      <w:r>
        <w:rPr>
          <w:rFonts w:hint="eastAsia"/>
        </w:rPr>
        <w:t>报告期末前十名股票中存在流通受限情况的说明</w:t>
      </w:r>
      <w:bookmarkEnd w:id="291"/>
      <w:bookmarkEnd w:id="292"/>
      <w:bookmarkEnd w:id="293"/>
      <w:proofErr w:type="spellEnd"/>
    </w:p>
    <w:p w14:paraId="0486CA9C" w14:textId="77777777" w:rsidR="00751F10" w:rsidRDefault="00751F10">
      <w:pPr>
        <w:pStyle w:val="XBRLTitle4"/>
        <w:numPr>
          <w:ilvl w:val="0"/>
          <w:numId w:val="0"/>
        </w:numPr>
        <w:spacing w:before="156"/>
        <w:rPr>
          <w:rFonts w:hint="eastAsia"/>
        </w:rPr>
      </w:pPr>
      <w:bookmarkStart w:id="295" w:name="_Toc513658041"/>
      <w:bookmarkStart w:id="296" w:name="_Toc514178703"/>
      <w:r>
        <w:rPr>
          <w:rFonts w:hint="eastAsia"/>
        </w:rPr>
        <w:t xml:space="preserve">5.10.5.1 </w:t>
      </w:r>
      <w:proofErr w:type="spellStart"/>
      <w:r>
        <w:rPr>
          <w:rFonts w:hint="eastAsia"/>
        </w:rPr>
        <w:t>报告期末指数投资前十名股票中存在流通受限情况的说明</w:t>
      </w:r>
      <w:bookmarkEnd w:id="295"/>
      <w:bookmarkEnd w:id="296"/>
      <w:proofErr w:type="spellEnd"/>
      <w:r>
        <w:rPr>
          <w:rFonts w:hint="eastAsia"/>
        </w:rPr>
        <w:t xml:space="preserve"> </w:t>
      </w:r>
    </w:p>
    <w:p w14:paraId="42176C42" w14:textId="77777777" w:rsidR="00751F10" w:rsidRDefault="00751F10">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17A0F28D" w14:textId="77777777" w:rsidR="00751F10" w:rsidRDefault="00751F10">
      <w:pPr>
        <w:pStyle w:val="XBRLTitle4"/>
        <w:numPr>
          <w:ilvl w:val="0"/>
          <w:numId w:val="0"/>
        </w:numPr>
        <w:spacing w:before="156"/>
        <w:rPr>
          <w:rFonts w:hint="eastAsia"/>
        </w:rPr>
      </w:pPr>
      <w:bookmarkStart w:id="297" w:name="_Toc513658042"/>
      <w:bookmarkStart w:id="298" w:name="_Toc514178704"/>
      <w:r>
        <w:rPr>
          <w:rFonts w:hint="eastAsia"/>
        </w:rPr>
        <w:t xml:space="preserve">5.10.5.2 </w:t>
      </w:r>
      <w:proofErr w:type="spellStart"/>
      <w:r>
        <w:rPr>
          <w:rFonts w:hint="eastAsia"/>
        </w:rPr>
        <w:t>报告期末积极投资前五名股票中存在流通受限情况的说明</w:t>
      </w:r>
      <w:bookmarkEnd w:id="297"/>
      <w:bookmarkEnd w:id="298"/>
      <w:proofErr w:type="spellEnd"/>
      <w:r>
        <w:rPr>
          <w:rFonts w:hint="eastAsia"/>
        </w:rPr>
        <w:t xml:space="preserve"> </w:t>
      </w:r>
    </w:p>
    <w:p w14:paraId="1485C525" w14:textId="77777777" w:rsidR="00751F10" w:rsidRDefault="00751F10">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6AE8DF93" w14:textId="77777777" w:rsidR="00751F10" w:rsidRDefault="00751F10">
      <w:pPr>
        <w:pStyle w:val="XBRLTitle3"/>
        <w:spacing w:before="156"/>
        <w:ind w:left="0"/>
        <w:rPr>
          <w:rFonts w:hint="eastAsia"/>
        </w:rPr>
      </w:pPr>
      <w:bookmarkStart w:id="299" w:name="_Toc480465447"/>
      <w:bookmarkStart w:id="300" w:name="_Toc513658043"/>
      <w:bookmarkStart w:id="301" w:name="_Toc514178705"/>
      <w:bookmarkEnd w:id="294"/>
      <w:proofErr w:type="spellStart"/>
      <w:r>
        <w:rPr>
          <w:rFonts w:hint="eastAsia"/>
        </w:rPr>
        <w:t>投资组合报告附注的其他文字描述部分</w:t>
      </w:r>
      <w:bookmarkEnd w:id="299"/>
      <w:bookmarkEnd w:id="300"/>
      <w:bookmarkEnd w:id="301"/>
      <w:proofErr w:type="spellEnd"/>
    </w:p>
    <w:p w14:paraId="02D60105" w14:textId="77777777" w:rsidR="00751F10" w:rsidRDefault="00751F10">
      <w:pPr>
        <w:spacing w:line="360" w:lineRule="auto"/>
        <w:ind w:firstLineChars="200" w:firstLine="420"/>
        <w:jc w:val="left"/>
      </w:pPr>
      <w:r>
        <w:rPr>
          <w:rFonts w:ascii="宋体" w:hAnsi="宋体" w:hint="eastAsia"/>
        </w:rPr>
        <w:t>因四舍五入原因，投资组合报告中分项之和与合计可能存在尾差。</w:t>
      </w:r>
    </w:p>
    <w:p w14:paraId="66F1BE9B" w14:textId="77777777" w:rsidR="00751F10" w:rsidRDefault="00751F10">
      <w:pPr>
        <w:pStyle w:val="XBRLTitle1"/>
        <w:spacing w:before="156" w:line="360" w:lineRule="auto"/>
        <w:ind w:left="425"/>
        <w:rPr>
          <w:rFonts w:hint="eastAsia"/>
        </w:rPr>
      </w:pPr>
      <w:bookmarkStart w:id="302" w:name="_Toc514178706"/>
      <w:proofErr w:type="spellStart"/>
      <w:r>
        <w:rPr>
          <w:rFonts w:hint="eastAsia"/>
        </w:rPr>
        <w:t>开放式基金份额变动</w:t>
      </w:r>
      <w:bookmarkStart w:id="303" w:name="m601_tab"/>
      <w:bookmarkEnd w:id="143"/>
      <w:bookmarkEnd w:id="144"/>
      <w:bookmarkEnd w:id="145"/>
      <w:bookmarkEnd w:id="146"/>
      <w:bookmarkEnd w:id="302"/>
      <w:proofErr w:type="spellEnd"/>
    </w:p>
    <w:p w14:paraId="632A3D70" w14:textId="77777777" w:rsidR="00751F10" w:rsidRDefault="00751F10">
      <w:pPr>
        <w:wordWrap w:val="0"/>
        <w:spacing w:line="360" w:lineRule="auto"/>
        <w:jc w:val="right"/>
      </w:pPr>
      <w:bookmarkStart w:id="30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690"/>
        <w:gridCol w:w="1480"/>
        <w:gridCol w:w="1270"/>
        <w:gridCol w:w="1270"/>
      </w:tblGrid>
      <w:tr w:rsidR="00DB4521" w14:paraId="10490EC5"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83EF91"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4"/>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A6D82" w14:textId="77777777" w:rsidR="00751F10" w:rsidRDefault="00751F10">
            <w:pPr>
              <w:ind w:right="3"/>
              <w:jc w:val="center"/>
            </w:pPr>
            <w:r>
              <w:rPr>
                <w:rFonts w:ascii="宋体" w:hAnsi="宋体" w:hint="eastAsia"/>
                <w:lang w:eastAsia="zh-Hans"/>
              </w:rPr>
              <w:t>摩根纳斯达克100指数(QDII)人民币A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7FA47" w14:textId="77777777" w:rsidR="00751F10" w:rsidRDefault="00751F10">
            <w:pPr>
              <w:ind w:right="3"/>
              <w:jc w:val="center"/>
            </w:pPr>
            <w:r>
              <w:rPr>
                <w:rFonts w:ascii="宋体" w:hAnsi="宋体" w:hint="eastAsia"/>
                <w:lang w:eastAsia="zh-Hans"/>
              </w:rPr>
              <w:t>摩根纳斯达克100指数(QDII)人民币C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95EEC" w14:textId="77777777" w:rsidR="00751F10" w:rsidRDefault="00751F10">
            <w:pPr>
              <w:ind w:right="3"/>
              <w:jc w:val="center"/>
            </w:pPr>
            <w:r>
              <w:rPr>
                <w:rFonts w:ascii="宋体" w:hAnsi="宋体" w:hint="eastAsia"/>
                <w:lang w:eastAsia="zh-Hans"/>
              </w:rPr>
              <w:t>摩根纳斯达克100指数(QDII)美元A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6B3125" w14:textId="77777777" w:rsidR="00751F10" w:rsidRDefault="00751F10">
            <w:pPr>
              <w:ind w:right="3"/>
              <w:jc w:val="center"/>
            </w:pPr>
            <w:r>
              <w:rPr>
                <w:rFonts w:ascii="宋体" w:hAnsi="宋体" w:hint="eastAsia"/>
                <w:lang w:eastAsia="zh-Hans"/>
              </w:rPr>
              <w:t>摩根纳斯达克100指数(QDII)美元C</w:t>
            </w:r>
            <w:r>
              <w:rPr>
                <w:rFonts w:ascii="宋体" w:hAnsi="宋体" w:hint="eastAsia"/>
                <w:kern w:val="0"/>
                <w:szCs w:val="24"/>
                <w:lang w:eastAsia="zh-Hans"/>
              </w:rPr>
              <w:t xml:space="preserve"> </w:t>
            </w:r>
          </w:p>
        </w:tc>
      </w:tr>
      <w:tr w:rsidR="00DB4521" w14:paraId="56CFA81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84321"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C41F3B" w14:textId="77777777" w:rsidR="00751F10" w:rsidRDefault="00751F10">
            <w:pPr>
              <w:jc w:val="right"/>
            </w:pPr>
            <w:r>
              <w:rPr>
                <w:rFonts w:ascii="宋体" w:hAnsi="宋体" w:hint="eastAsia"/>
              </w:rPr>
              <w:t>1,665,474,958.47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EF6E6" w14:textId="77777777" w:rsidR="00751F10" w:rsidRDefault="00751F10">
            <w:pPr>
              <w:jc w:val="right"/>
            </w:pPr>
            <w:r>
              <w:rPr>
                <w:rFonts w:ascii="宋体" w:hAnsi="宋体" w:hint="eastAsia"/>
              </w:rPr>
              <w:t>783,895,329.95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28E93" w14:textId="77777777" w:rsidR="00751F10" w:rsidRDefault="00751F10">
            <w:pPr>
              <w:jc w:val="right"/>
            </w:pPr>
            <w:r>
              <w:rPr>
                <w:rFonts w:ascii="宋体" w:hAnsi="宋体" w:hint="eastAsia"/>
              </w:rPr>
              <w:t>1,112,315.74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A48003" w14:textId="77777777" w:rsidR="00751F10" w:rsidRDefault="00751F10">
            <w:pPr>
              <w:jc w:val="right"/>
            </w:pPr>
            <w:r>
              <w:rPr>
                <w:rFonts w:ascii="宋体" w:hAnsi="宋体" w:hint="eastAsia"/>
              </w:rPr>
              <w:t>1,331,479.86</w:t>
            </w:r>
          </w:p>
        </w:tc>
      </w:tr>
      <w:tr w:rsidR="00DB4521" w14:paraId="13B06FB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6F57C2"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6A78A" w14:textId="77777777" w:rsidR="00751F10" w:rsidRDefault="00751F10">
            <w:pPr>
              <w:jc w:val="right"/>
            </w:pPr>
            <w:r>
              <w:rPr>
                <w:rFonts w:ascii="宋体" w:hAnsi="宋体" w:hint="eastAsia"/>
              </w:rPr>
              <w:t>99,643,280.33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60891" w14:textId="77777777" w:rsidR="00751F10" w:rsidRDefault="00751F10">
            <w:pPr>
              <w:jc w:val="right"/>
            </w:pPr>
            <w:r>
              <w:rPr>
                <w:rFonts w:ascii="宋体" w:hAnsi="宋体" w:hint="eastAsia"/>
              </w:rPr>
              <w:t>35,823,406.95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135554" w14:textId="77777777" w:rsidR="00751F10" w:rsidRDefault="00751F10">
            <w:pPr>
              <w:jc w:val="right"/>
            </w:pPr>
            <w:r>
              <w:rPr>
                <w:rFonts w:ascii="宋体" w:hAnsi="宋体" w:hint="eastAsia"/>
              </w:rPr>
              <w:t>14,004.96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D4943" w14:textId="77777777" w:rsidR="00751F10" w:rsidRDefault="00751F10">
            <w:pPr>
              <w:jc w:val="right"/>
            </w:pPr>
            <w:r>
              <w:rPr>
                <w:rFonts w:ascii="宋体" w:hAnsi="宋体" w:hint="eastAsia"/>
              </w:rPr>
              <w:t>13,597.80</w:t>
            </w:r>
          </w:p>
        </w:tc>
      </w:tr>
      <w:tr w:rsidR="00DB4521" w14:paraId="0E76122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9F021"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E147A" w14:textId="77777777" w:rsidR="00751F10" w:rsidRDefault="00751F10">
            <w:pPr>
              <w:jc w:val="right"/>
            </w:pPr>
            <w:r>
              <w:rPr>
                <w:rFonts w:ascii="宋体" w:hAnsi="宋体" w:hint="eastAsia"/>
              </w:rPr>
              <w:t>268,934,593.92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A47B25" w14:textId="77777777" w:rsidR="00751F10" w:rsidRDefault="00751F10">
            <w:pPr>
              <w:jc w:val="right"/>
            </w:pPr>
            <w:r>
              <w:rPr>
                <w:rFonts w:ascii="宋体" w:hAnsi="宋体" w:hint="eastAsia"/>
              </w:rPr>
              <w:t>200,277,270.76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4E05A" w14:textId="77777777" w:rsidR="00751F10" w:rsidRDefault="00751F10">
            <w:pPr>
              <w:jc w:val="right"/>
            </w:pPr>
            <w:r>
              <w:rPr>
                <w:rFonts w:ascii="宋体" w:hAnsi="宋体" w:hint="eastAsia"/>
              </w:rPr>
              <w:t>35,682.37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FD973" w14:textId="77777777" w:rsidR="00751F10" w:rsidRDefault="00751F10">
            <w:pPr>
              <w:jc w:val="right"/>
            </w:pPr>
            <w:r>
              <w:rPr>
                <w:rFonts w:ascii="宋体" w:hAnsi="宋体" w:hint="eastAsia"/>
              </w:rPr>
              <w:t>251,121.51</w:t>
            </w:r>
          </w:p>
        </w:tc>
      </w:tr>
      <w:tr w:rsidR="00DB4521" w14:paraId="533FE62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A43CDC"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FAF12" w14:textId="77777777" w:rsidR="00751F10" w:rsidRDefault="00751F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C15A3" w14:textId="77777777" w:rsidR="00751F10" w:rsidRDefault="00751F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6EEBA" w14:textId="77777777" w:rsidR="00751F10" w:rsidRDefault="00751F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1073F" w14:textId="77777777" w:rsidR="00751F10" w:rsidRDefault="00751F10">
            <w:pPr>
              <w:jc w:val="right"/>
            </w:pPr>
            <w:r>
              <w:rPr>
                <w:rFonts w:ascii="宋体" w:hAnsi="宋体" w:hint="eastAsia"/>
              </w:rPr>
              <w:t>-</w:t>
            </w:r>
          </w:p>
        </w:tc>
      </w:tr>
      <w:tr w:rsidR="00DB4521" w14:paraId="09BAA58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CACEC" w14:textId="77777777" w:rsidR="00751F10" w:rsidRDefault="00751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32BC44" w14:textId="77777777" w:rsidR="00751F10" w:rsidRDefault="00751F10">
            <w:pPr>
              <w:jc w:val="right"/>
            </w:pPr>
            <w:r>
              <w:rPr>
                <w:rFonts w:ascii="宋体" w:hAnsi="宋体" w:hint="eastAsia"/>
              </w:rPr>
              <w:t>1,496,183,644.88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D5113" w14:textId="77777777" w:rsidR="00751F10" w:rsidRDefault="00751F10">
            <w:pPr>
              <w:jc w:val="right"/>
            </w:pPr>
            <w:r>
              <w:rPr>
                <w:rFonts w:ascii="宋体" w:hAnsi="宋体" w:hint="eastAsia"/>
              </w:rPr>
              <w:t>619,441,466.14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CC0D9B" w14:textId="77777777" w:rsidR="00751F10" w:rsidRDefault="00751F10">
            <w:pPr>
              <w:jc w:val="right"/>
            </w:pPr>
            <w:r>
              <w:rPr>
                <w:rFonts w:ascii="宋体" w:hAnsi="宋体" w:hint="eastAsia"/>
              </w:rPr>
              <w:t>1,090,638.33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2ECFE" w14:textId="77777777" w:rsidR="00751F10" w:rsidRDefault="00751F10">
            <w:pPr>
              <w:jc w:val="right"/>
            </w:pPr>
            <w:r>
              <w:rPr>
                <w:rFonts w:ascii="宋体" w:hAnsi="宋体" w:hint="eastAsia"/>
              </w:rPr>
              <w:t>1,093,956.15</w:t>
            </w:r>
          </w:p>
        </w:tc>
      </w:tr>
    </w:tbl>
    <w:p w14:paraId="586C793E" w14:textId="77777777" w:rsidR="00751F10" w:rsidRDefault="00751F10">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4741384" w14:textId="77777777" w:rsidR="00751F10" w:rsidRDefault="00751F10">
      <w:pPr>
        <w:pStyle w:val="XBRLTitle1"/>
        <w:spacing w:before="156" w:line="360" w:lineRule="auto"/>
        <w:ind w:left="425"/>
        <w:rPr>
          <w:rFonts w:hint="eastAsia"/>
        </w:rPr>
      </w:pPr>
      <w:bookmarkStart w:id="306" w:name="m7manage01"/>
      <w:bookmarkStart w:id="307" w:name="_Toc512519522"/>
      <w:bookmarkStart w:id="308" w:name="_Toc481075090"/>
      <w:bookmarkStart w:id="309" w:name="_Toc438646478"/>
      <w:bookmarkStart w:id="310" w:name="_Toc490050043"/>
      <w:bookmarkStart w:id="311" w:name="_Toc514178707"/>
      <w:bookmarkEnd w:id="147"/>
      <w:bookmarkEnd w:id="303"/>
      <w:proofErr w:type="spellStart"/>
      <w:r>
        <w:rPr>
          <w:rFonts w:hint="eastAsia"/>
        </w:rPr>
        <w:t>基金管理人运用固有资金投资本基金交易明细</w:t>
      </w:r>
      <w:bookmarkEnd w:id="306"/>
      <w:bookmarkEnd w:id="307"/>
      <w:bookmarkEnd w:id="308"/>
      <w:bookmarkEnd w:id="309"/>
      <w:bookmarkEnd w:id="310"/>
      <w:bookmarkEnd w:id="311"/>
      <w:proofErr w:type="spellEnd"/>
      <w:r>
        <w:rPr>
          <w:rFonts w:hint="eastAsia"/>
        </w:rPr>
        <w:t xml:space="preserve"> </w:t>
      </w:r>
    </w:p>
    <w:p w14:paraId="041DA08C" w14:textId="77777777" w:rsidR="00751F10" w:rsidRDefault="00751F10">
      <w:pPr>
        <w:spacing w:line="360" w:lineRule="auto"/>
        <w:ind w:firstLineChars="200" w:firstLine="420"/>
        <w:jc w:val="left"/>
      </w:pPr>
      <w:r>
        <w:rPr>
          <w:rFonts w:ascii="宋体" w:hAnsi="宋体" w:hint="eastAsia"/>
          <w:lang w:eastAsia="zh-Hans"/>
        </w:rPr>
        <w:lastRenderedPageBreak/>
        <w:t>无。</w:t>
      </w:r>
      <w:r>
        <w:rPr>
          <w:rFonts w:ascii="宋体" w:hAnsi="宋体" w:hint="eastAsia"/>
        </w:rPr>
        <w:t xml:space="preserve"> </w:t>
      </w:r>
    </w:p>
    <w:p w14:paraId="7FA4DC6B" w14:textId="77777777" w:rsidR="00751F10" w:rsidRDefault="00751F10">
      <w:pPr>
        <w:pStyle w:val="XBRLTitle1"/>
        <w:spacing w:before="156" w:line="360" w:lineRule="auto"/>
        <w:ind w:left="425"/>
        <w:rPr>
          <w:rFonts w:hint="eastAsia"/>
        </w:rPr>
      </w:pPr>
      <w:bookmarkStart w:id="312" w:name="_Toc513295937"/>
      <w:bookmarkStart w:id="313" w:name="_Toc513295874"/>
      <w:bookmarkStart w:id="314" w:name="_Toc490050053"/>
      <w:bookmarkStart w:id="315" w:name="_Toc481074873"/>
      <w:bookmarkStart w:id="316" w:name="_Toc512519525"/>
      <w:bookmarkStart w:id="317" w:name="_Toc514507557"/>
      <w:proofErr w:type="spellStart"/>
      <w:r>
        <w:rPr>
          <w:rFonts w:hint="eastAsia"/>
        </w:rPr>
        <w:t>报告期末发起式基金发起资金持有份额情况</w:t>
      </w:r>
      <w:bookmarkEnd w:id="312"/>
      <w:bookmarkEnd w:id="313"/>
      <w:bookmarkEnd w:id="314"/>
      <w:bookmarkEnd w:id="315"/>
      <w:bookmarkEnd w:id="316"/>
      <w:bookmarkEnd w:id="31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DB4521" w14:paraId="5611FF2F" w14:textId="77777777">
        <w:trPr>
          <w:divId w:val="2138528284"/>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A8F299" w14:textId="77777777" w:rsidR="00751F10" w:rsidRDefault="00751F10">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6FCFFE" w14:textId="77777777" w:rsidR="00751F10" w:rsidRDefault="00751F10">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8B1938" w14:textId="77777777" w:rsidR="00751F10" w:rsidRDefault="00751F10">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5339EE" w14:textId="77777777" w:rsidR="00751F10" w:rsidRDefault="00751F10">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E24F54" w14:textId="77777777" w:rsidR="00751F10" w:rsidRDefault="00751F10">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0A2AA0" w14:textId="77777777" w:rsidR="00751F10" w:rsidRDefault="00751F10">
            <w:pPr>
              <w:jc w:val="center"/>
            </w:pPr>
            <w:r>
              <w:rPr>
                <w:rFonts w:hint="eastAsia"/>
                <w:color w:val="000000"/>
                <w:szCs w:val="21"/>
              </w:rPr>
              <w:t>发起份额承诺持有期限</w:t>
            </w:r>
            <w:r>
              <w:rPr>
                <w:rFonts w:ascii="宋体" w:hAnsi="宋体" w:hint="eastAsia"/>
                <w:color w:val="000000"/>
              </w:rPr>
              <w:t xml:space="preserve"> </w:t>
            </w:r>
          </w:p>
        </w:tc>
      </w:tr>
      <w:tr w:rsidR="00DB4521" w14:paraId="6615DB1E"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779DB9" w14:textId="77777777" w:rsidR="00751F10" w:rsidRDefault="00751F10">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EA680D" w14:textId="77777777" w:rsidR="00751F10" w:rsidRDefault="00751F10">
            <w:pPr>
              <w:widowControl/>
              <w:jc w:val="right"/>
            </w:pPr>
            <w:r>
              <w:rPr>
                <w:rFonts w:ascii="宋体" w:hAnsi="宋体" w:hint="eastAsia"/>
                <w:color w:val="000000"/>
                <w:szCs w:val="21"/>
              </w:rPr>
              <w:t>10,000,208.33</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9A663C8" w14:textId="77777777" w:rsidR="00751F10" w:rsidRDefault="00751F10">
            <w:pPr>
              <w:widowControl/>
              <w:jc w:val="right"/>
            </w:pPr>
            <w:r>
              <w:rPr>
                <w:rFonts w:ascii="宋体" w:hAnsi="宋体" w:hint="eastAsia"/>
                <w:color w:val="000000"/>
                <w:szCs w:val="21"/>
              </w:rPr>
              <w:t>0.47</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4EDE2D" w14:textId="77777777" w:rsidR="00751F10" w:rsidRDefault="00751F10">
            <w:pPr>
              <w:widowControl/>
              <w:jc w:val="right"/>
            </w:pPr>
            <w:r>
              <w:rPr>
                <w:rFonts w:ascii="宋体" w:hAnsi="宋体" w:hint="eastAsia"/>
                <w:color w:val="000000"/>
                <w:szCs w:val="21"/>
              </w:rPr>
              <w:t>10,000,208.33</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AE3B1C" w14:textId="77777777" w:rsidR="00751F10" w:rsidRDefault="00751F10">
            <w:pPr>
              <w:widowControl/>
              <w:jc w:val="right"/>
            </w:pPr>
            <w:r>
              <w:rPr>
                <w:rFonts w:ascii="宋体" w:hAnsi="宋体" w:hint="eastAsia"/>
                <w:color w:val="000000"/>
                <w:szCs w:val="21"/>
              </w:rPr>
              <w:t>0.47</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1EAE69" w14:textId="77777777" w:rsidR="00751F10" w:rsidRDefault="00751F10">
            <w:pPr>
              <w:widowControl/>
              <w:jc w:val="right"/>
            </w:pPr>
            <w:r>
              <w:rPr>
                <w:rFonts w:ascii="宋体" w:hAnsi="宋体" w:hint="eastAsia"/>
                <w:color w:val="000000"/>
                <w:szCs w:val="21"/>
              </w:rPr>
              <w:t>3年</w:t>
            </w:r>
          </w:p>
        </w:tc>
      </w:tr>
      <w:tr w:rsidR="00DB4521" w14:paraId="0EABF6EB"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83FA18" w14:textId="77777777" w:rsidR="00751F10" w:rsidRDefault="00751F10">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1E4FA6" w14:textId="77777777" w:rsidR="00751F10" w:rsidRDefault="00751F10">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E2608E" w14:textId="77777777" w:rsidR="00751F10" w:rsidRDefault="00751F10">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9F0BD8" w14:textId="77777777" w:rsidR="00751F10" w:rsidRDefault="00751F10">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96124C" w14:textId="77777777" w:rsidR="00751F10" w:rsidRDefault="00751F10">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48A342" w14:textId="77777777" w:rsidR="00751F10" w:rsidRDefault="00751F10">
            <w:pPr>
              <w:widowControl/>
              <w:jc w:val="right"/>
            </w:pPr>
            <w:r>
              <w:rPr>
                <w:rFonts w:ascii="宋体" w:hAnsi="宋体" w:hint="eastAsia"/>
                <w:color w:val="000000"/>
                <w:szCs w:val="21"/>
              </w:rPr>
              <w:t>-</w:t>
            </w:r>
          </w:p>
        </w:tc>
      </w:tr>
      <w:tr w:rsidR="00DB4521" w14:paraId="3C6F82C4"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2C43F9" w14:textId="77777777" w:rsidR="00751F10" w:rsidRDefault="00751F10">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38A6EA" w14:textId="77777777" w:rsidR="00751F10" w:rsidRDefault="00751F10">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68116F" w14:textId="77777777" w:rsidR="00751F10" w:rsidRDefault="00751F10">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71B288" w14:textId="77777777" w:rsidR="00751F10" w:rsidRDefault="00751F10">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DAD1C4" w14:textId="77777777" w:rsidR="00751F10" w:rsidRDefault="00751F10">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AE1530" w14:textId="77777777" w:rsidR="00751F10" w:rsidRDefault="00751F10">
            <w:pPr>
              <w:widowControl/>
              <w:jc w:val="right"/>
            </w:pPr>
            <w:r>
              <w:rPr>
                <w:rFonts w:ascii="宋体" w:hAnsi="宋体" w:hint="eastAsia"/>
                <w:color w:val="000000"/>
                <w:szCs w:val="21"/>
              </w:rPr>
              <w:t>-</w:t>
            </w:r>
          </w:p>
        </w:tc>
      </w:tr>
      <w:tr w:rsidR="00DB4521" w14:paraId="1647FD44"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F8791D" w14:textId="77777777" w:rsidR="00751F10" w:rsidRDefault="00751F10">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4B1432" w14:textId="77777777" w:rsidR="00751F10" w:rsidRDefault="00751F10">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5280A7" w14:textId="77777777" w:rsidR="00751F10" w:rsidRDefault="00751F10">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1E733D" w14:textId="77777777" w:rsidR="00751F10" w:rsidRDefault="00751F10">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37E392" w14:textId="77777777" w:rsidR="00751F10" w:rsidRDefault="00751F10">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C222DE9" w14:textId="77777777" w:rsidR="00751F10" w:rsidRDefault="00751F10">
            <w:pPr>
              <w:widowControl/>
              <w:jc w:val="right"/>
            </w:pPr>
            <w:r>
              <w:rPr>
                <w:rFonts w:ascii="宋体" w:hAnsi="宋体" w:hint="eastAsia"/>
                <w:color w:val="000000"/>
                <w:szCs w:val="21"/>
              </w:rPr>
              <w:t>-</w:t>
            </w:r>
          </w:p>
        </w:tc>
      </w:tr>
      <w:tr w:rsidR="00DB4521" w14:paraId="749F67A4"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CBE754" w14:textId="77777777" w:rsidR="00751F10" w:rsidRDefault="00751F10">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766240" w14:textId="77777777" w:rsidR="00751F10" w:rsidRDefault="00751F10">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A3F7D5" w14:textId="77777777" w:rsidR="00751F10" w:rsidRDefault="00751F10">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678444" w14:textId="77777777" w:rsidR="00751F10" w:rsidRDefault="00751F10">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49EF08" w14:textId="77777777" w:rsidR="00751F10" w:rsidRDefault="00751F10">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63E6F0" w14:textId="77777777" w:rsidR="00751F10" w:rsidRDefault="00751F10">
            <w:pPr>
              <w:widowControl/>
              <w:jc w:val="right"/>
            </w:pPr>
            <w:r>
              <w:rPr>
                <w:rFonts w:ascii="宋体" w:hAnsi="宋体" w:hint="eastAsia"/>
                <w:color w:val="000000"/>
                <w:szCs w:val="21"/>
              </w:rPr>
              <w:t>-</w:t>
            </w:r>
          </w:p>
        </w:tc>
      </w:tr>
      <w:tr w:rsidR="00DB4521" w14:paraId="3C47130B" w14:textId="77777777">
        <w:trPr>
          <w:divId w:val="2138528284"/>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57F258" w14:textId="77777777" w:rsidR="00751F10" w:rsidRDefault="00751F10">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F8E5E0" w14:textId="77777777" w:rsidR="00751F10" w:rsidRDefault="00751F10">
            <w:pPr>
              <w:widowControl/>
              <w:jc w:val="right"/>
            </w:pPr>
            <w:r>
              <w:rPr>
                <w:rFonts w:ascii="宋体" w:hAnsi="宋体" w:hint="eastAsia"/>
                <w:color w:val="000000"/>
                <w:szCs w:val="21"/>
              </w:rPr>
              <w:t>10,000,208.33</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9775ED" w14:textId="77777777" w:rsidR="00751F10" w:rsidRDefault="00751F10">
            <w:pPr>
              <w:widowControl/>
              <w:jc w:val="right"/>
            </w:pPr>
            <w:r>
              <w:rPr>
                <w:rFonts w:ascii="宋体" w:hAnsi="宋体" w:hint="eastAsia"/>
                <w:color w:val="000000"/>
                <w:szCs w:val="21"/>
              </w:rPr>
              <w:t>0.47</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93DDBC" w14:textId="77777777" w:rsidR="00751F10" w:rsidRDefault="00751F10">
            <w:pPr>
              <w:widowControl/>
              <w:jc w:val="right"/>
            </w:pPr>
            <w:r>
              <w:rPr>
                <w:rFonts w:ascii="宋体" w:hAnsi="宋体" w:hint="eastAsia"/>
                <w:color w:val="000000"/>
                <w:szCs w:val="21"/>
              </w:rPr>
              <w:t>10,000,208.33</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AE70EE" w14:textId="77777777" w:rsidR="00751F10" w:rsidRDefault="00751F10">
            <w:pPr>
              <w:widowControl/>
              <w:jc w:val="right"/>
            </w:pPr>
            <w:r>
              <w:rPr>
                <w:rFonts w:ascii="宋体" w:hAnsi="宋体" w:hint="eastAsia"/>
                <w:color w:val="000000"/>
                <w:szCs w:val="21"/>
              </w:rPr>
              <w:t>0.47</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2F290F" w14:textId="77777777" w:rsidR="00751F10" w:rsidRDefault="00751F10">
            <w:pPr>
              <w:widowControl/>
              <w:jc w:val="right"/>
            </w:pPr>
            <w:r>
              <w:rPr>
                <w:rFonts w:ascii="宋体" w:hAnsi="宋体" w:hint="eastAsia"/>
                <w:color w:val="000000"/>
                <w:szCs w:val="21"/>
              </w:rPr>
              <w:t>3年</w:t>
            </w:r>
          </w:p>
        </w:tc>
      </w:tr>
    </w:tbl>
    <w:p w14:paraId="0DB26ABC" w14:textId="77777777" w:rsidR="00751F10" w:rsidRDefault="00751F10">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proofErr w:type="spellStart"/>
      <w:r>
        <w:rPr>
          <w:rFonts w:hint="eastAsia"/>
        </w:rPr>
        <w:t>影响投资者决策的其他重要信息</w:t>
      </w:r>
      <w:bookmarkEnd w:id="318"/>
      <w:bookmarkEnd w:id="319"/>
      <w:bookmarkEnd w:id="320"/>
      <w:bookmarkEnd w:id="321"/>
      <w:bookmarkEnd w:id="322"/>
      <w:proofErr w:type="spellEnd"/>
      <w:r>
        <w:rPr>
          <w:rFonts w:hint="eastAsia"/>
          <w:lang w:eastAsia="zh-CN"/>
        </w:rPr>
        <w:t xml:space="preserve"> </w:t>
      </w:r>
    </w:p>
    <w:p w14:paraId="10B56AB1" w14:textId="77777777" w:rsidR="00751F10" w:rsidRDefault="00751F10">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1ACACB37" w14:textId="77777777" w:rsidR="00751F10" w:rsidRDefault="00751F10">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0E2B852" w14:textId="77777777" w:rsidR="00751F10" w:rsidRDefault="00751F10">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proofErr w:type="spellStart"/>
      <w:r>
        <w:rPr>
          <w:rFonts w:hint="eastAsia"/>
        </w:rPr>
        <w:t>备查文件目录</w:t>
      </w:r>
      <w:bookmarkEnd w:id="328"/>
      <w:bookmarkEnd w:id="329"/>
      <w:bookmarkEnd w:id="330"/>
      <w:bookmarkEnd w:id="331"/>
      <w:bookmarkEnd w:id="332"/>
      <w:proofErr w:type="spellEnd"/>
      <w:r>
        <w:rPr>
          <w:rFonts w:hint="eastAsia"/>
        </w:rPr>
        <w:t xml:space="preserve"> </w:t>
      </w:r>
    </w:p>
    <w:p w14:paraId="44C61C99" w14:textId="77777777" w:rsidR="00751F10" w:rsidRDefault="00751F10">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proofErr w:type="spellStart"/>
      <w:r>
        <w:rPr>
          <w:rFonts w:hint="eastAsia"/>
        </w:rPr>
        <w:t>备查文件目录</w:t>
      </w:r>
      <w:bookmarkEnd w:id="333"/>
      <w:bookmarkEnd w:id="334"/>
      <w:bookmarkEnd w:id="335"/>
      <w:bookmarkEnd w:id="336"/>
      <w:bookmarkEnd w:id="337"/>
      <w:proofErr w:type="spellEnd"/>
      <w:r>
        <w:rPr>
          <w:rFonts w:hint="eastAsia"/>
        </w:rPr>
        <w:t xml:space="preserve"> </w:t>
      </w:r>
    </w:p>
    <w:p w14:paraId="7F43E854" w14:textId="77777777" w:rsidR="00751F10" w:rsidRDefault="00751F1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)中国证监会准予摩根纳斯达克100指数型发起式证券投资基金(QDII)募集注册的文件</w:t>
      </w:r>
      <w:r>
        <w:rPr>
          <w:rFonts w:ascii="宋体" w:hAnsi="宋体" w:cs="宋体" w:hint="eastAsia"/>
          <w:color w:val="000000"/>
          <w:kern w:val="0"/>
        </w:rPr>
        <w:br/>
        <w:t xml:space="preserve">　　(二)摩根纳斯达克100指数型发起式证券投资基金(QDII)基金合同</w:t>
      </w:r>
      <w:r>
        <w:rPr>
          <w:rFonts w:ascii="宋体" w:hAnsi="宋体" w:cs="宋体" w:hint="eastAsia"/>
          <w:color w:val="000000"/>
          <w:kern w:val="0"/>
        </w:rPr>
        <w:br/>
        <w:t xml:space="preserve">　　(三)摩根纳斯达克100指数型发起式证券投资基金(QDII)托管协议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B34DB0B" w14:textId="77777777" w:rsidR="00751F10" w:rsidRDefault="00751F10">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proofErr w:type="spellStart"/>
      <w:r>
        <w:rPr>
          <w:rFonts w:hint="eastAsia"/>
        </w:rPr>
        <w:lastRenderedPageBreak/>
        <w:t>存放地点</w:t>
      </w:r>
      <w:bookmarkEnd w:id="339"/>
      <w:bookmarkEnd w:id="340"/>
      <w:bookmarkEnd w:id="341"/>
      <w:bookmarkEnd w:id="342"/>
      <w:bookmarkEnd w:id="343"/>
      <w:proofErr w:type="spellEnd"/>
      <w:r>
        <w:rPr>
          <w:rFonts w:hint="eastAsia"/>
        </w:rPr>
        <w:t xml:space="preserve"> </w:t>
      </w:r>
    </w:p>
    <w:p w14:paraId="65C43100" w14:textId="77777777" w:rsidR="00751F10" w:rsidRDefault="00751F10">
      <w:pPr>
        <w:spacing w:line="360" w:lineRule="auto"/>
        <w:ind w:firstLineChars="200" w:firstLine="420"/>
        <w:jc w:val="left"/>
      </w:pPr>
      <w:r>
        <w:rPr>
          <w:rFonts w:ascii="宋体" w:hAnsi="宋体" w:cs="宋体" w:hint="eastAsia"/>
          <w:color w:val="000000"/>
          <w:kern w:val="0"/>
        </w:rPr>
        <w:t>基金管理人或基金托管人住所。</w:t>
      </w:r>
    </w:p>
    <w:p w14:paraId="3298BE84" w14:textId="77777777" w:rsidR="00751F10" w:rsidRDefault="00751F10">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proofErr w:type="spellStart"/>
      <w:r>
        <w:rPr>
          <w:rFonts w:hint="eastAsia"/>
        </w:rPr>
        <w:t>查阅方式</w:t>
      </w:r>
      <w:bookmarkEnd w:id="345"/>
      <w:bookmarkEnd w:id="346"/>
      <w:bookmarkEnd w:id="347"/>
      <w:bookmarkEnd w:id="348"/>
      <w:bookmarkEnd w:id="349"/>
      <w:proofErr w:type="spellEnd"/>
      <w:r>
        <w:rPr>
          <w:rFonts w:hint="eastAsia"/>
        </w:rPr>
        <w:t xml:space="preserve"> </w:t>
      </w:r>
    </w:p>
    <w:p w14:paraId="28D1AEE9" w14:textId="77777777" w:rsidR="00751F10" w:rsidRDefault="00751F1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0F2FFC23" w14:textId="77777777" w:rsidR="00751F10" w:rsidRDefault="00751F10">
      <w:pPr>
        <w:spacing w:line="360" w:lineRule="auto"/>
        <w:ind w:firstLineChars="600" w:firstLine="1687"/>
        <w:jc w:val="left"/>
      </w:pPr>
      <w:r>
        <w:rPr>
          <w:rFonts w:ascii="宋体" w:hAnsi="宋体" w:hint="eastAsia"/>
          <w:b/>
          <w:bCs/>
          <w:sz w:val="28"/>
          <w:szCs w:val="30"/>
        </w:rPr>
        <w:t xml:space="preserve">　 </w:t>
      </w:r>
    </w:p>
    <w:p w14:paraId="3EE875E0" w14:textId="77777777" w:rsidR="00751F10" w:rsidRDefault="00751F10">
      <w:pPr>
        <w:spacing w:line="360" w:lineRule="auto"/>
        <w:ind w:firstLineChars="600" w:firstLine="1687"/>
        <w:jc w:val="left"/>
      </w:pPr>
      <w:r>
        <w:rPr>
          <w:rFonts w:ascii="宋体" w:hAnsi="宋体" w:hint="eastAsia"/>
          <w:b/>
          <w:bCs/>
          <w:sz w:val="28"/>
          <w:szCs w:val="30"/>
        </w:rPr>
        <w:t xml:space="preserve">　 </w:t>
      </w:r>
    </w:p>
    <w:p w14:paraId="76FEDDD3" w14:textId="77777777" w:rsidR="00751F10" w:rsidRDefault="00751F10">
      <w:pPr>
        <w:spacing w:line="360" w:lineRule="auto"/>
        <w:ind w:firstLineChars="600" w:firstLine="1446"/>
        <w:jc w:val="right"/>
      </w:pPr>
      <w:r>
        <w:rPr>
          <w:rFonts w:ascii="宋体" w:hAnsi="宋体" w:hint="eastAsia"/>
          <w:b/>
          <w:bCs/>
          <w:sz w:val="24"/>
          <w:szCs w:val="24"/>
        </w:rPr>
        <w:t>摩根基金管理（中国）有限公司</w:t>
      </w:r>
    </w:p>
    <w:p w14:paraId="2A90E47C" w14:textId="77777777" w:rsidR="00751F10" w:rsidRDefault="00751F10">
      <w:pPr>
        <w:spacing w:line="360" w:lineRule="auto"/>
        <w:ind w:firstLineChars="600" w:firstLine="1446"/>
        <w:jc w:val="right"/>
      </w:pPr>
      <w:r>
        <w:rPr>
          <w:rFonts w:ascii="宋体" w:hAnsi="宋体" w:hint="eastAsia"/>
          <w:b/>
          <w:bCs/>
          <w:sz w:val="24"/>
          <w:szCs w:val="24"/>
        </w:rPr>
        <w:t>2026年4月22日</w:t>
      </w:r>
      <w:bookmarkEnd w:id="19"/>
    </w:p>
    <w:sectPr w:rsidR="00751F10">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EB1" w14:textId="77777777" w:rsidR="00430E92" w:rsidRDefault="00430E92">
      <w:pPr>
        <w:rPr>
          <w:szCs w:val="21"/>
        </w:rPr>
      </w:pPr>
      <w:r>
        <w:rPr>
          <w:szCs w:val="21"/>
        </w:rPr>
        <w:separator/>
      </w:r>
      <w:r>
        <w:rPr>
          <w:szCs w:val="21"/>
        </w:rPr>
        <w:t xml:space="preserve"> </w:t>
      </w:r>
    </w:p>
  </w:endnote>
  <w:endnote w:type="continuationSeparator" w:id="0">
    <w:p w14:paraId="123EACE7" w14:textId="77777777" w:rsidR="00430E92" w:rsidRDefault="00430E9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EFE" w14:textId="77777777" w:rsidR="00751F10" w:rsidRDefault="00751F1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7686" w14:textId="77777777" w:rsidR="00430E92" w:rsidRDefault="00430E92">
      <w:pPr>
        <w:rPr>
          <w:szCs w:val="21"/>
        </w:rPr>
      </w:pPr>
      <w:r>
        <w:rPr>
          <w:szCs w:val="21"/>
        </w:rPr>
        <w:separator/>
      </w:r>
      <w:r>
        <w:rPr>
          <w:szCs w:val="21"/>
        </w:rPr>
        <w:t xml:space="preserve"> </w:t>
      </w:r>
    </w:p>
  </w:footnote>
  <w:footnote w:type="continuationSeparator" w:id="0">
    <w:p w14:paraId="679CBCD6" w14:textId="77777777" w:rsidR="00430E92" w:rsidRDefault="00430E9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C7A2" w14:textId="77777777" w:rsidR="00751F10" w:rsidRDefault="00751F10">
    <w:pPr>
      <w:pStyle w:val="a8"/>
      <w:jc w:val="right"/>
    </w:pPr>
    <w:r>
      <w:rPr>
        <w:rFonts w:ascii="宋体" w:hAnsi="宋体" w:hint="eastAsia"/>
      </w:rPr>
      <w:t>摩根纳斯达克100指数型发起式证券投资基金(QDII)2026年第1季度报告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18753785">
    <w:abstractNumId w:val="0"/>
  </w:num>
  <w:num w:numId="2" w16cid:durableId="1642611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B"/>
    <w:rsid w:val="000436CB"/>
    <w:rsid w:val="001B55F9"/>
    <w:rsid w:val="003503EB"/>
    <w:rsid w:val="00364C48"/>
    <w:rsid w:val="00430E92"/>
    <w:rsid w:val="00696479"/>
    <w:rsid w:val="00751F10"/>
    <w:rsid w:val="00A733A4"/>
    <w:rsid w:val="00D1367F"/>
    <w:rsid w:val="00D4091E"/>
    <w:rsid w:val="00DB4521"/>
    <w:rsid w:val="00E864EC"/>
    <w:rsid w:val="00EC1757"/>
    <w:rsid w:val="00E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CB4086C"/>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D4091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372">
      <w:marLeft w:val="0"/>
      <w:marRight w:val="0"/>
      <w:marTop w:val="0"/>
      <w:marBottom w:val="0"/>
      <w:divBdr>
        <w:top w:val="none" w:sz="0" w:space="0" w:color="auto"/>
        <w:left w:val="none" w:sz="0" w:space="0" w:color="auto"/>
        <w:bottom w:val="none" w:sz="0" w:space="0" w:color="auto"/>
        <w:right w:val="none" w:sz="0" w:space="0" w:color="auto"/>
      </w:divBdr>
    </w:div>
    <w:div w:id="83382051">
      <w:marLeft w:val="0"/>
      <w:marRight w:val="0"/>
      <w:marTop w:val="0"/>
      <w:marBottom w:val="0"/>
      <w:divBdr>
        <w:top w:val="none" w:sz="0" w:space="0" w:color="auto"/>
        <w:left w:val="none" w:sz="0" w:space="0" w:color="auto"/>
        <w:bottom w:val="none" w:sz="0" w:space="0" w:color="auto"/>
        <w:right w:val="none" w:sz="0" w:space="0" w:color="auto"/>
      </w:divBdr>
    </w:div>
    <w:div w:id="402029050">
      <w:marLeft w:val="0"/>
      <w:marRight w:val="0"/>
      <w:marTop w:val="0"/>
      <w:marBottom w:val="0"/>
      <w:divBdr>
        <w:top w:val="none" w:sz="0" w:space="0" w:color="auto"/>
        <w:left w:val="none" w:sz="0" w:space="0" w:color="auto"/>
        <w:bottom w:val="none" w:sz="0" w:space="0" w:color="auto"/>
        <w:right w:val="none" w:sz="0" w:space="0" w:color="auto"/>
      </w:divBdr>
    </w:div>
    <w:div w:id="460080245">
      <w:marLeft w:val="0"/>
      <w:marRight w:val="0"/>
      <w:marTop w:val="0"/>
      <w:marBottom w:val="0"/>
      <w:divBdr>
        <w:top w:val="none" w:sz="0" w:space="0" w:color="auto"/>
        <w:left w:val="none" w:sz="0" w:space="0" w:color="auto"/>
        <w:bottom w:val="none" w:sz="0" w:space="0" w:color="auto"/>
        <w:right w:val="none" w:sz="0" w:space="0" w:color="auto"/>
      </w:divBdr>
    </w:div>
    <w:div w:id="476187318">
      <w:marLeft w:val="0"/>
      <w:marRight w:val="0"/>
      <w:marTop w:val="0"/>
      <w:marBottom w:val="0"/>
      <w:divBdr>
        <w:top w:val="none" w:sz="0" w:space="0" w:color="auto"/>
        <w:left w:val="none" w:sz="0" w:space="0" w:color="auto"/>
        <w:bottom w:val="none" w:sz="0" w:space="0" w:color="auto"/>
        <w:right w:val="none" w:sz="0" w:space="0" w:color="auto"/>
      </w:divBdr>
      <w:divsChild>
        <w:div w:id="91753170">
          <w:marLeft w:val="0"/>
          <w:marRight w:val="0"/>
          <w:marTop w:val="0"/>
          <w:marBottom w:val="0"/>
          <w:divBdr>
            <w:top w:val="none" w:sz="0" w:space="0" w:color="auto"/>
            <w:left w:val="none" w:sz="0" w:space="0" w:color="auto"/>
            <w:bottom w:val="none" w:sz="0" w:space="0" w:color="auto"/>
            <w:right w:val="none" w:sz="0" w:space="0" w:color="auto"/>
          </w:divBdr>
        </w:div>
      </w:divsChild>
    </w:div>
    <w:div w:id="685904060">
      <w:marLeft w:val="0"/>
      <w:marRight w:val="0"/>
      <w:marTop w:val="0"/>
      <w:marBottom w:val="0"/>
      <w:divBdr>
        <w:top w:val="none" w:sz="0" w:space="0" w:color="auto"/>
        <w:left w:val="none" w:sz="0" w:space="0" w:color="auto"/>
        <w:bottom w:val="none" w:sz="0" w:space="0" w:color="auto"/>
        <w:right w:val="none" w:sz="0" w:space="0" w:color="auto"/>
      </w:divBdr>
    </w:div>
    <w:div w:id="853346178">
      <w:marLeft w:val="0"/>
      <w:marRight w:val="0"/>
      <w:marTop w:val="0"/>
      <w:marBottom w:val="0"/>
      <w:divBdr>
        <w:top w:val="none" w:sz="0" w:space="0" w:color="auto"/>
        <w:left w:val="none" w:sz="0" w:space="0" w:color="auto"/>
        <w:bottom w:val="none" w:sz="0" w:space="0" w:color="auto"/>
        <w:right w:val="none" w:sz="0" w:space="0" w:color="auto"/>
      </w:divBdr>
    </w:div>
    <w:div w:id="912158796">
      <w:marLeft w:val="0"/>
      <w:marRight w:val="0"/>
      <w:marTop w:val="0"/>
      <w:marBottom w:val="0"/>
      <w:divBdr>
        <w:top w:val="none" w:sz="0" w:space="0" w:color="auto"/>
        <w:left w:val="none" w:sz="0" w:space="0" w:color="auto"/>
        <w:bottom w:val="none" w:sz="0" w:space="0" w:color="auto"/>
        <w:right w:val="none" w:sz="0" w:space="0" w:color="auto"/>
      </w:divBdr>
    </w:div>
    <w:div w:id="934551898">
      <w:marLeft w:val="0"/>
      <w:marRight w:val="0"/>
      <w:marTop w:val="0"/>
      <w:marBottom w:val="0"/>
      <w:divBdr>
        <w:top w:val="none" w:sz="0" w:space="0" w:color="auto"/>
        <w:left w:val="none" w:sz="0" w:space="0" w:color="auto"/>
        <w:bottom w:val="none" w:sz="0" w:space="0" w:color="auto"/>
        <w:right w:val="none" w:sz="0" w:space="0" w:color="auto"/>
      </w:divBdr>
    </w:div>
    <w:div w:id="1133794899">
      <w:marLeft w:val="0"/>
      <w:marRight w:val="0"/>
      <w:marTop w:val="0"/>
      <w:marBottom w:val="0"/>
      <w:divBdr>
        <w:top w:val="none" w:sz="0" w:space="0" w:color="auto"/>
        <w:left w:val="none" w:sz="0" w:space="0" w:color="auto"/>
        <w:bottom w:val="none" w:sz="0" w:space="0" w:color="auto"/>
        <w:right w:val="none" w:sz="0" w:space="0" w:color="auto"/>
      </w:divBdr>
    </w:div>
    <w:div w:id="1218859567">
      <w:marLeft w:val="0"/>
      <w:marRight w:val="0"/>
      <w:marTop w:val="0"/>
      <w:marBottom w:val="0"/>
      <w:divBdr>
        <w:top w:val="none" w:sz="0" w:space="0" w:color="auto"/>
        <w:left w:val="none" w:sz="0" w:space="0" w:color="auto"/>
        <w:bottom w:val="none" w:sz="0" w:space="0" w:color="auto"/>
        <w:right w:val="none" w:sz="0" w:space="0" w:color="auto"/>
      </w:divBdr>
    </w:div>
    <w:div w:id="1256404531">
      <w:marLeft w:val="0"/>
      <w:marRight w:val="0"/>
      <w:marTop w:val="0"/>
      <w:marBottom w:val="0"/>
      <w:divBdr>
        <w:top w:val="none" w:sz="0" w:space="0" w:color="auto"/>
        <w:left w:val="none" w:sz="0" w:space="0" w:color="auto"/>
        <w:bottom w:val="none" w:sz="0" w:space="0" w:color="auto"/>
        <w:right w:val="none" w:sz="0" w:space="0" w:color="auto"/>
      </w:divBdr>
    </w:div>
    <w:div w:id="1314455689">
      <w:marLeft w:val="0"/>
      <w:marRight w:val="0"/>
      <w:marTop w:val="0"/>
      <w:marBottom w:val="0"/>
      <w:divBdr>
        <w:top w:val="none" w:sz="0" w:space="0" w:color="auto"/>
        <w:left w:val="none" w:sz="0" w:space="0" w:color="auto"/>
        <w:bottom w:val="none" w:sz="0" w:space="0" w:color="auto"/>
        <w:right w:val="none" w:sz="0" w:space="0" w:color="auto"/>
      </w:divBdr>
    </w:div>
    <w:div w:id="1386442797">
      <w:marLeft w:val="0"/>
      <w:marRight w:val="0"/>
      <w:marTop w:val="0"/>
      <w:marBottom w:val="0"/>
      <w:divBdr>
        <w:top w:val="none" w:sz="0" w:space="0" w:color="auto"/>
        <w:left w:val="none" w:sz="0" w:space="0" w:color="auto"/>
        <w:bottom w:val="none" w:sz="0" w:space="0" w:color="auto"/>
        <w:right w:val="none" w:sz="0" w:space="0" w:color="auto"/>
      </w:divBdr>
    </w:div>
    <w:div w:id="1613895391">
      <w:marLeft w:val="0"/>
      <w:marRight w:val="0"/>
      <w:marTop w:val="0"/>
      <w:marBottom w:val="0"/>
      <w:divBdr>
        <w:top w:val="none" w:sz="0" w:space="0" w:color="auto"/>
        <w:left w:val="none" w:sz="0" w:space="0" w:color="auto"/>
        <w:bottom w:val="none" w:sz="0" w:space="0" w:color="auto"/>
        <w:right w:val="none" w:sz="0" w:space="0" w:color="auto"/>
      </w:divBdr>
      <w:divsChild>
        <w:div w:id="1726174456">
          <w:marLeft w:val="0"/>
          <w:marRight w:val="0"/>
          <w:marTop w:val="0"/>
          <w:marBottom w:val="0"/>
          <w:divBdr>
            <w:top w:val="none" w:sz="0" w:space="0" w:color="auto"/>
            <w:left w:val="none" w:sz="0" w:space="0" w:color="auto"/>
            <w:bottom w:val="none" w:sz="0" w:space="0" w:color="auto"/>
            <w:right w:val="none" w:sz="0" w:space="0" w:color="auto"/>
          </w:divBdr>
        </w:div>
      </w:divsChild>
    </w:div>
    <w:div w:id="1674533252">
      <w:marLeft w:val="0"/>
      <w:marRight w:val="0"/>
      <w:marTop w:val="0"/>
      <w:marBottom w:val="0"/>
      <w:divBdr>
        <w:top w:val="none" w:sz="0" w:space="0" w:color="auto"/>
        <w:left w:val="none" w:sz="0" w:space="0" w:color="auto"/>
        <w:bottom w:val="none" w:sz="0" w:space="0" w:color="auto"/>
        <w:right w:val="none" w:sz="0" w:space="0" w:color="auto"/>
      </w:divBdr>
    </w:div>
    <w:div w:id="1766996587">
      <w:marLeft w:val="0"/>
      <w:marRight w:val="0"/>
      <w:marTop w:val="0"/>
      <w:marBottom w:val="0"/>
      <w:divBdr>
        <w:top w:val="none" w:sz="0" w:space="0" w:color="auto"/>
        <w:left w:val="none" w:sz="0" w:space="0" w:color="auto"/>
        <w:bottom w:val="none" w:sz="0" w:space="0" w:color="auto"/>
        <w:right w:val="none" w:sz="0" w:space="0" w:color="auto"/>
      </w:divBdr>
    </w:div>
    <w:div w:id="1823036677">
      <w:marLeft w:val="0"/>
      <w:marRight w:val="0"/>
      <w:marTop w:val="0"/>
      <w:marBottom w:val="0"/>
      <w:divBdr>
        <w:top w:val="none" w:sz="0" w:space="0" w:color="auto"/>
        <w:left w:val="none" w:sz="0" w:space="0" w:color="auto"/>
        <w:bottom w:val="none" w:sz="0" w:space="0" w:color="auto"/>
        <w:right w:val="none" w:sz="0" w:space="0" w:color="auto"/>
      </w:divBdr>
    </w:div>
    <w:div w:id="1889953562">
      <w:marLeft w:val="0"/>
      <w:marRight w:val="0"/>
      <w:marTop w:val="0"/>
      <w:marBottom w:val="0"/>
      <w:divBdr>
        <w:top w:val="none" w:sz="0" w:space="0" w:color="auto"/>
        <w:left w:val="none" w:sz="0" w:space="0" w:color="auto"/>
        <w:bottom w:val="none" w:sz="0" w:space="0" w:color="auto"/>
        <w:right w:val="none" w:sz="0" w:space="0" w:color="auto"/>
      </w:divBdr>
      <w:divsChild>
        <w:div w:id="717826531">
          <w:marLeft w:val="0"/>
          <w:marRight w:val="0"/>
          <w:marTop w:val="0"/>
          <w:marBottom w:val="0"/>
          <w:divBdr>
            <w:top w:val="none" w:sz="0" w:space="0" w:color="auto"/>
            <w:left w:val="none" w:sz="0" w:space="0" w:color="auto"/>
            <w:bottom w:val="none" w:sz="0" w:space="0" w:color="auto"/>
            <w:right w:val="none" w:sz="0" w:space="0" w:color="auto"/>
          </w:divBdr>
        </w:div>
      </w:divsChild>
    </w:div>
    <w:div w:id="1929383211">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
    <w:div w:id="1995525142">
      <w:marLeft w:val="0"/>
      <w:marRight w:val="0"/>
      <w:marTop w:val="0"/>
      <w:marBottom w:val="0"/>
      <w:divBdr>
        <w:top w:val="none" w:sz="0" w:space="0" w:color="auto"/>
        <w:left w:val="none" w:sz="0" w:space="0" w:color="auto"/>
        <w:bottom w:val="none" w:sz="0" w:space="0" w:color="auto"/>
        <w:right w:val="none" w:sz="0" w:space="0" w:color="auto"/>
      </w:divBdr>
    </w:div>
    <w:div w:id="2138528284">
      <w:marLeft w:val="0"/>
      <w:marRight w:val="0"/>
      <w:marTop w:val="0"/>
      <w:marBottom w:val="0"/>
      <w:divBdr>
        <w:top w:val="none" w:sz="0" w:space="0" w:color="auto"/>
        <w:left w:val="none" w:sz="0" w:space="0" w:color="auto"/>
        <w:bottom w:val="none" w:sz="0" w:space="0" w:color="auto"/>
        <w:right w:val="none" w:sz="0" w:space="0" w:color="auto"/>
      </w:divBdr>
    </w:div>
    <w:div w:id="21471586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4183</Words>
  <Characters>5522</Characters>
  <Application>Microsoft Office Word</Application>
  <DocSecurity>0</DocSecurity>
  <Lines>613</Lines>
  <Paragraphs>693</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Trowa.Ding@FA</cp:lastModifiedBy>
  <cp:revision>6</cp:revision>
  <dcterms:created xsi:type="dcterms:W3CDTF">2026-04-14T10:04:00Z</dcterms:created>
  <dcterms:modified xsi:type="dcterms:W3CDTF">2026-04-21T07:21:00Z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