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摩根双季鑫</w:t>
      </w:r>
      <w:r w:rsidRPr="00B27A29">
        <w:rPr>
          <w:rFonts w:eastAsiaTheme="minorEastAsia"/>
          <w:b/>
          <w:color w:val="000000" w:themeColor="text1"/>
          <w:sz w:val="36"/>
          <w:szCs w:val="36"/>
        </w:rPr>
        <w:t>6</w:t>
      </w:r>
      <w:r w:rsidRPr="00B27A29">
        <w:rPr>
          <w:rFonts w:eastAsiaTheme="minorEastAsia"/>
          <w:b/>
          <w:color w:val="000000" w:themeColor="text1"/>
          <w:sz w:val="36"/>
          <w:szCs w:val="36"/>
        </w:rPr>
        <w:t>个月持有期债券型发起式基金中基金</w:t>
      </w:r>
      <w:r w:rsidRPr="00B27A29">
        <w:rPr>
          <w:rFonts w:eastAsiaTheme="minorEastAsia"/>
          <w:b/>
          <w:color w:val="000000" w:themeColor="text1"/>
          <w:sz w:val="36"/>
          <w:szCs w:val="36"/>
        </w:rPr>
        <w:t>(FOF)</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2</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6</w:t>
      </w:r>
      <w:r w:rsidRPr="00B27A29">
        <w:rPr>
          <w:rFonts w:eastAsiaTheme="minorEastAsia"/>
          <w:b/>
          <w:color w:val="000000" w:themeColor="text1"/>
          <w:sz w:val="36"/>
          <w:szCs w:val="36"/>
        </w:rPr>
        <w:t>月</w:t>
      </w:r>
      <w:r w:rsidRPr="00B27A29">
        <w:rPr>
          <w:rFonts w:eastAsiaTheme="minorEastAsia"/>
          <w:b/>
          <w:color w:val="000000" w:themeColor="text1"/>
          <w:sz w:val="36"/>
          <w:szCs w:val="36"/>
        </w:rPr>
        <w:t>30</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基金托管人：中国光大银行股份有限公司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报告送出日期：二〇二四年七月十九日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基金托管人中国光大银行股份有限公司根据本基金合同规定，于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18</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摩根双季鑫</w:t>
            </w:r>
            <w:r w:rsidRPr="00B27A29">
              <w:rPr>
                <w:rFonts w:eastAsiaTheme="minorEastAsia"/>
                <w:color w:val="000000" w:themeColor="text1"/>
                <w:kern w:val="0"/>
                <w:szCs w:val="21"/>
              </w:rPr>
              <w:t>6</w:t>
            </w:r>
            <w:r w:rsidRPr="00B27A29">
              <w:rPr>
                <w:rFonts w:eastAsiaTheme="minorEastAsia"/>
                <w:color w:val="000000" w:themeColor="text1"/>
                <w:kern w:val="0"/>
                <w:szCs w:val="21"/>
              </w:rPr>
              <w:t>个月持有债券</w:t>
            </w:r>
            <w:r w:rsidRPr="00B27A29">
              <w:rPr>
                <w:rFonts w:eastAsiaTheme="minorEastAsia"/>
                <w:color w:val="000000" w:themeColor="text1"/>
                <w:kern w:val="0"/>
                <w:szCs w:val="21"/>
              </w:rPr>
              <w:t>(FOF)</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018428</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2023</w:t>
            </w:r>
            <w:r w:rsidRPr="00B27A29">
              <w:rPr>
                <w:rFonts w:eastAsiaTheme="minorEastAsia"/>
                <w:color w:val="000000" w:themeColor="text1"/>
                <w:kern w:val="0"/>
                <w:szCs w:val="21"/>
              </w:rPr>
              <w:t>年</w:t>
            </w:r>
            <w:r w:rsidRPr="00B27A29">
              <w:rPr>
                <w:rFonts w:eastAsiaTheme="minorEastAsia"/>
                <w:color w:val="000000" w:themeColor="text1"/>
                <w:kern w:val="0"/>
                <w:szCs w:val="21"/>
              </w:rPr>
              <w:t>8</w:t>
            </w:r>
            <w:r w:rsidRPr="00B27A29">
              <w:rPr>
                <w:rFonts w:eastAsiaTheme="minorEastAsia"/>
                <w:color w:val="000000" w:themeColor="text1"/>
                <w:kern w:val="0"/>
                <w:szCs w:val="21"/>
              </w:rPr>
              <w:t>月</w:t>
            </w:r>
            <w:r w:rsidRPr="00B27A29">
              <w:rPr>
                <w:rFonts w:eastAsiaTheme="minorEastAsia"/>
                <w:color w:val="000000" w:themeColor="text1"/>
                <w:kern w:val="0"/>
                <w:szCs w:val="21"/>
              </w:rPr>
              <w:t>8</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12,558,640.72</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本基金通过资产配置及优选基金，并结合严格的风险控制，力争实现基金资产的长期稳健增值。</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A167B0" w:rsidRDefault="009C15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A167B0" w:rsidRDefault="009C15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在大类资产配置上，本基金将结合产品定位、风险收益特征以及管理人的长期资本市场观点确定基金的资产配置方案。</w:t>
            </w:r>
          </w:p>
          <w:p w:rsidR="00A167B0" w:rsidRDefault="009C15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首先，管理人将根据基金业绩基准确定产品的风险收益特征。其次，管理人将根据投研团队的长期资本市场观点对各类型资产的风险收益特征进行判断。最后，结合本基金</w:t>
            </w:r>
            <w:r>
              <w:rPr>
                <w:rFonts w:eastAsiaTheme="minorEastAsia"/>
                <w:color w:val="000000" w:themeColor="text1"/>
                <w:kern w:val="0"/>
                <w:szCs w:val="21"/>
              </w:rPr>
              <w:lastRenderedPageBreak/>
              <w:t>以及各资产类别的风险收益特征，依据现代投资组合理论，模拟得出各大类资产的长期战略配置比例。</w:t>
            </w:r>
          </w:p>
          <w:p w:rsidR="00A167B0" w:rsidRDefault="009C15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本基金将定期结合策略观点，修正资产配置，实现细分资产类别的动态调整。</w:t>
            </w:r>
          </w:p>
          <w:p w:rsidR="00A167B0" w:rsidRDefault="009C15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、基金投资策略：</w:t>
            </w:r>
          </w:p>
          <w:p w:rsidR="00A167B0" w:rsidRDefault="009C15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）主动管理型基金投资策略</w:t>
            </w:r>
          </w:p>
          <w:p w:rsidR="00A167B0" w:rsidRDefault="009C15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通过自下而上的方式优选基</w:t>
            </w:r>
            <w:r>
              <w:rPr>
                <w:rFonts w:eastAsiaTheme="minorEastAsia"/>
                <w:color w:val="000000" w:themeColor="text1"/>
                <w:kern w:val="0"/>
                <w:szCs w:val="21"/>
              </w:rPr>
              <w:t>金，研究过程中综合运用定量分析和定性分析，优选符合要求且能在中长期创造超额收益的基金。</w:t>
            </w:r>
          </w:p>
          <w:p w:rsidR="00A167B0" w:rsidRDefault="009C15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）指数基金投资策略</w:t>
            </w:r>
          </w:p>
          <w:p w:rsidR="00A167B0" w:rsidRDefault="009C15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优选中长期景气向好的指数基金进行配置，增厚组合收益，并把握阶段性投资机会，获取超额收益。</w:t>
            </w:r>
          </w:p>
          <w:p w:rsidR="00A167B0" w:rsidRDefault="009C15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）公募</w:t>
            </w:r>
            <w:r>
              <w:rPr>
                <w:rFonts w:eastAsiaTheme="minorEastAsia"/>
                <w:color w:val="000000" w:themeColor="text1"/>
                <w:kern w:val="0"/>
                <w:szCs w:val="21"/>
              </w:rPr>
              <w:t xml:space="preserve"> REITs </w:t>
            </w:r>
            <w:r>
              <w:rPr>
                <w:rFonts w:eastAsiaTheme="minorEastAsia"/>
                <w:color w:val="000000" w:themeColor="text1"/>
                <w:kern w:val="0"/>
                <w:szCs w:val="21"/>
              </w:rPr>
              <w:t>投资策略</w:t>
            </w:r>
          </w:p>
          <w:p w:rsidR="00A167B0" w:rsidRDefault="009C15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4</w:t>
            </w:r>
            <w:r>
              <w:rPr>
                <w:rFonts w:eastAsiaTheme="minorEastAsia"/>
                <w:color w:val="000000" w:themeColor="text1"/>
                <w:kern w:val="0"/>
                <w:szCs w:val="21"/>
              </w:rPr>
              <w:t>）本基金投资于其他基金份额的限制</w:t>
            </w:r>
          </w:p>
          <w:p w:rsidR="00A167B0" w:rsidRDefault="009C1521">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、其他投资策略：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包括股票投资策略、债券投资策略、证券公司短期公司债投资策略、资产支持证券投资策略、存托凭证投资策略。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中证债券型基金指数收益率</w:t>
            </w:r>
            <w:r w:rsidRPr="00B27A29">
              <w:rPr>
                <w:rFonts w:eastAsiaTheme="minorEastAsia"/>
                <w:color w:val="000000" w:themeColor="text1"/>
                <w:kern w:val="0"/>
                <w:szCs w:val="21"/>
              </w:rPr>
              <w:t>*90%</w:t>
            </w:r>
            <w:r w:rsidRPr="00B27A29">
              <w:rPr>
                <w:rFonts w:eastAsiaTheme="minorEastAsia"/>
                <w:color w:val="000000" w:themeColor="text1"/>
                <w:kern w:val="0"/>
                <w:szCs w:val="21"/>
              </w:rPr>
              <w:t>＋活期存款利率（税后）</w:t>
            </w:r>
            <w:r w:rsidRPr="00B27A29">
              <w:rPr>
                <w:rFonts w:eastAsiaTheme="minorEastAsia"/>
                <w:color w:val="000000" w:themeColor="text1"/>
                <w:kern w:val="0"/>
                <w:szCs w:val="21"/>
              </w:rPr>
              <w:t>*10%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本基金属于债券型基金中基金，预期风险和收益水平低于股票型基金中基金和混合型基金中基金，高于货币型基金中基金。</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中国光大银行股份有限公司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018428</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018429</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12,447,919.95</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110,720.77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lastRenderedPageBreak/>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4</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6</w:t>
            </w:r>
            <w:r w:rsidRPr="00B27A29">
              <w:rPr>
                <w:rFonts w:eastAsiaTheme="minorEastAsia"/>
                <w:color w:val="000000" w:themeColor="text1"/>
                <w:szCs w:val="21"/>
              </w:rPr>
              <w:t>月</w:t>
            </w:r>
            <w:r w:rsidRPr="00B27A29">
              <w:rPr>
                <w:rFonts w:eastAsiaTheme="minorEastAsia"/>
                <w:color w:val="000000" w:themeColor="text1"/>
                <w:szCs w:val="21"/>
              </w:rPr>
              <w:t>30</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-13,927.92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-79.57</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147,811.47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1,572.98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0.0118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0.0108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12,562,027.05</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111,484.36</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1.0092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1.0069</w:t>
            </w:r>
          </w:p>
        </w:tc>
      </w:tr>
    </w:tbl>
    <w:p w:rsidR="00A167B0" w:rsidRDefault="009C152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摩根双季鑫</w:t>
      </w:r>
      <w:r w:rsidRPr="00B27A29">
        <w:rPr>
          <w:rFonts w:eastAsiaTheme="minorEastAsia"/>
          <w:b/>
          <w:color w:val="000000" w:themeColor="text1"/>
          <w:kern w:val="0"/>
          <w:szCs w:val="21"/>
        </w:rPr>
        <w:t>6</w:t>
      </w:r>
      <w:r w:rsidRPr="00B27A29">
        <w:rPr>
          <w:rFonts w:eastAsiaTheme="minorEastAsia"/>
          <w:b/>
          <w:color w:val="000000" w:themeColor="text1"/>
          <w:kern w:val="0"/>
          <w:szCs w:val="21"/>
        </w:rPr>
        <w:t>个月持有债券</w:t>
      </w:r>
      <w:r w:rsidRPr="00B27A29">
        <w:rPr>
          <w:rFonts w:eastAsiaTheme="minorEastAsia"/>
          <w:b/>
          <w:color w:val="000000" w:themeColor="text1"/>
          <w:kern w:val="0"/>
          <w:szCs w:val="21"/>
        </w:rPr>
        <w:t>(FOF)A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167B0">
        <w:tc>
          <w:tcPr>
            <w:tcW w:w="1290" w:type="dxa"/>
            <w:vAlign w:val="center"/>
          </w:tcPr>
          <w:p w:rsidR="00A167B0" w:rsidRDefault="009C1521">
            <w:pPr>
              <w:jc w:val="left"/>
            </w:pPr>
            <w:r>
              <w:rPr>
                <w:rFonts w:eastAsiaTheme="minorEastAsia"/>
                <w:color w:val="000000" w:themeColor="text1"/>
                <w:szCs w:val="21"/>
              </w:rPr>
              <w:t>过去三个月</w:t>
            </w:r>
          </w:p>
        </w:tc>
        <w:tc>
          <w:tcPr>
            <w:tcW w:w="1291" w:type="dxa"/>
            <w:vAlign w:val="center"/>
          </w:tcPr>
          <w:p w:rsidR="00A167B0" w:rsidRDefault="009C1521">
            <w:pPr>
              <w:jc w:val="right"/>
            </w:pPr>
            <w:r>
              <w:rPr>
                <w:rFonts w:eastAsiaTheme="minorEastAsia"/>
                <w:color w:val="000000" w:themeColor="text1"/>
                <w:szCs w:val="21"/>
              </w:rPr>
              <w:t>1.19%</w:t>
            </w:r>
          </w:p>
        </w:tc>
        <w:tc>
          <w:tcPr>
            <w:tcW w:w="1291" w:type="dxa"/>
            <w:vAlign w:val="center"/>
          </w:tcPr>
          <w:p w:rsidR="00A167B0" w:rsidRDefault="009C1521">
            <w:pPr>
              <w:jc w:val="right"/>
            </w:pPr>
            <w:r>
              <w:rPr>
                <w:rFonts w:eastAsiaTheme="minorEastAsia"/>
                <w:color w:val="000000" w:themeColor="text1"/>
                <w:szCs w:val="21"/>
              </w:rPr>
              <w:t>0.08%</w:t>
            </w:r>
          </w:p>
        </w:tc>
        <w:tc>
          <w:tcPr>
            <w:tcW w:w="1291" w:type="dxa"/>
            <w:vAlign w:val="center"/>
          </w:tcPr>
          <w:p w:rsidR="00A167B0" w:rsidRDefault="009C1521">
            <w:pPr>
              <w:jc w:val="right"/>
            </w:pPr>
            <w:r>
              <w:rPr>
                <w:rFonts w:eastAsiaTheme="minorEastAsia"/>
                <w:color w:val="000000" w:themeColor="text1"/>
                <w:szCs w:val="21"/>
              </w:rPr>
              <w:t>0.99%</w:t>
            </w:r>
          </w:p>
        </w:tc>
        <w:tc>
          <w:tcPr>
            <w:tcW w:w="1291" w:type="dxa"/>
            <w:vAlign w:val="center"/>
          </w:tcPr>
          <w:p w:rsidR="00A167B0" w:rsidRDefault="009C1521">
            <w:pPr>
              <w:jc w:val="right"/>
            </w:pPr>
            <w:r>
              <w:rPr>
                <w:rFonts w:eastAsiaTheme="minorEastAsia"/>
                <w:color w:val="000000" w:themeColor="text1"/>
                <w:szCs w:val="21"/>
              </w:rPr>
              <w:t>0.03%</w:t>
            </w:r>
          </w:p>
        </w:tc>
        <w:tc>
          <w:tcPr>
            <w:tcW w:w="1291" w:type="dxa"/>
            <w:vAlign w:val="center"/>
          </w:tcPr>
          <w:p w:rsidR="00A167B0" w:rsidRDefault="009C1521">
            <w:pPr>
              <w:jc w:val="right"/>
            </w:pPr>
            <w:r>
              <w:rPr>
                <w:rFonts w:eastAsiaTheme="minorEastAsia"/>
                <w:color w:val="000000" w:themeColor="text1"/>
                <w:szCs w:val="21"/>
              </w:rPr>
              <w:t>0.20%</w:t>
            </w:r>
          </w:p>
        </w:tc>
        <w:tc>
          <w:tcPr>
            <w:tcW w:w="1291" w:type="dxa"/>
            <w:vAlign w:val="center"/>
          </w:tcPr>
          <w:p w:rsidR="00A167B0" w:rsidRDefault="009C1521">
            <w:pPr>
              <w:jc w:val="right"/>
            </w:pPr>
            <w:r>
              <w:rPr>
                <w:rFonts w:eastAsiaTheme="minorEastAsia"/>
                <w:color w:val="000000" w:themeColor="text1"/>
                <w:szCs w:val="21"/>
              </w:rPr>
              <w:t>0.05%</w:t>
            </w:r>
          </w:p>
        </w:tc>
      </w:tr>
      <w:tr w:rsidR="00A167B0">
        <w:tc>
          <w:tcPr>
            <w:tcW w:w="1290" w:type="dxa"/>
            <w:vAlign w:val="center"/>
          </w:tcPr>
          <w:p w:rsidR="00A167B0" w:rsidRDefault="009C1521">
            <w:pPr>
              <w:jc w:val="left"/>
            </w:pPr>
            <w:r>
              <w:rPr>
                <w:rFonts w:eastAsiaTheme="minorEastAsia"/>
                <w:color w:val="000000" w:themeColor="text1"/>
                <w:szCs w:val="21"/>
              </w:rPr>
              <w:t>过去六个月</w:t>
            </w:r>
          </w:p>
        </w:tc>
        <w:tc>
          <w:tcPr>
            <w:tcW w:w="1291" w:type="dxa"/>
            <w:vAlign w:val="center"/>
          </w:tcPr>
          <w:p w:rsidR="00A167B0" w:rsidRDefault="009C1521">
            <w:pPr>
              <w:jc w:val="right"/>
            </w:pPr>
            <w:r>
              <w:rPr>
                <w:rFonts w:eastAsiaTheme="minorEastAsia"/>
                <w:color w:val="000000" w:themeColor="text1"/>
                <w:szCs w:val="21"/>
              </w:rPr>
              <w:t>1.67%</w:t>
            </w:r>
          </w:p>
        </w:tc>
        <w:tc>
          <w:tcPr>
            <w:tcW w:w="1291" w:type="dxa"/>
            <w:vAlign w:val="center"/>
          </w:tcPr>
          <w:p w:rsidR="00A167B0" w:rsidRDefault="009C1521">
            <w:pPr>
              <w:jc w:val="right"/>
            </w:pPr>
            <w:r>
              <w:rPr>
                <w:rFonts w:eastAsiaTheme="minorEastAsia"/>
                <w:color w:val="000000" w:themeColor="text1"/>
                <w:szCs w:val="21"/>
              </w:rPr>
              <w:t>0.11%</w:t>
            </w:r>
          </w:p>
        </w:tc>
        <w:tc>
          <w:tcPr>
            <w:tcW w:w="1291" w:type="dxa"/>
            <w:vAlign w:val="center"/>
          </w:tcPr>
          <w:p w:rsidR="00A167B0" w:rsidRDefault="009C1521">
            <w:pPr>
              <w:jc w:val="right"/>
            </w:pPr>
            <w:r>
              <w:rPr>
                <w:rFonts w:eastAsiaTheme="minorEastAsia"/>
                <w:color w:val="000000" w:themeColor="text1"/>
                <w:szCs w:val="21"/>
              </w:rPr>
              <w:t>1.88%</w:t>
            </w:r>
          </w:p>
        </w:tc>
        <w:tc>
          <w:tcPr>
            <w:tcW w:w="1291" w:type="dxa"/>
            <w:vAlign w:val="center"/>
          </w:tcPr>
          <w:p w:rsidR="00A167B0" w:rsidRDefault="009C1521">
            <w:pPr>
              <w:jc w:val="right"/>
            </w:pPr>
            <w:r>
              <w:rPr>
                <w:rFonts w:eastAsiaTheme="minorEastAsia"/>
                <w:color w:val="000000" w:themeColor="text1"/>
                <w:szCs w:val="21"/>
              </w:rPr>
              <w:t>0.04%</w:t>
            </w:r>
          </w:p>
        </w:tc>
        <w:tc>
          <w:tcPr>
            <w:tcW w:w="1291" w:type="dxa"/>
            <w:vAlign w:val="center"/>
          </w:tcPr>
          <w:p w:rsidR="00A167B0" w:rsidRDefault="009C1521">
            <w:pPr>
              <w:jc w:val="right"/>
            </w:pPr>
            <w:r>
              <w:rPr>
                <w:rFonts w:eastAsiaTheme="minorEastAsia"/>
                <w:color w:val="000000" w:themeColor="text1"/>
                <w:szCs w:val="21"/>
              </w:rPr>
              <w:t>-0.21%</w:t>
            </w:r>
          </w:p>
        </w:tc>
        <w:tc>
          <w:tcPr>
            <w:tcW w:w="1291" w:type="dxa"/>
            <w:vAlign w:val="center"/>
          </w:tcPr>
          <w:p w:rsidR="00A167B0" w:rsidRDefault="009C1521">
            <w:pPr>
              <w:jc w:val="right"/>
            </w:pPr>
            <w:r>
              <w:rPr>
                <w:rFonts w:eastAsiaTheme="minorEastAsia"/>
                <w:color w:val="000000" w:themeColor="text1"/>
                <w:szCs w:val="21"/>
              </w:rPr>
              <w:t>0.07%</w:t>
            </w:r>
          </w:p>
        </w:tc>
      </w:tr>
      <w:tr w:rsidR="00A167B0">
        <w:tc>
          <w:tcPr>
            <w:tcW w:w="1290" w:type="dxa"/>
            <w:vAlign w:val="center"/>
          </w:tcPr>
          <w:p w:rsidR="00A167B0" w:rsidRDefault="009C1521">
            <w:pPr>
              <w:jc w:val="left"/>
            </w:pPr>
            <w:r>
              <w:rPr>
                <w:rFonts w:eastAsiaTheme="minorEastAsia"/>
                <w:color w:val="000000" w:themeColor="text1"/>
                <w:szCs w:val="21"/>
              </w:rPr>
              <w:t>过去一年</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r>
      <w:tr w:rsidR="00A167B0">
        <w:tc>
          <w:tcPr>
            <w:tcW w:w="1290" w:type="dxa"/>
            <w:vAlign w:val="center"/>
          </w:tcPr>
          <w:p w:rsidR="00A167B0" w:rsidRDefault="009C1521">
            <w:pPr>
              <w:jc w:val="left"/>
            </w:pPr>
            <w:r>
              <w:rPr>
                <w:rFonts w:eastAsiaTheme="minorEastAsia"/>
                <w:color w:val="000000" w:themeColor="text1"/>
                <w:szCs w:val="21"/>
              </w:rPr>
              <w:t>过去三年</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r>
      <w:tr w:rsidR="00A167B0">
        <w:tc>
          <w:tcPr>
            <w:tcW w:w="1290" w:type="dxa"/>
            <w:vAlign w:val="center"/>
          </w:tcPr>
          <w:p w:rsidR="00A167B0" w:rsidRDefault="009C1521">
            <w:pPr>
              <w:jc w:val="left"/>
            </w:pPr>
            <w:r>
              <w:rPr>
                <w:rFonts w:eastAsiaTheme="minorEastAsia"/>
                <w:color w:val="000000" w:themeColor="text1"/>
                <w:szCs w:val="21"/>
              </w:rPr>
              <w:t>过去五年</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r>
      <w:tr w:rsidR="00A167B0">
        <w:tc>
          <w:tcPr>
            <w:tcW w:w="1290" w:type="dxa"/>
            <w:vAlign w:val="center"/>
          </w:tcPr>
          <w:p w:rsidR="00A167B0" w:rsidRDefault="009C1521">
            <w:pPr>
              <w:jc w:val="left"/>
            </w:pPr>
            <w:r>
              <w:rPr>
                <w:rFonts w:eastAsiaTheme="minorEastAsia"/>
                <w:color w:val="000000" w:themeColor="text1"/>
                <w:szCs w:val="21"/>
              </w:rPr>
              <w:t>自基金合同生效起至今</w:t>
            </w:r>
          </w:p>
        </w:tc>
        <w:tc>
          <w:tcPr>
            <w:tcW w:w="1291" w:type="dxa"/>
            <w:vAlign w:val="center"/>
          </w:tcPr>
          <w:p w:rsidR="00A167B0" w:rsidRDefault="009C1521">
            <w:pPr>
              <w:jc w:val="right"/>
            </w:pPr>
            <w:r>
              <w:rPr>
                <w:rFonts w:eastAsiaTheme="minorEastAsia"/>
                <w:color w:val="000000" w:themeColor="text1"/>
                <w:szCs w:val="21"/>
              </w:rPr>
              <w:t>0.92%</w:t>
            </w:r>
          </w:p>
        </w:tc>
        <w:tc>
          <w:tcPr>
            <w:tcW w:w="1291" w:type="dxa"/>
            <w:vAlign w:val="center"/>
          </w:tcPr>
          <w:p w:rsidR="00A167B0" w:rsidRDefault="009C1521">
            <w:pPr>
              <w:jc w:val="right"/>
            </w:pPr>
            <w:r>
              <w:rPr>
                <w:rFonts w:eastAsiaTheme="minorEastAsia"/>
                <w:color w:val="000000" w:themeColor="text1"/>
                <w:szCs w:val="21"/>
              </w:rPr>
              <w:t>0.09%</w:t>
            </w:r>
          </w:p>
        </w:tc>
        <w:tc>
          <w:tcPr>
            <w:tcW w:w="1291" w:type="dxa"/>
            <w:vAlign w:val="center"/>
          </w:tcPr>
          <w:p w:rsidR="00A167B0" w:rsidRDefault="009C1521">
            <w:pPr>
              <w:jc w:val="right"/>
            </w:pPr>
            <w:r>
              <w:rPr>
                <w:rFonts w:eastAsiaTheme="minorEastAsia"/>
                <w:color w:val="000000" w:themeColor="text1"/>
                <w:szCs w:val="21"/>
              </w:rPr>
              <w:t>2.33%</w:t>
            </w:r>
          </w:p>
        </w:tc>
        <w:tc>
          <w:tcPr>
            <w:tcW w:w="1291" w:type="dxa"/>
            <w:vAlign w:val="center"/>
          </w:tcPr>
          <w:p w:rsidR="00A167B0" w:rsidRDefault="009C1521">
            <w:pPr>
              <w:jc w:val="right"/>
            </w:pPr>
            <w:r>
              <w:rPr>
                <w:rFonts w:eastAsiaTheme="minorEastAsia"/>
                <w:color w:val="000000" w:themeColor="text1"/>
                <w:szCs w:val="21"/>
              </w:rPr>
              <w:t>0.04%</w:t>
            </w:r>
          </w:p>
        </w:tc>
        <w:tc>
          <w:tcPr>
            <w:tcW w:w="1291" w:type="dxa"/>
            <w:vAlign w:val="center"/>
          </w:tcPr>
          <w:p w:rsidR="00A167B0" w:rsidRDefault="009C1521">
            <w:pPr>
              <w:jc w:val="right"/>
            </w:pPr>
            <w:r>
              <w:rPr>
                <w:rFonts w:eastAsiaTheme="minorEastAsia"/>
                <w:color w:val="000000" w:themeColor="text1"/>
                <w:szCs w:val="21"/>
              </w:rPr>
              <w:t>-1.41%</w:t>
            </w:r>
          </w:p>
        </w:tc>
        <w:tc>
          <w:tcPr>
            <w:tcW w:w="1291" w:type="dxa"/>
            <w:vAlign w:val="center"/>
          </w:tcPr>
          <w:p w:rsidR="00A167B0" w:rsidRDefault="009C1521">
            <w:pPr>
              <w:jc w:val="right"/>
            </w:pPr>
            <w:r>
              <w:rPr>
                <w:rFonts w:eastAsiaTheme="minorEastAsia"/>
                <w:color w:val="000000" w:themeColor="text1"/>
                <w:szCs w:val="21"/>
              </w:rPr>
              <w:t>0.05%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摩根双季鑫</w:t>
      </w:r>
      <w:r w:rsidRPr="00B27A29">
        <w:rPr>
          <w:rFonts w:eastAsiaTheme="minorEastAsia"/>
          <w:b/>
          <w:color w:val="000000" w:themeColor="text1"/>
          <w:kern w:val="0"/>
          <w:szCs w:val="21"/>
        </w:rPr>
        <w:t>6</w:t>
      </w:r>
      <w:r w:rsidRPr="00B27A29">
        <w:rPr>
          <w:rFonts w:eastAsiaTheme="minorEastAsia"/>
          <w:b/>
          <w:color w:val="000000" w:themeColor="text1"/>
          <w:kern w:val="0"/>
          <w:szCs w:val="21"/>
        </w:rPr>
        <w:t>个月持有债券</w:t>
      </w:r>
      <w:r w:rsidRPr="00B27A29">
        <w:rPr>
          <w:rFonts w:eastAsiaTheme="minorEastAsia"/>
          <w:b/>
          <w:color w:val="000000" w:themeColor="text1"/>
          <w:kern w:val="0"/>
          <w:szCs w:val="21"/>
        </w:rPr>
        <w:t>(FOF)C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lastRenderedPageBreak/>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A167B0">
        <w:tc>
          <w:tcPr>
            <w:tcW w:w="1290" w:type="dxa"/>
            <w:vAlign w:val="center"/>
          </w:tcPr>
          <w:p w:rsidR="00A167B0" w:rsidRDefault="009C1521">
            <w:pPr>
              <w:jc w:val="left"/>
            </w:pPr>
            <w:r>
              <w:rPr>
                <w:rFonts w:eastAsiaTheme="minorEastAsia"/>
                <w:color w:val="000000" w:themeColor="text1"/>
                <w:szCs w:val="21"/>
              </w:rPr>
              <w:t>过去三个月</w:t>
            </w:r>
          </w:p>
        </w:tc>
        <w:tc>
          <w:tcPr>
            <w:tcW w:w="1291" w:type="dxa"/>
            <w:vAlign w:val="center"/>
          </w:tcPr>
          <w:p w:rsidR="00A167B0" w:rsidRDefault="009C1521">
            <w:pPr>
              <w:jc w:val="right"/>
            </w:pPr>
            <w:r>
              <w:rPr>
                <w:rFonts w:eastAsiaTheme="minorEastAsia"/>
                <w:color w:val="000000" w:themeColor="text1"/>
                <w:szCs w:val="21"/>
              </w:rPr>
              <w:t>1.12%</w:t>
            </w:r>
          </w:p>
        </w:tc>
        <w:tc>
          <w:tcPr>
            <w:tcW w:w="1291" w:type="dxa"/>
            <w:vAlign w:val="center"/>
          </w:tcPr>
          <w:p w:rsidR="00A167B0" w:rsidRDefault="009C1521">
            <w:pPr>
              <w:jc w:val="right"/>
            </w:pPr>
            <w:r>
              <w:rPr>
                <w:rFonts w:eastAsiaTheme="minorEastAsia"/>
                <w:color w:val="000000" w:themeColor="text1"/>
                <w:szCs w:val="21"/>
              </w:rPr>
              <w:t>0.08%</w:t>
            </w:r>
          </w:p>
        </w:tc>
        <w:tc>
          <w:tcPr>
            <w:tcW w:w="1291" w:type="dxa"/>
            <w:vAlign w:val="center"/>
          </w:tcPr>
          <w:p w:rsidR="00A167B0" w:rsidRDefault="009C1521">
            <w:pPr>
              <w:jc w:val="right"/>
            </w:pPr>
            <w:r>
              <w:rPr>
                <w:rFonts w:eastAsiaTheme="minorEastAsia"/>
                <w:color w:val="000000" w:themeColor="text1"/>
                <w:szCs w:val="21"/>
              </w:rPr>
              <w:t>0.99%</w:t>
            </w:r>
          </w:p>
        </w:tc>
        <w:tc>
          <w:tcPr>
            <w:tcW w:w="1291" w:type="dxa"/>
            <w:vAlign w:val="center"/>
          </w:tcPr>
          <w:p w:rsidR="00A167B0" w:rsidRDefault="009C1521">
            <w:pPr>
              <w:jc w:val="right"/>
            </w:pPr>
            <w:r>
              <w:rPr>
                <w:rFonts w:eastAsiaTheme="minorEastAsia"/>
                <w:color w:val="000000" w:themeColor="text1"/>
                <w:szCs w:val="21"/>
              </w:rPr>
              <w:t>0.03%</w:t>
            </w:r>
          </w:p>
        </w:tc>
        <w:tc>
          <w:tcPr>
            <w:tcW w:w="1291" w:type="dxa"/>
            <w:vAlign w:val="center"/>
          </w:tcPr>
          <w:p w:rsidR="00A167B0" w:rsidRDefault="009C1521">
            <w:pPr>
              <w:jc w:val="right"/>
            </w:pPr>
            <w:r>
              <w:rPr>
                <w:rFonts w:eastAsiaTheme="minorEastAsia"/>
                <w:color w:val="000000" w:themeColor="text1"/>
                <w:szCs w:val="21"/>
              </w:rPr>
              <w:t>0.13%</w:t>
            </w:r>
          </w:p>
        </w:tc>
        <w:tc>
          <w:tcPr>
            <w:tcW w:w="1291" w:type="dxa"/>
            <w:vAlign w:val="center"/>
          </w:tcPr>
          <w:p w:rsidR="00A167B0" w:rsidRDefault="009C1521">
            <w:pPr>
              <w:jc w:val="right"/>
            </w:pPr>
            <w:r>
              <w:rPr>
                <w:rFonts w:eastAsiaTheme="minorEastAsia"/>
                <w:color w:val="000000" w:themeColor="text1"/>
                <w:szCs w:val="21"/>
              </w:rPr>
              <w:t>0.05%</w:t>
            </w:r>
          </w:p>
        </w:tc>
      </w:tr>
      <w:tr w:rsidR="00A167B0">
        <w:tc>
          <w:tcPr>
            <w:tcW w:w="1290" w:type="dxa"/>
            <w:vAlign w:val="center"/>
          </w:tcPr>
          <w:p w:rsidR="00A167B0" w:rsidRDefault="009C1521">
            <w:pPr>
              <w:jc w:val="left"/>
            </w:pPr>
            <w:r>
              <w:rPr>
                <w:rFonts w:eastAsiaTheme="minorEastAsia"/>
                <w:color w:val="000000" w:themeColor="text1"/>
                <w:szCs w:val="21"/>
              </w:rPr>
              <w:t>过去六个月</w:t>
            </w:r>
          </w:p>
        </w:tc>
        <w:tc>
          <w:tcPr>
            <w:tcW w:w="1291" w:type="dxa"/>
            <w:vAlign w:val="center"/>
          </w:tcPr>
          <w:p w:rsidR="00A167B0" w:rsidRDefault="009C1521">
            <w:pPr>
              <w:jc w:val="right"/>
            </w:pPr>
            <w:r>
              <w:rPr>
                <w:rFonts w:eastAsiaTheme="minorEastAsia"/>
                <w:color w:val="000000" w:themeColor="text1"/>
                <w:szCs w:val="21"/>
              </w:rPr>
              <w:t>1.53%</w:t>
            </w:r>
          </w:p>
        </w:tc>
        <w:tc>
          <w:tcPr>
            <w:tcW w:w="1291" w:type="dxa"/>
            <w:vAlign w:val="center"/>
          </w:tcPr>
          <w:p w:rsidR="00A167B0" w:rsidRDefault="009C1521">
            <w:pPr>
              <w:jc w:val="right"/>
            </w:pPr>
            <w:r>
              <w:rPr>
                <w:rFonts w:eastAsiaTheme="minorEastAsia"/>
                <w:color w:val="000000" w:themeColor="text1"/>
                <w:szCs w:val="21"/>
              </w:rPr>
              <w:t>0.11%</w:t>
            </w:r>
          </w:p>
        </w:tc>
        <w:tc>
          <w:tcPr>
            <w:tcW w:w="1291" w:type="dxa"/>
            <w:vAlign w:val="center"/>
          </w:tcPr>
          <w:p w:rsidR="00A167B0" w:rsidRDefault="009C1521">
            <w:pPr>
              <w:jc w:val="right"/>
            </w:pPr>
            <w:r>
              <w:rPr>
                <w:rFonts w:eastAsiaTheme="minorEastAsia"/>
                <w:color w:val="000000" w:themeColor="text1"/>
                <w:szCs w:val="21"/>
              </w:rPr>
              <w:t>1.88%</w:t>
            </w:r>
          </w:p>
        </w:tc>
        <w:tc>
          <w:tcPr>
            <w:tcW w:w="1291" w:type="dxa"/>
            <w:vAlign w:val="center"/>
          </w:tcPr>
          <w:p w:rsidR="00A167B0" w:rsidRDefault="009C1521">
            <w:pPr>
              <w:jc w:val="right"/>
            </w:pPr>
            <w:r>
              <w:rPr>
                <w:rFonts w:eastAsiaTheme="minorEastAsia"/>
                <w:color w:val="000000" w:themeColor="text1"/>
                <w:szCs w:val="21"/>
              </w:rPr>
              <w:t>0.04%</w:t>
            </w:r>
          </w:p>
        </w:tc>
        <w:tc>
          <w:tcPr>
            <w:tcW w:w="1291" w:type="dxa"/>
            <w:vAlign w:val="center"/>
          </w:tcPr>
          <w:p w:rsidR="00A167B0" w:rsidRDefault="009C1521">
            <w:pPr>
              <w:jc w:val="right"/>
            </w:pPr>
            <w:r>
              <w:rPr>
                <w:rFonts w:eastAsiaTheme="minorEastAsia"/>
                <w:color w:val="000000" w:themeColor="text1"/>
                <w:szCs w:val="21"/>
              </w:rPr>
              <w:t>-0.35%</w:t>
            </w:r>
          </w:p>
        </w:tc>
        <w:tc>
          <w:tcPr>
            <w:tcW w:w="1291" w:type="dxa"/>
            <w:vAlign w:val="center"/>
          </w:tcPr>
          <w:p w:rsidR="00A167B0" w:rsidRDefault="009C1521">
            <w:pPr>
              <w:jc w:val="right"/>
            </w:pPr>
            <w:r>
              <w:rPr>
                <w:rFonts w:eastAsiaTheme="minorEastAsia"/>
                <w:color w:val="000000" w:themeColor="text1"/>
                <w:szCs w:val="21"/>
              </w:rPr>
              <w:t>0.07%</w:t>
            </w:r>
          </w:p>
        </w:tc>
      </w:tr>
      <w:tr w:rsidR="00A167B0">
        <w:tc>
          <w:tcPr>
            <w:tcW w:w="1290" w:type="dxa"/>
            <w:vAlign w:val="center"/>
          </w:tcPr>
          <w:p w:rsidR="00A167B0" w:rsidRDefault="009C1521">
            <w:pPr>
              <w:jc w:val="left"/>
            </w:pPr>
            <w:r>
              <w:rPr>
                <w:rFonts w:eastAsiaTheme="minorEastAsia"/>
                <w:color w:val="000000" w:themeColor="text1"/>
                <w:szCs w:val="21"/>
              </w:rPr>
              <w:t>过去一年</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r>
      <w:tr w:rsidR="00A167B0">
        <w:tc>
          <w:tcPr>
            <w:tcW w:w="1290" w:type="dxa"/>
            <w:vAlign w:val="center"/>
          </w:tcPr>
          <w:p w:rsidR="00A167B0" w:rsidRDefault="009C1521">
            <w:pPr>
              <w:jc w:val="left"/>
            </w:pPr>
            <w:r>
              <w:rPr>
                <w:rFonts w:eastAsiaTheme="minorEastAsia"/>
                <w:color w:val="000000" w:themeColor="text1"/>
                <w:szCs w:val="21"/>
              </w:rPr>
              <w:t>过去三年</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r>
      <w:tr w:rsidR="00A167B0">
        <w:tc>
          <w:tcPr>
            <w:tcW w:w="1290" w:type="dxa"/>
            <w:vAlign w:val="center"/>
          </w:tcPr>
          <w:p w:rsidR="00A167B0" w:rsidRDefault="009C1521">
            <w:pPr>
              <w:jc w:val="left"/>
            </w:pPr>
            <w:r>
              <w:rPr>
                <w:rFonts w:eastAsiaTheme="minorEastAsia"/>
                <w:color w:val="000000" w:themeColor="text1"/>
                <w:szCs w:val="21"/>
              </w:rPr>
              <w:t>过去五年</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c>
          <w:tcPr>
            <w:tcW w:w="1291" w:type="dxa"/>
            <w:vAlign w:val="center"/>
          </w:tcPr>
          <w:p w:rsidR="00A167B0" w:rsidRDefault="009C1521">
            <w:pPr>
              <w:jc w:val="right"/>
            </w:pPr>
            <w:r>
              <w:rPr>
                <w:rFonts w:eastAsiaTheme="minorEastAsia"/>
                <w:color w:val="000000" w:themeColor="text1"/>
                <w:szCs w:val="21"/>
              </w:rPr>
              <w:t>-</w:t>
            </w:r>
          </w:p>
        </w:tc>
      </w:tr>
      <w:tr w:rsidR="00A167B0">
        <w:tc>
          <w:tcPr>
            <w:tcW w:w="1290" w:type="dxa"/>
            <w:vAlign w:val="center"/>
          </w:tcPr>
          <w:p w:rsidR="00A167B0" w:rsidRDefault="009C1521">
            <w:pPr>
              <w:jc w:val="left"/>
            </w:pPr>
            <w:r>
              <w:rPr>
                <w:rFonts w:eastAsiaTheme="minorEastAsia"/>
                <w:color w:val="000000" w:themeColor="text1"/>
                <w:szCs w:val="21"/>
              </w:rPr>
              <w:t>自基金合同生效起至今</w:t>
            </w:r>
          </w:p>
        </w:tc>
        <w:tc>
          <w:tcPr>
            <w:tcW w:w="1291" w:type="dxa"/>
            <w:vAlign w:val="center"/>
          </w:tcPr>
          <w:p w:rsidR="00A167B0" w:rsidRDefault="009C1521">
            <w:pPr>
              <w:jc w:val="right"/>
            </w:pPr>
            <w:r>
              <w:rPr>
                <w:rFonts w:eastAsiaTheme="minorEastAsia"/>
                <w:color w:val="000000" w:themeColor="text1"/>
                <w:szCs w:val="21"/>
              </w:rPr>
              <w:t>0.69%</w:t>
            </w:r>
          </w:p>
        </w:tc>
        <w:tc>
          <w:tcPr>
            <w:tcW w:w="1291" w:type="dxa"/>
            <w:vAlign w:val="center"/>
          </w:tcPr>
          <w:p w:rsidR="00A167B0" w:rsidRDefault="009C1521">
            <w:pPr>
              <w:jc w:val="right"/>
            </w:pPr>
            <w:r>
              <w:rPr>
                <w:rFonts w:eastAsiaTheme="minorEastAsia"/>
                <w:color w:val="000000" w:themeColor="text1"/>
                <w:szCs w:val="21"/>
              </w:rPr>
              <w:t>0.09%</w:t>
            </w:r>
          </w:p>
        </w:tc>
        <w:tc>
          <w:tcPr>
            <w:tcW w:w="1291" w:type="dxa"/>
            <w:vAlign w:val="center"/>
          </w:tcPr>
          <w:p w:rsidR="00A167B0" w:rsidRDefault="009C1521">
            <w:pPr>
              <w:jc w:val="right"/>
            </w:pPr>
            <w:r>
              <w:rPr>
                <w:rFonts w:eastAsiaTheme="minorEastAsia"/>
                <w:color w:val="000000" w:themeColor="text1"/>
                <w:szCs w:val="21"/>
              </w:rPr>
              <w:t>2.33%</w:t>
            </w:r>
          </w:p>
        </w:tc>
        <w:tc>
          <w:tcPr>
            <w:tcW w:w="1291" w:type="dxa"/>
            <w:vAlign w:val="center"/>
          </w:tcPr>
          <w:p w:rsidR="00A167B0" w:rsidRDefault="009C1521">
            <w:pPr>
              <w:jc w:val="right"/>
            </w:pPr>
            <w:r>
              <w:rPr>
                <w:rFonts w:eastAsiaTheme="minorEastAsia"/>
                <w:color w:val="000000" w:themeColor="text1"/>
                <w:szCs w:val="21"/>
              </w:rPr>
              <w:t>0.04%</w:t>
            </w:r>
          </w:p>
        </w:tc>
        <w:tc>
          <w:tcPr>
            <w:tcW w:w="1291" w:type="dxa"/>
            <w:vAlign w:val="center"/>
          </w:tcPr>
          <w:p w:rsidR="00A167B0" w:rsidRDefault="009C1521">
            <w:pPr>
              <w:jc w:val="right"/>
            </w:pPr>
            <w:r>
              <w:rPr>
                <w:rFonts w:eastAsiaTheme="minorEastAsia"/>
                <w:color w:val="000000" w:themeColor="text1"/>
                <w:szCs w:val="21"/>
              </w:rPr>
              <w:t>-1.64%</w:t>
            </w:r>
          </w:p>
        </w:tc>
        <w:tc>
          <w:tcPr>
            <w:tcW w:w="1291" w:type="dxa"/>
            <w:vAlign w:val="center"/>
          </w:tcPr>
          <w:p w:rsidR="00A167B0" w:rsidRDefault="009C1521">
            <w:pPr>
              <w:jc w:val="right"/>
            </w:pPr>
            <w:r>
              <w:rPr>
                <w:rFonts w:eastAsiaTheme="minorEastAsia"/>
                <w:color w:val="000000" w:themeColor="text1"/>
                <w:szCs w:val="21"/>
              </w:rPr>
              <w:t>0.05%</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个月持有期债券型发起式基金中基金</w:t>
      </w:r>
      <w:r w:rsidRPr="00B27A29">
        <w:rPr>
          <w:rFonts w:eastAsiaTheme="minorEastAsia"/>
          <w:color w:val="000000" w:themeColor="text1"/>
          <w:szCs w:val="21"/>
        </w:rPr>
        <w:t>(FOF)</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8</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30</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 xml:space="preserve"> 6 </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A167B0">
        <w:tc>
          <w:tcPr>
            <w:tcW w:w="952" w:type="dxa"/>
            <w:vAlign w:val="center"/>
          </w:tcPr>
          <w:p w:rsidR="00A167B0" w:rsidRDefault="009C1521">
            <w:pPr>
              <w:jc w:val="center"/>
            </w:pPr>
            <w:r>
              <w:rPr>
                <w:rFonts w:eastAsiaTheme="minorEastAsia"/>
                <w:color w:val="000000" w:themeColor="text1"/>
                <w:szCs w:val="21"/>
              </w:rPr>
              <w:t>杜习杰</w:t>
            </w:r>
          </w:p>
        </w:tc>
        <w:tc>
          <w:tcPr>
            <w:tcW w:w="930" w:type="dxa"/>
            <w:vAlign w:val="center"/>
          </w:tcPr>
          <w:p w:rsidR="00A167B0" w:rsidRDefault="009C1521">
            <w:pPr>
              <w:jc w:val="center"/>
            </w:pPr>
            <w:r>
              <w:rPr>
                <w:rFonts w:eastAsiaTheme="minorEastAsia"/>
                <w:color w:val="000000" w:themeColor="text1"/>
                <w:szCs w:val="21"/>
              </w:rPr>
              <w:t>本基金基金经理</w:t>
            </w:r>
          </w:p>
        </w:tc>
        <w:tc>
          <w:tcPr>
            <w:tcW w:w="1210" w:type="dxa"/>
            <w:vAlign w:val="center"/>
          </w:tcPr>
          <w:p w:rsidR="00A167B0" w:rsidRDefault="009C1521">
            <w:pPr>
              <w:jc w:val="center"/>
            </w:pPr>
            <w:r>
              <w:rPr>
                <w:rFonts w:eastAsiaTheme="minorEastAsia"/>
                <w:color w:val="000000" w:themeColor="text1"/>
                <w:szCs w:val="21"/>
              </w:rPr>
              <w:t>2023-08-08</w:t>
            </w:r>
          </w:p>
        </w:tc>
        <w:tc>
          <w:tcPr>
            <w:tcW w:w="1309" w:type="dxa"/>
            <w:vAlign w:val="center"/>
          </w:tcPr>
          <w:p w:rsidR="00A167B0" w:rsidRDefault="009C1521">
            <w:pPr>
              <w:jc w:val="center"/>
            </w:pPr>
            <w:r>
              <w:rPr>
                <w:rFonts w:eastAsiaTheme="minorEastAsia"/>
                <w:color w:val="000000" w:themeColor="text1"/>
                <w:szCs w:val="21"/>
              </w:rPr>
              <w:t>-</w:t>
            </w:r>
          </w:p>
        </w:tc>
        <w:tc>
          <w:tcPr>
            <w:tcW w:w="1254" w:type="dxa"/>
            <w:vAlign w:val="center"/>
          </w:tcPr>
          <w:p w:rsidR="00A167B0" w:rsidRDefault="009C1521">
            <w:pPr>
              <w:jc w:val="center"/>
            </w:pPr>
            <w:r>
              <w:rPr>
                <w:rFonts w:eastAsiaTheme="minorEastAsia"/>
                <w:color w:val="000000" w:themeColor="text1"/>
                <w:szCs w:val="21"/>
              </w:rPr>
              <w:t>16</w:t>
            </w:r>
            <w:r>
              <w:rPr>
                <w:rFonts w:eastAsiaTheme="minorEastAsia"/>
                <w:color w:val="000000" w:themeColor="text1"/>
                <w:szCs w:val="21"/>
              </w:rPr>
              <w:t>年</w:t>
            </w:r>
          </w:p>
        </w:tc>
        <w:tc>
          <w:tcPr>
            <w:tcW w:w="3276" w:type="dxa"/>
            <w:vAlign w:val="center"/>
          </w:tcPr>
          <w:p w:rsidR="00A167B0" w:rsidRDefault="009C1521">
            <w:r>
              <w:rPr>
                <w:rFonts w:eastAsiaTheme="minorEastAsia"/>
                <w:color w:val="000000" w:themeColor="text1"/>
                <w:szCs w:val="21"/>
              </w:rPr>
              <w:t>杜习杰先生曾任长信基金任研究员。</w:t>
            </w:r>
            <w:r>
              <w:rPr>
                <w:rFonts w:eastAsiaTheme="minorEastAsia"/>
                <w:color w:val="000000" w:themeColor="text1"/>
                <w:szCs w:val="21"/>
              </w:rPr>
              <w:t>2011</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月起加入摩根基金管理（中国）有限公司（原上投摩根基金管理有限公司），历任研究员、投资经理兼研究员，现任组合基金投资部基金经理。</w:t>
            </w:r>
          </w:p>
        </w:tc>
      </w:tr>
      <w:tr w:rsidR="00A167B0">
        <w:tc>
          <w:tcPr>
            <w:tcW w:w="952" w:type="dxa"/>
            <w:vAlign w:val="center"/>
          </w:tcPr>
          <w:p w:rsidR="00A167B0" w:rsidRDefault="009C1521">
            <w:pPr>
              <w:jc w:val="center"/>
            </w:pPr>
            <w:r>
              <w:rPr>
                <w:rFonts w:eastAsiaTheme="minorEastAsia"/>
                <w:color w:val="000000" w:themeColor="text1"/>
                <w:szCs w:val="21"/>
              </w:rPr>
              <w:t>吴春杰</w:t>
            </w:r>
          </w:p>
        </w:tc>
        <w:tc>
          <w:tcPr>
            <w:tcW w:w="930" w:type="dxa"/>
            <w:vAlign w:val="center"/>
          </w:tcPr>
          <w:p w:rsidR="00A167B0" w:rsidRDefault="009C1521">
            <w:pPr>
              <w:jc w:val="center"/>
            </w:pPr>
            <w:r>
              <w:rPr>
                <w:rFonts w:eastAsiaTheme="minorEastAsia"/>
                <w:color w:val="000000" w:themeColor="text1"/>
                <w:szCs w:val="21"/>
              </w:rPr>
              <w:t>本基金基金经理</w:t>
            </w:r>
          </w:p>
        </w:tc>
        <w:tc>
          <w:tcPr>
            <w:tcW w:w="1210" w:type="dxa"/>
            <w:vAlign w:val="center"/>
          </w:tcPr>
          <w:p w:rsidR="00A167B0" w:rsidRDefault="009C1521">
            <w:pPr>
              <w:jc w:val="center"/>
            </w:pPr>
            <w:r>
              <w:rPr>
                <w:rFonts w:eastAsiaTheme="minorEastAsia"/>
                <w:color w:val="000000" w:themeColor="text1"/>
                <w:szCs w:val="21"/>
              </w:rPr>
              <w:t>2023-08-08</w:t>
            </w:r>
          </w:p>
        </w:tc>
        <w:tc>
          <w:tcPr>
            <w:tcW w:w="1309" w:type="dxa"/>
            <w:vAlign w:val="center"/>
          </w:tcPr>
          <w:p w:rsidR="00A167B0" w:rsidRDefault="009C1521">
            <w:pPr>
              <w:jc w:val="center"/>
            </w:pPr>
            <w:r>
              <w:rPr>
                <w:rFonts w:eastAsiaTheme="minorEastAsia"/>
                <w:color w:val="000000" w:themeColor="text1"/>
                <w:szCs w:val="21"/>
              </w:rPr>
              <w:t>-</w:t>
            </w:r>
          </w:p>
        </w:tc>
        <w:tc>
          <w:tcPr>
            <w:tcW w:w="1254" w:type="dxa"/>
            <w:vAlign w:val="center"/>
          </w:tcPr>
          <w:p w:rsidR="00A167B0" w:rsidRDefault="009C1521">
            <w:pPr>
              <w:jc w:val="center"/>
            </w:pPr>
            <w:r>
              <w:rPr>
                <w:rFonts w:eastAsiaTheme="minorEastAsia"/>
                <w:color w:val="000000" w:themeColor="text1"/>
                <w:szCs w:val="21"/>
              </w:rPr>
              <w:t>13</w:t>
            </w:r>
            <w:r>
              <w:rPr>
                <w:rFonts w:eastAsiaTheme="minorEastAsia"/>
                <w:color w:val="000000" w:themeColor="text1"/>
                <w:szCs w:val="21"/>
              </w:rPr>
              <w:t>年</w:t>
            </w:r>
          </w:p>
        </w:tc>
        <w:tc>
          <w:tcPr>
            <w:tcW w:w="3276" w:type="dxa"/>
            <w:vAlign w:val="center"/>
          </w:tcPr>
          <w:p w:rsidR="00A167B0" w:rsidRDefault="009C1521">
            <w:r>
              <w:rPr>
                <w:rFonts w:eastAsiaTheme="minorEastAsia"/>
                <w:color w:val="000000" w:themeColor="text1"/>
                <w:szCs w:val="21"/>
              </w:rPr>
              <w:t>吴春杰女士曾任长江证券股份有限公司宏观策略分析师，中国太平洋人寿保险有限公司资产配置中心配置策略经理，上海景熙资产管理有限公司投资经理</w:t>
            </w:r>
            <w:r>
              <w:rPr>
                <w:rFonts w:eastAsiaTheme="minorEastAsia"/>
                <w:color w:val="000000" w:themeColor="text1"/>
                <w:szCs w:val="21"/>
              </w:rPr>
              <w:t>/</w:t>
            </w:r>
            <w:r>
              <w:rPr>
                <w:rFonts w:eastAsiaTheme="minorEastAsia"/>
                <w:color w:val="000000" w:themeColor="text1"/>
                <w:szCs w:val="21"/>
              </w:rPr>
              <w:t>宏观策略研究。</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月加入摩根基金管理（中国）有限公司（原上投摩根</w:t>
            </w:r>
            <w:r>
              <w:rPr>
                <w:rFonts w:eastAsiaTheme="minorEastAsia"/>
                <w:color w:val="000000" w:themeColor="text1"/>
                <w:szCs w:val="21"/>
              </w:rPr>
              <w:lastRenderedPageBreak/>
              <w:t>基金管理有限公司），历任宏观研究员，现任高级基金经理。</w:t>
            </w:r>
          </w:p>
        </w:tc>
      </w:tr>
      <w:tr w:rsidR="00A167B0">
        <w:tc>
          <w:tcPr>
            <w:tcW w:w="952" w:type="dxa"/>
            <w:vAlign w:val="center"/>
          </w:tcPr>
          <w:p w:rsidR="00A167B0" w:rsidRDefault="009C1521">
            <w:pPr>
              <w:jc w:val="center"/>
            </w:pPr>
            <w:r>
              <w:rPr>
                <w:rFonts w:eastAsiaTheme="minorEastAsia"/>
                <w:color w:val="000000" w:themeColor="text1"/>
                <w:szCs w:val="21"/>
              </w:rPr>
              <w:lastRenderedPageBreak/>
              <w:t>恩学海</w:t>
            </w:r>
          </w:p>
        </w:tc>
        <w:tc>
          <w:tcPr>
            <w:tcW w:w="930" w:type="dxa"/>
            <w:vAlign w:val="center"/>
          </w:tcPr>
          <w:p w:rsidR="00A167B0" w:rsidRDefault="009C1521">
            <w:pPr>
              <w:jc w:val="center"/>
            </w:pPr>
            <w:r>
              <w:rPr>
                <w:rFonts w:eastAsiaTheme="minorEastAsia"/>
                <w:color w:val="000000" w:themeColor="text1"/>
                <w:szCs w:val="21"/>
              </w:rPr>
              <w:t>本基金基金经理、资产配置及退休金管理首席投资官</w:t>
            </w:r>
          </w:p>
        </w:tc>
        <w:tc>
          <w:tcPr>
            <w:tcW w:w="1210" w:type="dxa"/>
            <w:vAlign w:val="center"/>
          </w:tcPr>
          <w:p w:rsidR="00A167B0" w:rsidRDefault="009C1521">
            <w:pPr>
              <w:jc w:val="center"/>
            </w:pPr>
            <w:r>
              <w:rPr>
                <w:rFonts w:eastAsiaTheme="minorEastAsia"/>
                <w:color w:val="000000" w:themeColor="text1"/>
                <w:szCs w:val="21"/>
              </w:rPr>
              <w:t>2023-08-08</w:t>
            </w:r>
          </w:p>
        </w:tc>
        <w:tc>
          <w:tcPr>
            <w:tcW w:w="1309" w:type="dxa"/>
            <w:vAlign w:val="center"/>
          </w:tcPr>
          <w:p w:rsidR="00A167B0" w:rsidRDefault="009C1521">
            <w:pPr>
              <w:jc w:val="center"/>
            </w:pPr>
            <w:r>
              <w:rPr>
                <w:rFonts w:eastAsiaTheme="minorEastAsia"/>
                <w:color w:val="000000" w:themeColor="text1"/>
                <w:szCs w:val="21"/>
              </w:rPr>
              <w:t>-</w:t>
            </w:r>
          </w:p>
        </w:tc>
        <w:tc>
          <w:tcPr>
            <w:tcW w:w="1254" w:type="dxa"/>
            <w:vAlign w:val="center"/>
          </w:tcPr>
          <w:p w:rsidR="00A167B0" w:rsidRDefault="009C1521">
            <w:pPr>
              <w:jc w:val="center"/>
            </w:pPr>
            <w:r>
              <w:rPr>
                <w:rFonts w:eastAsiaTheme="minorEastAsia"/>
                <w:color w:val="000000" w:themeColor="text1"/>
                <w:szCs w:val="21"/>
              </w:rPr>
              <w:t>29</w:t>
            </w:r>
            <w:r>
              <w:rPr>
                <w:rFonts w:eastAsiaTheme="minorEastAsia"/>
                <w:color w:val="000000" w:themeColor="text1"/>
                <w:szCs w:val="21"/>
              </w:rPr>
              <w:t>年</w:t>
            </w:r>
          </w:p>
        </w:tc>
        <w:tc>
          <w:tcPr>
            <w:tcW w:w="3276" w:type="dxa"/>
            <w:vAlign w:val="center"/>
          </w:tcPr>
          <w:p w:rsidR="00A167B0" w:rsidRDefault="009C1521">
            <w:r>
              <w:rPr>
                <w:rFonts w:eastAsiaTheme="minorEastAsia"/>
                <w:color w:val="000000" w:themeColor="text1"/>
                <w:szCs w:val="21"/>
              </w:rPr>
              <w:t>恩学海先生曾就职于通用数据公司。自</w:t>
            </w:r>
            <w:r>
              <w:rPr>
                <w:rFonts w:eastAsiaTheme="minorEastAsia"/>
                <w:color w:val="000000" w:themeColor="text1"/>
                <w:szCs w:val="21"/>
              </w:rPr>
              <w:t>1994</w:t>
            </w:r>
            <w:r>
              <w:rPr>
                <w:rFonts w:eastAsiaTheme="minorEastAsia"/>
                <w:color w:val="000000" w:themeColor="text1"/>
                <w:szCs w:val="21"/>
              </w:rPr>
              <w:t>年至</w:t>
            </w:r>
            <w:r>
              <w:rPr>
                <w:rFonts w:eastAsiaTheme="minorEastAsia"/>
                <w:color w:val="000000" w:themeColor="text1"/>
                <w:szCs w:val="21"/>
              </w:rPr>
              <w:t>2017</w:t>
            </w:r>
            <w:r>
              <w:rPr>
                <w:rFonts w:eastAsiaTheme="minorEastAsia"/>
                <w:color w:val="000000" w:themeColor="text1"/>
                <w:szCs w:val="21"/>
              </w:rPr>
              <w:t>年就职于美国富达投资集团，先后于资本市场部任高级程序设计和系统分析员、项目经理；于资产管理服务部任高级量化分析师；于战略顾问部、全球资产配置任基金经理、基金策略师；自</w:t>
            </w:r>
            <w:r>
              <w:rPr>
                <w:rFonts w:eastAsiaTheme="minorEastAsia"/>
                <w:color w:val="000000" w:themeColor="text1"/>
                <w:szCs w:val="21"/>
              </w:rPr>
              <w:t>2018</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月加入摩根基金管理（中国）有限公司（原上投摩根基金管理有限公司），现任资产配置及退休金管理首席投资官。</w:t>
            </w:r>
          </w:p>
        </w:tc>
      </w:tr>
    </w:tbl>
    <w:p w:rsidR="00A167B0" w:rsidRDefault="009C152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A167B0" w:rsidRDefault="009C1521">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恩学海先生、杜习杰先生、吴春杰女士为本基金首任基金经理，其任职日期指本基金基金合同生效之日。</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基金经理对个股和投资组合的比例遵循了投资决策委员会的授权限制，基金投资比例符合基金合同和法律法规的要求。</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w:t>
      </w:r>
      <w:r>
        <w:rPr>
          <w:rFonts w:eastAsiaTheme="minorEastAsia"/>
          <w:color w:val="000000" w:themeColor="text1"/>
          <w:szCs w:val="21"/>
        </w:rPr>
        <w:t>则在各投资组合间公平分配交易量；对于银行间市场投资活动，本公司通过对手库控制和交易室询价机制，严格防范对手风险并检查价格公允性；对于申购投资行</w:t>
      </w:r>
      <w:r>
        <w:rPr>
          <w:rFonts w:eastAsiaTheme="minorEastAsia"/>
          <w:color w:val="000000" w:themeColor="text1"/>
          <w:szCs w:val="21"/>
        </w:rPr>
        <w:lastRenderedPageBreak/>
        <w:t>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w:t>
      </w:r>
      <w:r>
        <w:rPr>
          <w:rFonts w:eastAsiaTheme="minorEastAsia"/>
          <w:color w:val="000000" w:themeColor="text1"/>
          <w:szCs w:val="21"/>
        </w:rPr>
        <w:t>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回顾</w:t>
      </w:r>
      <w:r>
        <w:rPr>
          <w:rFonts w:eastAsiaTheme="minorEastAsia"/>
          <w:color w:val="000000" w:themeColor="text1"/>
          <w:szCs w:val="21"/>
        </w:rPr>
        <w:t>2024</w:t>
      </w:r>
      <w:r>
        <w:rPr>
          <w:rFonts w:eastAsiaTheme="minorEastAsia"/>
          <w:color w:val="000000" w:themeColor="text1"/>
          <w:szCs w:val="21"/>
        </w:rPr>
        <w:t>年二季度，国内权益市场先反弹、后有所回落，区间内小幅走低。</w:t>
      </w:r>
      <w:r>
        <w:rPr>
          <w:rFonts w:eastAsiaTheme="minorEastAsia"/>
          <w:color w:val="000000" w:themeColor="text1"/>
          <w:szCs w:val="21"/>
        </w:rPr>
        <w:t>4</w:t>
      </w:r>
      <w:r>
        <w:rPr>
          <w:rFonts w:eastAsiaTheme="minorEastAsia"/>
          <w:color w:val="000000" w:themeColor="text1"/>
          <w:szCs w:val="21"/>
        </w:rPr>
        <w:t>月底的政治局会议在涉及房地产行业的表述上释放了积极的信号，会议同时提到政府债券发行将加快，以及随后多项支持</w:t>
      </w:r>
      <w:r>
        <w:rPr>
          <w:rFonts w:eastAsiaTheme="minorEastAsia"/>
          <w:color w:val="000000" w:themeColor="text1"/>
          <w:szCs w:val="21"/>
        </w:rPr>
        <w:t>“</w:t>
      </w:r>
      <w:r>
        <w:rPr>
          <w:rFonts w:eastAsiaTheme="minorEastAsia"/>
          <w:color w:val="000000" w:themeColor="text1"/>
          <w:szCs w:val="21"/>
        </w:rPr>
        <w:t>以旧换新</w:t>
      </w:r>
      <w:r>
        <w:rPr>
          <w:rFonts w:eastAsiaTheme="minorEastAsia"/>
          <w:color w:val="000000" w:themeColor="text1"/>
          <w:szCs w:val="21"/>
        </w:rPr>
        <w:t>”</w:t>
      </w:r>
      <w:r>
        <w:rPr>
          <w:rFonts w:eastAsiaTheme="minorEastAsia"/>
          <w:color w:val="000000" w:themeColor="text1"/>
          <w:szCs w:val="21"/>
        </w:rPr>
        <w:t>的细则出台，提振了国内权益市场的信心。但在市场缺乏增量资金的背景下，</w:t>
      </w:r>
      <w:r>
        <w:rPr>
          <w:rFonts w:eastAsiaTheme="minorEastAsia"/>
          <w:color w:val="000000" w:themeColor="text1"/>
          <w:szCs w:val="21"/>
        </w:rPr>
        <w:t>5</w:t>
      </w:r>
      <w:r>
        <w:rPr>
          <w:rFonts w:eastAsiaTheme="minorEastAsia"/>
          <w:color w:val="000000" w:themeColor="text1"/>
          <w:szCs w:val="21"/>
        </w:rPr>
        <w:t>月底市场在等待政策效果的验证，情绪转向防御。国内债券</w:t>
      </w:r>
      <w:r>
        <w:rPr>
          <w:rFonts w:eastAsiaTheme="minorEastAsia"/>
          <w:color w:val="000000" w:themeColor="text1"/>
          <w:szCs w:val="21"/>
        </w:rPr>
        <w:t>方面，</w:t>
      </w:r>
      <w:r>
        <w:rPr>
          <w:rFonts w:eastAsiaTheme="minorEastAsia"/>
          <w:color w:val="000000" w:themeColor="text1"/>
          <w:szCs w:val="21"/>
        </w:rPr>
        <w:t>10</w:t>
      </w:r>
      <w:r>
        <w:rPr>
          <w:rFonts w:eastAsiaTheme="minorEastAsia"/>
          <w:color w:val="000000" w:themeColor="text1"/>
          <w:szCs w:val="21"/>
        </w:rPr>
        <w:t>年期国债收益率震荡下行</w:t>
      </w:r>
      <w:r>
        <w:rPr>
          <w:rFonts w:eastAsiaTheme="minorEastAsia"/>
          <w:color w:val="000000" w:themeColor="text1"/>
          <w:szCs w:val="21"/>
        </w:rPr>
        <w:t>8BP</w:t>
      </w:r>
      <w:r>
        <w:rPr>
          <w:rFonts w:eastAsiaTheme="minorEastAsia"/>
          <w:color w:val="000000" w:themeColor="text1"/>
          <w:szCs w:val="21"/>
        </w:rPr>
        <w:t>至</w:t>
      </w:r>
      <w:r>
        <w:rPr>
          <w:rFonts w:eastAsiaTheme="minorEastAsia"/>
          <w:color w:val="000000" w:themeColor="text1"/>
          <w:szCs w:val="21"/>
        </w:rPr>
        <w:t>2.21%</w:t>
      </w:r>
      <w:r>
        <w:rPr>
          <w:rFonts w:eastAsiaTheme="minorEastAsia"/>
          <w:color w:val="000000" w:themeColor="text1"/>
          <w:szCs w:val="21"/>
        </w:rPr>
        <w:t>，规范</w:t>
      </w:r>
      <w:r>
        <w:rPr>
          <w:rFonts w:eastAsiaTheme="minorEastAsia"/>
          <w:color w:val="000000" w:themeColor="text1"/>
          <w:szCs w:val="21"/>
        </w:rPr>
        <w:t>“</w:t>
      </w:r>
      <w:r>
        <w:rPr>
          <w:rFonts w:eastAsiaTheme="minorEastAsia"/>
          <w:color w:val="000000" w:themeColor="text1"/>
          <w:szCs w:val="21"/>
        </w:rPr>
        <w:t>手工补息</w:t>
      </w:r>
      <w:r>
        <w:rPr>
          <w:rFonts w:eastAsiaTheme="minorEastAsia"/>
          <w:color w:val="000000" w:themeColor="text1"/>
          <w:szCs w:val="21"/>
        </w:rPr>
        <w:t>”</w:t>
      </w:r>
      <w:r>
        <w:rPr>
          <w:rFonts w:eastAsiaTheme="minorEastAsia"/>
          <w:color w:val="000000" w:themeColor="text1"/>
          <w:szCs w:val="21"/>
        </w:rPr>
        <w:t>使得部分存款流向债券市场，是推动债券收益率在二季度震荡下行的影响因素之一。</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海外方面，美股在二季度小幅反弹，经济数据仍有分歧，市场仍担心粘性通胀的风险。</w:t>
      </w:r>
      <w:r>
        <w:rPr>
          <w:rFonts w:eastAsiaTheme="minorEastAsia"/>
          <w:color w:val="000000" w:themeColor="text1"/>
          <w:szCs w:val="21"/>
        </w:rPr>
        <w:t>10</w:t>
      </w:r>
      <w:r>
        <w:rPr>
          <w:rFonts w:eastAsiaTheme="minorEastAsia"/>
          <w:color w:val="000000" w:themeColor="text1"/>
          <w:szCs w:val="21"/>
        </w:rPr>
        <w:t>年期美债收益率反弹</w:t>
      </w:r>
      <w:r>
        <w:rPr>
          <w:rFonts w:eastAsiaTheme="minorEastAsia"/>
          <w:color w:val="000000" w:themeColor="text1"/>
          <w:szCs w:val="21"/>
        </w:rPr>
        <w:t>17BP</w:t>
      </w:r>
      <w:r>
        <w:rPr>
          <w:rFonts w:eastAsiaTheme="minorEastAsia"/>
          <w:color w:val="000000" w:themeColor="text1"/>
          <w:szCs w:val="21"/>
        </w:rPr>
        <w:t>至</w:t>
      </w:r>
      <w:r>
        <w:rPr>
          <w:rFonts w:eastAsiaTheme="minorEastAsia"/>
          <w:color w:val="000000" w:themeColor="text1"/>
          <w:szCs w:val="21"/>
        </w:rPr>
        <w:t>4.37%</w:t>
      </w:r>
      <w:r>
        <w:rPr>
          <w:rFonts w:eastAsiaTheme="minorEastAsia"/>
          <w:color w:val="000000" w:themeColor="text1"/>
          <w:szCs w:val="21"/>
        </w:rPr>
        <w:t>。欧央行在</w:t>
      </w:r>
      <w:r>
        <w:rPr>
          <w:rFonts w:eastAsiaTheme="minorEastAsia"/>
          <w:color w:val="000000" w:themeColor="text1"/>
          <w:szCs w:val="21"/>
        </w:rPr>
        <w:t>6</w:t>
      </w:r>
      <w:r>
        <w:rPr>
          <w:rFonts w:eastAsiaTheme="minorEastAsia"/>
          <w:color w:val="000000" w:themeColor="text1"/>
          <w:szCs w:val="21"/>
        </w:rPr>
        <w:t>月议息会议上已率先降息，本轮美联储在开启降息上滞后于欧央行。</w:t>
      </w:r>
      <w:r>
        <w:rPr>
          <w:rFonts w:eastAsiaTheme="minorEastAsia"/>
          <w:color w:val="000000" w:themeColor="text1"/>
          <w:szCs w:val="21"/>
        </w:rPr>
        <w:t xml:space="preserve">          </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月政治局会议以来各项政策体现了呵护内需、稳定经济运行的诉求，对新质生产力的持续强调与中长期目标中对经济高质量发展的关注一致。结构上，外需对出口的经济增长拉</w:t>
      </w:r>
      <w:r>
        <w:rPr>
          <w:rFonts w:eastAsiaTheme="minorEastAsia"/>
          <w:color w:val="000000" w:themeColor="text1"/>
          <w:szCs w:val="21"/>
        </w:rPr>
        <w:t>动较高。随着稳定内需政策效果的显现，有望促进供需格局的再平衡，价格也将从偏弱的预期中有所恢复。</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权益来讲，当前历史绝对估值分位、相对债券资产的估值均处在较高吸引力的水平，具备长期配置价值。近期，企业盈利预期指标有所企稳，主要来于下修的减少，后续关注企业盈利预期能否有上修的扩散。二季度市场资金面总体平稳，两融、北向资金有所减弱，通过宽基</w:t>
      </w:r>
      <w:r>
        <w:rPr>
          <w:rFonts w:eastAsiaTheme="minorEastAsia"/>
          <w:color w:val="000000" w:themeColor="text1"/>
          <w:szCs w:val="21"/>
        </w:rPr>
        <w:t>ETF</w:t>
      </w:r>
      <w:r>
        <w:rPr>
          <w:rFonts w:eastAsiaTheme="minorEastAsia"/>
          <w:color w:val="000000" w:themeColor="text1"/>
          <w:szCs w:val="21"/>
        </w:rPr>
        <w:t>流入的资金量在季末有所增加；在存量特征明显的市场中，各行业表现的持续性偏弱，在关注大盘风格、盈利因子的同时，后续在组合操作上将保持灵活度。</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对于国内债券来讲，托底</w:t>
      </w:r>
      <w:r>
        <w:rPr>
          <w:rFonts w:eastAsiaTheme="minorEastAsia"/>
          <w:color w:val="000000" w:themeColor="text1"/>
          <w:szCs w:val="21"/>
        </w:rPr>
        <w:t>经济增长的政策在发力中，内外利差仍为负值，相对</w:t>
      </w:r>
      <w:r>
        <w:rPr>
          <w:rFonts w:eastAsiaTheme="minorEastAsia"/>
          <w:color w:val="000000" w:themeColor="text1"/>
          <w:szCs w:val="21"/>
        </w:rPr>
        <w:t>A</w:t>
      </w:r>
      <w:r>
        <w:rPr>
          <w:rFonts w:eastAsiaTheme="minorEastAsia"/>
          <w:color w:val="000000" w:themeColor="text1"/>
          <w:szCs w:val="21"/>
        </w:rPr>
        <w:t>股配置价值</w:t>
      </w:r>
      <w:r>
        <w:rPr>
          <w:rFonts w:eastAsiaTheme="minorEastAsia"/>
          <w:color w:val="000000" w:themeColor="text1"/>
          <w:szCs w:val="21"/>
        </w:rPr>
        <w:lastRenderedPageBreak/>
        <w:t>处在偏低的位置。当前处在地方政府化债、实际利率高位背景下，货币政策延续支持性的基调，国内债券的下行风险相对可控。考虑央行对债券市场利率的多次表态，长久期利率的波动或有上升，后续仍以中等久期信用策略为主。</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海外方面，市场预期美国经济软着陆，美联储维持年内降息的前瞻指引。如随年内降息落地，美债在货币政策宽松周期中将受益，收益率下行也有利于美股估值的维持，尤其是大盘风格。欧央行率先开启降息，欧股的估值水平相对较低、盈利水平高于疫情前，配置吸引力亦有所上升。</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本报告期摩根双季鑫</w:t>
      </w:r>
      <w:r>
        <w:rPr>
          <w:rFonts w:eastAsiaTheme="minorEastAsia"/>
          <w:color w:val="000000" w:themeColor="text1"/>
          <w:szCs w:val="21"/>
        </w:rPr>
        <w:t>6</w:t>
      </w:r>
      <w:r>
        <w:rPr>
          <w:rFonts w:eastAsiaTheme="minorEastAsia"/>
          <w:color w:val="000000" w:themeColor="text1"/>
          <w:szCs w:val="21"/>
        </w:rPr>
        <w:t>个月</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:1.19%</w:t>
      </w:r>
      <w:r>
        <w:rPr>
          <w:rFonts w:eastAsiaTheme="minorEastAsia"/>
          <w:color w:val="000000" w:themeColor="text1"/>
          <w:szCs w:val="21"/>
        </w:rPr>
        <w:t>，同期业绩比较基准收益率为</w:t>
      </w:r>
      <w:r>
        <w:rPr>
          <w:rFonts w:eastAsiaTheme="minorEastAsia"/>
          <w:color w:val="000000" w:themeColor="text1"/>
          <w:szCs w:val="21"/>
        </w:rPr>
        <w:t>:0.99%</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:1.12%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:0.99%</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2824"/>
        <w:gridCol w:w="2552"/>
        <w:gridCol w:w="2801"/>
      </w:tblGrid>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序号</w:t>
            </w:r>
          </w:p>
        </w:tc>
        <w:tc>
          <w:tcPr>
            <w:tcW w:w="2824"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项目</w:t>
            </w:r>
          </w:p>
        </w:tc>
        <w:tc>
          <w:tcPr>
            <w:tcW w:w="2552"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金额</w:t>
            </w:r>
            <w:r w:rsidRPr="007B5F21">
              <w:rPr>
                <w:rFonts w:eastAsiaTheme="minorEastAsia"/>
                <w:color w:val="000000" w:themeColor="text1"/>
                <w:sz w:val="24"/>
              </w:rPr>
              <w:t>(</w:t>
            </w:r>
            <w:r w:rsidRPr="007B5F21">
              <w:rPr>
                <w:rFonts w:eastAsiaTheme="minorEastAsia"/>
                <w:color w:val="000000" w:themeColor="text1"/>
                <w:sz w:val="24"/>
              </w:rPr>
              <w:t>元</w:t>
            </w: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占基金总资产的比例</w:t>
            </w: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1</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权益投资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其中：股票</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2</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ascii="宋体" w:hAnsi="宋体" w:hint="eastAsia"/>
                <w:sz w:val="24"/>
              </w:rPr>
              <w:t>基金投资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11,674,100.58</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hint="eastAsia"/>
                <w:color w:val="000000" w:themeColor="text1"/>
                <w:sz w:val="24"/>
              </w:rPr>
              <w:t>91.38</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3</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固定收益投资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609,884.11</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4.77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其中：债券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609,884.11</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4.77</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autoSpaceDE w:val="0"/>
              <w:autoSpaceDN w:val="0"/>
              <w:adjustRightInd w:val="0"/>
              <w:spacing w:before="29" w:line="360" w:lineRule="auto"/>
              <w:ind w:left="17" w:firstLineChars="300" w:firstLine="720"/>
              <w:jc w:val="left"/>
              <w:rPr>
                <w:rFonts w:eastAsiaTheme="minorEastAsia"/>
                <w:color w:val="000000" w:themeColor="text1"/>
                <w:sz w:val="24"/>
              </w:rPr>
            </w:pPr>
            <w:r w:rsidRPr="007B5F21">
              <w:rPr>
                <w:rFonts w:eastAsiaTheme="minorEastAsia"/>
                <w:color w:val="000000" w:themeColor="text1"/>
                <w:sz w:val="24"/>
              </w:rPr>
              <w:t>资产支持证券</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4</w:t>
            </w:r>
          </w:p>
        </w:tc>
        <w:tc>
          <w:tcPr>
            <w:tcW w:w="2824" w:type="dxa"/>
            <w:vAlign w:val="center"/>
          </w:tcPr>
          <w:p w:rsidR="006336AE" w:rsidRPr="007B5F21" w:rsidRDefault="006336AE" w:rsidP="00342FE7">
            <w:pPr>
              <w:spacing w:before="29" w:line="360" w:lineRule="auto"/>
              <w:ind w:leftChars="50" w:left="105"/>
              <w:rPr>
                <w:rFonts w:eastAsiaTheme="minorEastAsia"/>
                <w:color w:val="000000" w:themeColor="text1"/>
                <w:sz w:val="24"/>
              </w:rPr>
            </w:pPr>
            <w:r w:rsidRPr="007B5F21">
              <w:rPr>
                <w:rFonts w:eastAsiaTheme="minorEastAsia"/>
                <w:color w:val="000000" w:themeColor="text1"/>
                <w:sz w:val="24"/>
              </w:rPr>
              <w:t>贵金属投资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5</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金融衍生品投资</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t>6</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其中：买断式回购的买入返售金融资产</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hint="eastAsia"/>
                <w:color w:val="000000" w:themeColor="text1"/>
                <w:sz w:val="24"/>
              </w:rPr>
              <w:lastRenderedPageBreak/>
              <w:t>7</w:t>
            </w:r>
          </w:p>
        </w:tc>
        <w:tc>
          <w:tcPr>
            <w:tcW w:w="2824" w:type="dxa"/>
            <w:vAlign w:val="center"/>
          </w:tcPr>
          <w:p w:rsidR="006336AE" w:rsidRPr="007B5F21" w:rsidRDefault="006336AE" w:rsidP="00342FE7">
            <w:pPr>
              <w:spacing w:before="29" w:line="360" w:lineRule="auto"/>
              <w:ind w:left="17"/>
              <w:jc w:val="left"/>
              <w:rPr>
                <w:rFonts w:eastAsiaTheme="minorEastAsia"/>
                <w:color w:val="000000" w:themeColor="text1"/>
                <w:sz w:val="24"/>
              </w:rPr>
            </w:pPr>
            <w:r w:rsidRPr="007B5F21">
              <w:rPr>
                <w:rFonts w:eastAsiaTheme="minorEastAsia"/>
                <w:color w:val="000000" w:themeColor="text1"/>
                <w:sz w:val="24"/>
              </w:rPr>
              <w:t>银行存款和结算备付金合计</w:t>
            </w:r>
          </w:p>
        </w:tc>
        <w:tc>
          <w:tcPr>
            <w:tcW w:w="2552"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40,561.34</w:t>
            </w:r>
          </w:p>
        </w:tc>
        <w:tc>
          <w:tcPr>
            <w:tcW w:w="2801" w:type="dxa"/>
            <w:vAlign w:val="center"/>
          </w:tcPr>
          <w:p w:rsidR="006336AE" w:rsidRPr="007B5F21" w:rsidRDefault="006336AE" w:rsidP="00342FE7">
            <w:pPr>
              <w:spacing w:before="29" w:line="360" w:lineRule="auto"/>
              <w:ind w:left="17"/>
              <w:jc w:val="right"/>
              <w:rPr>
                <w:rFonts w:eastAsiaTheme="minorEastAsia"/>
                <w:color w:val="000000" w:themeColor="text1"/>
                <w:sz w:val="24"/>
              </w:rPr>
            </w:pPr>
            <w:r w:rsidRPr="007B5F21">
              <w:rPr>
                <w:rFonts w:eastAsiaTheme="minorEastAsia"/>
                <w:color w:val="000000" w:themeColor="text1"/>
                <w:sz w:val="24"/>
              </w:rPr>
              <w:t>0.32</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8</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其他各项资产</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450,847.96</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3.53</w:t>
            </w:r>
          </w:p>
        </w:tc>
      </w:tr>
      <w:tr w:rsidR="006336AE" w:rsidRPr="007B5F21" w:rsidTr="00342FE7">
        <w:tc>
          <w:tcPr>
            <w:tcW w:w="720" w:type="dxa"/>
            <w:vAlign w:val="center"/>
          </w:tcPr>
          <w:p w:rsidR="006336AE" w:rsidRPr="007B5F21" w:rsidRDefault="006336AE" w:rsidP="00342FE7">
            <w:pPr>
              <w:spacing w:before="29" w:line="360" w:lineRule="auto"/>
              <w:ind w:left="17"/>
              <w:jc w:val="center"/>
              <w:rPr>
                <w:rFonts w:eastAsiaTheme="minorEastAsia"/>
                <w:color w:val="000000" w:themeColor="text1"/>
                <w:sz w:val="24"/>
              </w:rPr>
            </w:pPr>
            <w:r w:rsidRPr="007B5F21">
              <w:rPr>
                <w:rFonts w:eastAsiaTheme="minorEastAsia"/>
                <w:color w:val="000000" w:themeColor="text1"/>
                <w:sz w:val="24"/>
              </w:rPr>
              <w:t>9</w:t>
            </w:r>
          </w:p>
        </w:tc>
        <w:tc>
          <w:tcPr>
            <w:tcW w:w="2824" w:type="dxa"/>
            <w:vAlign w:val="center"/>
          </w:tcPr>
          <w:p w:rsidR="006336AE" w:rsidRPr="007B5F21" w:rsidRDefault="006336AE" w:rsidP="00342FE7">
            <w:pPr>
              <w:spacing w:line="360" w:lineRule="auto"/>
              <w:rPr>
                <w:rFonts w:eastAsiaTheme="minorEastAsia"/>
                <w:color w:val="000000" w:themeColor="text1"/>
                <w:sz w:val="24"/>
              </w:rPr>
            </w:pPr>
            <w:r w:rsidRPr="007B5F21">
              <w:rPr>
                <w:rFonts w:eastAsiaTheme="minorEastAsia"/>
                <w:color w:val="000000" w:themeColor="text1"/>
                <w:sz w:val="24"/>
              </w:rPr>
              <w:t>合计</w:t>
            </w:r>
          </w:p>
        </w:tc>
        <w:tc>
          <w:tcPr>
            <w:tcW w:w="2552"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12,775,393.99</w:t>
            </w:r>
          </w:p>
        </w:tc>
        <w:tc>
          <w:tcPr>
            <w:tcW w:w="2801" w:type="dxa"/>
            <w:vAlign w:val="center"/>
          </w:tcPr>
          <w:p w:rsidR="006336AE" w:rsidRPr="007B5F21" w:rsidRDefault="006336AE" w:rsidP="00342FE7">
            <w:pPr>
              <w:spacing w:line="360" w:lineRule="auto"/>
              <w:jc w:val="right"/>
              <w:rPr>
                <w:rFonts w:eastAsiaTheme="minorEastAsia"/>
                <w:color w:val="000000" w:themeColor="text1"/>
                <w:sz w:val="24"/>
              </w:rPr>
            </w:pPr>
            <w:r w:rsidRPr="007B5F21">
              <w:rPr>
                <w:rFonts w:eastAsiaTheme="minorEastAsia"/>
                <w:color w:val="000000" w:themeColor="text1"/>
                <w:sz w:val="24"/>
              </w:rPr>
              <w:t>100.00</w:t>
            </w:r>
          </w:p>
        </w:tc>
      </w:tr>
    </w:tbl>
    <w:p w:rsidR="006336AE" w:rsidRPr="006336AE" w:rsidRDefault="006336AE">
      <w:pPr>
        <w:autoSpaceDE w:val="0"/>
        <w:autoSpaceDN w:val="0"/>
        <w:adjustRightInd w:val="0"/>
        <w:spacing w:line="360" w:lineRule="auto"/>
        <w:jc w:val="left"/>
        <w:rPr>
          <w:rFonts w:eastAsiaTheme="minorEastAsia"/>
          <w:b/>
          <w:color w:val="000000" w:themeColor="text1"/>
          <w:kern w:val="0"/>
          <w:szCs w:val="21"/>
        </w:rPr>
      </w:pP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本基金本报告期末未持有股票。</w:t>
      </w:r>
    </w:p>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p w:rsidR="00B27A29" w:rsidRPr="00B27A29" w:rsidRDefault="00B27A29" w:rsidP="00B27A29">
      <w:pPr>
        <w:spacing w:line="360" w:lineRule="auto"/>
        <w:ind w:firstLineChars="200" w:firstLine="420"/>
        <w:rPr>
          <w:rFonts w:eastAsiaTheme="minorEastAsia"/>
          <w:szCs w:val="21"/>
        </w:rPr>
      </w:pPr>
      <w:r w:rsidRPr="00B27A29">
        <w:rPr>
          <w:rFonts w:eastAsiaTheme="minorEastAsia"/>
          <w:szCs w:val="21"/>
        </w:rPr>
        <w:t>本基金本报告期末未持有股票。</w:t>
      </w:r>
    </w:p>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26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债券品种</w:t>
            </w:r>
          </w:p>
        </w:tc>
        <w:tc>
          <w:tcPr>
            <w:tcW w:w="2835"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公允价值</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占基金资产净值比例</w:t>
            </w:r>
            <w:r w:rsidRPr="00B27A29">
              <w:rPr>
                <w:rFonts w:eastAsiaTheme="minorEastAsia"/>
                <w:color w:val="000000" w:themeColor="text1"/>
                <w:szCs w:val="21"/>
              </w:rPr>
              <w:t>(</w:t>
            </w:r>
            <w:r w:rsidRPr="00B27A29">
              <w:rPr>
                <w:rFonts w:eastAsiaTheme="minorEastAsia"/>
                <w:color w:val="000000" w:themeColor="text1"/>
                <w:szCs w:val="21"/>
              </w:rPr>
              <w:t>％</w:t>
            </w: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国家债券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609,884.11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4.81</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央行票据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其中：政策性金融债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企业债券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企业短期融资券</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中期票据</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可转债（可交换债）</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同业存单</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9</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其他</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81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10</w:t>
            </w:r>
          </w:p>
        </w:tc>
        <w:tc>
          <w:tcPr>
            <w:tcW w:w="3260"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合计</w:t>
            </w:r>
          </w:p>
        </w:tc>
        <w:tc>
          <w:tcPr>
            <w:tcW w:w="2835"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609,884.11</w:t>
            </w:r>
          </w:p>
        </w:tc>
        <w:tc>
          <w:tcPr>
            <w:tcW w:w="1616"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4.81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5E6DF3" w:rsidRPr="00B27A29">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债券代码</w:t>
            </w:r>
          </w:p>
        </w:tc>
        <w:tc>
          <w:tcPr>
            <w:tcW w:w="1504"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债券名称</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数量（张）</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公允价值</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c>
          <w:tcPr>
            <w:tcW w:w="1503"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占基金资产净值比例（％）</w:t>
            </w:r>
          </w:p>
        </w:tc>
      </w:tr>
      <w:tr w:rsidR="00A167B0">
        <w:tc>
          <w:tcPr>
            <w:tcW w:w="1504" w:type="dxa"/>
            <w:vAlign w:val="center"/>
          </w:tcPr>
          <w:p w:rsidR="00A167B0" w:rsidRDefault="009C1521">
            <w:pPr>
              <w:jc w:val="center"/>
            </w:pPr>
            <w:r>
              <w:rPr>
                <w:rFonts w:eastAsiaTheme="minorEastAsia"/>
                <w:color w:val="000000" w:themeColor="text1"/>
                <w:szCs w:val="21"/>
              </w:rPr>
              <w:lastRenderedPageBreak/>
              <w:t>1</w:t>
            </w:r>
          </w:p>
        </w:tc>
        <w:tc>
          <w:tcPr>
            <w:tcW w:w="1504" w:type="dxa"/>
            <w:vAlign w:val="center"/>
          </w:tcPr>
          <w:p w:rsidR="00A167B0" w:rsidRDefault="009C1521">
            <w:pPr>
              <w:jc w:val="center"/>
            </w:pPr>
            <w:r>
              <w:rPr>
                <w:rFonts w:eastAsiaTheme="minorEastAsia"/>
                <w:color w:val="000000" w:themeColor="text1"/>
                <w:szCs w:val="21"/>
              </w:rPr>
              <w:t>019709</w:t>
            </w:r>
          </w:p>
        </w:tc>
        <w:tc>
          <w:tcPr>
            <w:tcW w:w="1504" w:type="dxa"/>
            <w:vAlign w:val="center"/>
          </w:tcPr>
          <w:p w:rsidR="00A167B0" w:rsidRDefault="009C1521">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16</w:t>
            </w:r>
          </w:p>
        </w:tc>
        <w:tc>
          <w:tcPr>
            <w:tcW w:w="1503" w:type="dxa"/>
            <w:vAlign w:val="center"/>
          </w:tcPr>
          <w:p w:rsidR="00A167B0" w:rsidRDefault="009C1521">
            <w:pPr>
              <w:jc w:val="right"/>
            </w:pPr>
            <w:r>
              <w:rPr>
                <w:rFonts w:eastAsiaTheme="minorEastAsia"/>
                <w:color w:val="000000" w:themeColor="text1"/>
                <w:szCs w:val="21"/>
              </w:rPr>
              <w:t>4,000</w:t>
            </w:r>
          </w:p>
        </w:tc>
        <w:tc>
          <w:tcPr>
            <w:tcW w:w="1503" w:type="dxa"/>
            <w:vAlign w:val="center"/>
          </w:tcPr>
          <w:p w:rsidR="00A167B0" w:rsidRDefault="009C1521">
            <w:pPr>
              <w:jc w:val="right"/>
            </w:pPr>
            <w:r>
              <w:rPr>
                <w:rFonts w:eastAsiaTheme="minorEastAsia"/>
                <w:color w:val="000000" w:themeColor="text1"/>
                <w:szCs w:val="21"/>
              </w:rPr>
              <w:t>406,246.03</w:t>
            </w:r>
          </w:p>
        </w:tc>
        <w:tc>
          <w:tcPr>
            <w:tcW w:w="1503" w:type="dxa"/>
            <w:vAlign w:val="center"/>
          </w:tcPr>
          <w:p w:rsidR="00A167B0" w:rsidRDefault="009C1521">
            <w:pPr>
              <w:jc w:val="right"/>
            </w:pPr>
            <w:r>
              <w:rPr>
                <w:rFonts w:eastAsiaTheme="minorEastAsia"/>
                <w:color w:val="000000" w:themeColor="text1"/>
                <w:szCs w:val="21"/>
              </w:rPr>
              <w:t>3.21</w:t>
            </w:r>
          </w:p>
        </w:tc>
      </w:tr>
      <w:tr w:rsidR="00A167B0">
        <w:tc>
          <w:tcPr>
            <w:tcW w:w="1504" w:type="dxa"/>
            <w:vAlign w:val="center"/>
          </w:tcPr>
          <w:p w:rsidR="00A167B0" w:rsidRDefault="009C1521">
            <w:pPr>
              <w:jc w:val="center"/>
            </w:pPr>
            <w:r>
              <w:rPr>
                <w:rFonts w:eastAsiaTheme="minorEastAsia"/>
                <w:color w:val="000000" w:themeColor="text1"/>
                <w:szCs w:val="21"/>
              </w:rPr>
              <w:t>2</w:t>
            </w:r>
          </w:p>
        </w:tc>
        <w:tc>
          <w:tcPr>
            <w:tcW w:w="1504" w:type="dxa"/>
            <w:vAlign w:val="center"/>
          </w:tcPr>
          <w:p w:rsidR="00A167B0" w:rsidRDefault="009C1521">
            <w:pPr>
              <w:jc w:val="center"/>
            </w:pPr>
            <w:r>
              <w:rPr>
                <w:rFonts w:eastAsiaTheme="minorEastAsia"/>
                <w:color w:val="000000" w:themeColor="text1"/>
                <w:szCs w:val="21"/>
              </w:rPr>
              <w:t>019727</w:t>
            </w:r>
          </w:p>
        </w:tc>
        <w:tc>
          <w:tcPr>
            <w:tcW w:w="1504" w:type="dxa"/>
            <w:vAlign w:val="center"/>
          </w:tcPr>
          <w:p w:rsidR="00A167B0" w:rsidRDefault="009C1521">
            <w:pPr>
              <w:jc w:val="center"/>
            </w:pPr>
            <w:r>
              <w:rPr>
                <w:rFonts w:eastAsiaTheme="minorEastAsia"/>
                <w:color w:val="000000" w:themeColor="text1"/>
                <w:szCs w:val="21"/>
              </w:rPr>
              <w:t>23</w:t>
            </w:r>
            <w:r>
              <w:rPr>
                <w:rFonts w:eastAsiaTheme="minorEastAsia"/>
                <w:color w:val="000000" w:themeColor="text1"/>
                <w:szCs w:val="21"/>
              </w:rPr>
              <w:t>国债</w:t>
            </w:r>
            <w:r>
              <w:rPr>
                <w:rFonts w:eastAsiaTheme="minorEastAsia"/>
                <w:color w:val="000000" w:themeColor="text1"/>
                <w:szCs w:val="21"/>
              </w:rPr>
              <w:t>24</w:t>
            </w:r>
          </w:p>
        </w:tc>
        <w:tc>
          <w:tcPr>
            <w:tcW w:w="1503" w:type="dxa"/>
            <w:vAlign w:val="center"/>
          </w:tcPr>
          <w:p w:rsidR="00A167B0" w:rsidRDefault="009C1521">
            <w:pPr>
              <w:jc w:val="right"/>
            </w:pPr>
            <w:r>
              <w:rPr>
                <w:rFonts w:eastAsiaTheme="minorEastAsia"/>
                <w:color w:val="000000" w:themeColor="text1"/>
                <w:szCs w:val="21"/>
              </w:rPr>
              <w:t>2,000</w:t>
            </w:r>
          </w:p>
        </w:tc>
        <w:tc>
          <w:tcPr>
            <w:tcW w:w="1503" w:type="dxa"/>
            <w:vAlign w:val="center"/>
          </w:tcPr>
          <w:p w:rsidR="00A167B0" w:rsidRDefault="009C1521">
            <w:pPr>
              <w:jc w:val="right"/>
            </w:pPr>
            <w:r>
              <w:rPr>
                <w:rFonts w:eastAsiaTheme="minorEastAsia"/>
                <w:color w:val="000000" w:themeColor="text1"/>
                <w:szCs w:val="21"/>
              </w:rPr>
              <w:t>203,638.08</w:t>
            </w:r>
          </w:p>
        </w:tc>
        <w:tc>
          <w:tcPr>
            <w:tcW w:w="1503" w:type="dxa"/>
            <w:vAlign w:val="center"/>
          </w:tcPr>
          <w:p w:rsidR="00A167B0" w:rsidRDefault="009C1521">
            <w:pPr>
              <w:jc w:val="right"/>
            </w:pPr>
            <w:r>
              <w:rPr>
                <w:rFonts w:eastAsiaTheme="minorEastAsia"/>
                <w:color w:val="000000" w:themeColor="text1"/>
                <w:szCs w:val="21"/>
              </w:rPr>
              <w:t>1.61</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847.96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450,000.00</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lastRenderedPageBreak/>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450,847.96</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C45886" w:rsidRPr="00414345" w:rsidRDefault="005C671B" w:rsidP="00C45886">
      <w:pPr>
        <w:spacing w:before="29" w:line="288" w:lineRule="auto"/>
        <w:rPr>
          <w:color w:val="000000"/>
          <w:sz w:val="24"/>
        </w:rPr>
      </w:pPr>
      <w:r w:rsidRPr="00B27A29">
        <w:rPr>
          <w:rFonts w:eastAsiaTheme="minorEastAsia"/>
          <w:color w:val="000000" w:themeColor="text1"/>
          <w:szCs w:val="21"/>
        </w:rPr>
        <w:t>因四舍五入原因，投资组合报告中分项之和与合计可能存在尾差。</w:t>
      </w:r>
    </w:p>
    <w:p w:rsidR="00C45886" w:rsidRDefault="00C45886" w:rsidP="00C45886">
      <w:pPr>
        <w:spacing w:before="29" w:line="288" w:lineRule="auto"/>
        <w:ind w:firstLineChars="200" w:firstLine="480"/>
        <w:rPr>
          <w:color w:val="000000"/>
          <w:sz w:val="24"/>
        </w:rPr>
      </w:pPr>
    </w:p>
    <w:p w:rsidR="00C45886" w:rsidRDefault="00C45886" w:rsidP="00C45886">
      <w:pPr>
        <w:spacing w:before="29" w:line="288" w:lineRule="auto"/>
        <w:ind w:firstLineChars="200" w:firstLine="480"/>
        <w:rPr>
          <w:color w:val="000000"/>
          <w:sz w:val="24"/>
        </w:rPr>
      </w:pPr>
    </w:p>
    <w:p w:rsidR="00C45886" w:rsidRPr="00575270" w:rsidRDefault="00C45886" w:rsidP="00C45886">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C45886" w:rsidRPr="00575270" w:rsidRDefault="00C45886" w:rsidP="00C45886">
      <w:pPr>
        <w:adjustRightInd w:val="0"/>
        <w:snapToGrid w:val="0"/>
        <w:spacing w:line="360" w:lineRule="auto"/>
        <w:rPr>
          <w:rFonts w:eastAsiaTheme="minorEastAsia"/>
          <w:b/>
          <w:color w:val="000000" w:themeColor="text1"/>
          <w:kern w:val="0"/>
          <w:sz w:val="24"/>
        </w:rPr>
      </w:pPr>
      <w:r w:rsidRPr="00575270">
        <w:rPr>
          <w:rFonts w:eastAsiaTheme="minorEastAsia"/>
          <w:b/>
          <w:color w:val="000000" w:themeColor="text1"/>
          <w:kern w:val="0"/>
          <w:sz w:val="24"/>
        </w:rPr>
        <w:t>6.1</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报告期末按公允价值占基金资产净值比例大小排序的前十名基金投资明细</w:t>
      </w:r>
    </w:p>
    <w:tbl>
      <w:tblPr>
        <w:tblStyle w:val="afa"/>
        <w:tblW w:w="5000" w:type="pct"/>
        <w:tblLayout w:type="fixed"/>
        <w:tblLook w:val="04A0" w:firstRow="1" w:lastRow="0" w:firstColumn="1" w:lastColumn="0" w:noHBand="0" w:noVBand="1"/>
      </w:tblPr>
      <w:tblGrid>
        <w:gridCol w:w="817"/>
        <w:gridCol w:w="1133"/>
        <w:gridCol w:w="1135"/>
        <w:gridCol w:w="1135"/>
        <w:gridCol w:w="1133"/>
        <w:gridCol w:w="1276"/>
        <w:gridCol w:w="1135"/>
        <w:gridCol w:w="1272"/>
      </w:tblGrid>
      <w:tr w:rsidR="00C45886" w:rsidRPr="00575270" w:rsidTr="00342FE7">
        <w:tc>
          <w:tcPr>
            <w:tcW w:w="452"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序号</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基金代码</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基金名称</w:t>
            </w:r>
          </w:p>
        </w:tc>
        <w:tc>
          <w:tcPr>
            <w:tcW w:w="628"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运作方式</w:t>
            </w:r>
          </w:p>
        </w:tc>
        <w:tc>
          <w:tcPr>
            <w:tcW w:w="627"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持有份额（份）</w:t>
            </w:r>
          </w:p>
        </w:tc>
        <w:tc>
          <w:tcPr>
            <w:tcW w:w="706" w:type="pct"/>
            <w:vAlign w:val="center"/>
          </w:tcPr>
          <w:p w:rsidR="00C45886" w:rsidRPr="00575270" w:rsidRDefault="00C45886" w:rsidP="00342FE7">
            <w:pPr>
              <w:pStyle w:val="Default"/>
              <w:spacing w:line="276" w:lineRule="auto"/>
              <w:jc w:val="center"/>
              <w:rPr>
                <w:rFonts w:ascii="Times New Roman" w:hAnsi="Times New Roman" w:cs="Times New Roman"/>
              </w:rPr>
            </w:pPr>
            <w:r w:rsidRPr="00575270">
              <w:rPr>
                <w:rFonts w:ascii="Times New Roman" w:hAnsi="Times New Roman" w:cs="Times New Roman"/>
              </w:rPr>
              <w:t>公允价值（元）</w:t>
            </w:r>
          </w:p>
        </w:tc>
        <w:tc>
          <w:tcPr>
            <w:tcW w:w="628"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占基金资产净值比例</w:t>
            </w:r>
          </w:p>
        </w:tc>
        <w:tc>
          <w:tcPr>
            <w:tcW w:w="704" w:type="pct"/>
            <w:vAlign w:val="center"/>
          </w:tcPr>
          <w:p w:rsidR="00C45886" w:rsidRPr="00575270" w:rsidRDefault="00C45886" w:rsidP="00342FE7">
            <w:pPr>
              <w:pStyle w:val="Default"/>
              <w:spacing w:line="276" w:lineRule="auto"/>
              <w:rPr>
                <w:rFonts w:ascii="Times New Roman" w:hAnsi="Times New Roman" w:cs="Times New Roman"/>
              </w:rPr>
            </w:pPr>
            <w:r w:rsidRPr="00575270">
              <w:rPr>
                <w:rFonts w:ascii="Times New Roman" w:hAnsi="Times New Roman" w:cs="Times New Roman"/>
              </w:rPr>
              <w:t>是否属于基金管理人及管理人关联方所管理的基金</w:t>
            </w:r>
          </w:p>
        </w:tc>
      </w:tr>
      <w:tr w:rsidR="00A167B0">
        <w:tc>
          <w:tcPr>
            <w:tcW w:w="817" w:type="dxa"/>
            <w:vAlign w:val="center"/>
          </w:tcPr>
          <w:p w:rsidR="00A167B0" w:rsidRDefault="009C1521">
            <w:pPr>
              <w:jc w:val="center"/>
            </w:pPr>
            <w:r>
              <w:rPr>
                <w:sz w:val="24"/>
              </w:rPr>
              <w:t>1</w:t>
            </w:r>
          </w:p>
        </w:tc>
        <w:tc>
          <w:tcPr>
            <w:tcW w:w="1133" w:type="dxa"/>
            <w:vAlign w:val="center"/>
          </w:tcPr>
          <w:p w:rsidR="00A167B0" w:rsidRDefault="009C1521">
            <w:pPr>
              <w:jc w:val="center"/>
            </w:pPr>
            <w:r>
              <w:rPr>
                <w:sz w:val="24"/>
              </w:rPr>
              <w:t>012247</w:t>
            </w:r>
          </w:p>
        </w:tc>
        <w:tc>
          <w:tcPr>
            <w:tcW w:w="1135" w:type="dxa"/>
            <w:vAlign w:val="center"/>
          </w:tcPr>
          <w:p w:rsidR="00A167B0" w:rsidRDefault="009C1521">
            <w:pPr>
              <w:jc w:val="center"/>
            </w:pPr>
            <w:r>
              <w:rPr>
                <w:sz w:val="24"/>
              </w:rPr>
              <w:t>博时月月享</w:t>
            </w:r>
            <w:r>
              <w:rPr>
                <w:sz w:val="24"/>
              </w:rPr>
              <w:t>30</w:t>
            </w:r>
            <w:r>
              <w:rPr>
                <w:sz w:val="24"/>
              </w:rPr>
              <w:t>天持有期短债</w:t>
            </w:r>
            <w:r>
              <w:rPr>
                <w:sz w:val="24"/>
              </w:rPr>
              <w:t>C</w:t>
            </w:r>
          </w:p>
        </w:tc>
        <w:tc>
          <w:tcPr>
            <w:tcW w:w="1135" w:type="dxa"/>
            <w:vAlign w:val="center"/>
          </w:tcPr>
          <w:p w:rsidR="00A167B0" w:rsidRDefault="009C1521">
            <w:pPr>
              <w:jc w:val="center"/>
            </w:pPr>
            <w:r>
              <w:rPr>
                <w:sz w:val="24"/>
              </w:rPr>
              <w:t>契约型开放式</w:t>
            </w:r>
          </w:p>
        </w:tc>
        <w:tc>
          <w:tcPr>
            <w:tcW w:w="1133" w:type="dxa"/>
            <w:vAlign w:val="center"/>
          </w:tcPr>
          <w:p w:rsidR="00A167B0" w:rsidRDefault="009C1521">
            <w:pPr>
              <w:jc w:val="center"/>
            </w:pPr>
            <w:r>
              <w:rPr>
                <w:sz w:val="24"/>
              </w:rPr>
              <w:t>1,433,827.00</w:t>
            </w:r>
          </w:p>
        </w:tc>
        <w:tc>
          <w:tcPr>
            <w:tcW w:w="1276" w:type="dxa"/>
            <w:vAlign w:val="center"/>
          </w:tcPr>
          <w:p w:rsidR="00A167B0" w:rsidRDefault="009C1521">
            <w:pPr>
              <w:jc w:val="center"/>
            </w:pPr>
            <w:r>
              <w:rPr>
                <w:sz w:val="24"/>
              </w:rPr>
              <w:t>1,556,275.83</w:t>
            </w:r>
          </w:p>
        </w:tc>
        <w:tc>
          <w:tcPr>
            <w:tcW w:w="1135" w:type="dxa"/>
            <w:vAlign w:val="center"/>
          </w:tcPr>
          <w:p w:rsidR="00A167B0" w:rsidRDefault="009C1521">
            <w:pPr>
              <w:jc w:val="center"/>
            </w:pPr>
            <w:r>
              <w:rPr>
                <w:sz w:val="24"/>
              </w:rPr>
              <w:t>12.28%</w:t>
            </w:r>
          </w:p>
        </w:tc>
        <w:tc>
          <w:tcPr>
            <w:tcW w:w="1272" w:type="dxa"/>
            <w:vAlign w:val="center"/>
          </w:tcPr>
          <w:p w:rsidR="00A167B0" w:rsidRDefault="009C1521">
            <w:pPr>
              <w:jc w:val="center"/>
            </w:pPr>
            <w:r>
              <w:rPr>
                <w:sz w:val="24"/>
              </w:rPr>
              <w:t>否</w:t>
            </w:r>
          </w:p>
        </w:tc>
      </w:tr>
      <w:tr w:rsidR="00A167B0">
        <w:tc>
          <w:tcPr>
            <w:tcW w:w="817" w:type="dxa"/>
            <w:vAlign w:val="center"/>
          </w:tcPr>
          <w:p w:rsidR="00A167B0" w:rsidRDefault="009C1521">
            <w:pPr>
              <w:jc w:val="center"/>
            </w:pPr>
            <w:r>
              <w:rPr>
                <w:sz w:val="24"/>
              </w:rPr>
              <w:t>2</w:t>
            </w:r>
          </w:p>
        </w:tc>
        <w:tc>
          <w:tcPr>
            <w:tcW w:w="1133" w:type="dxa"/>
            <w:vAlign w:val="center"/>
          </w:tcPr>
          <w:p w:rsidR="00A167B0" w:rsidRDefault="009C1521">
            <w:pPr>
              <w:jc w:val="center"/>
            </w:pPr>
            <w:r>
              <w:rPr>
                <w:sz w:val="24"/>
              </w:rPr>
              <w:t>006965</w:t>
            </w:r>
          </w:p>
        </w:tc>
        <w:tc>
          <w:tcPr>
            <w:tcW w:w="1135" w:type="dxa"/>
            <w:vAlign w:val="center"/>
          </w:tcPr>
          <w:p w:rsidR="00A167B0" w:rsidRDefault="009C1521">
            <w:pPr>
              <w:jc w:val="center"/>
            </w:pPr>
            <w:r>
              <w:rPr>
                <w:sz w:val="24"/>
              </w:rPr>
              <w:t>财通安瑞短债债券</w:t>
            </w:r>
            <w:r>
              <w:rPr>
                <w:sz w:val="24"/>
              </w:rPr>
              <w:t>A</w:t>
            </w:r>
          </w:p>
        </w:tc>
        <w:tc>
          <w:tcPr>
            <w:tcW w:w="1135" w:type="dxa"/>
            <w:vAlign w:val="center"/>
          </w:tcPr>
          <w:p w:rsidR="00A167B0" w:rsidRDefault="009C1521">
            <w:pPr>
              <w:jc w:val="center"/>
            </w:pPr>
            <w:r>
              <w:rPr>
                <w:sz w:val="24"/>
              </w:rPr>
              <w:t>契约型开放式</w:t>
            </w:r>
          </w:p>
        </w:tc>
        <w:tc>
          <w:tcPr>
            <w:tcW w:w="1133" w:type="dxa"/>
            <w:vAlign w:val="center"/>
          </w:tcPr>
          <w:p w:rsidR="00A167B0" w:rsidRDefault="009C1521">
            <w:pPr>
              <w:jc w:val="center"/>
            </w:pPr>
            <w:r>
              <w:rPr>
                <w:sz w:val="24"/>
              </w:rPr>
              <w:t>1,232,635.80</w:t>
            </w:r>
          </w:p>
        </w:tc>
        <w:tc>
          <w:tcPr>
            <w:tcW w:w="1276" w:type="dxa"/>
            <w:vAlign w:val="center"/>
          </w:tcPr>
          <w:p w:rsidR="00A167B0" w:rsidRDefault="009C1521">
            <w:pPr>
              <w:jc w:val="center"/>
            </w:pPr>
            <w:r>
              <w:rPr>
                <w:sz w:val="24"/>
              </w:rPr>
              <w:t>1,469,548.40</w:t>
            </w:r>
          </w:p>
        </w:tc>
        <w:tc>
          <w:tcPr>
            <w:tcW w:w="1135" w:type="dxa"/>
            <w:vAlign w:val="center"/>
          </w:tcPr>
          <w:p w:rsidR="00A167B0" w:rsidRDefault="009C1521">
            <w:pPr>
              <w:jc w:val="center"/>
            </w:pPr>
            <w:r>
              <w:rPr>
                <w:sz w:val="24"/>
              </w:rPr>
              <w:t>11.60%</w:t>
            </w:r>
          </w:p>
        </w:tc>
        <w:tc>
          <w:tcPr>
            <w:tcW w:w="1272" w:type="dxa"/>
            <w:vAlign w:val="center"/>
          </w:tcPr>
          <w:p w:rsidR="00A167B0" w:rsidRDefault="009C1521">
            <w:pPr>
              <w:jc w:val="center"/>
            </w:pPr>
            <w:r>
              <w:rPr>
                <w:sz w:val="24"/>
              </w:rPr>
              <w:t>否</w:t>
            </w:r>
          </w:p>
        </w:tc>
      </w:tr>
      <w:tr w:rsidR="00A167B0">
        <w:tc>
          <w:tcPr>
            <w:tcW w:w="817" w:type="dxa"/>
            <w:vAlign w:val="center"/>
          </w:tcPr>
          <w:p w:rsidR="00A167B0" w:rsidRDefault="009C1521">
            <w:pPr>
              <w:jc w:val="center"/>
            </w:pPr>
            <w:r>
              <w:rPr>
                <w:sz w:val="24"/>
              </w:rPr>
              <w:t>3</w:t>
            </w:r>
          </w:p>
        </w:tc>
        <w:tc>
          <w:tcPr>
            <w:tcW w:w="1133" w:type="dxa"/>
            <w:vAlign w:val="center"/>
          </w:tcPr>
          <w:p w:rsidR="00A167B0" w:rsidRDefault="009C1521">
            <w:pPr>
              <w:jc w:val="center"/>
            </w:pPr>
            <w:r>
              <w:rPr>
                <w:sz w:val="24"/>
              </w:rPr>
              <w:t>110053</w:t>
            </w:r>
          </w:p>
        </w:tc>
        <w:tc>
          <w:tcPr>
            <w:tcW w:w="1135" w:type="dxa"/>
            <w:vAlign w:val="center"/>
          </w:tcPr>
          <w:p w:rsidR="00A167B0" w:rsidRDefault="009C1521">
            <w:pPr>
              <w:jc w:val="center"/>
            </w:pPr>
            <w:r>
              <w:rPr>
                <w:sz w:val="24"/>
              </w:rPr>
              <w:t>易方达安源中短债债券</w:t>
            </w:r>
            <w:r>
              <w:rPr>
                <w:sz w:val="24"/>
              </w:rPr>
              <w:t>A</w:t>
            </w:r>
          </w:p>
        </w:tc>
        <w:tc>
          <w:tcPr>
            <w:tcW w:w="1135" w:type="dxa"/>
            <w:vAlign w:val="center"/>
          </w:tcPr>
          <w:p w:rsidR="00A167B0" w:rsidRDefault="009C1521">
            <w:pPr>
              <w:jc w:val="center"/>
            </w:pPr>
            <w:r>
              <w:rPr>
                <w:sz w:val="24"/>
              </w:rPr>
              <w:t>契约型开放式</w:t>
            </w:r>
          </w:p>
        </w:tc>
        <w:tc>
          <w:tcPr>
            <w:tcW w:w="1133" w:type="dxa"/>
            <w:vAlign w:val="center"/>
          </w:tcPr>
          <w:p w:rsidR="00A167B0" w:rsidRDefault="009C1521">
            <w:pPr>
              <w:jc w:val="center"/>
            </w:pPr>
            <w:r>
              <w:rPr>
                <w:sz w:val="24"/>
              </w:rPr>
              <w:t>1,401,804.32</w:t>
            </w:r>
          </w:p>
        </w:tc>
        <w:tc>
          <w:tcPr>
            <w:tcW w:w="1276" w:type="dxa"/>
            <w:vAlign w:val="center"/>
          </w:tcPr>
          <w:p w:rsidR="00A167B0" w:rsidRDefault="009C1521">
            <w:pPr>
              <w:jc w:val="center"/>
            </w:pPr>
            <w:r>
              <w:rPr>
                <w:sz w:val="24"/>
              </w:rPr>
              <w:t>1,449,886.21</w:t>
            </w:r>
          </w:p>
        </w:tc>
        <w:tc>
          <w:tcPr>
            <w:tcW w:w="1135" w:type="dxa"/>
            <w:vAlign w:val="center"/>
          </w:tcPr>
          <w:p w:rsidR="00A167B0" w:rsidRDefault="009C1521">
            <w:pPr>
              <w:jc w:val="center"/>
            </w:pPr>
            <w:r>
              <w:rPr>
                <w:sz w:val="24"/>
              </w:rPr>
              <w:t>11.44%</w:t>
            </w:r>
          </w:p>
        </w:tc>
        <w:tc>
          <w:tcPr>
            <w:tcW w:w="1272" w:type="dxa"/>
            <w:vAlign w:val="center"/>
          </w:tcPr>
          <w:p w:rsidR="00A167B0" w:rsidRDefault="009C1521">
            <w:pPr>
              <w:jc w:val="center"/>
            </w:pPr>
            <w:r>
              <w:rPr>
                <w:sz w:val="24"/>
              </w:rPr>
              <w:t>否</w:t>
            </w:r>
          </w:p>
        </w:tc>
      </w:tr>
      <w:tr w:rsidR="00A167B0">
        <w:tc>
          <w:tcPr>
            <w:tcW w:w="817" w:type="dxa"/>
            <w:vAlign w:val="center"/>
          </w:tcPr>
          <w:p w:rsidR="00A167B0" w:rsidRDefault="009C1521">
            <w:pPr>
              <w:jc w:val="center"/>
            </w:pPr>
            <w:r>
              <w:rPr>
                <w:sz w:val="24"/>
              </w:rPr>
              <w:t>4</w:t>
            </w:r>
          </w:p>
        </w:tc>
        <w:tc>
          <w:tcPr>
            <w:tcW w:w="1133" w:type="dxa"/>
            <w:vAlign w:val="center"/>
          </w:tcPr>
          <w:p w:rsidR="00A167B0" w:rsidRDefault="009C1521">
            <w:pPr>
              <w:jc w:val="center"/>
            </w:pPr>
            <w:r>
              <w:rPr>
                <w:sz w:val="24"/>
              </w:rPr>
              <w:t>270048</w:t>
            </w:r>
          </w:p>
        </w:tc>
        <w:tc>
          <w:tcPr>
            <w:tcW w:w="1135" w:type="dxa"/>
            <w:vAlign w:val="center"/>
          </w:tcPr>
          <w:p w:rsidR="00A167B0" w:rsidRDefault="009C1521">
            <w:pPr>
              <w:jc w:val="center"/>
            </w:pPr>
            <w:r>
              <w:rPr>
                <w:sz w:val="24"/>
              </w:rPr>
              <w:t>广发纯债债券</w:t>
            </w:r>
            <w:r>
              <w:rPr>
                <w:sz w:val="24"/>
              </w:rPr>
              <w:t>A</w:t>
            </w:r>
          </w:p>
        </w:tc>
        <w:tc>
          <w:tcPr>
            <w:tcW w:w="1135" w:type="dxa"/>
            <w:vAlign w:val="center"/>
          </w:tcPr>
          <w:p w:rsidR="00A167B0" w:rsidRDefault="009C1521">
            <w:pPr>
              <w:jc w:val="center"/>
            </w:pPr>
            <w:r>
              <w:rPr>
                <w:sz w:val="24"/>
              </w:rPr>
              <w:t>契约型开放式</w:t>
            </w:r>
          </w:p>
        </w:tc>
        <w:tc>
          <w:tcPr>
            <w:tcW w:w="1133" w:type="dxa"/>
            <w:vAlign w:val="center"/>
          </w:tcPr>
          <w:p w:rsidR="00A167B0" w:rsidRDefault="009C1521">
            <w:pPr>
              <w:jc w:val="center"/>
            </w:pPr>
            <w:r>
              <w:rPr>
                <w:sz w:val="24"/>
              </w:rPr>
              <w:t>1,012,206.57</w:t>
            </w:r>
          </w:p>
        </w:tc>
        <w:tc>
          <w:tcPr>
            <w:tcW w:w="1276" w:type="dxa"/>
            <w:vAlign w:val="center"/>
          </w:tcPr>
          <w:p w:rsidR="00A167B0" w:rsidRDefault="009C1521">
            <w:pPr>
              <w:jc w:val="center"/>
            </w:pPr>
            <w:r>
              <w:rPr>
                <w:sz w:val="24"/>
              </w:rPr>
              <w:t>1,263,132.58</w:t>
            </w:r>
          </w:p>
        </w:tc>
        <w:tc>
          <w:tcPr>
            <w:tcW w:w="1135" w:type="dxa"/>
            <w:vAlign w:val="center"/>
          </w:tcPr>
          <w:p w:rsidR="00A167B0" w:rsidRDefault="009C1521">
            <w:pPr>
              <w:jc w:val="center"/>
            </w:pPr>
            <w:r>
              <w:rPr>
                <w:sz w:val="24"/>
              </w:rPr>
              <w:t>9.97%</w:t>
            </w:r>
          </w:p>
        </w:tc>
        <w:tc>
          <w:tcPr>
            <w:tcW w:w="1272" w:type="dxa"/>
            <w:vAlign w:val="center"/>
          </w:tcPr>
          <w:p w:rsidR="00A167B0" w:rsidRDefault="009C1521">
            <w:pPr>
              <w:jc w:val="center"/>
            </w:pPr>
            <w:r>
              <w:rPr>
                <w:sz w:val="24"/>
              </w:rPr>
              <w:t>否</w:t>
            </w:r>
          </w:p>
        </w:tc>
      </w:tr>
      <w:tr w:rsidR="00A167B0">
        <w:tc>
          <w:tcPr>
            <w:tcW w:w="817" w:type="dxa"/>
            <w:vAlign w:val="center"/>
          </w:tcPr>
          <w:p w:rsidR="00A167B0" w:rsidRDefault="009C1521">
            <w:pPr>
              <w:jc w:val="center"/>
            </w:pPr>
            <w:r>
              <w:rPr>
                <w:sz w:val="24"/>
              </w:rPr>
              <w:lastRenderedPageBreak/>
              <w:t>5</w:t>
            </w:r>
          </w:p>
        </w:tc>
        <w:tc>
          <w:tcPr>
            <w:tcW w:w="1133" w:type="dxa"/>
            <w:vAlign w:val="center"/>
          </w:tcPr>
          <w:p w:rsidR="00A167B0" w:rsidRDefault="009C1521">
            <w:pPr>
              <w:jc w:val="center"/>
            </w:pPr>
            <w:r>
              <w:rPr>
                <w:sz w:val="24"/>
              </w:rPr>
              <w:t>519782</w:t>
            </w:r>
          </w:p>
        </w:tc>
        <w:tc>
          <w:tcPr>
            <w:tcW w:w="1135" w:type="dxa"/>
            <w:vAlign w:val="center"/>
          </w:tcPr>
          <w:p w:rsidR="00A167B0" w:rsidRDefault="009C1521">
            <w:pPr>
              <w:jc w:val="center"/>
            </w:pPr>
            <w:r>
              <w:rPr>
                <w:sz w:val="24"/>
              </w:rPr>
              <w:t>交银裕隆纯债债券</w:t>
            </w:r>
            <w:r>
              <w:rPr>
                <w:sz w:val="24"/>
              </w:rPr>
              <w:t>A</w:t>
            </w:r>
          </w:p>
        </w:tc>
        <w:tc>
          <w:tcPr>
            <w:tcW w:w="1135" w:type="dxa"/>
            <w:vAlign w:val="center"/>
          </w:tcPr>
          <w:p w:rsidR="00A167B0" w:rsidRDefault="009C1521">
            <w:pPr>
              <w:jc w:val="center"/>
            </w:pPr>
            <w:r>
              <w:rPr>
                <w:sz w:val="24"/>
              </w:rPr>
              <w:t>契约型开放式</w:t>
            </w:r>
          </w:p>
        </w:tc>
        <w:tc>
          <w:tcPr>
            <w:tcW w:w="1133" w:type="dxa"/>
            <w:vAlign w:val="center"/>
          </w:tcPr>
          <w:p w:rsidR="00A167B0" w:rsidRDefault="009C1521">
            <w:pPr>
              <w:jc w:val="center"/>
            </w:pPr>
            <w:r>
              <w:rPr>
                <w:sz w:val="24"/>
              </w:rPr>
              <w:t>898,654.70</w:t>
            </w:r>
          </w:p>
        </w:tc>
        <w:tc>
          <w:tcPr>
            <w:tcW w:w="1276" w:type="dxa"/>
            <w:vAlign w:val="center"/>
          </w:tcPr>
          <w:p w:rsidR="00A167B0" w:rsidRDefault="009C1521">
            <w:pPr>
              <w:jc w:val="center"/>
            </w:pPr>
            <w:r>
              <w:rPr>
                <w:sz w:val="24"/>
              </w:rPr>
              <w:t>1,233,223.84</w:t>
            </w:r>
          </w:p>
        </w:tc>
        <w:tc>
          <w:tcPr>
            <w:tcW w:w="1135" w:type="dxa"/>
            <w:vAlign w:val="center"/>
          </w:tcPr>
          <w:p w:rsidR="00A167B0" w:rsidRDefault="009C1521">
            <w:pPr>
              <w:jc w:val="center"/>
            </w:pPr>
            <w:r>
              <w:rPr>
                <w:sz w:val="24"/>
              </w:rPr>
              <w:t>9.73%</w:t>
            </w:r>
          </w:p>
        </w:tc>
        <w:tc>
          <w:tcPr>
            <w:tcW w:w="1272" w:type="dxa"/>
            <w:vAlign w:val="center"/>
          </w:tcPr>
          <w:p w:rsidR="00A167B0" w:rsidRDefault="009C1521">
            <w:pPr>
              <w:jc w:val="center"/>
            </w:pPr>
            <w:r>
              <w:rPr>
                <w:sz w:val="24"/>
              </w:rPr>
              <w:t>否</w:t>
            </w:r>
          </w:p>
        </w:tc>
      </w:tr>
      <w:tr w:rsidR="00A167B0">
        <w:tc>
          <w:tcPr>
            <w:tcW w:w="817" w:type="dxa"/>
            <w:vAlign w:val="center"/>
          </w:tcPr>
          <w:p w:rsidR="00A167B0" w:rsidRDefault="009C1521">
            <w:pPr>
              <w:jc w:val="center"/>
            </w:pPr>
            <w:r>
              <w:rPr>
                <w:sz w:val="24"/>
              </w:rPr>
              <w:t>6</w:t>
            </w:r>
          </w:p>
        </w:tc>
        <w:tc>
          <w:tcPr>
            <w:tcW w:w="1133" w:type="dxa"/>
            <w:vAlign w:val="center"/>
          </w:tcPr>
          <w:p w:rsidR="00A167B0" w:rsidRDefault="009C1521">
            <w:pPr>
              <w:jc w:val="center"/>
            </w:pPr>
            <w:r>
              <w:rPr>
                <w:sz w:val="24"/>
              </w:rPr>
              <w:t>000032</w:t>
            </w:r>
          </w:p>
        </w:tc>
        <w:tc>
          <w:tcPr>
            <w:tcW w:w="1135" w:type="dxa"/>
            <w:vAlign w:val="center"/>
          </w:tcPr>
          <w:p w:rsidR="00A167B0" w:rsidRDefault="009C1521">
            <w:pPr>
              <w:jc w:val="center"/>
            </w:pPr>
            <w:r>
              <w:rPr>
                <w:sz w:val="24"/>
              </w:rPr>
              <w:t>易方达信用债债券</w:t>
            </w:r>
            <w:r>
              <w:rPr>
                <w:sz w:val="24"/>
              </w:rPr>
              <w:t>A</w:t>
            </w:r>
          </w:p>
        </w:tc>
        <w:tc>
          <w:tcPr>
            <w:tcW w:w="1135" w:type="dxa"/>
            <w:vAlign w:val="center"/>
          </w:tcPr>
          <w:p w:rsidR="00A167B0" w:rsidRDefault="009C1521">
            <w:pPr>
              <w:jc w:val="center"/>
            </w:pPr>
            <w:r>
              <w:rPr>
                <w:sz w:val="24"/>
              </w:rPr>
              <w:t>契约型开放式</w:t>
            </w:r>
          </w:p>
        </w:tc>
        <w:tc>
          <w:tcPr>
            <w:tcW w:w="1133" w:type="dxa"/>
            <w:vAlign w:val="center"/>
          </w:tcPr>
          <w:p w:rsidR="00A167B0" w:rsidRDefault="009C1521">
            <w:pPr>
              <w:jc w:val="center"/>
            </w:pPr>
            <w:r>
              <w:rPr>
                <w:sz w:val="24"/>
              </w:rPr>
              <w:t>888,249.23</w:t>
            </w:r>
          </w:p>
        </w:tc>
        <w:tc>
          <w:tcPr>
            <w:tcW w:w="1276" w:type="dxa"/>
            <w:vAlign w:val="center"/>
          </w:tcPr>
          <w:p w:rsidR="00A167B0" w:rsidRDefault="009C1521">
            <w:pPr>
              <w:jc w:val="center"/>
            </w:pPr>
            <w:r>
              <w:rPr>
                <w:sz w:val="24"/>
              </w:rPr>
              <w:t>1,011,538.22</w:t>
            </w:r>
          </w:p>
        </w:tc>
        <w:tc>
          <w:tcPr>
            <w:tcW w:w="1135" w:type="dxa"/>
            <w:vAlign w:val="center"/>
          </w:tcPr>
          <w:p w:rsidR="00A167B0" w:rsidRDefault="009C1521">
            <w:pPr>
              <w:jc w:val="center"/>
            </w:pPr>
            <w:r>
              <w:rPr>
                <w:sz w:val="24"/>
              </w:rPr>
              <w:t>7.98%</w:t>
            </w:r>
          </w:p>
        </w:tc>
        <w:tc>
          <w:tcPr>
            <w:tcW w:w="1272" w:type="dxa"/>
            <w:vAlign w:val="center"/>
          </w:tcPr>
          <w:p w:rsidR="00A167B0" w:rsidRDefault="009C1521">
            <w:pPr>
              <w:jc w:val="center"/>
            </w:pPr>
            <w:r>
              <w:rPr>
                <w:sz w:val="24"/>
              </w:rPr>
              <w:t>否</w:t>
            </w:r>
          </w:p>
        </w:tc>
      </w:tr>
      <w:tr w:rsidR="00A167B0">
        <w:tc>
          <w:tcPr>
            <w:tcW w:w="817" w:type="dxa"/>
            <w:vAlign w:val="center"/>
          </w:tcPr>
          <w:p w:rsidR="00A167B0" w:rsidRDefault="009C1521">
            <w:pPr>
              <w:jc w:val="center"/>
            </w:pPr>
            <w:r>
              <w:rPr>
                <w:sz w:val="24"/>
              </w:rPr>
              <w:t>7</w:t>
            </w:r>
          </w:p>
        </w:tc>
        <w:tc>
          <w:tcPr>
            <w:tcW w:w="1133" w:type="dxa"/>
            <w:vAlign w:val="center"/>
          </w:tcPr>
          <w:p w:rsidR="00A167B0" w:rsidRDefault="009C1521">
            <w:pPr>
              <w:jc w:val="center"/>
            </w:pPr>
            <w:r>
              <w:rPr>
                <w:sz w:val="24"/>
              </w:rPr>
              <w:t>004388</w:t>
            </w:r>
          </w:p>
        </w:tc>
        <w:tc>
          <w:tcPr>
            <w:tcW w:w="1135" w:type="dxa"/>
            <w:vAlign w:val="center"/>
          </w:tcPr>
          <w:p w:rsidR="00A167B0" w:rsidRDefault="009C1521">
            <w:pPr>
              <w:jc w:val="center"/>
            </w:pPr>
            <w:r>
              <w:rPr>
                <w:sz w:val="24"/>
              </w:rPr>
              <w:t>鹏华丰享债券</w:t>
            </w:r>
          </w:p>
        </w:tc>
        <w:tc>
          <w:tcPr>
            <w:tcW w:w="1135" w:type="dxa"/>
            <w:vAlign w:val="center"/>
          </w:tcPr>
          <w:p w:rsidR="00A167B0" w:rsidRDefault="009C1521">
            <w:pPr>
              <w:jc w:val="center"/>
            </w:pPr>
            <w:r>
              <w:rPr>
                <w:sz w:val="24"/>
              </w:rPr>
              <w:t>契约型开放式</w:t>
            </w:r>
          </w:p>
        </w:tc>
        <w:tc>
          <w:tcPr>
            <w:tcW w:w="1133" w:type="dxa"/>
            <w:vAlign w:val="center"/>
          </w:tcPr>
          <w:p w:rsidR="00A167B0" w:rsidRDefault="009C1521">
            <w:pPr>
              <w:jc w:val="center"/>
            </w:pPr>
            <w:r>
              <w:rPr>
                <w:sz w:val="24"/>
              </w:rPr>
              <w:t>615,523.97</w:t>
            </w:r>
          </w:p>
        </w:tc>
        <w:tc>
          <w:tcPr>
            <w:tcW w:w="1276" w:type="dxa"/>
            <w:vAlign w:val="center"/>
          </w:tcPr>
          <w:p w:rsidR="00A167B0" w:rsidRDefault="009C1521">
            <w:pPr>
              <w:jc w:val="center"/>
            </w:pPr>
            <w:r>
              <w:rPr>
                <w:sz w:val="24"/>
              </w:rPr>
              <w:t>759,125.71</w:t>
            </w:r>
          </w:p>
        </w:tc>
        <w:tc>
          <w:tcPr>
            <w:tcW w:w="1135" w:type="dxa"/>
            <w:vAlign w:val="center"/>
          </w:tcPr>
          <w:p w:rsidR="00A167B0" w:rsidRDefault="009C1521">
            <w:pPr>
              <w:jc w:val="center"/>
            </w:pPr>
            <w:r>
              <w:rPr>
                <w:sz w:val="24"/>
              </w:rPr>
              <w:t>5.99%</w:t>
            </w:r>
          </w:p>
        </w:tc>
        <w:tc>
          <w:tcPr>
            <w:tcW w:w="1272" w:type="dxa"/>
            <w:vAlign w:val="center"/>
          </w:tcPr>
          <w:p w:rsidR="00A167B0" w:rsidRDefault="009C1521">
            <w:pPr>
              <w:jc w:val="center"/>
            </w:pPr>
            <w:r>
              <w:rPr>
                <w:sz w:val="24"/>
              </w:rPr>
              <w:t>否</w:t>
            </w:r>
          </w:p>
        </w:tc>
      </w:tr>
      <w:tr w:rsidR="00A167B0">
        <w:tc>
          <w:tcPr>
            <w:tcW w:w="817" w:type="dxa"/>
            <w:vAlign w:val="center"/>
          </w:tcPr>
          <w:p w:rsidR="00A167B0" w:rsidRDefault="009C1521">
            <w:pPr>
              <w:jc w:val="center"/>
            </w:pPr>
            <w:r>
              <w:rPr>
                <w:sz w:val="24"/>
              </w:rPr>
              <w:t>8</w:t>
            </w:r>
          </w:p>
        </w:tc>
        <w:tc>
          <w:tcPr>
            <w:tcW w:w="1133" w:type="dxa"/>
            <w:vAlign w:val="center"/>
          </w:tcPr>
          <w:p w:rsidR="00A167B0" w:rsidRDefault="009C1521">
            <w:pPr>
              <w:jc w:val="center"/>
            </w:pPr>
            <w:r>
              <w:rPr>
                <w:sz w:val="24"/>
              </w:rPr>
              <w:t>003863</w:t>
            </w:r>
          </w:p>
        </w:tc>
        <w:tc>
          <w:tcPr>
            <w:tcW w:w="1135" w:type="dxa"/>
            <w:vAlign w:val="center"/>
          </w:tcPr>
          <w:p w:rsidR="00A167B0" w:rsidRDefault="009C1521">
            <w:pPr>
              <w:jc w:val="center"/>
            </w:pPr>
            <w:r>
              <w:rPr>
                <w:sz w:val="24"/>
              </w:rPr>
              <w:t>招商招祥纯债</w:t>
            </w:r>
            <w:r>
              <w:rPr>
                <w:sz w:val="24"/>
              </w:rPr>
              <w:t>A</w:t>
            </w:r>
          </w:p>
        </w:tc>
        <w:tc>
          <w:tcPr>
            <w:tcW w:w="1135" w:type="dxa"/>
            <w:vAlign w:val="center"/>
          </w:tcPr>
          <w:p w:rsidR="00A167B0" w:rsidRDefault="009C1521">
            <w:pPr>
              <w:jc w:val="center"/>
            </w:pPr>
            <w:r>
              <w:rPr>
                <w:sz w:val="24"/>
              </w:rPr>
              <w:t>契约型开放式</w:t>
            </w:r>
          </w:p>
        </w:tc>
        <w:tc>
          <w:tcPr>
            <w:tcW w:w="1133" w:type="dxa"/>
            <w:vAlign w:val="center"/>
          </w:tcPr>
          <w:p w:rsidR="00A167B0" w:rsidRDefault="009C1521">
            <w:pPr>
              <w:jc w:val="center"/>
            </w:pPr>
            <w:r>
              <w:rPr>
                <w:sz w:val="24"/>
              </w:rPr>
              <w:t>607,026.20</w:t>
            </w:r>
          </w:p>
        </w:tc>
        <w:tc>
          <w:tcPr>
            <w:tcW w:w="1276" w:type="dxa"/>
            <w:vAlign w:val="center"/>
          </w:tcPr>
          <w:p w:rsidR="00A167B0" w:rsidRDefault="009C1521">
            <w:pPr>
              <w:jc w:val="center"/>
            </w:pPr>
            <w:r>
              <w:rPr>
                <w:sz w:val="24"/>
              </w:rPr>
              <w:t>691,584.95</w:t>
            </w:r>
          </w:p>
        </w:tc>
        <w:tc>
          <w:tcPr>
            <w:tcW w:w="1135" w:type="dxa"/>
            <w:vAlign w:val="center"/>
          </w:tcPr>
          <w:p w:rsidR="00A167B0" w:rsidRDefault="009C1521">
            <w:pPr>
              <w:jc w:val="center"/>
            </w:pPr>
            <w:r>
              <w:rPr>
                <w:sz w:val="24"/>
              </w:rPr>
              <w:t>5.46%</w:t>
            </w:r>
          </w:p>
        </w:tc>
        <w:tc>
          <w:tcPr>
            <w:tcW w:w="1272" w:type="dxa"/>
            <w:vAlign w:val="center"/>
          </w:tcPr>
          <w:p w:rsidR="00A167B0" w:rsidRDefault="009C1521">
            <w:pPr>
              <w:jc w:val="center"/>
            </w:pPr>
            <w:r>
              <w:rPr>
                <w:sz w:val="24"/>
              </w:rPr>
              <w:t>否</w:t>
            </w:r>
          </w:p>
        </w:tc>
      </w:tr>
      <w:tr w:rsidR="00A167B0">
        <w:tc>
          <w:tcPr>
            <w:tcW w:w="817" w:type="dxa"/>
            <w:vAlign w:val="center"/>
          </w:tcPr>
          <w:p w:rsidR="00A167B0" w:rsidRDefault="009C1521">
            <w:pPr>
              <w:jc w:val="center"/>
            </w:pPr>
            <w:r>
              <w:rPr>
                <w:sz w:val="24"/>
              </w:rPr>
              <w:t>9</w:t>
            </w:r>
          </w:p>
        </w:tc>
        <w:tc>
          <w:tcPr>
            <w:tcW w:w="1133" w:type="dxa"/>
            <w:vAlign w:val="center"/>
          </w:tcPr>
          <w:p w:rsidR="00A167B0" w:rsidRDefault="009C1521">
            <w:pPr>
              <w:jc w:val="center"/>
            </w:pPr>
            <w:r>
              <w:rPr>
                <w:sz w:val="24"/>
              </w:rPr>
              <w:t>003949</w:t>
            </w:r>
          </w:p>
        </w:tc>
        <w:tc>
          <w:tcPr>
            <w:tcW w:w="1135" w:type="dxa"/>
            <w:vAlign w:val="center"/>
          </w:tcPr>
          <w:p w:rsidR="00A167B0" w:rsidRDefault="009C1521">
            <w:pPr>
              <w:jc w:val="center"/>
            </w:pPr>
            <w:r>
              <w:rPr>
                <w:sz w:val="24"/>
              </w:rPr>
              <w:t>兴全稳泰债券</w:t>
            </w:r>
            <w:r>
              <w:rPr>
                <w:sz w:val="24"/>
              </w:rPr>
              <w:t>A</w:t>
            </w:r>
          </w:p>
        </w:tc>
        <w:tc>
          <w:tcPr>
            <w:tcW w:w="1135" w:type="dxa"/>
            <w:vAlign w:val="center"/>
          </w:tcPr>
          <w:p w:rsidR="00A167B0" w:rsidRDefault="009C1521">
            <w:pPr>
              <w:jc w:val="center"/>
            </w:pPr>
            <w:r>
              <w:rPr>
                <w:sz w:val="24"/>
              </w:rPr>
              <w:t>契约型开放式</w:t>
            </w:r>
          </w:p>
        </w:tc>
        <w:tc>
          <w:tcPr>
            <w:tcW w:w="1133" w:type="dxa"/>
            <w:vAlign w:val="center"/>
          </w:tcPr>
          <w:p w:rsidR="00A167B0" w:rsidRDefault="009C1521">
            <w:pPr>
              <w:jc w:val="center"/>
            </w:pPr>
            <w:r>
              <w:rPr>
                <w:sz w:val="24"/>
              </w:rPr>
              <w:t>553,535.61</w:t>
            </w:r>
          </w:p>
        </w:tc>
        <w:tc>
          <w:tcPr>
            <w:tcW w:w="1276" w:type="dxa"/>
            <w:vAlign w:val="center"/>
          </w:tcPr>
          <w:p w:rsidR="00A167B0" w:rsidRDefault="009C1521">
            <w:pPr>
              <w:jc w:val="center"/>
            </w:pPr>
            <w:r>
              <w:rPr>
                <w:sz w:val="24"/>
              </w:rPr>
              <w:t>652,231.01</w:t>
            </w:r>
          </w:p>
        </w:tc>
        <w:tc>
          <w:tcPr>
            <w:tcW w:w="1135" w:type="dxa"/>
            <w:vAlign w:val="center"/>
          </w:tcPr>
          <w:p w:rsidR="00A167B0" w:rsidRDefault="009C1521">
            <w:pPr>
              <w:jc w:val="center"/>
            </w:pPr>
            <w:r>
              <w:rPr>
                <w:sz w:val="24"/>
              </w:rPr>
              <w:t>5.15%</w:t>
            </w:r>
          </w:p>
        </w:tc>
        <w:tc>
          <w:tcPr>
            <w:tcW w:w="1272" w:type="dxa"/>
            <w:vAlign w:val="center"/>
          </w:tcPr>
          <w:p w:rsidR="00A167B0" w:rsidRDefault="009C1521">
            <w:pPr>
              <w:jc w:val="center"/>
            </w:pPr>
            <w:r>
              <w:rPr>
                <w:sz w:val="24"/>
              </w:rPr>
              <w:t>否</w:t>
            </w:r>
          </w:p>
        </w:tc>
      </w:tr>
      <w:tr w:rsidR="00A167B0">
        <w:tc>
          <w:tcPr>
            <w:tcW w:w="817" w:type="dxa"/>
            <w:vAlign w:val="center"/>
          </w:tcPr>
          <w:p w:rsidR="00A167B0" w:rsidRDefault="009C1521">
            <w:pPr>
              <w:jc w:val="center"/>
            </w:pPr>
            <w:r>
              <w:rPr>
                <w:sz w:val="24"/>
              </w:rPr>
              <w:t>10</w:t>
            </w:r>
          </w:p>
        </w:tc>
        <w:tc>
          <w:tcPr>
            <w:tcW w:w="1133" w:type="dxa"/>
            <w:vAlign w:val="center"/>
          </w:tcPr>
          <w:p w:rsidR="00A167B0" w:rsidRDefault="009C1521">
            <w:pPr>
              <w:jc w:val="center"/>
            </w:pPr>
            <w:r>
              <w:rPr>
                <w:sz w:val="24"/>
              </w:rPr>
              <w:t>003376</w:t>
            </w:r>
          </w:p>
        </w:tc>
        <w:tc>
          <w:tcPr>
            <w:tcW w:w="1135" w:type="dxa"/>
            <w:vAlign w:val="center"/>
          </w:tcPr>
          <w:p w:rsidR="00A167B0" w:rsidRDefault="009C1521">
            <w:pPr>
              <w:jc w:val="center"/>
            </w:pPr>
            <w:r>
              <w:rPr>
                <w:sz w:val="24"/>
              </w:rPr>
              <w:t>广发中债</w:t>
            </w:r>
            <w:r>
              <w:rPr>
                <w:sz w:val="24"/>
              </w:rPr>
              <w:t>7-10</w:t>
            </w:r>
            <w:r>
              <w:rPr>
                <w:sz w:val="24"/>
              </w:rPr>
              <w:t>年国开债指数</w:t>
            </w:r>
            <w:r>
              <w:rPr>
                <w:sz w:val="24"/>
              </w:rPr>
              <w:t>A</w:t>
            </w:r>
          </w:p>
        </w:tc>
        <w:tc>
          <w:tcPr>
            <w:tcW w:w="1135" w:type="dxa"/>
            <w:vAlign w:val="center"/>
          </w:tcPr>
          <w:p w:rsidR="00A167B0" w:rsidRDefault="009C1521">
            <w:pPr>
              <w:jc w:val="center"/>
            </w:pPr>
            <w:r>
              <w:rPr>
                <w:sz w:val="24"/>
              </w:rPr>
              <w:t>契约型开放式</w:t>
            </w:r>
          </w:p>
        </w:tc>
        <w:tc>
          <w:tcPr>
            <w:tcW w:w="1133" w:type="dxa"/>
            <w:vAlign w:val="center"/>
          </w:tcPr>
          <w:p w:rsidR="00A167B0" w:rsidRDefault="009C1521">
            <w:pPr>
              <w:jc w:val="center"/>
            </w:pPr>
            <w:r>
              <w:rPr>
                <w:sz w:val="24"/>
              </w:rPr>
              <w:t>431,887.76</w:t>
            </w:r>
          </w:p>
        </w:tc>
        <w:tc>
          <w:tcPr>
            <w:tcW w:w="1276" w:type="dxa"/>
            <w:vAlign w:val="center"/>
          </w:tcPr>
          <w:p w:rsidR="00A167B0" w:rsidRDefault="009C1521">
            <w:pPr>
              <w:jc w:val="center"/>
            </w:pPr>
            <w:r>
              <w:rPr>
                <w:sz w:val="24"/>
              </w:rPr>
              <w:t>545,733.37</w:t>
            </w:r>
          </w:p>
        </w:tc>
        <w:tc>
          <w:tcPr>
            <w:tcW w:w="1135" w:type="dxa"/>
            <w:vAlign w:val="center"/>
          </w:tcPr>
          <w:p w:rsidR="00A167B0" w:rsidRDefault="009C1521">
            <w:pPr>
              <w:jc w:val="center"/>
            </w:pPr>
            <w:r>
              <w:rPr>
                <w:sz w:val="24"/>
              </w:rPr>
              <w:t>4.31%</w:t>
            </w:r>
          </w:p>
        </w:tc>
        <w:tc>
          <w:tcPr>
            <w:tcW w:w="1272" w:type="dxa"/>
            <w:vAlign w:val="center"/>
          </w:tcPr>
          <w:p w:rsidR="00A167B0" w:rsidRDefault="009C1521">
            <w:pPr>
              <w:jc w:val="center"/>
            </w:pPr>
            <w:r>
              <w:rPr>
                <w:sz w:val="24"/>
              </w:rPr>
              <w:t>否</w:t>
            </w:r>
          </w:p>
        </w:tc>
      </w:tr>
    </w:tbl>
    <w:p w:rsidR="00C45886" w:rsidRPr="00575270" w:rsidRDefault="00C45886" w:rsidP="00C45886">
      <w:pPr>
        <w:adjustRightInd w:val="0"/>
        <w:snapToGrid w:val="0"/>
        <w:spacing w:beforeLines="50" w:before="156" w:line="360" w:lineRule="auto"/>
        <w:rPr>
          <w:rFonts w:eastAsiaTheme="minorEastAsia"/>
          <w:b/>
          <w:color w:val="000000" w:themeColor="text1"/>
          <w:kern w:val="0"/>
          <w:sz w:val="24"/>
        </w:rPr>
      </w:pPr>
      <w:r w:rsidRPr="00575270">
        <w:rPr>
          <w:rFonts w:eastAsiaTheme="minorEastAsia"/>
          <w:b/>
          <w:color w:val="000000" w:themeColor="text1"/>
          <w:kern w:val="0"/>
          <w:sz w:val="24"/>
        </w:rPr>
        <w:t>6.2</w:t>
      </w:r>
      <w:r w:rsidRPr="00575270">
        <w:rPr>
          <w:rFonts w:eastAsiaTheme="minorEastAsia" w:hint="eastAsia"/>
          <w:b/>
          <w:color w:val="000000" w:themeColor="text1"/>
          <w:kern w:val="0"/>
          <w:sz w:val="24"/>
        </w:rPr>
        <w:t xml:space="preserve"> </w:t>
      </w:r>
      <w:r w:rsidRPr="00575270">
        <w:rPr>
          <w:rFonts w:eastAsiaTheme="minorEastAsia" w:hint="eastAsia"/>
          <w:b/>
          <w:color w:val="000000" w:themeColor="text1"/>
          <w:kern w:val="0"/>
          <w:sz w:val="24"/>
        </w:rPr>
        <w:t>当期交易及持有基金产生的费用</w:t>
      </w:r>
    </w:p>
    <w:tbl>
      <w:tblPr>
        <w:tblStyle w:val="afa"/>
        <w:tblW w:w="0" w:type="auto"/>
        <w:tblLayout w:type="fixed"/>
        <w:tblLook w:val="04A0" w:firstRow="1" w:lastRow="0" w:firstColumn="1" w:lastColumn="0" w:noHBand="0" w:noVBand="1"/>
      </w:tblPr>
      <w:tblGrid>
        <w:gridCol w:w="3012"/>
        <w:gridCol w:w="3012"/>
        <w:gridCol w:w="3012"/>
      </w:tblGrid>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jc w:val="center"/>
              <w:rPr>
                <w:rFonts w:eastAsiaTheme="minorEastAsia"/>
                <w:color w:val="000000" w:themeColor="text1"/>
                <w:sz w:val="24"/>
              </w:rPr>
            </w:pPr>
            <w:r w:rsidRPr="00575270">
              <w:rPr>
                <w:sz w:val="24"/>
              </w:rPr>
              <w:t>项目</w:t>
            </w:r>
          </w:p>
        </w:tc>
        <w:tc>
          <w:tcPr>
            <w:tcW w:w="3012" w:type="dxa"/>
            <w:vAlign w:val="center"/>
          </w:tcPr>
          <w:p w:rsidR="00C45886" w:rsidRPr="00575270" w:rsidRDefault="00C45886" w:rsidP="00342FE7">
            <w:pPr>
              <w:spacing w:line="276" w:lineRule="auto"/>
              <w:jc w:val="center"/>
              <w:rPr>
                <w:sz w:val="24"/>
              </w:rPr>
            </w:pPr>
            <w:r w:rsidRPr="00575270">
              <w:rPr>
                <w:sz w:val="24"/>
              </w:rPr>
              <w:t>本期费用</w:t>
            </w:r>
          </w:p>
        </w:tc>
        <w:tc>
          <w:tcPr>
            <w:tcW w:w="3012" w:type="dxa"/>
            <w:vAlign w:val="center"/>
          </w:tcPr>
          <w:p w:rsidR="00C45886" w:rsidRPr="00575270" w:rsidRDefault="00C45886" w:rsidP="00342FE7">
            <w:pPr>
              <w:spacing w:line="276" w:lineRule="auto"/>
              <w:jc w:val="center"/>
              <w:rPr>
                <w:sz w:val="24"/>
              </w:rPr>
            </w:pPr>
            <w:r w:rsidRPr="00575270">
              <w:rPr>
                <w:sz w:val="24"/>
              </w:rPr>
              <w:t>其中：交易及持有基金管理人以及管理人关联方所管理基金产生的费用</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当期交易基金产生的申购费</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4,298.01</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当期交易基金产生的赎回费（元）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617.60</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当期持有基金产生的应支付销售服务费（元）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1,421.53</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当期持有基金产生的应支付管理费（元）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8,437.25</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311.85</w:t>
            </w:r>
          </w:p>
        </w:tc>
      </w:tr>
      <w:tr w:rsidR="00C45886" w:rsidRPr="00575270" w:rsidTr="00342FE7">
        <w:tc>
          <w:tcPr>
            <w:tcW w:w="3012" w:type="dxa"/>
            <w:vAlign w:val="center"/>
          </w:tcPr>
          <w:p w:rsidR="00C45886" w:rsidRPr="00575270" w:rsidRDefault="00C45886" w:rsidP="00342FE7">
            <w:pPr>
              <w:adjustRightInd w:val="0"/>
              <w:snapToGrid w:val="0"/>
              <w:spacing w:beforeLines="50" w:before="156" w:line="276" w:lineRule="auto"/>
              <w:rPr>
                <w:rFonts w:eastAsiaTheme="minorEastAsia"/>
                <w:color w:val="000000" w:themeColor="text1"/>
                <w:sz w:val="24"/>
              </w:rPr>
            </w:pPr>
            <w:r w:rsidRPr="00575270">
              <w:rPr>
                <w:sz w:val="24"/>
              </w:rPr>
              <w:t>当期持有基金产生的应支付托管费（元）</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2,323.59</w:t>
            </w:r>
          </w:p>
        </w:tc>
        <w:tc>
          <w:tcPr>
            <w:tcW w:w="3012" w:type="dxa"/>
            <w:vAlign w:val="center"/>
          </w:tcPr>
          <w:p w:rsidR="00C45886" w:rsidRPr="00575270" w:rsidRDefault="00C45886" w:rsidP="00342FE7">
            <w:pPr>
              <w:adjustRightInd w:val="0"/>
              <w:snapToGrid w:val="0"/>
              <w:spacing w:beforeLines="50" w:before="156" w:line="276" w:lineRule="auto"/>
              <w:jc w:val="right"/>
              <w:rPr>
                <w:rFonts w:eastAsiaTheme="minorEastAsia"/>
                <w:color w:val="000000" w:themeColor="text1"/>
                <w:sz w:val="24"/>
              </w:rPr>
            </w:pPr>
            <w:r w:rsidRPr="00575270">
              <w:rPr>
                <w:rFonts w:eastAsiaTheme="minorEastAsia" w:hint="eastAsia"/>
                <w:color w:val="000000" w:themeColor="text1"/>
                <w:sz w:val="24"/>
              </w:rPr>
              <w:t>35.42</w:t>
            </w:r>
          </w:p>
        </w:tc>
      </w:tr>
      <w:tr w:rsidR="00A167B0">
        <w:tc>
          <w:tcPr>
            <w:tcW w:w="3012" w:type="dxa"/>
            <w:vAlign w:val="center"/>
          </w:tcPr>
          <w:p w:rsidR="00A167B0" w:rsidRDefault="009C1521">
            <w:pPr>
              <w:jc w:val="left"/>
            </w:pPr>
            <w:r>
              <w:rPr>
                <w:rFonts w:eastAsiaTheme="minorEastAsia"/>
                <w:color w:val="000000" w:themeColor="text1"/>
                <w:sz w:val="24"/>
              </w:rPr>
              <w:t>当期交易基金产生的交易费（元）</w:t>
            </w:r>
          </w:p>
        </w:tc>
        <w:tc>
          <w:tcPr>
            <w:tcW w:w="3012" w:type="dxa"/>
            <w:vAlign w:val="center"/>
          </w:tcPr>
          <w:p w:rsidR="00A167B0" w:rsidRDefault="009C1521">
            <w:pPr>
              <w:jc w:val="right"/>
            </w:pPr>
            <w:r>
              <w:rPr>
                <w:rFonts w:eastAsiaTheme="minorEastAsia"/>
                <w:color w:val="000000" w:themeColor="text1"/>
                <w:sz w:val="24"/>
              </w:rPr>
              <w:t>2,258.21</w:t>
            </w:r>
          </w:p>
        </w:tc>
        <w:tc>
          <w:tcPr>
            <w:tcW w:w="3012" w:type="dxa"/>
            <w:vAlign w:val="center"/>
          </w:tcPr>
          <w:p w:rsidR="00A167B0" w:rsidRDefault="009C1521">
            <w:pPr>
              <w:jc w:val="right"/>
            </w:pPr>
            <w:r>
              <w:rPr>
                <w:rFonts w:eastAsiaTheme="minorEastAsia"/>
                <w:color w:val="000000" w:themeColor="text1"/>
                <w:sz w:val="24"/>
              </w:rPr>
              <w:t>182.91</w:t>
            </w:r>
          </w:p>
        </w:tc>
      </w:tr>
    </w:tbl>
    <w:p w:rsidR="005E6DF3" w:rsidRPr="00C45886" w:rsidRDefault="005E6DF3">
      <w:pPr>
        <w:spacing w:line="360" w:lineRule="auto"/>
        <w:ind w:firstLineChars="200" w:firstLine="420"/>
        <w:rPr>
          <w:rFonts w:eastAsiaTheme="minorEastAsia"/>
          <w:color w:val="000000" w:themeColor="text1"/>
          <w:szCs w:val="21"/>
        </w:rPr>
      </w:pPr>
    </w:p>
    <w:p w:rsidR="005E6DF3" w:rsidRPr="00B27A29" w:rsidRDefault="00C45886">
      <w:pPr>
        <w:pStyle w:val="1"/>
        <w:spacing w:beforeLines="100" w:before="312" w:afterLines="100" w:after="312" w:line="360" w:lineRule="auto"/>
        <w:jc w:val="center"/>
        <w:rPr>
          <w:rFonts w:eastAsiaTheme="minorEastAsia"/>
          <w:color w:val="000000" w:themeColor="text1"/>
          <w:kern w:val="0"/>
          <w:sz w:val="21"/>
          <w:szCs w:val="21"/>
        </w:rPr>
      </w:pPr>
      <w:r w:rsidRPr="005A3D62">
        <w:rPr>
          <w:rFonts w:eastAsiaTheme="minorEastAsia"/>
          <w:color w:val="000000" w:themeColor="text1"/>
          <w:kern w:val="0"/>
          <w:sz w:val="24"/>
          <w:szCs w:val="24"/>
        </w:rPr>
        <w:lastRenderedPageBreak/>
        <w:t>§7</w:t>
      </w:r>
      <w:r w:rsidR="005C671B" w:rsidRPr="00B27A29">
        <w:rPr>
          <w:rFonts w:eastAsiaTheme="minorEastAsia"/>
          <w:color w:val="000000" w:themeColor="text1"/>
          <w:kern w:val="0"/>
          <w:sz w:val="21"/>
          <w:szCs w:val="21"/>
        </w:rPr>
        <w:t xml:space="preserve">  </w:t>
      </w:r>
      <w:r w:rsidR="005C671B"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12,533,062.74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289,176.26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20,946.00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1,169.48</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106,088.79</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179,624.97</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12,447,919.95</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110,720.77</w:t>
            </w:r>
          </w:p>
        </w:tc>
      </w:tr>
    </w:tbl>
    <w:p w:rsidR="005E6DF3" w:rsidRPr="00B27A29" w:rsidRDefault="00C45886">
      <w:pPr>
        <w:pStyle w:val="1"/>
        <w:tabs>
          <w:tab w:val="center" w:pos="4156"/>
          <w:tab w:val="right" w:pos="8312"/>
        </w:tabs>
        <w:spacing w:beforeLines="100" w:before="312" w:afterLines="100" w:after="312" w:line="360" w:lineRule="auto"/>
        <w:jc w:val="center"/>
        <w:rPr>
          <w:color w:val="000000" w:themeColor="text1"/>
          <w:sz w:val="21"/>
          <w:szCs w:val="21"/>
        </w:rPr>
      </w:pPr>
      <w:r>
        <w:rPr>
          <w:rFonts w:eastAsiaTheme="minorEastAsia"/>
          <w:color w:val="000000" w:themeColor="text1"/>
          <w:kern w:val="0"/>
          <w:sz w:val="21"/>
          <w:szCs w:val="21"/>
        </w:rPr>
        <w:t>§</w:t>
      </w:r>
      <w:r w:rsidR="005C671B" w:rsidRPr="00B27A29">
        <w:rPr>
          <w:rFonts w:eastAsiaTheme="minorEastAsia"/>
          <w:color w:val="000000" w:themeColor="text1"/>
          <w:kern w:val="0"/>
          <w:sz w:val="21"/>
          <w:szCs w:val="21"/>
        </w:rPr>
        <w:t>8</w:t>
      </w:r>
      <w:r w:rsidR="00916691">
        <w:rPr>
          <w:rFonts w:eastAsiaTheme="minorEastAsia"/>
          <w:color w:val="000000" w:themeColor="text1"/>
          <w:kern w:val="0"/>
          <w:sz w:val="21"/>
          <w:szCs w:val="21"/>
        </w:rPr>
        <w:t xml:space="preserve">  </w:t>
      </w:r>
      <w:r w:rsidR="005C671B"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8.1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摩根双季鑫</w:t>
            </w:r>
            <w:r w:rsidRPr="00B27A29">
              <w:rPr>
                <w:rFonts w:eastAsiaTheme="minorEastAsia"/>
                <w:color w:val="000000" w:themeColor="text1"/>
                <w:szCs w:val="21"/>
              </w:rPr>
              <w:t>6</w:t>
            </w:r>
            <w:r w:rsidRPr="00B27A29">
              <w:rPr>
                <w:rFonts w:eastAsiaTheme="minorEastAsia"/>
                <w:color w:val="000000" w:themeColor="text1"/>
                <w:szCs w:val="21"/>
              </w:rPr>
              <w:t>个月持有债券</w:t>
            </w:r>
            <w:r w:rsidRPr="00B27A29">
              <w:rPr>
                <w:rFonts w:eastAsiaTheme="minorEastAsia"/>
                <w:color w:val="000000" w:themeColor="text1"/>
                <w:szCs w:val="21"/>
              </w:rPr>
              <w:t>(FOF)C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10,000,388.89</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10,000,388.89</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79.63</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8.2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b w:val="0"/>
          <w:color w:val="000000" w:themeColor="text1"/>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报告期末发起式基金发起资金持有份额情况</w:t>
      </w:r>
    </w:p>
    <w:tbl>
      <w:tblPr>
        <w:tblW w:w="88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1"/>
        <w:gridCol w:w="1157"/>
        <w:gridCol w:w="1314"/>
        <w:gridCol w:w="1065"/>
        <w:gridCol w:w="1458"/>
        <w:gridCol w:w="1495"/>
      </w:tblGrid>
      <w:tr w:rsidR="005E6DF3" w:rsidRPr="00B27A29">
        <w:trPr>
          <w:trHeight w:val="543"/>
        </w:trPr>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t>项目</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持有份额总数</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持有份额占基金总份额</w:t>
            </w:r>
            <w:r w:rsidRPr="00B27A29">
              <w:rPr>
                <w:rFonts w:eastAsiaTheme="minorEastAsia"/>
                <w:color w:val="000000" w:themeColor="text1"/>
                <w:szCs w:val="21"/>
              </w:rPr>
              <w:lastRenderedPageBreak/>
              <w:t>比例</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lastRenderedPageBreak/>
              <w:t>发起份额总数</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center"/>
              <w:rPr>
                <w:rFonts w:eastAsiaTheme="minorEastAsia"/>
                <w:color w:val="000000" w:themeColor="text1"/>
                <w:szCs w:val="21"/>
              </w:rPr>
            </w:pPr>
            <w:r w:rsidRPr="00B27A29">
              <w:rPr>
                <w:rFonts w:eastAsiaTheme="minorEastAsia"/>
                <w:color w:val="000000" w:themeColor="text1"/>
                <w:szCs w:val="21"/>
              </w:rPr>
              <w:t>发起份额占基金总份额</w:t>
            </w:r>
            <w:r w:rsidRPr="00B27A29">
              <w:rPr>
                <w:rFonts w:eastAsiaTheme="minorEastAsia"/>
                <w:color w:val="000000" w:themeColor="text1"/>
                <w:szCs w:val="21"/>
              </w:rPr>
              <w:lastRenderedPageBreak/>
              <w:t>比例</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widowControl/>
              <w:jc w:val="center"/>
              <w:rPr>
                <w:rFonts w:eastAsiaTheme="minorEastAsia"/>
                <w:color w:val="000000" w:themeColor="text1"/>
                <w:szCs w:val="21"/>
              </w:rPr>
            </w:pPr>
            <w:r w:rsidRPr="00B27A29">
              <w:rPr>
                <w:rFonts w:eastAsiaTheme="minorEastAsia"/>
                <w:color w:val="000000" w:themeColor="text1"/>
                <w:szCs w:val="21"/>
              </w:rPr>
              <w:lastRenderedPageBreak/>
              <w:t>发起份额承诺持有期限</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10,000,388.89</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79.63%</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10,000,388.89</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79.63%</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r w:rsidR="005E6DF3" w:rsidRPr="00B27A29">
        <w:trPr>
          <w:trHeight w:val="790"/>
        </w:trPr>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其他</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2391"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rPr>
                <w:rFonts w:eastAsiaTheme="minorEastAsia"/>
                <w:color w:val="000000" w:themeColor="text1"/>
                <w:szCs w:val="21"/>
              </w:rPr>
            </w:pPr>
            <w:r w:rsidRPr="00B27A29">
              <w:rPr>
                <w:rFonts w:eastAsiaTheme="minorEastAsia"/>
                <w:color w:val="000000" w:themeColor="text1"/>
                <w:szCs w:val="21"/>
              </w:rPr>
              <w:t>合计</w:t>
            </w:r>
          </w:p>
        </w:tc>
        <w:tc>
          <w:tcPr>
            <w:tcW w:w="1157"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10,000,388.89</w:t>
            </w:r>
          </w:p>
        </w:tc>
        <w:tc>
          <w:tcPr>
            <w:tcW w:w="1314"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79.63%</w:t>
            </w:r>
          </w:p>
        </w:tc>
        <w:tc>
          <w:tcPr>
            <w:tcW w:w="106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10,000,388.89</w:t>
            </w:r>
          </w:p>
        </w:tc>
        <w:tc>
          <w:tcPr>
            <w:tcW w:w="1458"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79.63%</w:t>
            </w:r>
          </w:p>
        </w:tc>
        <w:tc>
          <w:tcPr>
            <w:tcW w:w="1495" w:type="dxa"/>
            <w:tcBorders>
              <w:top w:val="single" w:sz="4" w:space="0" w:color="auto"/>
              <w:left w:val="single" w:sz="4" w:space="0" w:color="auto"/>
              <w:bottom w:val="single" w:sz="4" w:space="0" w:color="auto"/>
              <w:right w:val="single" w:sz="4" w:space="0" w:color="auto"/>
            </w:tcBorders>
            <w:vAlign w:val="center"/>
          </w:tcPr>
          <w:p w:rsidR="005E6DF3" w:rsidRPr="00B27A29" w:rsidRDefault="005C671B">
            <w:pPr>
              <w:adjustRightInd w:val="0"/>
              <w:snapToGrid w:val="0"/>
              <w:spacing w:line="360" w:lineRule="exact"/>
              <w:jc w:val="right"/>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年</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§10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10.1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A167B0">
        <w:tc>
          <w:tcPr>
            <w:tcW w:w="993" w:type="dxa"/>
            <w:vMerge w:val="restart"/>
            <w:vAlign w:val="center"/>
          </w:tcPr>
          <w:p w:rsidR="00A167B0" w:rsidRDefault="009C1521">
            <w:r>
              <w:rPr>
                <w:bCs/>
                <w:color w:val="000000"/>
                <w:kern w:val="0"/>
                <w:szCs w:val="21"/>
              </w:rPr>
              <w:t>机构</w:t>
            </w:r>
          </w:p>
        </w:tc>
        <w:tc>
          <w:tcPr>
            <w:tcW w:w="992" w:type="dxa"/>
            <w:vAlign w:val="center"/>
          </w:tcPr>
          <w:p w:rsidR="00A167B0" w:rsidRDefault="009C1521">
            <w:pPr>
              <w:jc w:val="center"/>
            </w:pPr>
            <w:r>
              <w:rPr>
                <w:color w:val="000000"/>
                <w:kern w:val="0"/>
                <w:szCs w:val="21"/>
              </w:rPr>
              <w:t>1</w:t>
            </w:r>
          </w:p>
        </w:tc>
        <w:tc>
          <w:tcPr>
            <w:tcW w:w="1843" w:type="dxa"/>
            <w:vAlign w:val="center"/>
          </w:tcPr>
          <w:p w:rsidR="00A167B0" w:rsidRDefault="009C1521">
            <w:pPr>
              <w:jc w:val="center"/>
            </w:pPr>
            <w:r>
              <w:rPr>
                <w:color w:val="000000"/>
                <w:kern w:val="0"/>
                <w:szCs w:val="21"/>
              </w:rPr>
              <w:t>20240401-20240630</w:t>
            </w:r>
          </w:p>
        </w:tc>
        <w:tc>
          <w:tcPr>
            <w:tcW w:w="851" w:type="dxa"/>
            <w:vAlign w:val="center"/>
          </w:tcPr>
          <w:p w:rsidR="00A167B0" w:rsidRDefault="009C1521">
            <w:pPr>
              <w:jc w:val="center"/>
            </w:pPr>
            <w:r>
              <w:rPr>
                <w:color w:val="000000"/>
                <w:kern w:val="0"/>
                <w:szCs w:val="21"/>
              </w:rPr>
              <w:t>10,000,388.89</w:t>
            </w:r>
          </w:p>
        </w:tc>
        <w:tc>
          <w:tcPr>
            <w:tcW w:w="850" w:type="dxa"/>
            <w:vAlign w:val="center"/>
          </w:tcPr>
          <w:p w:rsidR="00A167B0" w:rsidRDefault="009C1521">
            <w:pPr>
              <w:jc w:val="center"/>
            </w:pPr>
            <w:r>
              <w:rPr>
                <w:color w:val="000000"/>
                <w:kern w:val="0"/>
                <w:szCs w:val="21"/>
              </w:rPr>
              <w:t>0.00</w:t>
            </w:r>
          </w:p>
        </w:tc>
        <w:tc>
          <w:tcPr>
            <w:tcW w:w="1134" w:type="dxa"/>
            <w:vAlign w:val="center"/>
          </w:tcPr>
          <w:p w:rsidR="00A167B0" w:rsidRDefault="009C1521">
            <w:pPr>
              <w:jc w:val="center"/>
            </w:pPr>
            <w:r>
              <w:rPr>
                <w:color w:val="000000"/>
                <w:kern w:val="0"/>
                <w:szCs w:val="21"/>
              </w:rPr>
              <w:t>0.00</w:t>
            </w:r>
          </w:p>
        </w:tc>
        <w:tc>
          <w:tcPr>
            <w:tcW w:w="1419" w:type="dxa"/>
            <w:vAlign w:val="center"/>
          </w:tcPr>
          <w:p w:rsidR="00A167B0" w:rsidRDefault="009C1521">
            <w:pPr>
              <w:jc w:val="center"/>
            </w:pPr>
            <w:r>
              <w:rPr>
                <w:color w:val="000000"/>
                <w:kern w:val="0"/>
                <w:szCs w:val="21"/>
              </w:rPr>
              <w:t>10,000,388.89</w:t>
            </w:r>
          </w:p>
        </w:tc>
        <w:tc>
          <w:tcPr>
            <w:tcW w:w="1130" w:type="dxa"/>
            <w:vAlign w:val="center"/>
          </w:tcPr>
          <w:p w:rsidR="00A167B0" w:rsidRDefault="009C1521">
            <w:pPr>
              <w:jc w:val="center"/>
            </w:pPr>
            <w:r>
              <w:rPr>
                <w:color w:val="000000"/>
                <w:kern w:val="0"/>
                <w:szCs w:val="21"/>
              </w:rPr>
              <w:t>79.63%</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10.2 </w:t>
      </w:r>
      <w:r w:rsidRPr="00B27A29">
        <w:rPr>
          <w:b/>
          <w:bCs/>
          <w:color w:val="000000"/>
          <w:kern w:val="0"/>
          <w:szCs w:val="21"/>
        </w:rPr>
        <w:t>影响投资者决策的其他重要信息</w:t>
      </w:r>
    </w:p>
    <w:p w:rsidR="005E6DF3" w:rsidRPr="00B27A29" w:rsidRDefault="005C671B">
      <w:pPr>
        <w:spacing w:line="360" w:lineRule="auto"/>
        <w:ind w:firstLineChars="200" w:firstLine="420"/>
        <w:rPr>
          <w:color w:val="000000"/>
          <w:szCs w:val="21"/>
        </w:rPr>
      </w:pPr>
      <w:r w:rsidRPr="00B27A29">
        <w:rPr>
          <w:color w:val="000000"/>
          <w:szCs w:val="21"/>
        </w:rPr>
        <w:t>基金管理人于</w:t>
      </w:r>
      <w:r w:rsidRPr="00B27A29">
        <w:rPr>
          <w:color w:val="000000"/>
          <w:szCs w:val="21"/>
        </w:rPr>
        <w:t>2024</w:t>
      </w:r>
      <w:r w:rsidRPr="00B27A29">
        <w:rPr>
          <w:color w:val="000000"/>
          <w:szCs w:val="21"/>
        </w:rPr>
        <w:t>年</w:t>
      </w:r>
      <w:r w:rsidRPr="00B27A29">
        <w:rPr>
          <w:color w:val="000000"/>
          <w:szCs w:val="21"/>
        </w:rPr>
        <w:t>7</w:t>
      </w:r>
      <w:r w:rsidRPr="00B27A29">
        <w:rPr>
          <w:color w:val="000000"/>
          <w:szCs w:val="21"/>
        </w:rPr>
        <w:t>月</w:t>
      </w:r>
      <w:r w:rsidRPr="00B27A29">
        <w:rPr>
          <w:color w:val="000000"/>
          <w:szCs w:val="21"/>
        </w:rPr>
        <w:t>2</w:t>
      </w:r>
      <w:r w:rsidRPr="00B27A29">
        <w:rPr>
          <w:color w:val="000000"/>
          <w:szCs w:val="21"/>
        </w:rPr>
        <w:t>日发布《关于摩根双季鑫</w:t>
      </w:r>
      <w:r w:rsidRPr="00B27A29">
        <w:rPr>
          <w:color w:val="000000"/>
          <w:szCs w:val="21"/>
        </w:rPr>
        <w:t>6</w:t>
      </w:r>
      <w:r w:rsidRPr="00B27A29">
        <w:rPr>
          <w:color w:val="000000"/>
          <w:szCs w:val="21"/>
        </w:rPr>
        <w:t>个月持有期债券型发起式基金中基金</w:t>
      </w:r>
      <w:r w:rsidRPr="00B27A29">
        <w:rPr>
          <w:color w:val="000000"/>
          <w:szCs w:val="21"/>
        </w:rPr>
        <w:t>(FOF)</w:t>
      </w:r>
      <w:r w:rsidRPr="00B27A29">
        <w:rPr>
          <w:color w:val="000000"/>
          <w:szCs w:val="21"/>
        </w:rPr>
        <w:t>基金份额持有人大会表决结果暨决议生效的公告》</w:t>
      </w:r>
      <w:r w:rsidRPr="00B27A29">
        <w:rPr>
          <w:color w:val="000000"/>
          <w:szCs w:val="21"/>
        </w:rPr>
        <w:t>,</w:t>
      </w:r>
      <w:r w:rsidRPr="00B27A29">
        <w:rPr>
          <w:color w:val="000000"/>
          <w:szCs w:val="21"/>
        </w:rPr>
        <w:t>本次基金份额持有人大会于</w:t>
      </w:r>
      <w:r w:rsidRPr="00B27A29">
        <w:rPr>
          <w:color w:val="000000"/>
          <w:szCs w:val="21"/>
        </w:rPr>
        <w:t>2024</w:t>
      </w:r>
      <w:r w:rsidRPr="00B27A29">
        <w:rPr>
          <w:color w:val="000000"/>
          <w:szCs w:val="21"/>
        </w:rPr>
        <w:t>年</w:t>
      </w:r>
      <w:r w:rsidRPr="00B27A29">
        <w:rPr>
          <w:color w:val="000000"/>
          <w:szCs w:val="21"/>
        </w:rPr>
        <w:t>7</w:t>
      </w:r>
      <w:r w:rsidRPr="00B27A29">
        <w:rPr>
          <w:color w:val="000000"/>
          <w:szCs w:val="21"/>
        </w:rPr>
        <w:t>月</w:t>
      </w:r>
      <w:r w:rsidRPr="00B27A29">
        <w:rPr>
          <w:color w:val="000000"/>
          <w:szCs w:val="21"/>
        </w:rPr>
        <w:t>1</w:t>
      </w:r>
      <w:r w:rsidRPr="00B27A29">
        <w:rPr>
          <w:color w:val="000000"/>
          <w:szCs w:val="21"/>
        </w:rPr>
        <w:t>日表决通过了《关于修改摩根双季鑫</w:t>
      </w:r>
      <w:r w:rsidRPr="00B27A29">
        <w:rPr>
          <w:color w:val="000000"/>
          <w:szCs w:val="21"/>
        </w:rPr>
        <w:t>6</w:t>
      </w:r>
      <w:r w:rsidRPr="00B27A29">
        <w:rPr>
          <w:color w:val="000000"/>
          <w:szCs w:val="21"/>
        </w:rPr>
        <w:t>个月持有期债券型发起式基金中基金</w:t>
      </w:r>
      <w:r w:rsidRPr="00B27A29">
        <w:rPr>
          <w:color w:val="000000"/>
          <w:szCs w:val="21"/>
        </w:rPr>
        <w:t>(FOF)</w:t>
      </w:r>
      <w:r w:rsidRPr="00B27A29">
        <w:rPr>
          <w:color w:val="000000"/>
          <w:szCs w:val="21"/>
        </w:rPr>
        <w:t>基金合同有关事项的议案》，本次大会决议自该日起生效。本基金管理人将根据基金份额持有人大会通过的议案及方案说明修订《基金合同》，具体生效时间为</w:t>
      </w:r>
      <w:r w:rsidRPr="00B27A29">
        <w:rPr>
          <w:color w:val="000000"/>
          <w:szCs w:val="21"/>
        </w:rPr>
        <w:t>2024</w:t>
      </w:r>
      <w:r w:rsidRPr="00B27A29">
        <w:rPr>
          <w:color w:val="000000"/>
          <w:szCs w:val="21"/>
        </w:rPr>
        <w:t>年</w:t>
      </w:r>
      <w:r w:rsidRPr="00B27A29">
        <w:rPr>
          <w:color w:val="000000"/>
          <w:szCs w:val="21"/>
        </w:rPr>
        <w:t>7</w:t>
      </w:r>
      <w:r w:rsidRPr="00B27A29">
        <w:rPr>
          <w:color w:val="000000"/>
          <w:szCs w:val="21"/>
        </w:rPr>
        <w:t>月</w:t>
      </w:r>
      <w:r w:rsidRPr="00B27A29">
        <w:rPr>
          <w:color w:val="000000"/>
          <w:szCs w:val="21"/>
        </w:rPr>
        <w:t>3</w:t>
      </w:r>
      <w:r w:rsidRPr="00B27A29">
        <w:rPr>
          <w:color w:val="000000"/>
          <w:szCs w:val="21"/>
        </w:rPr>
        <w:t>日。本基金的《托管协议》、《招募说明书》及基金产品资料概要也将进行相应的必要修订。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§11 </w:t>
      </w:r>
      <w:r w:rsidR="00916691">
        <w:rPr>
          <w:rFonts w:eastAsiaTheme="minorEastAsia"/>
          <w:color w:val="000000" w:themeColor="text1"/>
          <w:kern w:val="0"/>
          <w:sz w:val="21"/>
          <w:szCs w:val="21"/>
        </w:rPr>
        <w:t xml:space="preserve">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11.1</w:t>
      </w:r>
      <w:r w:rsidRPr="00B27A29">
        <w:rPr>
          <w:rFonts w:eastAsiaTheme="minorEastAsia"/>
          <w:b/>
          <w:bCs/>
          <w:color w:val="000000" w:themeColor="text1"/>
          <w:kern w:val="0"/>
          <w:szCs w:val="21"/>
        </w:rPr>
        <w:t>备查文件目录</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（一）中国证监会准予本基金募集注册的文件</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lastRenderedPageBreak/>
        <w:t>（二）摩根双季鑫</w:t>
      </w:r>
      <w:r>
        <w:rPr>
          <w:rFonts w:eastAsiaTheme="minorEastAsia"/>
          <w:color w:val="000000" w:themeColor="text1"/>
          <w:szCs w:val="21"/>
        </w:rPr>
        <w:t>6</w:t>
      </w:r>
      <w:r>
        <w:rPr>
          <w:rFonts w:eastAsiaTheme="minorEastAsia"/>
          <w:color w:val="000000" w:themeColor="text1"/>
          <w:szCs w:val="21"/>
        </w:rPr>
        <w:t>个月持有期债券型发起式基金中基金</w:t>
      </w:r>
      <w:r>
        <w:rPr>
          <w:rFonts w:eastAsiaTheme="minorEastAsia"/>
          <w:color w:val="000000" w:themeColor="text1"/>
          <w:szCs w:val="21"/>
        </w:rPr>
        <w:t>(FOF)</w:t>
      </w:r>
      <w:r>
        <w:rPr>
          <w:rFonts w:eastAsiaTheme="minorEastAsia"/>
          <w:color w:val="000000" w:themeColor="text1"/>
          <w:szCs w:val="21"/>
        </w:rPr>
        <w:t>基金合同</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（三）摩根双季鑫</w:t>
      </w:r>
      <w:r>
        <w:rPr>
          <w:rFonts w:eastAsiaTheme="minorEastAsia"/>
          <w:color w:val="000000" w:themeColor="text1"/>
          <w:szCs w:val="21"/>
        </w:rPr>
        <w:t>6</w:t>
      </w:r>
      <w:r>
        <w:rPr>
          <w:rFonts w:eastAsiaTheme="minorEastAsia"/>
          <w:color w:val="000000" w:themeColor="text1"/>
          <w:szCs w:val="21"/>
        </w:rPr>
        <w:t>个月持有期债券型发起式基金中基金</w:t>
      </w:r>
      <w:r>
        <w:rPr>
          <w:rFonts w:eastAsiaTheme="minorEastAsia"/>
          <w:color w:val="000000" w:themeColor="text1"/>
          <w:szCs w:val="21"/>
        </w:rPr>
        <w:t>(FOF)</w:t>
      </w:r>
      <w:r>
        <w:rPr>
          <w:rFonts w:eastAsiaTheme="minorEastAsia"/>
          <w:color w:val="000000" w:themeColor="text1"/>
          <w:szCs w:val="21"/>
        </w:rPr>
        <w:t>托管协议</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（四）法律意见书</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（五）基金管理人业务资格批件、营业执照</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（六）基金托管人业务资格批件、营业执照</w:t>
      </w:r>
    </w:p>
    <w:p w:rsidR="00A167B0" w:rsidRDefault="009C1521">
      <w:pPr>
        <w:spacing w:line="360" w:lineRule="auto"/>
        <w:ind w:firstLineChars="200" w:firstLine="420"/>
        <w:rPr>
          <w:rFonts w:eastAsiaTheme="minorEastAsia"/>
          <w:color w:val="000000" w:themeColor="text1"/>
          <w:szCs w:val="21"/>
        </w:rPr>
      </w:pPr>
      <w:r>
        <w:rPr>
          <w:rFonts w:eastAsiaTheme="minorEastAsia"/>
          <w:color w:val="000000" w:themeColor="text1"/>
          <w:szCs w:val="21"/>
        </w:rPr>
        <w:t>（七）摩根基金管理（中国）有限公司开放式基金业务规则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（八）中国证监会要求的其他文件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11.2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11.3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二〇二四年七月十九日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D1A" w:rsidRDefault="00045D1A">
      <w:r>
        <w:separator/>
      </w:r>
    </w:p>
  </w:endnote>
  <w:endnote w:type="continuationSeparator" w:id="0">
    <w:p w:rsidR="00045D1A" w:rsidRDefault="0004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C1521">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C1521">
      <w:rPr>
        <w:noProof/>
        <w:kern w:val="0"/>
        <w:szCs w:val="21"/>
      </w:rPr>
      <w:t>16</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C1521">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D1A" w:rsidRDefault="00045D1A">
      <w:r>
        <w:separator/>
      </w:r>
    </w:p>
  </w:footnote>
  <w:footnote w:type="continuationSeparator" w:id="0">
    <w:p w:rsidR="00045D1A" w:rsidRDefault="00045D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摩根双季鑫</w:t>
    </w:r>
    <w:r>
      <w:t>6</w:t>
    </w:r>
    <w:r>
      <w:t>个月持有期债券型发起式基金中基金</w:t>
    </w:r>
    <w:r>
      <w:t>(FOF)2024</w:t>
    </w:r>
    <w:r>
      <w:t>年第</w:t>
    </w:r>
    <w:r>
      <w:t>2</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5D1A"/>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0AC2"/>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2C8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36AE"/>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4F4B"/>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691"/>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1521"/>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67B0"/>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1100"/>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623C"/>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45886"/>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448"/>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49A"/>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2EB"/>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ADB653-F320-4176-8B97-9EEACC7EF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35</TotalTime>
  <Pages>16</Pages>
  <Words>1382</Words>
  <Characters>7883</Characters>
  <Application>Microsoft Office Word</Application>
  <DocSecurity>0</DocSecurity>
  <Lines>65</Lines>
  <Paragraphs>18</Paragraphs>
  <ScaleCrop>false</ScaleCrop>
  <Company>TRT. Ltd. Co.</Company>
  <LinksUpToDate>false</LinksUpToDate>
  <CharactersWithSpaces>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226</cp:revision>
  <cp:lastPrinted>2007-07-19T00:46:00Z</cp:lastPrinted>
  <dcterms:created xsi:type="dcterms:W3CDTF">2013-06-21T06:56:00Z</dcterms:created>
  <dcterms:modified xsi:type="dcterms:W3CDTF">2024-07-18T01:44:00Z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