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C5C824" w14:textId="77777777" w:rsidR="006921CE" w:rsidRDefault="006921CE">
      <w:pPr>
        <w:spacing w:line="360" w:lineRule="auto"/>
        <w:rPr>
          <w:rFonts w:ascii="宋体" w:hAnsi="宋体" w:hint="eastAsia"/>
          <w:sz w:val="48"/>
        </w:rPr>
      </w:pPr>
      <w:r>
        <w:rPr>
          <w:rFonts w:ascii="宋体" w:hAnsi="宋体" w:hint="eastAsia"/>
          <w:sz w:val="48"/>
        </w:rPr>
        <w:t xml:space="preserve">　 </w:t>
      </w:r>
    </w:p>
    <w:p w14:paraId="259BD5D6" w14:textId="77777777" w:rsidR="006921CE" w:rsidRDefault="006921CE">
      <w:pPr>
        <w:spacing w:line="360" w:lineRule="auto"/>
        <w:rPr>
          <w:rFonts w:ascii="宋体" w:hAnsi="宋体" w:hint="eastAsia"/>
          <w:sz w:val="48"/>
        </w:rPr>
      </w:pPr>
      <w:r>
        <w:rPr>
          <w:rFonts w:ascii="宋体" w:hAnsi="宋体" w:hint="eastAsia"/>
          <w:sz w:val="48"/>
        </w:rPr>
        <w:t xml:space="preserve">　 </w:t>
      </w:r>
    </w:p>
    <w:p w14:paraId="66673487" w14:textId="77777777" w:rsidR="006921CE" w:rsidRDefault="006921CE">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摩根海外稳健配置混合型证券投资基金(QDII-FOF)</w:t>
      </w:r>
      <w:r>
        <w:rPr>
          <w:rFonts w:ascii="宋体" w:hAnsi="宋体" w:hint="eastAsia"/>
          <w:b/>
          <w:bCs/>
          <w:sz w:val="48"/>
          <w:szCs w:val="48"/>
        </w:rPr>
        <w:br/>
        <w:t>2025年第2季度报告</w:t>
      </w:r>
    </w:p>
    <w:p w14:paraId="20570B51" w14:textId="77777777" w:rsidR="006921CE" w:rsidRDefault="006921CE">
      <w:pPr>
        <w:spacing w:line="360" w:lineRule="auto"/>
        <w:jc w:val="center"/>
        <w:rPr>
          <w:rFonts w:ascii="宋体" w:hAnsi="宋体" w:hint="eastAsia"/>
          <w:b/>
          <w:bCs/>
          <w:sz w:val="28"/>
          <w:szCs w:val="30"/>
        </w:rPr>
      </w:pPr>
      <w:r>
        <w:rPr>
          <w:rFonts w:ascii="宋体" w:hAnsi="宋体" w:hint="eastAsia"/>
          <w:b/>
          <w:bCs/>
          <w:sz w:val="28"/>
          <w:szCs w:val="30"/>
        </w:rPr>
        <w:t xml:space="preserve">　 </w:t>
      </w:r>
    </w:p>
    <w:p w14:paraId="4659E7F6" w14:textId="77777777" w:rsidR="006921CE" w:rsidRDefault="006921CE">
      <w:pPr>
        <w:spacing w:line="360" w:lineRule="auto"/>
        <w:jc w:val="center"/>
      </w:pPr>
      <w:r>
        <w:rPr>
          <w:rFonts w:ascii="宋体" w:hAnsi="宋体" w:hint="eastAsia"/>
          <w:b/>
          <w:bCs/>
          <w:sz w:val="28"/>
          <w:szCs w:val="30"/>
        </w:rPr>
        <w:t>2025年6月30日</w:t>
      </w:r>
    </w:p>
    <w:p w14:paraId="0224916D"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4FEBB9E5"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14761FC"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4A86B838"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D56149C"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A617D76"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916FB12"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31AACE43"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0B7A953"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0E7857C"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CF89F97" w14:textId="77777777" w:rsidR="006921CE" w:rsidRDefault="006921C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90F5C61" w14:textId="77777777" w:rsidR="006921CE" w:rsidRDefault="006921CE">
      <w:pPr>
        <w:spacing w:line="360" w:lineRule="auto"/>
        <w:ind w:firstLineChars="800" w:firstLine="2249"/>
        <w:jc w:val="left"/>
      </w:pPr>
      <w:r>
        <w:rPr>
          <w:rFonts w:ascii="宋体" w:hAnsi="宋体" w:hint="eastAsia"/>
          <w:b/>
          <w:bCs/>
          <w:sz w:val="28"/>
          <w:szCs w:val="30"/>
        </w:rPr>
        <w:t>基金管理人：摩根基金管理（中国）有限公司</w:t>
      </w:r>
    </w:p>
    <w:p w14:paraId="7D57C27C" w14:textId="77777777" w:rsidR="006921CE" w:rsidRDefault="006921CE">
      <w:pPr>
        <w:spacing w:line="360" w:lineRule="auto"/>
        <w:ind w:firstLineChars="800" w:firstLine="2249"/>
        <w:jc w:val="left"/>
      </w:pPr>
      <w:r>
        <w:rPr>
          <w:rFonts w:ascii="宋体" w:hAnsi="宋体" w:hint="eastAsia"/>
          <w:b/>
          <w:bCs/>
          <w:sz w:val="28"/>
          <w:szCs w:val="30"/>
        </w:rPr>
        <w:t>基金托管人：招商银行股份有限公司</w:t>
      </w:r>
    </w:p>
    <w:p w14:paraId="2ACD19AA" w14:textId="77777777" w:rsidR="006921CE" w:rsidRDefault="006921CE">
      <w:pPr>
        <w:spacing w:line="360" w:lineRule="auto"/>
        <w:ind w:firstLineChars="800" w:firstLine="2249"/>
        <w:jc w:val="left"/>
      </w:pPr>
      <w:r>
        <w:rPr>
          <w:rFonts w:ascii="宋体" w:hAnsi="宋体" w:hint="eastAsia"/>
          <w:b/>
          <w:bCs/>
          <w:sz w:val="28"/>
          <w:szCs w:val="30"/>
        </w:rPr>
        <w:t>报告送出日期：2025年7月21日</w:t>
      </w:r>
    </w:p>
    <w:p w14:paraId="195E6A19" w14:textId="77777777" w:rsidR="006921CE" w:rsidRDefault="006921CE">
      <w:pPr>
        <w:pStyle w:val="XBRLTitle1"/>
        <w:spacing w:before="156"/>
        <w:ind w:left="425"/>
        <w:rPr>
          <w:rFonts w:hint="eastAsia"/>
        </w:rPr>
      </w:pPr>
      <w:r>
        <w:rPr>
          <w:rFonts w:cs="宋体" w:hint="eastAsia"/>
          <w:color w:val="404040"/>
          <w:kern w:val="0"/>
        </w:rPr>
        <w:br w:type="page"/>
      </w:r>
      <w:bookmarkStart w:id="7" w:name="_Toc514088243"/>
      <w:bookmarkStart w:id="8" w:name="_Toc480465412"/>
      <w:bookmarkStart w:id="9" w:name="_Toc448480282"/>
      <w:bookmarkStart w:id="10" w:name="_Toc438654070"/>
      <w:bookmarkStart w:id="11" w:name="_Toc456107117"/>
      <w:bookmarkStart w:id="12" w:name="_Toc459213763"/>
      <w:bookmarkStart w:id="13" w:name="_Toc513542644"/>
      <w:bookmarkStart w:id="14" w:name="_Toc512696250"/>
      <w:bookmarkStart w:id="15" w:name="_Toc512612253"/>
      <w:bookmarkStart w:id="16" w:name="_Toc512612077"/>
      <w:bookmarkStart w:id="17" w:name="_Toc512611281"/>
      <w:bookmarkStart w:id="18" w:name="m101"/>
      <w:proofErr w:type="spellStart"/>
      <w:r>
        <w:rPr>
          <w:rFonts w:hint="eastAsia"/>
        </w:rPr>
        <w:lastRenderedPageBreak/>
        <w:t>重要提示</w:t>
      </w:r>
      <w:bookmarkEnd w:id="7"/>
      <w:bookmarkEnd w:id="8"/>
      <w:bookmarkEnd w:id="9"/>
      <w:bookmarkEnd w:id="10"/>
      <w:bookmarkEnd w:id="11"/>
      <w:bookmarkEnd w:id="12"/>
      <w:bookmarkEnd w:id="13"/>
      <w:bookmarkEnd w:id="14"/>
      <w:bookmarkEnd w:id="15"/>
      <w:bookmarkEnd w:id="16"/>
      <w:bookmarkEnd w:id="17"/>
      <w:proofErr w:type="spellEnd"/>
    </w:p>
    <w:p w14:paraId="561904AB" w14:textId="77777777" w:rsidR="006921CE" w:rsidRDefault="006921CE">
      <w:pPr>
        <w:spacing w:line="360" w:lineRule="auto"/>
        <w:ind w:firstLineChars="200" w:firstLine="420"/>
        <w:divId w:val="173884480"/>
      </w:pPr>
      <w:bookmarkStart w:id="19" w:name="m502"/>
      <w:bookmarkStart w:id="20" w:name="_Toc438646470"/>
      <w:bookmarkStart w:id="21" w:name="m504"/>
      <w:bookmarkStart w:id="22" w:name="m08QD_01"/>
      <w:bookmarkStart w:id="23" w:name="_Toc194311890"/>
      <w:bookmarkStart w:id="24" w:name="m201"/>
      <w:bookmarkStart w:id="25"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18D4E7D2" w14:textId="77777777" w:rsidR="006921CE" w:rsidRDefault="006921CE">
      <w:pPr>
        <w:pStyle w:val="XBRLTitle1"/>
        <w:spacing w:before="156"/>
        <w:ind w:left="425"/>
        <w:rPr>
          <w:rFonts w:hint="eastAsia"/>
        </w:rPr>
      </w:pPr>
      <w:bookmarkStart w:id="26" w:name="_Toc514088244"/>
      <w:bookmarkStart w:id="27" w:name="_Toc480465413"/>
      <w:bookmarkStart w:id="28" w:name="_Toc448480283"/>
      <w:bookmarkStart w:id="29" w:name="_Toc438654071"/>
      <w:bookmarkStart w:id="30" w:name="_Toc456107118"/>
      <w:bookmarkStart w:id="31" w:name="_Toc459213764"/>
      <w:bookmarkStart w:id="32" w:name="_Toc513542645"/>
      <w:bookmarkStart w:id="33" w:name="_Toc512696251"/>
      <w:bookmarkStart w:id="34" w:name="_Toc512612254"/>
      <w:bookmarkStart w:id="35" w:name="_Toc512612078"/>
      <w:bookmarkStart w:id="36" w:name="_Toc512611282"/>
      <w:proofErr w:type="spellStart"/>
      <w:r>
        <w:rPr>
          <w:rFonts w:hint="eastAsia"/>
        </w:rPr>
        <w:t>基金产品概况</w:t>
      </w:r>
      <w:bookmarkEnd w:id="26"/>
      <w:bookmarkEnd w:id="27"/>
      <w:bookmarkEnd w:id="28"/>
      <w:bookmarkEnd w:id="29"/>
      <w:bookmarkEnd w:id="30"/>
      <w:bookmarkEnd w:id="31"/>
      <w:bookmarkEnd w:id="32"/>
      <w:bookmarkEnd w:id="33"/>
      <w:bookmarkEnd w:id="34"/>
      <w:bookmarkEnd w:id="35"/>
      <w:bookmarkEnd w:id="36"/>
      <w:proofErr w:type="spellEnd"/>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D56498" w14:paraId="478E60C7" w14:textId="77777777">
        <w:trPr>
          <w:divId w:val="276841669"/>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CE12A5" w14:textId="77777777" w:rsidR="006921CE" w:rsidRDefault="006921CE">
            <w:pPr>
              <w:spacing w:line="360" w:lineRule="auto"/>
              <w:jc w:val="left"/>
            </w:pPr>
            <w:bookmarkStart w:id="37" w:name="OLE_LINK1"/>
            <w:bookmarkEnd w:id="18"/>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AE15FE" w14:textId="77777777" w:rsidR="006921CE" w:rsidRDefault="006921CE">
            <w:pPr>
              <w:spacing w:line="360" w:lineRule="auto"/>
              <w:jc w:val="left"/>
            </w:pPr>
            <w:r>
              <w:rPr>
                <w:rFonts w:ascii="宋体" w:hAnsi="宋体" w:hint="eastAsia"/>
                <w:szCs w:val="24"/>
                <w:lang w:eastAsia="zh-Hans"/>
              </w:rPr>
              <w:t>摩根海外稳健配置混合(QDII-FOF)</w:t>
            </w:r>
            <w:r>
              <w:rPr>
                <w:rFonts w:ascii="宋体" w:hAnsi="宋体" w:hint="eastAsia"/>
                <w:lang w:eastAsia="zh-Hans"/>
              </w:rPr>
              <w:t xml:space="preserve"> </w:t>
            </w:r>
          </w:p>
        </w:tc>
      </w:tr>
      <w:tr w:rsidR="00D56498" w14:paraId="561E989A" w14:textId="77777777">
        <w:trPr>
          <w:divId w:val="2768416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239247" w14:textId="77777777" w:rsidR="006921CE" w:rsidRDefault="006921CE">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AF7B6B" w14:textId="77777777" w:rsidR="006921CE" w:rsidRDefault="006921CE">
            <w:pPr>
              <w:spacing w:line="360" w:lineRule="auto"/>
              <w:jc w:val="left"/>
            </w:pPr>
            <w:r>
              <w:rPr>
                <w:rFonts w:ascii="宋体" w:hAnsi="宋体" w:hint="eastAsia"/>
                <w:lang w:eastAsia="zh-Hans"/>
              </w:rPr>
              <w:t>017970</w:t>
            </w:r>
          </w:p>
        </w:tc>
      </w:tr>
      <w:tr w:rsidR="00D56498" w14:paraId="370B16E3" w14:textId="77777777">
        <w:trPr>
          <w:divId w:val="2768416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138E3" w14:textId="77777777" w:rsidR="006921CE" w:rsidRDefault="006921CE">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060B6" w14:textId="77777777" w:rsidR="006921CE" w:rsidRDefault="006921CE">
            <w:pPr>
              <w:spacing w:line="360" w:lineRule="auto"/>
              <w:jc w:val="left"/>
            </w:pPr>
            <w:r>
              <w:rPr>
                <w:rFonts w:ascii="宋体" w:hAnsi="宋体" w:hint="eastAsia"/>
                <w:lang w:eastAsia="zh-Hans"/>
              </w:rPr>
              <w:t>契约型开放式</w:t>
            </w:r>
          </w:p>
        </w:tc>
      </w:tr>
      <w:tr w:rsidR="00D56498" w14:paraId="53C8EB52" w14:textId="77777777">
        <w:trPr>
          <w:divId w:val="2768416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9C42D" w14:textId="77777777" w:rsidR="006921CE" w:rsidRDefault="006921CE">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67D7A7" w14:textId="77777777" w:rsidR="006921CE" w:rsidRDefault="006921CE">
            <w:pPr>
              <w:spacing w:line="360" w:lineRule="auto"/>
              <w:jc w:val="left"/>
            </w:pPr>
            <w:r>
              <w:rPr>
                <w:rFonts w:ascii="宋体" w:hAnsi="宋体" w:hint="eastAsia"/>
                <w:lang w:eastAsia="zh-Hans"/>
              </w:rPr>
              <w:t>2023年5月23日</w:t>
            </w:r>
          </w:p>
        </w:tc>
      </w:tr>
      <w:tr w:rsidR="00D56498" w14:paraId="195A0958" w14:textId="77777777">
        <w:trPr>
          <w:divId w:val="2768416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897D5" w14:textId="77777777" w:rsidR="006921CE" w:rsidRDefault="006921CE">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5A790" w14:textId="77777777" w:rsidR="006921CE" w:rsidRDefault="006921CE">
            <w:pPr>
              <w:spacing w:line="360" w:lineRule="auto"/>
              <w:jc w:val="left"/>
            </w:pPr>
            <w:r>
              <w:rPr>
                <w:rFonts w:ascii="宋体" w:hAnsi="宋体" w:hint="eastAsia"/>
                <w:lang w:eastAsia="zh-Hans"/>
              </w:rPr>
              <w:t>1,938,413,311.75</w:t>
            </w:r>
            <w:r>
              <w:rPr>
                <w:rFonts w:asciiTheme="minorHAnsi" w:eastAsiaTheme="minorEastAsia" w:hAnsiTheme="minorHAnsi" w:hint="eastAsia"/>
              </w:rPr>
              <w:t>份</w:t>
            </w:r>
            <w:r>
              <w:rPr>
                <w:rFonts w:ascii="宋体" w:hAnsi="宋体" w:hint="eastAsia"/>
                <w:lang w:eastAsia="zh-Hans"/>
              </w:rPr>
              <w:t xml:space="preserve"> </w:t>
            </w:r>
          </w:p>
        </w:tc>
      </w:tr>
      <w:tr w:rsidR="00D56498" w14:paraId="0FD51695" w14:textId="77777777">
        <w:trPr>
          <w:divId w:val="2768416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253A21" w14:textId="77777777" w:rsidR="006921CE" w:rsidRDefault="006921CE">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3D090" w14:textId="77777777" w:rsidR="006921CE" w:rsidRDefault="006921CE">
            <w:pPr>
              <w:spacing w:line="360" w:lineRule="auto"/>
              <w:jc w:val="left"/>
            </w:pPr>
            <w:r>
              <w:rPr>
                <w:rFonts w:ascii="宋体" w:hAnsi="宋体" w:hint="eastAsia"/>
                <w:lang w:eastAsia="zh-Hans"/>
              </w:rPr>
              <w:t>通过全球化的资产配置和组合管理，有效地分散投资风险；在降低组合波动性的同时，实现资产的长期增值。</w:t>
            </w:r>
          </w:p>
        </w:tc>
      </w:tr>
      <w:tr w:rsidR="00D56498" w14:paraId="0D37CC8B" w14:textId="77777777">
        <w:trPr>
          <w:divId w:val="2768416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D005AD" w14:textId="77777777" w:rsidR="006921CE" w:rsidRDefault="006921CE">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76BCDA" w14:textId="77777777" w:rsidR="006921CE" w:rsidRDefault="006921CE">
            <w:pPr>
              <w:spacing w:line="360" w:lineRule="auto"/>
              <w:jc w:val="left"/>
            </w:pPr>
            <w:r>
              <w:rPr>
                <w:rFonts w:ascii="宋体" w:hAnsi="宋体" w:hint="eastAsia"/>
                <w:lang w:eastAsia="zh-Hans"/>
              </w:rPr>
              <w:t>1、大类资产配置策略</w:t>
            </w:r>
            <w:r>
              <w:rPr>
                <w:rFonts w:ascii="宋体" w:hAnsi="宋体" w:hint="eastAsia"/>
                <w:lang w:eastAsia="zh-Hans"/>
              </w:rPr>
              <w:br/>
              <w:t>本基金在大类资产配置层面将贯彻“自上而下”的资产组合配置策略，运用定性和定量相结合的方式确定基金资产配置长期比例。</w:t>
            </w:r>
            <w:r>
              <w:rPr>
                <w:rFonts w:ascii="宋体" w:hAnsi="宋体" w:hint="eastAsia"/>
                <w:lang w:eastAsia="zh-Hans"/>
              </w:rPr>
              <w:br/>
              <w:t>2、区域资产配置策略</w:t>
            </w:r>
            <w:r>
              <w:rPr>
                <w:rFonts w:ascii="宋体" w:hAnsi="宋体" w:hint="eastAsia"/>
                <w:lang w:eastAsia="zh-Hans"/>
              </w:rPr>
              <w:br/>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w:t>
            </w:r>
            <w:r>
              <w:rPr>
                <w:rFonts w:ascii="宋体" w:hAnsi="宋体" w:hint="eastAsia"/>
                <w:lang w:eastAsia="zh-Hans"/>
              </w:rPr>
              <w:lastRenderedPageBreak/>
              <w:t>区的权重，对其估值水平及风险收益特征进行研究并结合风险预算确定超配和低配比例。</w:t>
            </w:r>
            <w:r>
              <w:rPr>
                <w:rFonts w:ascii="宋体" w:hAnsi="宋体" w:hint="eastAsia"/>
                <w:lang w:eastAsia="zh-Hans"/>
              </w:rPr>
              <w:br/>
              <w:t>3、标的基金投资策略</w:t>
            </w:r>
            <w:r>
              <w:rPr>
                <w:rFonts w:ascii="宋体" w:hAnsi="宋体" w:hint="eastAsia"/>
                <w:lang w:eastAsia="zh-Hans"/>
              </w:rPr>
              <w:br/>
              <w:t>本基金通过定量分析策略和定性分析策略相结合的方式优选标的基金，通过分析各标的基金的定量及定性指标，挑选出合适的基金组成标的基金池，构建基金投资组合。</w:t>
            </w:r>
            <w:r>
              <w:rPr>
                <w:rFonts w:ascii="宋体" w:hAnsi="宋体" w:hint="eastAsia"/>
                <w:lang w:eastAsia="zh-Hans"/>
              </w:rPr>
              <w:br/>
              <w:t>目前本基金将主要投资于摩根资产管理（J.P.　Morgan　Asset　Management）旗下的公募基金，并根据定量及定性分析策略优选标的基金。摩根资产管理（J.P.　Morgan　Asset　Management）主要是指与基金管理人存在关联关系的摩根资产管理旗下的法人实体，包括但不限于JPMorgan　Funds　(Asia)　Limited、JPMorgan　Asset　Management　(UK)　Limited等。</w:t>
            </w:r>
            <w:r>
              <w:rPr>
                <w:rFonts w:ascii="宋体" w:hAnsi="宋体" w:hint="eastAsia"/>
                <w:lang w:eastAsia="zh-Hans"/>
              </w:rPr>
              <w:br/>
              <w:t>4、金融衍生品投资策略</w:t>
            </w:r>
            <w:r>
              <w:rPr>
                <w:rFonts w:ascii="宋体" w:hAnsi="宋体" w:hint="eastAsia"/>
                <w:lang w:eastAsia="zh-Hans"/>
              </w:rPr>
              <w:br/>
              <w:t>本基金可本着谨慎和风险可控的原则，适度投资于金融衍生品，以避险和增值、管理汇率风险。</w:t>
            </w:r>
            <w:r>
              <w:rPr>
                <w:rFonts w:ascii="宋体" w:hAnsi="宋体" w:hint="eastAsia"/>
                <w:lang w:eastAsia="zh-Hans"/>
              </w:rPr>
              <w:br/>
              <w:t>5、其他投资策略包括股票投资策略、港股投资策略、债券投资策略、资产支持证券投资策略、存托凭证投资策略。</w:t>
            </w:r>
          </w:p>
        </w:tc>
      </w:tr>
      <w:tr w:rsidR="00D56498" w14:paraId="241B8C9D" w14:textId="77777777">
        <w:trPr>
          <w:divId w:val="2768416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AE9FB4" w14:textId="77777777" w:rsidR="006921CE" w:rsidRDefault="006921CE">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18080" w14:textId="77777777" w:rsidR="006921CE" w:rsidRDefault="006921CE">
            <w:pPr>
              <w:spacing w:line="360" w:lineRule="auto"/>
              <w:jc w:val="left"/>
            </w:pPr>
            <w:r>
              <w:rPr>
                <w:rFonts w:ascii="宋体" w:hAnsi="宋体" w:hint="eastAsia"/>
                <w:lang w:eastAsia="zh-Hans"/>
              </w:rPr>
              <w:t>MSCI全球指数（MSCI　ACWI）*20%+摩根大通全球债券指数（J.P.　Morgan　Global　Aggregate　Bond　Index）*80%</w:t>
            </w:r>
          </w:p>
        </w:tc>
      </w:tr>
      <w:tr w:rsidR="00D56498" w14:paraId="3CEDB8DC" w14:textId="77777777">
        <w:trPr>
          <w:divId w:val="276841669"/>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EE1BE8" w14:textId="77777777" w:rsidR="006921CE" w:rsidRDefault="006921CE">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167F2" w14:textId="77777777" w:rsidR="006921CE" w:rsidRDefault="006921CE">
            <w:pPr>
              <w:spacing w:line="360" w:lineRule="auto"/>
              <w:jc w:val="left"/>
            </w:pPr>
            <w:r>
              <w:rPr>
                <w:rFonts w:ascii="宋体" w:hAnsi="宋体" w:hint="eastAsia"/>
                <w:lang w:eastAsia="zh-Hans"/>
              </w:rPr>
              <w:t>本基金主要投资于境外公募基金，预期风险和收益水平低于股票型基金，高于债券型基金和货币市场基金。</w:t>
            </w:r>
            <w:r>
              <w:rPr>
                <w:rFonts w:ascii="宋体" w:hAnsi="宋体" w:hint="eastAsia"/>
                <w:lang w:eastAsia="zh-Hans"/>
              </w:rPr>
              <w:br/>
              <w:t>本基金投资于境外证券市场，因此还面临汇率风险等境外证券市场投资所面临的特别投资风险。</w:t>
            </w:r>
            <w:r>
              <w:rPr>
                <w:rFonts w:ascii="宋体" w:hAnsi="宋体" w:hint="eastAsia"/>
                <w:lang w:eastAsia="zh-Hans"/>
              </w:rPr>
              <w:br/>
              <w:t>本基金若通过港股通机制投资港股通标的股票，将面临港股通机制下因投资环境、投资标的、市场制度以及交易规则等差异带来的特有风险。</w:t>
            </w:r>
          </w:p>
        </w:tc>
      </w:tr>
      <w:tr w:rsidR="00D56498" w14:paraId="10623B71" w14:textId="77777777">
        <w:trPr>
          <w:divId w:val="276841669"/>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D992D6" w14:textId="77777777" w:rsidR="006921CE" w:rsidRDefault="006921CE">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2D715" w14:textId="77777777" w:rsidR="006921CE" w:rsidRDefault="006921CE">
            <w:pPr>
              <w:spacing w:line="360" w:lineRule="auto"/>
              <w:jc w:val="left"/>
            </w:pPr>
            <w:r>
              <w:rPr>
                <w:rFonts w:ascii="宋体" w:hAnsi="宋体" w:hint="eastAsia"/>
                <w:lang w:eastAsia="zh-Hans"/>
              </w:rPr>
              <w:t>摩根基金管理（中国）有限公司</w:t>
            </w:r>
          </w:p>
        </w:tc>
      </w:tr>
      <w:tr w:rsidR="00D56498" w14:paraId="68D75929" w14:textId="77777777">
        <w:trPr>
          <w:divId w:val="276841669"/>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F065D" w14:textId="77777777" w:rsidR="006921CE" w:rsidRDefault="006921CE">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3ECFC" w14:textId="77777777" w:rsidR="006921CE" w:rsidRDefault="006921CE">
            <w:pPr>
              <w:spacing w:line="360" w:lineRule="auto"/>
              <w:jc w:val="left"/>
            </w:pPr>
            <w:r>
              <w:rPr>
                <w:rFonts w:ascii="宋体" w:hAnsi="宋体" w:hint="eastAsia"/>
                <w:lang w:eastAsia="zh-Hans"/>
              </w:rPr>
              <w:t>招商银行股份有限公司</w:t>
            </w:r>
          </w:p>
        </w:tc>
      </w:tr>
      <w:tr w:rsidR="00D56498" w14:paraId="6F18977D" w14:textId="77777777">
        <w:trPr>
          <w:divId w:val="276841669"/>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845D07" w14:textId="77777777" w:rsidR="006921CE" w:rsidRDefault="006921CE">
            <w:pPr>
              <w:spacing w:line="360" w:lineRule="auto"/>
              <w:jc w:val="left"/>
            </w:pPr>
            <w:bookmarkStart w:id="38"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194EE" w14:textId="77777777" w:rsidR="006921CE" w:rsidRDefault="006921CE">
            <w:pPr>
              <w:spacing w:line="360" w:lineRule="auto"/>
              <w:jc w:val="center"/>
            </w:pPr>
            <w:r>
              <w:rPr>
                <w:rFonts w:ascii="宋体" w:hAnsi="宋体" w:hint="eastAsia"/>
                <w:lang w:eastAsia="zh-Hans"/>
              </w:rPr>
              <w:t>摩根海外稳健配置混合(QDII-FOF)</w:t>
            </w:r>
            <w:r>
              <w:rPr>
                <w:rFonts w:ascii="宋体" w:hAnsi="宋体" w:hint="eastAsia"/>
                <w:lang w:eastAsia="zh-Hans"/>
              </w:rPr>
              <w:lastRenderedPageBreak/>
              <w:t>人民币A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B61EC" w14:textId="77777777" w:rsidR="006921CE" w:rsidRDefault="006921CE">
            <w:pPr>
              <w:spacing w:line="360" w:lineRule="auto"/>
              <w:jc w:val="center"/>
            </w:pPr>
            <w:r>
              <w:rPr>
                <w:rFonts w:ascii="宋体" w:hAnsi="宋体" w:hint="eastAsia"/>
                <w:lang w:eastAsia="zh-Hans"/>
              </w:rPr>
              <w:lastRenderedPageBreak/>
              <w:t>摩根海外稳健配置混合</w:t>
            </w:r>
            <w:r>
              <w:rPr>
                <w:rFonts w:ascii="宋体" w:hAnsi="宋体" w:hint="eastAsia"/>
                <w:lang w:eastAsia="zh-Hans"/>
              </w:rPr>
              <w:lastRenderedPageBreak/>
              <w:t>(QDII-FOF)人民币C</w:t>
            </w:r>
            <w:r>
              <w:rPr>
                <w:rFonts w:ascii="宋体" w:hAnsi="宋体" w:hint="eastAsia"/>
                <w:kern w:val="0"/>
                <w:sz w:val="20"/>
                <w:lang w:eastAsia="zh-Hans"/>
              </w:rPr>
              <w:t xml:space="preserve"> </w:t>
            </w:r>
          </w:p>
        </w:tc>
      </w:tr>
      <w:tr w:rsidR="00D56498" w14:paraId="5EDAA9A9" w14:textId="77777777">
        <w:trPr>
          <w:divId w:val="276841669"/>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7880D0" w14:textId="77777777" w:rsidR="006921CE" w:rsidRDefault="006921CE">
            <w:pPr>
              <w:spacing w:line="360" w:lineRule="auto"/>
              <w:jc w:val="left"/>
            </w:pPr>
            <w:r>
              <w:rPr>
                <w:rFonts w:ascii="宋体" w:hAnsi="宋体" w:hint="eastAsia"/>
              </w:rPr>
              <w:lastRenderedPageBreak/>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2F25C58" w14:textId="77777777" w:rsidR="006921CE" w:rsidRDefault="006921CE">
            <w:pPr>
              <w:spacing w:line="360" w:lineRule="auto"/>
              <w:jc w:val="center"/>
            </w:pPr>
            <w:r>
              <w:rPr>
                <w:rFonts w:ascii="宋体" w:hAnsi="宋体" w:hint="eastAsia"/>
                <w:lang w:eastAsia="zh-Hans"/>
              </w:rPr>
              <w:t>017970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D58F7" w14:textId="77777777" w:rsidR="006921CE" w:rsidRDefault="006921CE">
            <w:pPr>
              <w:spacing w:line="360" w:lineRule="auto"/>
              <w:jc w:val="center"/>
            </w:pPr>
            <w:r>
              <w:rPr>
                <w:rFonts w:ascii="宋体" w:hAnsi="宋体" w:hint="eastAsia"/>
                <w:lang w:eastAsia="zh-Hans"/>
              </w:rPr>
              <w:t>020512</w:t>
            </w:r>
            <w:r>
              <w:rPr>
                <w:rFonts w:ascii="宋体" w:hAnsi="宋体" w:hint="eastAsia"/>
                <w:kern w:val="0"/>
                <w:sz w:val="20"/>
                <w:lang w:eastAsia="zh-Hans"/>
              </w:rPr>
              <w:t xml:space="preserve"> </w:t>
            </w:r>
          </w:p>
        </w:tc>
      </w:tr>
      <w:bookmarkEnd w:id="38"/>
      <w:tr w:rsidR="00D56498" w14:paraId="1BFD6AAA" w14:textId="77777777">
        <w:trPr>
          <w:divId w:val="276841669"/>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AB9F80" w14:textId="77777777" w:rsidR="006921CE" w:rsidRDefault="006921CE">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2A294" w14:textId="77777777" w:rsidR="006921CE" w:rsidRDefault="006921CE">
            <w:pPr>
              <w:spacing w:line="360" w:lineRule="auto"/>
              <w:jc w:val="center"/>
            </w:pPr>
            <w:r>
              <w:rPr>
                <w:rFonts w:ascii="宋体" w:hAnsi="宋体" w:hint="eastAsia"/>
                <w:lang w:eastAsia="zh-Hans"/>
              </w:rPr>
              <w:t>1,572,554,515.21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F3E0A1" w14:textId="77777777" w:rsidR="006921CE" w:rsidRDefault="006921CE">
            <w:pPr>
              <w:spacing w:line="360" w:lineRule="auto"/>
              <w:jc w:val="center"/>
            </w:pPr>
            <w:r>
              <w:rPr>
                <w:rFonts w:ascii="宋体" w:hAnsi="宋体" w:hint="eastAsia"/>
                <w:lang w:eastAsia="zh-Hans"/>
              </w:rPr>
              <w:t>365,858,796.54</w:t>
            </w:r>
            <w:r>
              <w:rPr>
                <w:rFonts w:hint="eastAsia"/>
              </w:rPr>
              <w:t>份</w:t>
            </w:r>
            <w:r>
              <w:rPr>
                <w:rFonts w:ascii="宋体" w:hAnsi="宋体" w:hint="eastAsia"/>
                <w:lang w:eastAsia="zh-Hans"/>
              </w:rPr>
              <w:t xml:space="preserve"> </w:t>
            </w:r>
          </w:p>
        </w:tc>
      </w:tr>
      <w:tr w:rsidR="00D56498" w14:paraId="71305555" w14:textId="77777777">
        <w:trPr>
          <w:divId w:val="276841669"/>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F1BE11" w14:textId="77777777" w:rsidR="006921CE" w:rsidRDefault="006921CE">
            <w:pPr>
              <w:spacing w:line="360" w:lineRule="auto"/>
              <w:jc w:val="left"/>
            </w:pPr>
            <w:r>
              <w:rPr>
                <w:rFonts w:ascii="宋体" w:hAnsi="宋体" w:hint="eastAsia"/>
              </w:rPr>
              <w:t>境外投资顾问</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1588DD" w14:textId="77777777" w:rsidR="006921CE" w:rsidRDefault="006921CE">
            <w:pPr>
              <w:spacing w:line="360" w:lineRule="auto"/>
              <w:jc w:val="left"/>
            </w:pPr>
            <w:r>
              <w:rPr>
                <w:rFonts w:ascii="宋体" w:hAnsi="宋体" w:hint="eastAsia"/>
                <w:lang w:eastAsia="zh-Hans"/>
              </w:rPr>
              <w:t>英文名称：JPMORGAN ASSET MANAGEMENT (ASIA PACIFIC) LIMITED</w:t>
            </w:r>
          </w:p>
        </w:tc>
      </w:tr>
      <w:tr w:rsidR="00D56498" w14:paraId="36B0BEC5" w14:textId="77777777">
        <w:trPr>
          <w:divId w:val="27684166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468FEB" w14:textId="77777777" w:rsidR="006921CE" w:rsidRDefault="006921CE">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0C15E5" w14:textId="77777777" w:rsidR="006921CE" w:rsidRDefault="006921CE">
            <w:pPr>
              <w:widowControl/>
              <w:spacing w:line="315" w:lineRule="atLeast"/>
              <w:jc w:val="left"/>
            </w:pPr>
            <w:r>
              <w:rPr>
                <w:rFonts w:ascii="宋体" w:hAnsi="宋体" w:hint="eastAsia"/>
                <w:lang w:eastAsia="zh-Hans"/>
              </w:rPr>
              <w:t>中文名称：摩根资产管理(亚太)有限公司</w:t>
            </w:r>
            <w:r>
              <w:rPr>
                <w:rFonts w:asciiTheme="minorEastAsia" w:eastAsiaTheme="minorEastAsia" w:hAnsiTheme="minorEastAsia" w:hint="eastAsia"/>
              </w:rPr>
              <w:t xml:space="preserve"> </w:t>
            </w:r>
          </w:p>
        </w:tc>
      </w:tr>
      <w:tr w:rsidR="00D56498" w14:paraId="49DC03DE" w14:textId="77777777">
        <w:trPr>
          <w:divId w:val="276841669"/>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935778" w14:textId="77777777" w:rsidR="006921CE" w:rsidRDefault="006921CE">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8F7081" w14:textId="77777777" w:rsidR="006921CE" w:rsidRDefault="006921CE">
            <w:pPr>
              <w:spacing w:line="360" w:lineRule="auto"/>
              <w:jc w:val="left"/>
            </w:pPr>
            <w:r>
              <w:rPr>
                <w:rFonts w:ascii="宋体" w:hAnsi="宋体" w:hint="eastAsia"/>
                <w:lang w:eastAsia="zh-Hans"/>
              </w:rPr>
              <w:t>英文名称：The Hong Kong and Shanghai Banking Corporation Limited</w:t>
            </w:r>
          </w:p>
        </w:tc>
      </w:tr>
      <w:tr w:rsidR="00D56498" w14:paraId="5DF30394" w14:textId="77777777">
        <w:trPr>
          <w:divId w:val="276841669"/>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8D30FF" w14:textId="77777777" w:rsidR="006921CE" w:rsidRDefault="006921CE">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D55D7" w14:textId="77777777" w:rsidR="006921CE" w:rsidRDefault="006921CE">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14:paraId="4EDD22F3" w14:textId="77777777" w:rsidR="006921CE" w:rsidRDefault="006921CE">
      <w:pPr>
        <w:pStyle w:val="XBRLTitle1"/>
        <w:spacing w:before="156"/>
        <w:ind w:left="425"/>
        <w:rPr>
          <w:rFonts w:hint="eastAsia"/>
        </w:rPr>
      </w:pPr>
      <w:bookmarkStart w:id="39" w:name="_Toc514088245"/>
      <w:bookmarkStart w:id="40" w:name="_Toc480465415"/>
      <w:bookmarkStart w:id="41" w:name="_Toc448480286"/>
      <w:bookmarkStart w:id="42" w:name="_Toc438654074"/>
      <w:bookmarkStart w:id="43" w:name="_Toc456107120"/>
      <w:bookmarkStart w:id="44" w:name="_Toc459213766"/>
      <w:bookmarkStart w:id="45" w:name="_Toc513542646"/>
      <w:bookmarkStart w:id="46" w:name="_Toc512696252"/>
      <w:bookmarkStart w:id="47" w:name="_Toc512612255"/>
      <w:bookmarkStart w:id="48" w:name="_Toc512612079"/>
      <w:bookmarkStart w:id="49" w:name="_Toc512611283"/>
      <w:bookmarkStart w:id="50" w:name="m401_tab"/>
      <w:bookmarkStart w:id="51" w:name="m401"/>
      <w:bookmarkEnd w:id="37"/>
      <w:proofErr w:type="spellStart"/>
      <w:r>
        <w:rPr>
          <w:rFonts w:hint="eastAsia"/>
        </w:rPr>
        <w:t>主要财务指标和基金净值表现</w:t>
      </w:r>
      <w:bookmarkEnd w:id="39"/>
      <w:bookmarkEnd w:id="40"/>
      <w:bookmarkEnd w:id="41"/>
      <w:bookmarkEnd w:id="42"/>
      <w:bookmarkEnd w:id="43"/>
      <w:bookmarkEnd w:id="44"/>
      <w:bookmarkEnd w:id="45"/>
      <w:bookmarkEnd w:id="46"/>
      <w:bookmarkEnd w:id="47"/>
      <w:bookmarkEnd w:id="48"/>
      <w:bookmarkEnd w:id="49"/>
      <w:proofErr w:type="spellEnd"/>
    </w:p>
    <w:p w14:paraId="1492AA7C" w14:textId="77777777" w:rsidR="006921CE" w:rsidRDefault="006921CE">
      <w:pPr>
        <w:pStyle w:val="XBRLTitle2"/>
        <w:spacing w:before="156" w:line="360" w:lineRule="auto"/>
        <w:ind w:left="454"/>
      </w:pPr>
      <w:bookmarkStart w:id="52" w:name="_Toc514088246"/>
      <w:bookmarkStart w:id="53" w:name="_Toc480465416"/>
      <w:bookmarkStart w:id="54" w:name="_Toc448480287"/>
      <w:bookmarkStart w:id="55" w:name="_Toc438654075"/>
      <w:bookmarkStart w:id="56" w:name="_Toc456107121"/>
      <w:bookmarkStart w:id="57" w:name="_Toc459213767"/>
      <w:bookmarkStart w:id="58" w:name="_Toc513542647"/>
      <w:bookmarkStart w:id="59" w:name="_Toc512696253"/>
      <w:bookmarkStart w:id="60" w:name="_Toc512612256"/>
      <w:bookmarkStart w:id="61" w:name="_Toc512612080"/>
      <w:bookmarkStart w:id="62" w:name="_Toc512611284"/>
      <w:proofErr w:type="spellStart"/>
      <w:r>
        <w:rPr>
          <w:rFonts w:eastAsia="宋体" w:hint="eastAsia"/>
        </w:rPr>
        <w:t>主要财务指标</w:t>
      </w:r>
      <w:bookmarkEnd w:id="52"/>
      <w:bookmarkEnd w:id="53"/>
      <w:bookmarkEnd w:id="54"/>
      <w:bookmarkEnd w:id="55"/>
      <w:bookmarkEnd w:id="56"/>
      <w:bookmarkEnd w:id="57"/>
      <w:proofErr w:type="spellEnd"/>
      <w:r>
        <w:rPr>
          <w:rFonts w:eastAsia="宋体" w:hint="eastAsia"/>
        </w:rPr>
        <w:t xml:space="preserve"> </w:t>
      </w:r>
      <w:bookmarkEnd w:id="58"/>
      <w:bookmarkEnd w:id="59"/>
      <w:bookmarkEnd w:id="60"/>
      <w:bookmarkEnd w:id="61"/>
      <w:bookmarkEnd w:id="62"/>
    </w:p>
    <w:p w14:paraId="59A3013B" w14:textId="77777777" w:rsidR="006921CE" w:rsidRDefault="006921CE">
      <w:pPr>
        <w:jc w:val="right"/>
        <w:divId w:val="146211487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3"/>
        <w:gridCol w:w="3387"/>
        <w:gridCol w:w="3335"/>
      </w:tblGrid>
      <w:tr w:rsidR="00D56498" w14:paraId="52104713" w14:textId="77777777">
        <w:trPr>
          <w:divId w:val="1462114876"/>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D731863" w14:textId="77777777" w:rsidR="006921CE" w:rsidRDefault="006921CE">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37B73A5" w14:textId="77777777" w:rsidR="006921CE" w:rsidRDefault="006921CE">
            <w:pPr>
              <w:pStyle w:val="a5"/>
              <w:jc w:val="center"/>
              <w:rPr>
                <w:rFonts w:hint="eastAsia"/>
              </w:rPr>
            </w:pPr>
            <w:r>
              <w:rPr>
                <w:rFonts w:hint="eastAsia"/>
                <w:kern w:val="2"/>
                <w:sz w:val="21"/>
                <w:szCs w:val="24"/>
                <w:lang w:eastAsia="zh-Hans"/>
              </w:rPr>
              <w:t xml:space="preserve">报告期（2025年4月1日-2025年6月30日） </w:t>
            </w:r>
          </w:p>
        </w:tc>
      </w:tr>
      <w:tr w:rsidR="00D56498" w14:paraId="61F7A1EE" w14:textId="77777777">
        <w:trPr>
          <w:divId w:val="146211487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37E57" w14:textId="77777777" w:rsidR="006921CE" w:rsidRDefault="006921CE">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092B2A9" w14:textId="77777777" w:rsidR="006921CE" w:rsidRDefault="006921CE">
            <w:pPr>
              <w:jc w:val="center"/>
            </w:pPr>
            <w:r>
              <w:rPr>
                <w:rFonts w:ascii="宋体" w:hAnsi="宋体" w:hint="eastAsia"/>
                <w:szCs w:val="24"/>
                <w:lang w:eastAsia="zh-Hans"/>
              </w:rPr>
              <w:t>摩根海外稳健配置混合(QDII-FOF)人民币A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6DCDC2F" w14:textId="77777777" w:rsidR="006921CE" w:rsidRDefault="006921CE">
            <w:pPr>
              <w:jc w:val="center"/>
            </w:pPr>
            <w:r>
              <w:rPr>
                <w:rFonts w:ascii="宋体" w:hAnsi="宋体" w:hint="eastAsia"/>
                <w:szCs w:val="24"/>
                <w:lang w:eastAsia="zh-Hans"/>
              </w:rPr>
              <w:t>摩根海外稳健配置混合(QDII-FOF)人民币C</w:t>
            </w:r>
          </w:p>
        </w:tc>
      </w:tr>
      <w:tr w:rsidR="00D56498" w14:paraId="170A471F" w14:textId="77777777">
        <w:trPr>
          <w:divId w:val="146211487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0C23C4" w14:textId="77777777" w:rsidR="006921CE" w:rsidRDefault="006921CE">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0C4FD28" w14:textId="77777777" w:rsidR="006921CE" w:rsidRDefault="006921CE">
            <w:pPr>
              <w:jc w:val="right"/>
            </w:pPr>
            <w:r>
              <w:rPr>
                <w:rFonts w:ascii="宋体" w:hAnsi="宋体" w:hint="eastAsia"/>
                <w:szCs w:val="24"/>
                <w:lang w:eastAsia="zh-Hans"/>
              </w:rPr>
              <w:t>-614,426.39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30B12F" w14:textId="77777777" w:rsidR="006921CE" w:rsidRDefault="006921CE">
            <w:pPr>
              <w:jc w:val="right"/>
            </w:pPr>
            <w:r>
              <w:rPr>
                <w:rFonts w:ascii="宋体" w:hAnsi="宋体" w:hint="eastAsia"/>
                <w:szCs w:val="24"/>
                <w:lang w:eastAsia="zh-Hans"/>
              </w:rPr>
              <w:t>-540,439.61</w:t>
            </w:r>
          </w:p>
        </w:tc>
      </w:tr>
      <w:tr w:rsidR="00D56498" w14:paraId="0662F8F5" w14:textId="77777777">
        <w:trPr>
          <w:divId w:val="146211487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0572B3C" w14:textId="77777777" w:rsidR="006921CE" w:rsidRDefault="006921CE">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224E67" w14:textId="77777777" w:rsidR="006921CE" w:rsidRDefault="006921CE">
            <w:pPr>
              <w:jc w:val="right"/>
            </w:pPr>
            <w:r>
              <w:rPr>
                <w:rFonts w:ascii="宋体" w:hAnsi="宋体" w:hint="eastAsia"/>
                <w:szCs w:val="24"/>
                <w:lang w:eastAsia="zh-Hans"/>
              </w:rPr>
              <w:t>9,582,625.80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268256" w14:textId="77777777" w:rsidR="006921CE" w:rsidRDefault="006921CE">
            <w:pPr>
              <w:jc w:val="right"/>
            </w:pPr>
            <w:r>
              <w:rPr>
                <w:rFonts w:ascii="宋体" w:hAnsi="宋体" w:hint="eastAsia"/>
                <w:szCs w:val="24"/>
                <w:lang w:eastAsia="zh-Hans"/>
              </w:rPr>
              <w:t>1,870,995.37</w:t>
            </w:r>
          </w:p>
        </w:tc>
      </w:tr>
      <w:tr w:rsidR="00D56498" w14:paraId="335E8225" w14:textId="77777777">
        <w:trPr>
          <w:divId w:val="146211487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DF58F12" w14:textId="77777777" w:rsidR="006921CE" w:rsidRDefault="006921CE">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7E64A0" w14:textId="77777777" w:rsidR="006921CE" w:rsidRDefault="006921CE">
            <w:pPr>
              <w:jc w:val="right"/>
            </w:pPr>
            <w:r>
              <w:rPr>
                <w:rFonts w:ascii="宋体" w:hAnsi="宋体" w:hint="eastAsia"/>
                <w:szCs w:val="24"/>
                <w:lang w:eastAsia="zh-Hans"/>
              </w:rPr>
              <w:t>0.0062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E74C14" w14:textId="77777777" w:rsidR="006921CE" w:rsidRDefault="006921CE">
            <w:pPr>
              <w:jc w:val="right"/>
            </w:pPr>
            <w:r>
              <w:rPr>
                <w:rFonts w:ascii="宋体" w:hAnsi="宋体" w:hint="eastAsia"/>
                <w:szCs w:val="24"/>
                <w:lang w:eastAsia="zh-Hans"/>
              </w:rPr>
              <w:t>0.0051</w:t>
            </w:r>
          </w:p>
        </w:tc>
      </w:tr>
      <w:tr w:rsidR="00D56498" w14:paraId="4BC228F2" w14:textId="77777777">
        <w:trPr>
          <w:divId w:val="146211487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BB387FA" w14:textId="77777777" w:rsidR="006921CE" w:rsidRDefault="006921CE">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174670C" w14:textId="77777777" w:rsidR="006921CE" w:rsidRDefault="006921CE">
            <w:pPr>
              <w:jc w:val="right"/>
            </w:pPr>
            <w:r>
              <w:rPr>
                <w:rFonts w:ascii="宋体" w:hAnsi="宋体" w:hint="eastAsia"/>
                <w:szCs w:val="24"/>
                <w:lang w:eastAsia="zh-Hans"/>
              </w:rPr>
              <w:t>1,708,349,863.22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9A22069" w14:textId="77777777" w:rsidR="006921CE" w:rsidRDefault="006921CE">
            <w:pPr>
              <w:jc w:val="right"/>
            </w:pPr>
            <w:r>
              <w:rPr>
                <w:rFonts w:ascii="宋体" w:hAnsi="宋体" w:hint="eastAsia"/>
                <w:szCs w:val="24"/>
                <w:lang w:eastAsia="zh-Hans"/>
              </w:rPr>
              <w:t>395,156,711.36</w:t>
            </w:r>
          </w:p>
        </w:tc>
      </w:tr>
      <w:tr w:rsidR="00D56498" w14:paraId="79CB432B" w14:textId="77777777">
        <w:trPr>
          <w:divId w:val="146211487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2A9ACB8" w14:textId="77777777" w:rsidR="006921CE" w:rsidRDefault="006921CE">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25402C1" w14:textId="77777777" w:rsidR="006921CE" w:rsidRDefault="006921CE">
            <w:pPr>
              <w:jc w:val="right"/>
            </w:pPr>
            <w:r>
              <w:rPr>
                <w:rFonts w:ascii="宋体" w:hAnsi="宋体" w:hint="eastAsia"/>
                <w:szCs w:val="24"/>
                <w:lang w:eastAsia="zh-Hans"/>
              </w:rPr>
              <w:t>1.0864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BFAA651" w14:textId="77777777" w:rsidR="006921CE" w:rsidRDefault="006921CE">
            <w:pPr>
              <w:jc w:val="right"/>
            </w:pPr>
            <w:r>
              <w:rPr>
                <w:rFonts w:ascii="宋体" w:hAnsi="宋体" w:hint="eastAsia"/>
                <w:szCs w:val="24"/>
                <w:lang w:eastAsia="zh-Hans"/>
              </w:rPr>
              <w:t>1.0801</w:t>
            </w:r>
          </w:p>
        </w:tc>
      </w:tr>
    </w:tbl>
    <w:p w14:paraId="05DCCF59" w14:textId="77777777" w:rsidR="006921CE" w:rsidRDefault="006921CE">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030B2D3A" w14:textId="77777777" w:rsidR="006921CE" w:rsidRDefault="006921CE">
      <w:pPr>
        <w:pStyle w:val="XBRLTitle2"/>
        <w:spacing w:before="156" w:line="360" w:lineRule="auto"/>
        <w:ind w:left="454"/>
      </w:pPr>
      <w:bookmarkStart w:id="63" w:name="_Toc514088247"/>
      <w:bookmarkStart w:id="64" w:name="_Toc480465417"/>
      <w:bookmarkStart w:id="65" w:name="_Toc448480288"/>
      <w:bookmarkStart w:id="66" w:name="_Toc438654076"/>
      <w:bookmarkStart w:id="67" w:name="_Toc456107122"/>
      <w:bookmarkStart w:id="68" w:name="_Toc459213768"/>
      <w:bookmarkStart w:id="69" w:name="_Toc513542648"/>
      <w:bookmarkStart w:id="70" w:name="_Toc512696254"/>
      <w:bookmarkStart w:id="71" w:name="_Toc512612257"/>
      <w:bookmarkStart w:id="72" w:name="_Toc512612081"/>
      <w:bookmarkStart w:id="73" w:name="_Toc512611285"/>
      <w:proofErr w:type="spellStart"/>
      <w:r>
        <w:rPr>
          <w:rFonts w:eastAsia="宋体" w:hint="eastAsia"/>
        </w:rPr>
        <w:t>基金净值表现</w:t>
      </w:r>
      <w:bookmarkEnd w:id="63"/>
      <w:bookmarkEnd w:id="64"/>
      <w:bookmarkEnd w:id="65"/>
      <w:bookmarkEnd w:id="66"/>
      <w:bookmarkEnd w:id="67"/>
      <w:bookmarkEnd w:id="68"/>
      <w:bookmarkEnd w:id="69"/>
      <w:bookmarkEnd w:id="70"/>
      <w:bookmarkEnd w:id="71"/>
      <w:bookmarkEnd w:id="72"/>
      <w:bookmarkEnd w:id="73"/>
      <w:proofErr w:type="spellEnd"/>
      <w:r>
        <w:rPr>
          <w:rFonts w:eastAsia="宋体" w:hint="eastAsia"/>
        </w:rPr>
        <w:t xml:space="preserve"> </w:t>
      </w:r>
    </w:p>
    <w:p w14:paraId="5ED2BDC5" w14:textId="77777777" w:rsidR="006921CE" w:rsidRDefault="006921CE">
      <w:pPr>
        <w:pStyle w:val="XBRLTitle3"/>
        <w:spacing w:before="156" w:line="360" w:lineRule="auto"/>
        <w:ind w:left="624"/>
      </w:pPr>
      <w:bookmarkStart w:id="74" w:name="_Toc514088248"/>
      <w:bookmarkStart w:id="75" w:name="_Toc513542649"/>
      <w:bookmarkStart w:id="76" w:name="_Toc480465418"/>
      <w:proofErr w:type="spellStart"/>
      <w:r>
        <w:rPr>
          <w:rFonts w:hAnsi="宋体" w:hint="eastAsia"/>
        </w:rPr>
        <w:t>基金份额净值增长率及其与同期业绩比较基准收益率的比较</w:t>
      </w:r>
      <w:bookmarkEnd w:id="74"/>
      <w:bookmarkEnd w:id="75"/>
      <w:bookmarkEnd w:id="76"/>
      <w:proofErr w:type="spellEnd"/>
      <w:r>
        <w:rPr>
          <w:rFonts w:hAnsi="宋体" w:hint="eastAsia"/>
        </w:rPr>
        <w:t xml:space="preserve"> </w:t>
      </w:r>
    </w:p>
    <w:p w14:paraId="55C71525" w14:textId="77777777" w:rsidR="006921CE" w:rsidRDefault="006921CE">
      <w:pPr>
        <w:spacing w:line="360" w:lineRule="auto"/>
        <w:jc w:val="center"/>
        <w:divId w:val="787315051"/>
      </w:pPr>
      <w:r>
        <w:rPr>
          <w:rFonts w:ascii="宋体" w:hAnsi="宋体" w:hint="eastAsia"/>
        </w:rPr>
        <w:t>摩根海外稳健配置混合(QDII-FOF)人民币A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D56498" w14:paraId="04F3C6DC" w14:textId="77777777">
        <w:trPr>
          <w:divId w:val="78731505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831078" w14:textId="77777777" w:rsidR="006921CE" w:rsidRDefault="006921C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C1BB83E" w14:textId="77777777" w:rsidR="006921CE" w:rsidRDefault="006921C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77E489" w14:textId="77777777" w:rsidR="006921CE" w:rsidRDefault="006921C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873696" w14:textId="77777777" w:rsidR="006921CE" w:rsidRDefault="006921C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45D1AA" w14:textId="77777777" w:rsidR="006921CE" w:rsidRDefault="006921CE">
            <w:pPr>
              <w:spacing w:line="360" w:lineRule="auto"/>
              <w:jc w:val="center"/>
            </w:pPr>
            <w:r>
              <w:rPr>
                <w:rFonts w:ascii="宋体" w:hAnsi="宋体" w:hint="eastAsia"/>
              </w:rPr>
              <w:t>业绩比较基准收益率标</w:t>
            </w:r>
            <w:r>
              <w:rPr>
                <w:rFonts w:ascii="宋体" w:hAnsi="宋体" w:hint="eastAsia"/>
              </w:rPr>
              <w:lastRenderedPageBreak/>
              <w:t xml:space="preserve">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930F1" w14:textId="77777777" w:rsidR="006921CE" w:rsidRDefault="006921CE">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273A49" w14:textId="77777777" w:rsidR="006921CE" w:rsidRDefault="006921CE">
            <w:pPr>
              <w:spacing w:line="360" w:lineRule="auto"/>
              <w:jc w:val="center"/>
            </w:pPr>
            <w:r>
              <w:rPr>
                <w:rFonts w:ascii="宋体" w:hAnsi="宋体" w:hint="eastAsia"/>
              </w:rPr>
              <w:t xml:space="preserve">②－④ </w:t>
            </w:r>
          </w:p>
        </w:tc>
      </w:tr>
      <w:tr w:rsidR="00D56498" w14:paraId="3D2C65CF" w14:textId="77777777">
        <w:trPr>
          <w:divId w:val="7873150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08C37" w14:textId="77777777" w:rsidR="006921CE" w:rsidRDefault="006921C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FC67D" w14:textId="77777777" w:rsidR="006921CE" w:rsidRDefault="006921CE">
            <w:pPr>
              <w:spacing w:line="360" w:lineRule="auto"/>
              <w:jc w:val="right"/>
            </w:pPr>
            <w:r>
              <w:rPr>
                <w:rFonts w:ascii="宋体" w:hAnsi="宋体" w:hint="eastAsia"/>
              </w:rPr>
              <w:t xml:space="preserve">0.59%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5E7F34" w14:textId="77777777" w:rsidR="006921CE" w:rsidRDefault="006921CE">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42C6E8" w14:textId="77777777" w:rsidR="006921CE" w:rsidRDefault="006921CE">
            <w:pPr>
              <w:spacing w:line="360" w:lineRule="auto"/>
              <w:jc w:val="right"/>
            </w:pPr>
            <w:r>
              <w:rPr>
                <w:rFonts w:ascii="宋体" w:hAnsi="宋体" w:hint="eastAsia"/>
              </w:rPr>
              <w:t xml:space="preserve">5.11%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D58408" w14:textId="77777777" w:rsidR="006921CE" w:rsidRDefault="006921CE">
            <w:pPr>
              <w:spacing w:line="360" w:lineRule="auto"/>
              <w:jc w:val="right"/>
            </w:pPr>
            <w:r>
              <w:rPr>
                <w:rFonts w:ascii="宋体" w:hAnsi="宋体" w:hint="eastAsia"/>
              </w:rPr>
              <w:t xml:space="preserve">0.45%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A36E0E7" w14:textId="77777777" w:rsidR="006921CE" w:rsidRDefault="006921CE">
            <w:pPr>
              <w:spacing w:line="360" w:lineRule="auto"/>
              <w:jc w:val="right"/>
            </w:pPr>
            <w:r>
              <w:rPr>
                <w:rFonts w:ascii="宋体" w:hAnsi="宋体" w:hint="eastAsia"/>
              </w:rPr>
              <w:t xml:space="preserve">-4.52%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5EC806" w14:textId="77777777" w:rsidR="006921CE" w:rsidRDefault="006921CE">
            <w:pPr>
              <w:spacing w:line="360" w:lineRule="auto"/>
              <w:jc w:val="right"/>
            </w:pPr>
            <w:r>
              <w:rPr>
                <w:rFonts w:ascii="宋体" w:hAnsi="宋体" w:hint="eastAsia"/>
              </w:rPr>
              <w:t xml:space="preserve">-0.40% </w:t>
            </w:r>
          </w:p>
        </w:tc>
      </w:tr>
      <w:tr w:rsidR="00D56498" w14:paraId="37A3590E" w14:textId="77777777">
        <w:trPr>
          <w:divId w:val="7873150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A8D43" w14:textId="77777777" w:rsidR="006921CE" w:rsidRDefault="006921C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A4617" w14:textId="77777777" w:rsidR="006921CE" w:rsidRDefault="006921CE">
            <w:pPr>
              <w:spacing w:line="360" w:lineRule="auto"/>
              <w:jc w:val="right"/>
            </w:pPr>
            <w:r>
              <w:rPr>
                <w:rFonts w:ascii="宋体" w:hAnsi="宋体" w:hint="eastAsia"/>
              </w:rPr>
              <w:t xml:space="preserve">1.34%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FFB8D8" w14:textId="77777777" w:rsidR="006921CE" w:rsidRDefault="006921CE">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32429" w14:textId="77777777" w:rsidR="006921CE" w:rsidRDefault="006921CE">
            <w:pPr>
              <w:spacing w:line="360" w:lineRule="auto"/>
              <w:jc w:val="right"/>
            </w:pPr>
            <w:r>
              <w:rPr>
                <w:rFonts w:ascii="宋体" w:hAnsi="宋体" w:hint="eastAsia"/>
              </w:rPr>
              <w:t xml:space="preserve">6.84%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6F361A" w14:textId="77777777" w:rsidR="006921CE" w:rsidRDefault="006921CE">
            <w:pPr>
              <w:spacing w:line="360" w:lineRule="auto"/>
              <w:jc w:val="right"/>
            </w:pPr>
            <w:r>
              <w:rPr>
                <w:rFonts w:ascii="宋体" w:hAnsi="宋体" w:hint="eastAsia"/>
              </w:rPr>
              <w:t xml:space="preserve">0.38%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07B4AED" w14:textId="77777777" w:rsidR="006921CE" w:rsidRDefault="006921CE">
            <w:pPr>
              <w:spacing w:line="360" w:lineRule="auto"/>
              <w:jc w:val="right"/>
            </w:pPr>
            <w:r>
              <w:rPr>
                <w:rFonts w:ascii="宋体" w:hAnsi="宋体" w:hint="eastAsia"/>
              </w:rPr>
              <w:t xml:space="preserve">-5.50%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64AE0" w14:textId="77777777" w:rsidR="006921CE" w:rsidRDefault="006921CE">
            <w:pPr>
              <w:spacing w:line="360" w:lineRule="auto"/>
              <w:jc w:val="right"/>
            </w:pPr>
            <w:r>
              <w:rPr>
                <w:rFonts w:ascii="宋体" w:hAnsi="宋体" w:hint="eastAsia"/>
              </w:rPr>
              <w:t xml:space="preserve">-0.33% </w:t>
            </w:r>
          </w:p>
        </w:tc>
      </w:tr>
      <w:tr w:rsidR="00D56498" w14:paraId="3F5C6FF1" w14:textId="77777777">
        <w:trPr>
          <w:divId w:val="7873150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C3439" w14:textId="77777777" w:rsidR="006921CE" w:rsidRDefault="006921C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8C22C8" w14:textId="77777777" w:rsidR="006921CE" w:rsidRDefault="006921CE">
            <w:pPr>
              <w:spacing w:line="360" w:lineRule="auto"/>
              <w:jc w:val="right"/>
            </w:pPr>
            <w:r>
              <w:rPr>
                <w:rFonts w:ascii="宋体" w:hAnsi="宋体" w:hint="eastAsia"/>
              </w:rPr>
              <w:t xml:space="preserve">4.14%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F35B6" w14:textId="77777777" w:rsidR="006921CE" w:rsidRDefault="006921CE">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5C65E7" w14:textId="77777777" w:rsidR="006921CE" w:rsidRDefault="006921CE">
            <w:pPr>
              <w:spacing w:line="360" w:lineRule="auto"/>
              <w:jc w:val="right"/>
            </w:pPr>
            <w:r>
              <w:rPr>
                <w:rFonts w:ascii="宋体" w:hAnsi="宋体" w:hint="eastAsia"/>
              </w:rPr>
              <w:t xml:space="preserve">10.21%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E2023" w14:textId="77777777" w:rsidR="006921CE" w:rsidRDefault="006921CE">
            <w:pPr>
              <w:spacing w:line="360" w:lineRule="auto"/>
              <w:jc w:val="right"/>
            </w:pPr>
            <w:r>
              <w:rPr>
                <w:rFonts w:ascii="宋体" w:hAnsi="宋体" w:hint="eastAsia"/>
              </w:rPr>
              <w:t xml:space="preserve">0.37%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1E3DB06" w14:textId="77777777" w:rsidR="006921CE" w:rsidRDefault="006921CE">
            <w:pPr>
              <w:spacing w:line="360" w:lineRule="auto"/>
              <w:jc w:val="right"/>
            </w:pPr>
            <w:r>
              <w:rPr>
                <w:rFonts w:ascii="宋体" w:hAnsi="宋体" w:hint="eastAsia"/>
              </w:rPr>
              <w:t xml:space="preserve">-6.07%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635D9" w14:textId="77777777" w:rsidR="006921CE" w:rsidRDefault="006921CE">
            <w:pPr>
              <w:spacing w:line="360" w:lineRule="auto"/>
              <w:jc w:val="right"/>
            </w:pPr>
            <w:r>
              <w:rPr>
                <w:rFonts w:ascii="宋体" w:hAnsi="宋体" w:hint="eastAsia"/>
              </w:rPr>
              <w:t xml:space="preserve">-0.23% </w:t>
            </w:r>
          </w:p>
        </w:tc>
      </w:tr>
      <w:tr w:rsidR="00D56498" w14:paraId="25A88262" w14:textId="77777777">
        <w:trPr>
          <w:divId w:val="7873150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3F4D89" w14:textId="77777777" w:rsidR="006921CE" w:rsidRDefault="006921C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E6A92" w14:textId="77777777" w:rsidR="006921CE" w:rsidRDefault="006921CE">
            <w:pPr>
              <w:spacing w:line="360" w:lineRule="auto"/>
              <w:jc w:val="right"/>
            </w:pPr>
            <w:r>
              <w:rPr>
                <w:rFonts w:ascii="宋体" w:hAnsi="宋体" w:hint="eastAsia"/>
              </w:rPr>
              <w:t xml:space="preserve">8.64%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B28CC" w14:textId="77777777" w:rsidR="006921CE" w:rsidRDefault="006921CE">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8F813" w14:textId="77777777" w:rsidR="006921CE" w:rsidRDefault="006921CE">
            <w:pPr>
              <w:spacing w:line="360" w:lineRule="auto"/>
              <w:jc w:val="right"/>
            </w:pPr>
            <w:r>
              <w:rPr>
                <w:rFonts w:ascii="宋体" w:hAnsi="宋体" w:hint="eastAsia"/>
              </w:rPr>
              <w:t xml:space="preserve">18.43%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D19BD7" w14:textId="77777777" w:rsidR="006921CE" w:rsidRDefault="006921CE">
            <w:pPr>
              <w:spacing w:line="360" w:lineRule="auto"/>
              <w:jc w:val="right"/>
            </w:pPr>
            <w:r>
              <w:rPr>
                <w:rFonts w:ascii="宋体" w:hAnsi="宋体" w:hint="eastAsia"/>
              </w:rPr>
              <w:t xml:space="preserve">0.38%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F543DA7" w14:textId="77777777" w:rsidR="006921CE" w:rsidRDefault="006921CE">
            <w:pPr>
              <w:spacing w:line="360" w:lineRule="auto"/>
              <w:jc w:val="right"/>
            </w:pPr>
            <w:r>
              <w:rPr>
                <w:rFonts w:ascii="宋体" w:hAnsi="宋体" w:hint="eastAsia"/>
              </w:rPr>
              <w:t xml:space="preserve">-9.79%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CE1280" w14:textId="77777777" w:rsidR="006921CE" w:rsidRDefault="006921CE">
            <w:pPr>
              <w:spacing w:line="360" w:lineRule="auto"/>
              <w:jc w:val="right"/>
            </w:pPr>
            <w:r>
              <w:rPr>
                <w:rFonts w:ascii="宋体" w:hAnsi="宋体" w:hint="eastAsia"/>
              </w:rPr>
              <w:t xml:space="preserve">-0.26% </w:t>
            </w:r>
          </w:p>
        </w:tc>
      </w:tr>
    </w:tbl>
    <w:p w14:paraId="4C9EA0D3" w14:textId="77777777" w:rsidR="006921CE" w:rsidRDefault="006921CE">
      <w:pPr>
        <w:spacing w:line="360" w:lineRule="auto"/>
        <w:jc w:val="center"/>
        <w:divId w:val="552273549"/>
      </w:pPr>
      <w:r>
        <w:rPr>
          <w:rFonts w:ascii="宋体" w:hAnsi="宋体" w:hint="eastAsia"/>
        </w:rPr>
        <w:t>摩根海外稳健配置混合(QDII-FOF)人民币C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D56498" w14:paraId="04D392CE" w14:textId="77777777">
        <w:trPr>
          <w:divId w:val="55227354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8C9378" w14:textId="77777777" w:rsidR="006921CE" w:rsidRDefault="006921C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02541C" w14:textId="77777777" w:rsidR="006921CE" w:rsidRDefault="006921C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C619734" w14:textId="77777777" w:rsidR="006921CE" w:rsidRDefault="006921C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F28858" w14:textId="77777777" w:rsidR="006921CE" w:rsidRDefault="006921C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1658BBC" w14:textId="77777777" w:rsidR="006921CE" w:rsidRDefault="006921C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E7720" w14:textId="77777777" w:rsidR="006921CE" w:rsidRDefault="006921C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1CD993" w14:textId="77777777" w:rsidR="006921CE" w:rsidRDefault="006921CE">
            <w:pPr>
              <w:spacing w:line="360" w:lineRule="auto"/>
              <w:jc w:val="center"/>
            </w:pPr>
            <w:r>
              <w:rPr>
                <w:rFonts w:ascii="宋体" w:hAnsi="宋体" w:hint="eastAsia"/>
              </w:rPr>
              <w:t xml:space="preserve">②－④ </w:t>
            </w:r>
          </w:p>
        </w:tc>
      </w:tr>
      <w:tr w:rsidR="00D56498" w14:paraId="42379981" w14:textId="77777777">
        <w:trPr>
          <w:divId w:val="55227354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B3975E" w14:textId="77777777" w:rsidR="006921CE" w:rsidRDefault="006921C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C2DA43" w14:textId="77777777" w:rsidR="006921CE" w:rsidRDefault="006921CE">
            <w:pPr>
              <w:spacing w:line="360" w:lineRule="auto"/>
              <w:jc w:val="right"/>
            </w:pPr>
            <w:r>
              <w:rPr>
                <w:rFonts w:ascii="宋体" w:hAnsi="宋体" w:hint="eastAsia"/>
              </w:rPr>
              <w:t xml:space="preserve">0.48%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C2730" w14:textId="77777777" w:rsidR="006921CE" w:rsidRDefault="006921CE">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83706" w14:textId="77777777" w:rsidR="006921CE" w:rsidRDefault="006921CE">
            <w:pPr>
              <w:spacing w:line="360" w:lineRule="auto"/>
              <w:jc w:val="right"/>
            </w:pPr>
            <w:r>
              <w:rPr>
                <w:rFonts w:ascii="宋体" w:hAnsi="宋体" w:hint="eastAsia"/>
              </w:rPr>
              <w:t xml:space="preserve">5.11%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3D22C" w14:textId="77777777" w:rsidR="006921CE" w:rsidRDefault="006921CE">
            <w:pPr>
              <w:spacing w:line="360" w:lineRule="auto"/>
              <w:jc w:val="right"/>
            </w:pPr>
            <w:r>
              <w:rPr>
                <w:rFonts w:ascii="宋体" w:hAnsi="宋体" w:hint="eastAsia"/>
              </w:rPr>
              <w:t xml:space="preserve">0.45%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642B886" w14:textId="77777777" w:rsidR="006921CE" w:rsidRDefault="006921CE">
            <w:pPr>
              <w:spacing w:line="360" w:lineRule="auto"/>
              <w:jc w:val="right"/>
            </w:pPr>
            <w:r>
              <w:rPr>
                <w:rFonts w:ascii="宋体" w:hAnsi="宋体" w:hint="eastAsia"/>
              </w:rPr>
              <w:t xml:space="preserve">-4.63%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ADE503" w14:textId="77777777" w:rsidR="006921CE" w:rsidRDefault="006921CE">
            <w:pPr>
              <w:spacing w:line="360" w:lineRule="auto"/>
              <w:jc w:val="right"/>
            </w:pPr>
            <w:r>
              <w:rPr>
                <w:rFonts w:ascii="宋体" w:hAnsi="宋体" w:hint="eastAsia"/>
              </w:rPr>
              <w:t xml:space="preserve">-0.40% </w:t>
            </w:r>
          </w:p>
        </w:tc>
      </w:tr>
      <w:tr w:rsidR="00D56498" w14:paraId="562AA125" w14:textId="77777777">
        <w:trPr>
          <w:divId w:val="55227354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08B59D" w14:textId="77777777" w:rsidR="006921CE" w:rsidRDefault="006921C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C3A60" w14:textId="77777777" w:rsidR="006921CE" w:rsidRDefault="006921CE">
            <w:pPr>
              <w:spacing w:line="360" w:lineRule="auto"/>
              <w:jc w:val="right"/>
            </w:pPr>
            <w:r>
              <w:rPr>
                <w:rFonts w:ascii="宋体" w:hAnsi="宋体" w:hint="eastAsia"/>
              </w:rPr>
              <w:t xml:space="preserve">1.13%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C855C3" w14:textId="77777777" w:rsidR="006921CE" w:rsidRDefault="006921CE">
            <w:pPr>
              <w:spacing w:line="360" w:lineRule="auto"/>
              <w:jc w:val="right"/>
            </w:pPr>
            <w:r>
              <w:rPr>
                <w:rFonts w:ascii="宋体" w:hAnsi="宋体" w:hint="eastAsia"/>
              </w:rPr>
              <w:t xml:space="preserve">0.05%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EC813" w14:textId="77777777" w:rsidR="006921CE" w:rsidRDefault="006921CE">
            <w:pPr>
              <w:spacing w:line="360" w:lineRule="auto"/>
              <w:jc w:val="right"/>
            </w:pPr>
            <w:r>
              <w:rPr>
                <w:rFonts w:ascii="宋体" w:hAnsi="宋体" w:hint="eastAsia"/>
              </w:rPr>
              <w:t xml:space="preserve">6.84%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9E3727" w14:textId="77777777" w:rsidR="006921CE" w:rsidRDefault="006921CE">
            <w:pPr>
              <w:spacing w:line="360" w:lineRule="auto"/>
              <w:jc w:val="right"/>
            </w:pPr>
            <w:r>
              <w:rPr>
                <w:rFonts w:ascii="宋体" w:hAnsi="宋体" w:hint="eastAsia"/>
              </w:rPr>
              <w:t xml:space="preserve">0.38%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2B69A1F" w14:textId="77777777" w:rsidR="006921CE" w:rsidRDefault="006921CE">
            <w:pPr>
              <w:spacing w:line="360" w:lineRule="auto"/>
              <w:jc w:val="right"/>
            </w:pPr>
            <w:r>
              <w:rPr>
                <w:rFonts w:ascii="宋体" w:hAnsi="宋体" w:hint="eastAsia"/>
              </w:rPr>
              <w:t xml:space="preserve">-5.71%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397FD" w14:textId="77777777" w:rsidR="006921CE" w:rsidRDefault="006921CE">
            <w:pPr>
              <w:spacing w:line="360" w:lineRule="auto"/>
              <w:jc w:val="right"/>
            </w:pPr>
            <w:r>
              <w:rPr>
                <w:rFonts w:ascii="宋体" w:hAnsi="宋体" w:hint="eastAsia"/>
              </w:rPr>
              <w:t xml:space="preserve">-0.33% </w:t>
            </w:r>
          </w:p>
        </w:tc>
      </w:tr>
      <w:tr w:rsidR="00D56498" w14:paraId="112754B5" w14:textId="77777777">
        <w:trPr>
          <w:divId w:val="55227354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4F949" w14:textId="77777777" w:rsidR="006921CE" w:rsidRDefault="006921C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C2E1F" w14:textId="77777777" w:rsidR="006921CE" w:rsidRDefault="006921CE">
            <w:pPr>
              <w:spacing w:line="360" w:lineRule="auto"/>
              <w:jc w:val="right"/>
            </w:pPr>
            <w:r>
              <w:rPr>
                <w:rFonts w:ascii="宋体" w:hAnsi="宋体" w:hint="eastAsia"/>
              </w:rPr>
              <w:t xml:space="preserve">3.73%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D25BD7" w14:textId="77777777" w:rsidR="006921CE" w:rsidRDefault="006921CE">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1A1542" w14:textId="77777777" w:rsidR="006921CE" w:rsidRDefault="006921CE">
            <w:pPr>
              <w:spacing w:line="360" w:lineRule="auto"/>
              <w:jc w:val="right"/>
            </w:pPr>
            <w:r>
              <w:rPr>
                <w:rFonts w:ascii="宋体" w:hAnsi="宋体" w:hint="eastAsia"/>
              </w:rPr>
              <w:t xml:space="preserve">10.21%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E49C3" w14:textId="77777777" w:rsidR="006921CE" w:rsidRDefault="006921CE">
            <w:pPr>
              <w:spacing w:line="360" w:lineRule="auto"/>
              <w:jc w:val="right"/>
            </w:pPr>
            <w:r>
              <w:rPr>
                <w:rFonts w:ascii="宋体" w:hAnsi="宋体" w:hint="eastAsia"/>
              </w:rPr>
              <w:t xml:space="preserve">0.37%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508DF1" w14:textId="77777777" w:rsidR="006921CE" w:rsidRDefault="006921CE">
            <w:pPr>
              <w:spacing w:line="360" w:lineRule="auto"/>
              <w:jc w:val="right"/>
            </w:pPr>
            <w:r>
              <w:rPr>
                <w:rFonts w:ascii="宋体" w:hAnsi="宋体" w:hint="eastAsia"/>
              </w:rPr>
              <w:t xml:space="preserve">-6.48%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210B3" w14:textId="77777777" w:rsidR="006921CE" w:rsidRDefault="006921CE">
            <w:pPr>
              <w:spacing w:line="360" w:lineRule="auto"/>
              <w:jc w:val="right"/>
            </w:pPr>
            <w:r>
              <w:rPr>
                <w:rFonts w:ascii="宋体" w:hAnsi="宋体" w:hint="eastAsia"/>
              </w:rPr>
              <w:t xml:space="preserve">-0.23% </w:t>
            </w:r>
          </w:p>
        </w:tc>
      </w:tr>
      <w:tr w:rsidR="00D56498" w14:paraId="437B3280" w14:textId="77777777">
        <w:trPr>
          <w:divId w:val="55227354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967A4" w14:textId="77777777" w:rsidR="006921CE" w:rsidRDefault="006921C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39C7C9" w14:textId="77777777" w:rsidR="006921CE" w:rsidRDefault="006921CE">
            <w:pPr>
              <w:spacing w:line="360" w:lineRule="auto"/>
              <w:jc w:val="right"/>
            </w:pPr>
            <w:r>
              <w:rPr>
                <w:rFonts w:ascii="宋体" w:hAnsi="宋体" w:hint="eastAsia"/>
              </w:rPr>
              <w:t xml:space="preserve">4.96%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B22F40" w14:textId="77777777" w:rsidR="006921CE" w:rsidRDefault="006921CE">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BA428" w14:textId="77777777" w:rsidR="006921CE" w:rsidRDefault="006921CE">
            <w:pPr>
              <w:spacing w:line="360" w:lineRule="auto"/>
              <w:jc w:val="right"/>
            </w:pPr>
            <w:r>
              <w:rPr>
                <w:rFonts w:ascii="宋体" w:hAnsi="宋体" w:hint="eastAsia"/>
              </w:rPr>
              <w:t xml:space="preserve">12.14%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580C0" w14:textId="77777777" w:rsidR="006921CE" w:rsidRDefault="006921CE">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092716" w14:textId="77777777" w:rsidR="006921CE" w:rsidRDefault="006921CE">
            <w:pPr>
              <w:spacing w:line="360" w:lineRule="auto"/>
              <w:jc w:val="right"/>
            </w:pPr>
            <w:r>
              <w:rPr>
                <w:rFonts w:ascii="宋体" w:hAnsi="宋体" w:hint="eastAsia"/>
              </w:rPr>
              <w:t xml:space="preserve">-7.18%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D2899" w14:textId="77777777" w:rsidR="006921CE" w:rsidRDefault="006921CE">
            <w:pPr>
              <w:spacing w:line="360" w:lineRule="auto"/>
              <w:jc w:val="right"/>
            </w:pPr>
            <w:r>
              <w:rPr>
                <w:rFonts w:ascii="宋体" w:hAnsi="宋体" w:hint="eastAsia"/>
              </w:rPr>
              <w:t xml:space="preserve">-0.24% </w:t>
            </w:r>
          </w:p>
        </w:tc>
      </w:tr>
    </w:tbl>
    <w:p w14:paraId="7623732B" w14:textId="42FF95B1" w:rsidR="006921CE" w:rsidRDefault="006921CE" w:rsidP="009B602B">
      <w:pPr>
        <w:pStyle w:val="XBRLTitle3"/>
        <w:spacing w:before="156" w:line="360" w:lineRule="auto"/>
        <w:ind w:left="624"/>
      </w:pPr>
      <w:bookmarkStart w:id="77" w:name="_Toc514088249"/>
      <w:bookmarkStart w:id="78" w:name="_Toc480465419"/>
      <w:bookmarkStart w:id="79" w:name="_Toc513542650"/>
      <w:proofErr w:type="spellStart"/>
      <w:r>
        <w:rPr>
          <w:rFonts w:hAnsi="宋体" w:hint="eastAsia"/>
        </w:rPr>
        <w:t>自基金合同生效以来基金累计净值增长率变动及其与同期业绩比较基准收益率变动的比较</w:t>
      </w:r>
      <w:bookmarkEnd w:id="77"/>
      <w:bookmarkEnd w:id="78"/>
      <w:bookmarkEnd w:id="79"/>
      <w:proofErr w:type="spellEnd"/>
      <w:r>
        <w:rPr>
          <w:rFonts w:hAnsi="宋体" w:hint="eastAsia"/>
        </w:rPr>
        <w:t xml:space="preserve"> </w:t>
      </w:r>
      <w:bookmarkStart w:id="80" w:name="m07_04_07_09_tab"/>
      <w:bookmarkStart w:id="81" w:name="m07_04_07_09"/>
      <w:bookmarkStart w:id="82" w:name="m01_01"/>
    </w:p>
    <w:p w14:paraId="08FC1A85" w14:textId="77777777" w:rsidR="009B602B" w:rsidRDefault="009B602B" w:rsidP="009B602B">
      <w:pPr>
        <w:spacing w:line="360" w:lineRule="auto"/>
        <w:jc w:val="left"/>
        <w:divId w:val="1942032914"/>
      </w:pPr>
      <w:r>
        <w:rPr>
          <w:rFonts w:ascii="宋体" w:hAnsi="宋体" w:hint="eastAsia"/>
          <w:noProof/>
        </w:rPr>
        <w:drawing>
          <wp:inline distT="0" distB="0" distL="0" distR="0" wp14:anchorId="5F8FD59E" wp14:editId="7ED8FEBC">
            <wp:extent cx="5229225" cy="3009900"/>
            <wp:effectExtent l="0" t="0" r="9525" b="0"/>
            <wp:docPr id="1" name="图片 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 折线图&#10;&#10;AI 生成的内容可能不正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90636E0" w14:textId="4A9209D4" w:rsidR="006921CE" w:rsidRDefault="009B602B" w:rsidP="009B602B">
      <w:pPr>
        <w:spacing w:line="360" w:lineRule="auto"/>
        <w:jc w:val="left"/>
        <w:divId w:val="1942032914"/>
      </w:pPr>
      <w:r>
        <w:rPr>
          <w:rFonts w:ascii="宋体" w:hAnsi="宋体" w:hint="eastAsia"/>
          <w:noProof/>
        </w:rPr>
        <w:lastRenderedPageBreak/>
        <w:drawing>
          <wp:inline distT="0" distB="0" distL="0" distR="0" wp14:anchorId="08298B9A" wp14:editId="156F7820">
            <wp:extent cx="5229225" cy="3009900"/>
            <wp:effectExtent l="0" t="0" r="9525" b="0"/>
            <wp:docPr id="2" name="图片 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 折线图&#10;&#10;AI 生成的内容可能不正确。"/>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E740BC4" w14:textId="77777777" w:rsidR="006921CE" w:rsidRDefault="006921CE">
      <w:pPr>
        <w:spacing w:line="360" w:lineRule="auto"/>
      </w:pPr>
      <w:r>
        <w:rPr>
          <w:rFonts w:ascii="宋体" w:hAnsi="宋体" w:hint="eastAsia"/>
        </w:rPr>
        <w:t>注：</w:t>
      </w:r>
      <w:r>
        <w:rPr>
          <w:rFonts w:ascii="宋体" w:hAnsi="宋体" w:hint="eastAsia"/>
          <w:lang w:eastAsia="zh-Hans"/>
        </w:rPr>
        <w:t>本基金合同生效日为2023年5月23日，图示的时间段为合同生效日至本报告期末。</w:t>
      </w:r>
      <w:r>
        <w:rPr>
          <w:rFonts w:ascii="宋体" w:hAnsi="宋体" w:hint="eastAsia"/>
          <w:lang w:eastAsia="zh-Hans"/>
        </w:rPr>
        <w:br/>
        <w:t xml:space="preserve">　　本基金自2024年1月5日起增加C类份额，相关数据按实际存续期计算。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bookmarkEnd w:id="80"/>
      <w:bookmarkEnd w:id="81"/>
    </w:p>
    <w:p w14:paraId="14F41042" w14:textId="77777777" w:rsidR="006921CE" w:rsidRDefault="006921CE">
      <w:pPr>
        <w:pStyle w:val="XBRLTitle1"/>
        <w:spacing w:before="156"/>
        <w:ind w:left="425"/>
        <w:rPr>
          <w:rFonts w:hint="eastAsia"/>
        </w:rPr>
      </w:pPr>
      <w:bookmarkStart w:id="83" w:name="_Toc514088250"/>
      <w:bookmarkStart w:id="84" w:name="_Toc480465420"/>
      <w:bookmarkStart w:id="85" w:name="_Toc448480289"/>
      <w:bookmarkStart w:id="86" w:name="_Toc438654077"/>
      <w:bookmarkStart w:id="87" w:name="_Toc456107123"/>
      <w:bookmarkStart w:id="88" w:name="_Toc459213769"/>
      <w:bookmarkStart w:id="89" w:name="_Toc513542651"/>
      <w:bookmarkStart w:id="90" w:name="_Toc512696255"/>
      <w:bookmarkStart w:id="91" w:name="_Toc512612258"/>
      <w:bookmarkStart w:id="92" w:name="_Toc512612082"/>
      <w:bookmarkStart w:id="93" w:name="_Toc512611286"/>
      <w:proofErr w:type="spellStart"/>
      <w:r>
        <w:rPr>
          <w:rFonts w:hint="eastAsia"/>
        </w:rPr>
        <w:t>管理人报告</w:t>
      </w:r>
      <w:bookmarkEnd w:id="83"/>
      <w:bookmarkEnd w:id="84"/>
      <w:bookmarkEnd w:id="85"/>
      <w:bookmarkEnd w:id="86"/>
      <w:bookmarkEnd w:id="87"/>
      <w:bookmarkEnd w:id="88"/>
      <w:bookmarkEnd w:id="89"/>
      <w:bookmarkEnd w:id="90"/>
      <w:bookmarkEnd w:id="91"/>
      <w:bookmarkEnd w:id="92"/>
      <w:bookmarkEnd w:id="93"/>
      <w:proofErr w:type="spellEnd"/>
    </w:p>
    <w:p w14:paraId="72207456" w14:textId="77777777" w:rsidR="006921CE" w:rsidRDefault="006921CE">
      <w:pPr>
        <w:pStyle w:val="XBRLTitle2"/>
        <w:spacing w:before="156" w:line="360" w:lineRule="auto"/>
        <w:ind w:left="454"/>
      </w:pPr>
      <w:bookmarkStart w:id="94" w:name="_Toc514088251"/>
      <w:bookmarkStart w:id="95" w:name="_Toc480465421"/>
      <w:bookmarkStart w:id="96" w:name="_Toc448480290"/>
      <w:bookmarkStart w:id="97" w:name="_Toc438654078"/>
      <w:bookmarkStart w:id="98" w:name="_Toc456107124"/>
      <w:bookmarkStart w:id="99" w:name="_Toc459213770"/>
      <w:bookmarkStart w:id="100" w:name="_Toc513542652"/>
      <w:bookmarkStart w:id="101" w:name="_Toc512696256"/>
      <w:bookmarkStart w:id="102" w:name="_Toc512612259"/>
      <w:bookmarkStart w:id="103" w:name="_Toc512612083"/>
      <w:bookmarkStart w:id="104" w:name="_Toc512611287"/>
      <w:proofErr w:type="spellStart"/>
      <w:r>
        <w:rPr>
          <w:rFonts w:eastAsia="宋体" w:hint="eastAsia"/>
        </w:rPr>
        <w:t>基金经理（或基金经理小组）简介</w:t>
      </w:r>
      <w:bookmarkEnd w:id="94"/>
      <w:bookmarkEnd w:id="95"/>
      <w:bookmarkEnd w:id="96"/>
      <w:bookmarkEnd w:id="97"/>
      <w:bookmarkEnd w:id="98"/>
      <w:bookmarkEnd w:id="99"/>
      <w:bookmarkEnd w:id="100"/>
      <w:bookmarkEnd w:id="101"/>
      <w:bookmarkEnd w:id="102"/>
      <w:bookmarkEnd w:id="103"/>
      <w:bookmarkEnd w:id="104"/>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D56498" w14:paraId="13822BE2" w14:textId="77777777">
        <w:trPr>
          <w:divId w:val="1111628496"/>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C0891" w14:textId="77777777" w:rsidR="006921CE" w:rsidRDefault="006921CE">
            <w:pPr>
              <w:snapToGrid w:val="0"/>
              <w:jc w:val="center"/>
            </w:pPr>
            <w:bookmarkStart w:id="105" w:name="m04_02"/>
            <w:bookmarkEnd w:id="10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1904B" w14:textId="77777777" w:rsidR="006921CE" w:rsidRDefault="006921C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9837C" w14:textId="77777777" w:rsidR="006921CE" w:rsidRDefault="006921C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5F7A7" w14:textId="77777777" w:rsidR="006921CE" w:rsidRDefault="006921C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7A7FB5" w14:textId="77777777" w:rsidR="006921CE" w:rsidRDefault="006921C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D56498" w14:paraId="0EED3A31" w14:textId="77777777">
        <w:trPr>
          <w:divId w:val="1111628496"/>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A2A83" w14:textId="77777777" w:rsidR="006921CE" w:rsidRDefault="006921C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D99E9" w14:textId="77777777" w:rsidR="006921CE" w:rsidRDefault="006921CE">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673EF" w14:textId="77777777" w:rsidR="006921CE" w:rsidRDefault="006921C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A6E11" w14:textId="77777777" w:rsidR="006921CE" w:rsidRDefault="006921C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D5EA3" w14:textId="77777777" w:rsidR="006921CE" w:rsidRDefault="006921C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47299" w14:textId="77777777" w:rsidR="006921CE" w:rsidRDefault="006921CE">
            <w:pPr>
              <w:widowControl/>
              <w:jc w:val="left"/>
            </w:pPr>
          </w:p>
        </w:tc>
      </w:tr>
      <w:tr w:rsidR="00D56498" w14:paraId="15CF976C" w14:textId="77777777">
        <w:trPr>
          <w:divId w:val="1111628496"/>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E1EC7" w14:textId="77777777" w:rsidR="006921CE" w:rsidRDefault="006921CE">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4F7BE2" w14:textId="77777777" w:rsidR="006921CE" w:rsidRDefault="006921CE">
            <w:pPr>
              <w:jc w:val="left"/>
            </w:pPr>
            <w:r>
              <w:rPr>
                <w:rFonts w:ascii="宋体" w:hAnsi="宋体" w:hint="eastAsia"/>
                <w:szCs w:val="24"/>
                <w:lang w:eastAsia="zh-Hans"/>
              </w:rPr>
              <w:t>本基金的基金经理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03A6F" w14:textId="77777777" w:rsidR="006921CE" w:rsidRDefault="006921CE">
            <w:pPr>
              <w:jc w:val="center"/>
            </w:pPr>
            <w:r>
              <w:rPr>
                <w:rFonts w:ascii="宋体" w:hAnsi="宋体" w:hint="eastAsia"/>
                <w:szCs w:val="24"/>
                <w:lang w:eastAsia="zh-Hans"/>
              </w:rPr>
              <w:t>2023年5月23日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DE8A0B" w14:textId="77777777" w:rsidR="006921CE" w:rsidRDefault="006921C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29A0A" w14:textId="77777777" w:rsidR="006921CE" w:rsidRDefault="006921CE">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BC6DDD" w14:textId="77777777" w:rsidR="006921CE" w:rsidRDefault="006921CE">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14:paraId="57F0BF6F" w14:textId="77777777" w:rsidR="006921CE" w:rsidRDefault="006921CE">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9ECDDD0" w14:textId="77777777" w:rsidR="006921CE" w:rsidRDefault="006921CE">
      <w:pPr>
        <w:pStyle w:val="XBRLTitle3"/>
        <w:spacing w:before="156" w:line="360" w:lineRule="auto"/>
        <w:ind w:left="624"/>
        <w:divId w:val="426656433"/>
      </w:pPr>
      <w:bookmarkStart w:id="106" w:name="_Toc512519488"/>
      <w:bookmarkStart w:id="107" w:name="_Toc490050009"/>
      <w:bookmarkStart w:id="108" w:name="_Toc438646459"/>
      <w:bookmarkStart w:id="109" w:name="_Toc481075055"/>
      <w:bookmarkStart w:id="110" w:name="_Toc5134656621"/>
      <w:proofErr w:type="spellStart"/>
      <w:r>
        <w:rPr>
          <w:rFonts w:hAnsi="宋体" w:hint="eastAsia"/>
        </w:rPr>
        <w:t>期末兼任私募资产管理计划投资经理的基金经理同时管理的产品情况</w:t>
      </w:r>
      <w:bookmarkEnd w:id="106"/>
      <w:bookmarkEnd w:id="107"/>
      <w:bookmarkEnd w:id="108"/>
      <w:bookmarkEnd w:id="109"/>
      <w:bookmarkEnd w:id="110"/>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D56498" w14:paraId="1AA38793" w14:textId="77777777">
        <w:trPr>
          <w:divId w:val="1941791026"/>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F066243" w14:textId="77777777" w:rsidR="006921CE" w:rsidRDefault="006921CE">
            <w:pPr>
              <w:snapToGrid w:val="0"/>
              <w:jc w:val="center"/>
            </w:pPr>
            <w:bookmarkStart w:id="111" w:name="m04_01_02_tab"/>
            <w:r>
              <w:rPr>
                <w:rFonts w:ascii="宋体" w:hAnsi="宋体" w:hint="eastAsia"/>
                <w:szCs w:val="24"/>
              </w:rPr>
              <w:lastRenderedPageBreak/>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2F454D1" w14:textId="77777777" w:rsidR="006921CE" w:rsidRDefault="006921CE">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266C3C6" w14:textId="77777777" w:rsidR="006921CE" w:rsidRDefault="006921CE">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B714158" w14:textId="77777777" w:rsidR="006921CE" w:rsidRDefault="006921CE">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2E4B294" w14:textId="77777777" w:rsidR="006921CE" w:rsidRDefault="006921CE">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D56498" w14:paraId="269A53F2" w14:textId="77777777">
        <w:trPr>
          <w:divId w:val="1941791026"/>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94C18A" w14:textId="77777777" w:rsidR="006921CE" w:rsidRDefault="006921CE">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D178E9" w14:textId="77777777" w:rsidR="006921CE" w:rsidRDefault="006921CE">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18822D" w14:textId="77777777" w:rsidR="006921CE" w:rsidRDefault="006921CE">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46B1D0" w14:textId="77777777" w:rsidR="006921CE" w:rsidRDefault="006921CE">
            <w:pPr>
              <w:jc w:val="right"/>
            </w:pPr>
            <w:r>
              <w:rPr>
                <w:rFonts w:ascii="宋体" w:hAnsi="宋体" w:hint="eastAsia"/>
                <w:szCs w:val="24"/>
              </w:rPr>
              <w:t>10,637,595,607.52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2084FB" w14:textId="77777777" w:rsidR="006921CE" w:rsidRDefault="006921CE">
            <w:pPr>
              <w:jc w:val="center"/>
            </w:pPr>
            <w:r>
              <w:rPr>
                <w:rFonts w:ascii="宋体" w:hAnsi="宋体" w:hint="eastAsia"/>
                <w:szCs w:val="24"/>
              </w:rPr>
              <w:t>2008-03-08</w:t>
            </w:r>
          </w:p>
        </w:tc>
      </w:tr>
      <w:tr w:rsidR="00D56498" w14:paraId="35032C42" w14:textId="77777777">
        <w:trPr>
          <w:divId w:val="1941791026"/>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9933EB0" w14:textId="77777777" w:rsidR="006921CE" w:rsidRDefault="006921C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D89C42" w14:textId="77777777" w:rsidR="006921CE" w:rsidRDefault="006921CE">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EF8444" w14:textId="77777777" w:rsidR="006921CE" w:rsidRDefault="006921CE">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B1FAF2" w14:textId="77777777" w:rsidR="006921CE" w:rsidRDefault="006921CE">
            <w:pPr>
              <w:jc w:val="right"/>
            </w:pPr>
            <w:r>
              <w:rPr>
                <w:rFonts w:ascii="宋体" w:hAnsi="宋体" w:hint="eastAsia"/>
                <w:szCs w:val="24"/>
              </w:rPr>
              <w:t>26,424,711.73</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F4F261" w14:textId="77777777" w:rsidR="006921CE" w:rsidRDefault="006921CE">
            <w:pPr>
              <w:jc w:val="center"/>
            </w:pPr>
            <w:r>
              <w:rPr>
                <w:rFonts w:ascii="宋体" w:hAnsi="宋体" w:hint="eastAsia"/>
                <w:szCs w:val="24"/>
              </w:rPr>
              <w:t>2021-07-09</w:t>
            </w:r>
          </w:p>
        </w:tc>
      </w:tr>
      <w:tr w:rsidR="00D56498" w14:paraId="6DA90B8B" w14:textId="77777777">
        <w:trPr>
          <w:divId w:val="1941791026"/>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5C5C295" w14:textId="77777777" w:rsidR="006921CE" w:rsidRDefault="006921C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C6A978" w14:textId="77777777" w:rsidR="006921CE" w:rsidRDefault="006921CE">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60242E" w14:textId="77777777" w:rsidR="006921CE" w:rsidRDefault="006921CE">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58CC67" w14:textId="77777777" w:rsidR="006921CE" w:rsidRDefault="006921CE">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A6877F" w14:textId="77777777" w:rsidR="006921CE" w:rsidRDefault="006921CE">
            <w:pPr>
              <w:jc w:val="center"/>
            </w:pPr>
            <w:r>
              <w:rPr>
                <w:rFonts w:ascii="宋体" w:hAnsi="宋体" w:hint="eastAsia"/>
                <w:szCs w:val="24"/>
              </w:rPr>
              <w:t>-</w:t>
            </w:r>
          </w:p>
        </w:tc>
      </w:tr>
      <w:tr w:rsidR="00D56498" w14:paraId="6FD8A5F3" w14:textId="77777777">
        <w:trPr>
          <w:divId w:val="1941791026"/>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92CCFCE" w14:textId="77777777" w:rsidR="006921CE" w:rsidRDefault="006921C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2CD280" w14:textId="77777777" w:rsidR="006921CE" w:rsidRDefault="006921CE">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9448F9" w14:textId="77777777" w:rsidR="006921CE" w:rsidRDefault="006921CE">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05572" w14:textId="77777777" w:rsidR="006921CE" w:rsidRDefault="006921CE">
            <w:pPr>
              <w:jc w:val="right"/>
            </w:pPr>
            <w:r>
              <w:rPr>
                <w:rFonts w:ascii="宋体" w:hAnsi="宋体" w:hint="eastAsia"/>
                <w:szCs w:val="24"/>
              </w:rPr>
              <w:t>10,664,020,319.25</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9AB9D9" w14:textId="77777777" w:rsidR="006921CE" w:rsidRDefault="006921CE">
            <w:pPr>
              <w:jc w:val="center"/>
            </w:pPr>
            <w:r>
              <w:rPr>
                <w:rFonts w:ascii="宋体" w:hAnsi="宋体" w:hint="eastAsia"/>
                <w:szCs w:val="24"/>
              </w:rPr>
              <w:t xml:space="preserve">- </w:t>
            </w:r>
          </w:p>
        </w:tc>
      </w:tr>
    </w:tbl>
    <w:p w14:paraId="65635F99" w14:textId="77777777" w:rsidR="006921CE" w:rsidRDefault="006921CE">
      <w:pPr>
        <w:pStyle w:val="XBRLTitle2"/>
        <w:spacing w:before="156" w:line="360" w:lineRule="auto"/>
        <w:ind w:left="454"/>
      </w:pPr>
      <w:bookmarkStart w:id="112" w:name="_Toc514088252"/>
      <w:bookmarkStart w:id="113" w:name="_Toc480465422"/>
      <w:bookmarkStart w:id="114" w:name="_Toc448480291"/>
      <w:bookmarkStart w:id="115" w:name="_Toc438654079"/>
      <w:bookmarkStart w:id="116" w:name="_Toc456107125"/>
      <w:bookmarkStart w:id="117" w:name="_Toc459213771"/>
      <w:bookmarkStart w:id="118" w:name="_Toc513542653"/>
      <w:bookmarkStart w:id="119" w:name="_Toc512696257"/>
      <w:bookmarkStart w:id="120" w:name="_Toc512612260"/>
      <w:bookmarkStart w:id="121" w:name="_Toc512612084"/>
      <w:bookmarkStart w:id="122" w:name="_Toc512611288"/>
      <w:bookmarkStart w:id="123" w:name="m402"/>
      <w:bookmarkEnd w:id="111"/>
      <w:proofErr w:type="spellStart"/>
      <w:r>
        <w:rPr>
          <w:rFonts w:eastAsia="宋体" w:hint="eastAsia"/>
        </w:rPr>
        <w:t>境外投资顾问为本基金提供投资建议的主要成员简介</w:t>
      </w:r>
      <w:bookmarkEnd w:id="112"/>
      <w:bookmarkEnd w:id="113"/>
      <w:bookmarkEnd w:id="114"/>
      <w:bookmarkEnd w:id="115"/>
      <w:bookmarkEnd w:id="116"/>
      <w:bookmarkEnd w:id="117"/>
      <w:proofErr w:type="spellEnd"/>
      <w:r>
        <w:rPr>
          <w:rFonts w:eastAsia="宋体" w:cs="宋体" w:hint="eastAsia"/>
          <w:color w:val="000000"/>
          <w:kern w:val="0"/>
        </w:rPr>
        <w:t xml:space="preserve"> </w:t>
      </w:r>
      <w:bookmarkEnd w:id="118"/>
      <w:bookmarkEnd w:id="119"/>
      <w:bookmarkEnd w:id="120"/>
      <w:bookmarkEnd w:id="121"/>
      <w:bookmarkEnd w:id="122"/>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14"/>
        <w:gridCol w:w="2788"/>
        <w:gridCol w:w="1908"/>
        <w:gridCol w:w="2348"/>
      </w:tblGrid>
      <w:tr w:rsidR="00D56498" w14:paraId="355A0878" w14:textId="77777777">
        <w:trPr>
          <w:divId w:val="1716394323"/>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3"/>
          <w:p w14:paraId="30576865" w14:textId="77777777" w:rsidR="006921CE" w:rsidRDefault="006921CE">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244CAF2E" w14:textId="77777777" w:rsidR="006921CE" w:rsidRDefault="006921CE">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2CE92BF0" w14:textId="77777777" w:rsidR="006921CE" w:rsidRDefault="006921CE">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084760D2" w14:textId="77777777" w:rsidR="006921CE" w:rsidRDefault="006921CE">
            <w:pPr>
              <w:jc w:val="center"/>
            </w:pPr>
            <w:r>
              <w:rPr>
                <w:rFonts w:asciiTheme="majorEastAsia" w:eastAsiaTheme="majorEastAsia" w:hAnsiTheme="majorEastAsia" w:hint="eastAsia"/>
              </w:rPr>
              <w:t xml:space="preserve">说明 </w:t>
            </w:r>
          </w:p>
        </w:tc>
      </w:tr>
      <w:tr w:rsidR="00D56498" w14:paraId="34014993" w14:textId="77777777">
        <w:trPr>
          <w:divId w:val="171639432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3B590" w14:textId="77777777" w:rsidR="006921CE" w:rsidRDefault="006921CE">
            <w:r>
              <w:rPr>
                <w:rFonts w:asciiTheme="majorEastAsia" w:eastAsiaTheme="majorEastAsia" w:hAnsiTheme="majorEastAsia" w:hint="eastAsia"/>
              </w:rPr>
              <w:t xml:space="preserve">Leon Goldfeld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94A93" w14:textId="77777777" w:rsidR="006921CE" w:rsidRDefault="006921CE">
            <w:r>
              <w:rPr>
                <w:rFonts w:asciiTheme="majorEastAsia" w:eastAsiaTheme="majorEastAsia" w:hAnsiTheme="majorEastAsia" w:hint="eastAsia"/>
              </w:rPr>
              <w:t>摩根资产管理(亚太)董事总经理，</w:t>
            </w:r>
            <w:proofErr w:type="gramStart"/>
            <w:r>
              <w:rPr>
                <w:rFonts w:asciiTheme="majorEastAsia" w:eastAsiaTheme="majorEastAsia" w:hAnsiTheme="majorEastAsia" w:hint="eastAsia"/>
              </w:rPr>
              <w:t>多资产</w:t>
            </w:r>
            <w:proofErr w:type="gramEnd"/>
            <w:r>
              <w:rPr>
                <w:rFonts w:asciiTheme="majorEastAsia" w:eastAsiaTheme="majorEastAsia" w:hAnsiTheme="majorEastAsia" w:hint="eastAsia"/>
              </w:rPr>
              <w:t>解决方案部资深投资组合经理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ECD83" w14:textId="77777777" w:rsidR="006921CE" w:rsidRDefault="006921CE">
            <w:r>
              <w:rPr>
                <w:rFonts w:asciiTheme="majorEastAsia" w:eastAsiaTheme="majorEastAsia" w:hAnsiTheme="majorEastAsia" w:hint="eastAsia"/>
              </w:rPr>
              <w:t>37年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EC17B" w14:textId="77777777" w:rsidR="006921CE" w:rsidRDefault="006921CE">
            <w:r>
              <w:rPr>
                <w:rFonts w:asciiTheme="majorEastAsia" w:eastAsiaTheme="majorEastAsia" w:hAnsiTheme="majorEastAsia" w:hint="eastAsia"/>
              </w:rPr>
              <w:t>Leon Goldfeld　（高礼行），董事总经理，摩根资产管理</w:t>
            </w:r>
            <w:proofErr w:type="gramStart"/>
            <w:r>
              <w:rPr>
                <w:rFonts w:asciiTheme="majorEastAsia" w:eastAsiaTheme="majorEastAsia" w:hAnsiTheme="majorEastAsia" w:hint="eastAsia"/>
              </w:rPr>
              <w:t>多资产</w:t>
            </w:r>
            <w:proofErr w:type="gramEnd"/>
            <w:r>
              <w:rPr>
                <w:rFonts w:asciiTheme="majorEastAsia" w:eastAsiaTheme="majorEastAsia" w:hAnsiTheme="majorEastAsia" w:hint="eastAsia"/>
              </w:rPr>
              <w:t>解决方案部资深投资组合经理，常驻香港。加入摩根资产管理前，Leon曾任东方汇理（香港）副首席投资官及亚洲</w:t>
            </w:r>
            <w:proofErr w:type="gramStart"/>
            <w:r>
              <w:rPr>
                <w:rFonts w:asciiTheme="majorEastAsia" w:eastAsiaTheme="majorEastAsia" w:hAnsiTheme="majorEastAsia" w:hint="eastAsia"/>
              </w:rPr>
              <w:t>多资产</w:t>
            </w:r>
            <w:proofErr w:type="gramEnd"/>
            <w:r>
              <w:rPr>
                <w:rFonts w:asciiTheme="majorEastAsia" w:eastAsiaTheme="majorEastAsia" w:hAnsiTheme="majorEastAsia" w:hint="eastAsia"/>
              </w:rPr>
              <w:t>投资部总监，高盛私人财富管理公司投资策略部董事总经理，汇</w:t>
            </w:r>
            <w:proofErr w:type="gramStart"/>
            <w:r>
              <w:rPr>
                <w:rFonts w:asciiTheme="majorEastAsia" w:eastAsiaTheme="majorEastAsia" w:hAnsiTheme="majorEastAsia" w:hint="eastAsia"/>
              </w:rPr>
              <w:t>丰全球</w:t>
            </w:r>
            <w:proofErr w:type="gramEnd"/>
            <w:r>
              <w:rPr>
                <w:rFonts w:asciiTheme="majorEastAsia" w:eastAsiaTheme="majorEastAsia" w:hAnsiTheme="majorEastAsia" w:hint="eastAsia"/>
              </w:rPr>
              <w:t>资产管理（香港）首席投资官，以及安盛投资管理香港地区首席投资官。</w:t>
            </w:r>
            <w:r>
              <w:rPr>
                <w:rFonts w:asciiTheme="majorEastAsia" w:eastAsiaTheme="majorEastAsia" w:hAnsiTheme="majorEastAsia" w:hint="eastAsia"/>
              </w:rPr>
              <w:br/>
              <w:t>Leon拥有墨尔本莫纳什大学计算机科学、会计与经济学专业的学士学位，并为一名特许金融分析师。</w:t>
            </w:r>
          </w:p>
        </w:tc>
      </w:tr>
    </w:tbl>
    <w:p w14:paraId="30706798" w14:textId="77777777" w:rsidR="006921CE" w:rsidRDefault="006921CE">
      <w:pPr>
        <w:pStyle w:val="XBRLTitle2"/>
        <w:spacing w:before="156" w:line="360" w:lineRule="auto"/>
        <w:ind w:left="454"/>
      </w:pPr>
      <w:bookmarkStart w:id="124" w:name="_Toc514088253"/>
      <w:bookmarkStart w:id="125" w:name="_Toc480465423"/>
      <w:bookmarkStart w:id="126" w:name="_Toc448480292"/>
      <w:bookmarkStart w:id="127" w:name="_Toc438654080"/>
      <w:bookmarkStart w:id="128" w:name="_Toc456107126"/>
      <w:bookmarkStart w:id="129" w:name="_Toc459213772"/>
      <w:bookmarkStart w:id="130" w:name="_Toc513542654"/>
      <w:bookmarkStart w:id="131" w:name="_Toc512696258"/>
      <w:bookmarkStart w:id="132" w:name="_Toc512612261"/>
      <w:bookmarkStart w:id="133" w:name="_Toc512612085"/>
      <w:bookmarkStart w:id="134" w:name="_Toc512611289"/>
      <w:bookmarkStart w:id="135" w:name="m403"/>
      <w:proofErr w:type="spellStart"/>
      <w:r>
        <w:rPr>
          <w:rFonts w:eastAsia="宋体" w:hint="eastAsia"/>
        </w:rPr>
        <w:t>报告期内本基金运作遵规守信情况说明</w:t>
      </w:r>
      <w:bookmarkEnd w:id="124"/>
      <w:bookmarkEnd w:id="125"/>
      <w:bookmarkEnd w:id="126"/>
      <w:bookmarkEnd w:id="127"/>
      <w:bookmarkEnd w:id="128"/>
      <w:bookmarkEnd w:id="129"/>
      <w:bookmarkEnd w:id="130"/>
      <w:bookmarkEnd w:id="131"/>
      <w:bookmarkEnd w:id="132"/>
      <w:bookmarkEnd w:id="133"/>
      <w:bookmarkEnd w:id="134"/>
      <w:proofErr w:type="spellEnd"/>
      <w:r>
        <w:rPr>
          <w:rFonts w:eastAsia="宋体" w:hint="eastAsia"/>
        </w:rPr>
        <w:t xml:space="preserve"> </w:t>
      </w:r>
    </w:p>
    <w:p w14:paraId="6342F35E" w14:textId="77777777" w:rsidR="006921CE" w:rsidRDefault="006921CE">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1A7F47BD" w14:textId="77777777" w:rsidR="006921CE" w:rsidRDefault="006921CE">
      <w:pPr>
        <w:pStyle w:val="XBRLTitle2"/>
        <w:spacing w:before="156" w:line="360" w:lineRule="auto"/>
        <w:ind w:left="454"/>
      </w:pPr>
      <w:bookmarkStart w:id="136" w:name="_Toc514088254"/>
      <w:bookmarkStart w:id="137" w:name="_Toc480465424"/>
      <w:bookmarkStart w:id="138" w:name="_Toc448480293"/>
      <w:bookmarkStart w:id="139" w:name="_Toc438654081"/>
      <w:bookmarkStart w:id="140" w:name="_Toc456107127"/>
      <w:bookmarkStart w:id="141" w:name="_Toc459213773"/>
      <w:bookmarkStart w:id="142" w:name="_Toc513542655"/>
      <w:bookmarkStart w:id="143" w:name="_Toc512696259"/>
      <w:bookmarkStart w:id="144" w:name="_Toc512612262"/>
      <w:bookmarkStart w:id="145" w:name="_Toc512612086"/>
      <w:bookmarkStart w:id="146" w:name="_Toc512611290"/>
      <w:bookmarkEnd w:id="135"/>
      <w:proofErr w:type="spellStart"/>
      <w:r>
        <w:rPr>
          <w:rFonts w:eastAsia="宋体" w:hint="eastAsia"/>
        </w:rPr>
        <w:t>公平交易专项说明</w:t>
      </w:r>
      <w:bookmarkEnd w:id="136"/>
      <w:bookmarkEnd w:id="137"/>
      <w:bookmarkEnd w:id="138"/>
      <w:bookmarkEnd w:id="139"/>
      <w:bookmarkEnd w:id="140"/>
      <w:bookmarkEnd w:id="141"/>
      <w:bookmarkEnd w:id="142"/>
      <w:bookmarkEnd w:id="143"/>
      <w:bookmarkEnd w:id="144"/>
      <w:bookmarkEnd w:id="145"/>
      <w:bookmarkEnd w:id="146"/>
      <w:proofErr w:type="spellEnd"/>
      <w:r>
        <w:rPr>
          <w:rFonts w:eastAsia="宋体" w:hint="eastAsia"/>
        </w:rPr>
        <w:t xml:space="preserve"> </w:t>
      </w:r>
    </w:p>
    <w:p w14:paraId="1FEFCCB8" w14:textId="77777777" w:rsidR="006921CE" w:rsidRDefault="006921CE">
      <w:pPr>
        <w:pStyle w:val="XBRLTitle3"/>
        <w:spacing w:before="156" w:line="360" w:lineRule="auto"/>
        <w:ind w:left="624"/>
      </w:pPr>
      <w:bookmarkStart w:id="147" w:name="_Toc514088255"/>
      <w:bookmarkStart w:id="148" w:name="_Toc480465425"/>
      <w:bookmarkStart w:id="149" w:name="_Toc513542656"/>
      <w:bookmarkStart w:id="150" w:name="m404_01_0570"/>
      <w:proofErr w:type="spellStart"/>
      <w:r>
        <w:rPr>
          <w:rFonts w:hAnsi="宋体" w:hint="eastAsia"/>
        </w:rPr>
        <w:t>公平交易制度的执行情况</w:t>
      </w:r>
      <w:bookmarkEnd w:id="147"/>
      <w:proofErr w:type="spellEnd"/>
      <w:r>
        <w:rPr>
          <w:rFonts w:hAnsi="宋体" w:hint="eastAsia"/>
        </w:rPr>
        <w:t xml:space="preserve"> </w:t>
      </w:r>
    </w:p>
    <w:p w14:paraId="4D8D6504" w14:textId="77777777" w:rsidR="006921CE" w:rsidRDefault="006921CE">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w:t>
      </w:r>
      <w:r>
        <w:rPr>
          <w:rFonts w:ascii="宋体" w:hAnsi="宋体" w:cs="宋体" w:hint="eastAsia"/>
          <w:color w:val="000000"/>
          <w:kern w:val="0"/>
        </w:rPr>
        <w:lastRenderedPageBreak/>
        <w:t xml:space="preserve">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446930CE" w14:textId="77777777" w:rsidR="006921CE" w:rsidRDefault="006921CE">
      <w:pPr>
        <w:pStyle w:val="XBRLTitle3"/>
        <w:spacing w:before="156" w:line="360" w:lineRule="auto"/>
        <w:ind w:left="624"/>
      </w:pPr>
      <w:bookmarkStart w:id="151" w:name="_Toc514088256"/>
      <w:bookmarkStart w:id="152" w:name="_Toc480465426"/>
      <w:bookmarkStart w:id="153" w:name="_Toc513542657"/>
      <w:bookmarkStart w:id="154" w:name="m404_01_0578"/>
      <w:proofErr w:type="spellStart"/>
      <w:r>
        <w:rPr>
          <w:rFonts w:hAnsi="宋体" w:hint="eastAsia"/>
        </w:rPr>
        <w:t>异常交易行为的专项说明</w:t>
      </w:r>
      <w:bookmarkEnd w:id="151"/>
      <w:proofErr w:type="spellEnd"/>
      <w:r>
        <w:rPr>
          <w:rFonts w:hAnsi="宋体" w:hint="eastAsia"/>
        </w:rPr>
        <w:t xml:space="preserve"> </w:t>
      </w:r>
    </w:p>
    <w:p w14:paraId="12822D53" w14:textId="77777777" w:rsidR="006921CE" w:rsidRDefault="006921C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7117E81" w14:textId="77777777" w:rsidR="006921CE" w:rsidRDefault="006921CE">
      <w:pPr>
        <w:pStyle w:val="XBRLTitle2"/>
        <w:spacing w:before="156" w:line="360" w:lineRule="auto"/>
        <w:ind w:left="454"/>
      </w:pPr>
      <w:bookmarkStart w:id="155" w:name="_Toc514088257"/>
      <w:bookmarkStart w:id="156" w:name="_Toc480465427"/>
      <w:bookmarkStart w:id="157" w:name="_Toc448480294"/>
      <w:bookmarkStart w:id="158" w:name="_Toc438654082"/>
      <w:bookmarkStart w:id="159" w:name="_Toc456107128"/>
      <w:bookmarkStart w:id="160" w:name="_Toc459213774"/>
      <w:bookmarkStart w:id="161" w:name="_Toc513542658"/>
      <w:bookmarkStart w:id="162" w:name="_Toc512696260"/>
      <w:bookmarkStart w:id="163" w:name="_Toc512612263"/>
      <w:bookmarkStart w:id="164" w:name="_Toc512612087"/>
      <w:bookmarkStart w:id="165" w:name="_Toc512611291"/>
      <w:proofErr w:type="spellStart"/>
      <w:r>
        <w:rPr>
          <w:rFonts w:eastAsia="宋体" w:hint="eastAsia"/>
        </w:rPr>
        <w:t>报告期内基金的投资策略和业绩表现说明</w:t>
      </w:r>
      <w:bookmarkEnd w:id="155"/>
      <w:bookmarkEnd w:id="156"/>
      <w:bookmarkEnd w:id="157"/>
      <w:bookmarkEnd w:id="158"/>
      <w:bookmarkEnd w:id="159"/>
      <w:bookmarkEnd w:id="160"/>
      <w:bookmarkEnd w:id="161"/>
      <w:bookmarkEnd w:id="162"/>
      <w:bookmarkEnd w:id="163"/>
      <w:bookmarkEnd w:id="164"/>
      <w:bookmarkEnd w:id="165"/>
      <w:proofErr w:type="spellEnd"/>
      <w:r>
        <w:rPr>
          <w:rFonts w:eastAsia="宋体" w:hint="eastAsia"/>
        </w:rPr>
        <w:t xml:space="preserve"> </w:t>
      </w:r>
    </w:p>
    <w:p w14:paraId="652EDAED" w14:textId="77777777" w:rsidR="006921CE" w:rsidRDefault="006921CE">
      <w:pPr>
        <w:pStyle w:val="XBRLTitle3"/>
        <w:spacing w:before="156" w:line="360" w:lineRule="auto"/>
        <w:ind w:left="624"/>
      </w:pPr>
      <w:bookmarkStart w:id="166" w:name="_Toc51408825711"/>
      <w:proofErr w:type="spellStart"/>
      <w:r>
        <w:rPr>
          <w:rFonts w:hAnsi="宋体" w:hint="eastAsia"/>
        </w:rPr>
        <w:t>报告期内基金投资策略和运作分析</w:t>
      </w:r>
      <w:bookmarkEnd w:id="166"/>
      <w:bookmarkEnd w:id="148"/>
      <w:bookmarkEnd w:id="149"/>
      <w:proofErr w:type="spellEnd"/>
      <w:r>
        <w:rPr>
          <w:rFonts w:hAnsi="宋体" w:hint="eastAsia"/>
        </w:rPr>
        <w:t xml:space="preserve"> </w:t>
      </w:r>
    </w:p>
    <w:p w14:paraId="51919B8D" w14:textId="77777777" w:rsidR="006921CE" w:rsidRDefault="006921CE">
      <w:pPr>
        <w:spacing w:line="360" w:lineRule="auto"/>
        <w:ind w:firstLineChars="200" w:firstLine="420"/>
        <w:divId w:val="162430512"/>
      </w:pPr>
      <w:r>
        <w:rPr>
          <w:rFonts w:ascii="宋体" w:hAnsi="宋体" w:hint="eastAsia"/>
          <w:color w:val="000000"/>
          <w:kern w:val="0"/>
          <w:szCs w:val="21"/>
          <w:lang w:eastAsia="zh-Hans"/>
        </w:rPr>
        <w:t>美国4月2日宣布了远超市场预期的对等关税计划，主要贸易伙伴的关税水平上涨了约10%-49%不等。尽管关税和通胀引起美国经济衰退概率上升的担忧，但是美国劳动力市场暂未表露出受关税升级和市场风险情绪恶化预期带来的拖累，年初以来经济基本面表现良好再次束缚了美联储的操作空间，鲍威尔继续表态美联储仍需观望，待经济形势明朗化再考虑进一步行动。美联储内部目前出现了分歧迹象，部分官员主张将关税的影响视为暂时现象，为降息留下空间。但大部分官员仍认为关税导致的通胀风险可能更为持久。</w:t>
      </w:r>
      <w:r>
        <w:rPr>
          <w:rFonts w:ascii="宋体" w:hAnsi="宋体" w:hint="eastAsia"/>
          <w:color w:val="000000"/>
          <w:kern w:val="0"/>
          <w:szCs w:val="21"/>
          <w:lang w:eastAsia="zh-Hans"/>
        </w:rPr>
        <w:br/>
        <w:t xml:space="preserve">　　对等关税90天暂停期于7月9日到期，目前还未有清晰线索可以预期各贸易伙伴于此日期前达成协议，特朗普政府极大概率将推迟对部分贸易伙伴的最后谈判期限。</w:t>
      </w:r>
      <w:r>
        <w:rPr>
          <w:rFonts w:ascii="宋体" w:hAnsi="宋体" w:hint="eastAsia"/>
          <w:color w:val="000000"/>
          <w:kern w:val="0"/>
          <w:szCs w:val="21"/>
          <w:lang w:eastAsia="zh-Hans"/>
        </w:rPr>
        <w:br/>
        <w:t xml:space="preserve">　　展望后市，当前的利率市场定价到2025年底时美国联邦基金利率或将达3.6%，即美联储或有2-3次降息。当前的投资组合的风险收益特征是合适的，鉴于地缘政治、关税谈判、美国财政预算等因素的复杂性和资产波动性加大的考虑，本着稳健的原则，基金在维持当前策略的同时会持续跟踪市场动态，详细分析，谨慎决策投资策略的调整方向。</w:t>
      </w:r>
      <w:r>
        <w:rPr>
          <w:rFonts w:ascii="宋体" w:hAnsi="宋体" w:hint="eastAsia"/>
          <w:color w:val="000000"/>
          <w:kern w:val="0"/>
          <w:szCs w:val="21"/>
          <w:lang w:eastAsia="zh-Hans"/>
        </w:rPr>
        <w:br/>
      </w:r>
      <w:r>
        <w:rPr>
          <w:rFonts w:ascii="宋体" w:hAnsi="宋体" w:hint="eastAsia"/>
          <w:color w:val="000000"/>
          <w:kern w:val="0"/>
          <w:szCs w:val="21"/>
          <w:lang w:eastAsia="zh-Hans"/>
        </w:rPr>
        <w:lastRenderedPageBreak/>
        <w:t xml:space="preserve">　　本基金在报告期内继续持有现金和短久期高流动性美元债券和中短久期债券资产。基金组合的平均久期为1年左右，穿透底层基金后以持有较高信用等级的国债和投资级信用债为主。稳健的持仓风格使得基金净值波动也比较小。</w:t>
      </w:r>
      <w:r>
        <w:rPr>
          <w:rFonts w:ascii="宋体" w:hAnsi="宋体" w:hint="eastAsia"/>
          <w:color w:val="000000"/>
          <w:kern w:val="0"/>
          <w:sz w:val="24"/>
        </w:rPr>
        <w:t xml:space="preserve"> </w:t>
      </w:r>
      <w:bookmarkEnd w:id="82"/>
    </w:p>
    <w:p w14:paraId="5A0947D0" w14:textId="77777777" w:rsidR="006921CE" w:rsidRDefault="006921CE">
      <w:pPr>
        <w:pStyle w:val="XBRLTitle3"/>
        <w:spacing w:before="156" w:line="360" w:lineRule="auto"/>
        <w:ind w:left="624"/>
      </w:pPr>
      <w:bookmarkStart w:id="167" w:name="_Toc51408825712"/>
      <w:bookmarkEnd w:id="150"/>
      <w:proofErr w:type="spellStart"/>
      <w:r>
        <w:rPr>
          <w:rFonts w:hAnsi="宋体" w:hint="eastAsia"/>
        </w:rPr>
        <w:t>报告期内基金的业绩表现</w:t>
      </w:r>
      <w:bookmarkEnd w:id="167"/>
      <w:bookmarkEnd w:id="152"/>
      <w:bookmarkEnd w:id="153"/>
      <w:proofErr w:type="spellEnd"/>
      <w:r>
        <w:rPr>
          <w:rFonts w:hAnsi="宋体" w:hint="eastAsia"/>
        </w:rPr>
        <w:t xml:space="preserve"> </w:t>
      </w:r>
    </w:p>
    <w:p w14:paraId="3114DD5E" w14:textId="77777777" w:rsidR="006921CE" w:rsidRDefault="006921CE">
      <w:pPr>
        <w:spacing w:line="360" w:lineRule="auto"/>
        <w:ind w:firstLineChars="200" w:firstLine="420"/>
        <w:jc w:val="left"/>
      </w:pPr>
      <w:r>
        <w:rPr>
          <w:rFonts w:ascii="宋体" w:hAnsi="宋体" w:cs="宋体" w:hint="eastAsia"/>
          <w:color w:val="000000"/>
          <w:kern w:val="0"/>
        </w:rPr>
        <w:t>本报告期摩根海外稳健配置混合(QDII-FOF)人民币A份额净值增长率为：0.59%，同期业绩比较基准收益率为：5.11%；</w:t>
      </w:r>
      <w:r>
        <w:rPr>
          <w:rFonts w:ascii="宋体" w:hAnsi="宋体" w:cs="宋体" w:hint="eastAsia"/>
          <w:color w:val="000000"/>
          <w:kern w:val="0"/>
        </w:rPr>
        <w:br/>
        <w:t xml:space="preserve">　　摩根海外稳健配置混合(QDII-FOF)人民币C份额净值增长率为：0.48%，同期业绩比较基准收益率为：5.11%。</w:t>
      </w:r>
      <w:bookmarkEnd w:id="154"/>
    </w:p>
    <w:p w14:paraId="087D1AB8" w14:textId="77777777" w:rsidR="006921CE" w:rsidRDefault="006921CE">
      <w:pPr>
        <w:pStyle w:val="XBRLTitle2"/>
        <w:spacing w:before="156" w:line="360" w:lineRule="auto"/>
        <w:ind w:left="454"/>
      </w:pPr>
      <w:bookmarkStart w:id="168" w:name="m405_01_2550"/>
      <w:bookmarkStart w:id="169" w:name="_Toc514088258"/>
      <w:bookmarkStart w:id="170" w:name="_Toc480465430"/>
      <w:bookmarkStart w:id="171" w:name="_Toc448480296"/>
      <w:bookmarkStart w:id="172" w:name="_Toc438654084"/>
      <w:bookmarkStart w:id="173" w:name="_Toc456107129"/>
      <w:bookmarkStart w:id="174" w:name="_Toc459213775"/>
      <w:bookmarkStart w:id="175" w:name="_Toc513542659"/>
      <w:bookmarkStart w:id="176" w:name="_Toc512696261"/>
      <w:bookmarkStart w:id="177" w:name="_Toc512612264"/>
      <w:bookmarkStart w:id="178" w:name="_Toc512612088"/>
      <w:bookmarkStart w:id="179" w:name="_Toc512611292"/>
      <w:bookmarkStart w:id="180" w:name="m407"/>
      <w:bookmarkEnd w:id="168"/>
      <w:proofErr w:type="spellStart"/>
      <w:r>
        <w:rPr>
          <w:rFonts w:eastAsia="宋体" w:hint="eastAsia"/>
        </w:rPr>
        <w:t>报告期内基金持有人数或基金资产净值预警说明</w:t>
      </w:r>
      <w:bookmarkEnd w:id="169"/>
      <w:bookmarkEnd w:id="170"/>
      <w:bookmarkEnd w:id="171"/>
      <w:bookmarkEnd w:id="172"/>
      <w:bookmarkEnd w:id="173"/>
      <w:bookmarkEnd w:id="174"/>
      <w:bookmarkEnd w:id="175"/>
      <w:bookmarkEnd w:id="176"/>
      <w:bookmarkEnd w:id="177"/>
      <w:bookmarkEnd w:id="178"/>
      <w:bookmarkEnd w:id="179"/>
      <w:proofErr w:type="spellEnd"/>
      <w:r>
        <w:rPr>
          <w:rFonts w:eastAsia="宋体" w:hint="eastAsia"/>
        </w:rPr>
        <w:t xml:space="preserve"> </w:t>
      </w:r>
    </w:p>
    <w:p w14:paraId="4276C7D4" w14:textId="77777777" w:rsidR="006921CE" w:rsidRDefault="006921CE">
      <w:pPr>
        <w:spacing w:line="360" w:lineRule="auto"/>
        <w:ind w:firstLineChars="200" w:firstLine="420"/>
        <w:jc w:val="left"/>
      </w:pPr>
      <w:r>
        <w:rPr>
          <w:rFonts w:ascii="宋体" w:hAnsi="宋体" w:hint="eastAsia"/>
        </w:rPr>
        <w:t>无。</w:t>
      </w:r>
    </w:p>
    <w:p w14:paraId="61DCF8B0" w14:textId="77777777" w:rsidR="006921CE" w:rsidRDefault="006921CE">
      <w:pPr>
        <w:pStyle w:val="XBRLTitle1"/>
        <w:spacing w:before="156"/>
        <w:ind w:left="425"/>
        <w:rPr>
          <w:rFonts w:hint="eastAsia"/>
        </w:rPr>
      </w:pPr>
      <w:bookmarkStart w:id="181" w:name="_Toc514088259"/>
      <w:bookmarkStart w:id="182" w:name="_Toc480465431"/>
      <w:bookmarkStart w:id="183" w:name="_Toc448480297"/>
      <w:bookmarkStart w:id="184" w:name="_Toc438654085"/>
      <w:bookmarkStart w:id="185" w:name="_Toc445826343"/>
      <w:bookmarkStart w:id="186" w:name="_Toc456107130"/>
      <w:bookmarkStart w:id="187" w:name="_Toc459213776"/>
      <w:bookmarkStart w:id="188" w:name="_Toc513542660"/>
      <w:bookmarkStart w:id="189" w:name="_Toc512696262"/>
      <w:bookmarkStart w:id="190" w:name="_Toc512612265"/>
      <w:bookmarkStart w:id="191" w:name="_Toc512612089"/>
      <w:bookmarkStart w:id="192" w:name="_Toc512611293"/>
      <w:bookmarkEnd w:id="180"/>
      <w:proofErr w:type="spellStart"/>
      <w:r>
        <w:rPr>
          <w:rFonts w:hint="eastAsia"/>
        </w:rPr>
        <w:t>投资组合报告</w:t>
      </w:r>
      <w:bookmarkEnd w:id="181"/>
      <w:bookmarkEnd w:id="182"/>
      <w:bookmarkEnd w:id="183"/>
      <w:bookmarkEnd w:id="184"/>
      <w:bookmarkEnd w:id="185"/>
      <w:bookmarkEnd w:id="186"/>
      <w:bookmarkEnd w:id="187"/>
      <w:bookmarkEnd w:id="188"/>
      <w:bookmarkEnd w:id="189"/>
      <w:bookmarkEnd w:id="190"/>
      <w:bookmarkEnd w:id="191"/>
      <w:bookmarkEnd w:id="192"/>
      <w:proofErr w:type="spellEnd"/>
    </w:p>
    <w:p w14:paraId="753D6E9F" w14:textId="77777777" w:rsidR="006921CE" w:rsidRDefault="006921CE">
      <w:pPr>
        <w:pStyle w:val="XBRLTitle2"/>
        <w:spacing w:before="156" w:line="360" w:lineRule="auto"/>
        <w:ind w:left="454"/>
      </w:pPr>
      <w:bookmarkStart w:id="193" w:name="_Toc514088260"/>
      <w:bookmarkStart w:id="194" w:name="_Toc480465432"/>
      <w:bookmarkStart w:id="195" w:name="_Toc448480298"/>
      <w:bookmarkStart w:id="196" w:name="_Toc438654086"/>
      <w:bookmarkStart w:id="197" w:name="_Toc456107131"/>
      <w:bookmarkStart w:id="198" w:name="_Toc459213777"/>
      <w:bookmarkStart w:id="199" w:name="_Toc513542661"/>
      <w:bookmarkStart w:id="200" w:name="_Toc512696263"/>
      <w:bookmarkStart w:id="201" w:name="_Toc512612266"/>
      <w:bookmarkStart w:id="202" w:name="_Toc512612090"/>
      <w:bookmarkStart w:id="203" w:name="_Toc512611294"/>
      <w:bookmarkStart w:id="204" w:name="m501"/>
      <w:proofErr w:type="spellStart"/>
      <w:r>
        <w:rPr>
          <w:rFonts w:eastAsia="宋体" w:hint="eastAsia"/>
        </w:rPr>
        <w:t>报告期末基金资产组合情况</w:t>
      </w:r>
      <w:bookmarkEnd w:id="193"/>
      <w:bookmarkEnd w:id="194"/>
      <w:bookmarkEnd w:id="195"/>
      <w:bookmarkEnd w:id="196"/>
      <w:bookmarkEnd w:id="197"/>
      <w:bookmarkEnd w:id="198"/>
      <w:proofErr w:type="spellEnd"/>
      <w:r>
        <w:rPr>
          <w:rFonts w:hint="eastAsia"/>
        </w:rPr>
        <w:t xml:space="preserve"> </w:t>
      </w:r>
      <w:bookmarkEnd w:id="199"/>
      <w:bookmarkEnd w:id="200"/>
      <w:bookmarkEnd w:id="201"/>
      <w:bookmarkEnd w:id="202"/>
      <w:bookmarkEnd w:id="203"/>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3"/>
        <w:gridCol w:w="2375"/>
        <w:gridCol w:w="2355"/>
      </w:tblGrid>
      <w:tr w:rsidR="00D56498" w14:paraId="7087BD6A"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C9BF2C" w14:textId="77777777" w:rsidR="006921CE" w:rsidRDefault="006921CE">
            <w:pPr>
              <w:jc w:val="center"/>
            </w:pPr>
            <w:bookmarkStart w:id="205" w:name="m08QD_01_tab"/>
            <w:bookmarkStart w:id="206" w:name="OLE_LINK41"/>
            <w:bookmarkStart w:id="207" w:name="OLE_LINK42"/>
            <w:bookmarkStart w:id="208" w:name="OLE_LINK45"/>
            <w:bookmarkStart w:id="209" w:name="OLE_LINK46"/>
            <w:bookmarkEnd w:id="205"/>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14:paraId="66B7ED19" w14:textId="77777777" w:rsidR="006921CE" w:rsidRDefault="006921CE">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14:paraId="390FCA6C" w14:textId="77777777" w:rsidR="006921CE" w:rsidRDefault="006921CE">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14:paraId="2DD5721E" w14:textId="77777777" w:rsidR="006921CE" w:rsidRDefault="006921C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D56498" w14:paraId="0673CBD4"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27A8784" w14:textId="77777777" w:rsidR="006921CE" w:rsidRDefault="006921CE">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14:paraId="51AD9E1B" w14:textId="77777777" w:rsidR="006921CE" w:rsidRDefault="006921C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C9752C5"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44F04B1" w14:textId="77777777" w:rsidR="006921CE" w:rsidRDefault="006921CE">
            <w:pPr>
              <w:jc w:val="right"/>
            </w:pPr>
            <w:r>
              <w:rPr>
                <w:rFonts w:ascii="宋体" w:hAnsi="宋体" w:hint="eastAsia"/>
                <w:szCs w:val="24"/>
                <w:lang w:eastAsia="zh-Hans"/>
              </w:rPr>
              <w:t>-</w:t>
            </w:r>
          </w:p>
        </w:tc>
      </w:tr>
      <w:tr w:rsidR="00D56498" w14:paraId="5682C7B7"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35F291B"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4B8C747" w14:textId="77777777" w:rsidR="006921CE" w:rsidRDefault="006921CE">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FC1B9CD"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6019A22" w14:textId="77777777" w:rsidR="006921CE" w:rsidRDefault="006921CE">
            <w:pPr>
              <w:jc w:val="right"/>
            </w:pPr>
            <w:r>
              <w:rPr>
                <w:rFonts w:ascii="宋体" w:hAnsi="宋体" w:hint="eastAsia"/>
                <w:szCs w:val="24"/>
                <w:lang w:eastAsia="zh-Hans"/>
              </w:rPr>
              <w:t>-</w:t>
            </w:r>
          </w:p>
        </w:tc>
      </w:tr>
      <w:tr w:rsidR="00D56498" w14:paraId="14E64BD0"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234AE9D"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A1BB5E4" w14:textId="77777777" w:rsidR="006921CE" w:rsidRDefault="006921CE">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41DEB95"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AE3815B" w14:textId="77777777" w:rsidR="006921CE" w:rsidRDefault="006921CE">
            <w:pPr>
              <w:jc w:val="right"/>
            </w:pPr>
            <w:r>
              <w:rPr>
                <w:rFonts w:ascii="宋体" w:hAnsi="宋体" w:hint="eastAsia"/>
                <w:szCs w:val="24"/>
                <w:lang w:eastAsia="zh-Hans"/>
              </w:rPr>
              <w:t>-</w:t>
            </w:r>
          </w:p>
        </w:tc>
      </w:tr>
      <w:tr w:rsidR="00D56498" w14:paraId="35DCF486"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1F7368A"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3F42D03" w14:textId="77777777" w:rsidR="006921CE" w:rsidRDefault="006921CE">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96FC6F9"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031141A" w14:textId="77777777" w:rsidR="006921CE" w:rsidRDefault="006921CE">
            <w:pPr>
              <w:jc w:val="right"/>
            </w:pPr>
            <w:r>
              <w:rPr>
                <w:rFonts w:ascii="宋体" w:hAnsi="宋体" w:hint="eastAsia"/>
                <w:szCs w:val="24"/>
                <w:lang w:eastAsia="zh-Hans"/>
              </w:rPr>
              <w:t>-</w:t>
            </w:r>
          </w:p>
        </w:tc>
      </w:tr>
      <w:tr w:rsidR="00D56498" w14:paraId="174E1F05"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89D92AA"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501089BB" w14:textId="77777777" w:rsidR="006921CE" w:rsidRDefault="006921CE">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5809C15"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1F0A09A" w14:textId="77777777" w:rsidR="006921CE" w:rsidRDefault="006921CE">
            <w:pPr>
              <w:jc w:val="right"/>
            </w:pPr>
            <w:r>
              <w:rPr>
                <w:rFonts w:ascii="宋体" w:hAnsi="宋体" w:hint="eastAsia"/>
                <w:szCs w:val="24"/>
                <w:lang w:eastAsia="zh-Hans"/>
              </w:rPr>
              <w:t>-</w:t>
            </w:r>
          </w:p>
        </w:tc>
      </w:tr>
      <w:tr w:rsidR="00D56498" w14:paraId="363C7092"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B08CBF3" w14:textId="77777777" w:rsidR="006921CE" w:rsidRDefault="006921CE">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14:paraId="0B84E78C" w14:textId="77777777" w:rsidR="006921CE" w:rsidRDefault="006921C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4B3972B" w14:textId="77777777" w:rsidR="006921CE" w:rsidRDefault="006921CE">
            <w:pPr>
              <w:jc w:val="right"/>
            </w:pPr>
            <w:r>
              <w:rPr>
                <w:rFonts w:ascii="宋体" w:hAnsi="宋体" w:hint="eastAsia"/>
                <w:szCs w:val="24"/>
                <w:lang w:eastAsia="zh-Hans"/>
              </w:rPr>
              <w:t>1,816,057,752.97</w:t>
            </w:r>
          </w:p>
        </w:tc>
        <w:tc>
          <w:tcPr>
            <w:tcW w:w="2373" w:type="dxa"/>
            <w:tcBorders>
              <w:top w:val="single" w:sz="4" w:space="0" w:color="auto"/>
              <w:left w:val="nil"/>
              <w:bottom w:val="single" w:sz="4" w:space="0" w:color="auto"/>
              <w:right w:val="single" w:sz="4" w:space="0" w:color="auto"/>
            </w:tcBorders>
            <w:vAlign w:val="center"/>
            <w:hideMark/>
          </w:tcPr>
          <w:p w14:paraId="78BAEDA9" w14:textId="77777777" w:rsidR="006921CE" w:rsidRDefault="006921CE">
            <w:pPr>
              <w:jc w:val="right"/>
            </w:pPr>
            <w:r>
              <w:rPr>
                <w:rFonts w:ascii="宋体" w:hAnsi="宋体" w:hint="eastAsia"/>
                <w:szCs w:val="24"/>
                <w:lang w:eastAsia="zh-Hans"/>
              </w:rPr>
              <w:t>84.27</w:t>
            </w:r>
          </w:p>
        </w:tc>
      </w:tr>
      <w:tr w:rsidR="00D56498" w14:paraId="1936B4B1"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7B75466" w14:textId="77777777" w:rsidR="006921CE" w:rsidRDefault="006921CE">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14:paraId="5F2DB235" w14:textId="77777777" w:rsidR="006921CE" w:rsidRDefault="006921C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71A7D55" w14:textId="77777777" w:rsidR="006921CE" w:rsidRDefault="006921CE">
            <w:pPr>
              <w:jc w:val="right"/>
            </w:pPr>
            <w:r>
              <w:rPr>
                <w:rFonts w:ascii="宋体" w:hAnsi="宋体" w:hint="eastAsia"/>
                <w:szCs w:val="24"/>
                <w:lang w:eastAsia="zh-Hans"/>
              </w:rPr>
              <w:t>105,288,204.93</w:t>
            </w:r>
          </w:p>
        </w:tc>
        <w:tc>
          <w:tcPr>
            <w:tcW w:w="2373" w:type="dxa"/>
            <w:tcBorders>
              <w:top w:val="single" w:sz="4" w:space="0" w:color="auto"/>
              <w:left w:val="nil"/>
              <w:bottom w:val="single" w:sz="4" w:space="0" w:color="auto"/>
              <w:right w:val="single" w:sz="4" w:space="0" w:color="auto"/>
            </w:tcBorders>
            <w:vAlign w:val="center"/>
            <w:hideMark/>
          </w:tcPr>
          <w:p w14:paraId="4E471D2A" w14:textId="77777777" w:rsidR="006921CE" w:rsidRDefault="006921CE">
            <w:pPr>
              <w:jc w:val="right"/>
            </w:pPr>
            <w:r>
              <w:rPr>
                <w:rFonts w:ascii="宋体" w:hAnsi="宋体" w:hint="eastAsia"/>
                <w:szCs w:val="24"/>
                <w:lang w:eastAsia="zh-Hans"/>
              </w:rPr>
              <w:t>4.89</w:t>
            </w:r>
          </w:p>
        </w:tc>
      </w:tr>
      <w:tr w:rsidR="00D56498" w14:paraId="6DFA7DEA"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2BEBB5F"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A2719E1" w14:textId="77777777" w:rsidR="006921CE" w:rsidRDefault="006921C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918BBEE" w14:textId="77777777" w:rsidR="006921CE" w:rsidRDefault="006921CE">
            <w:pPr>
              <w:jc w:val="right"/>
            </w:pPr>
            <w:r>
              <w:rPr>
                <w:rFonts w:ascii="宋体" w:hAnsi="宋体" w:hint="eastAsia"/>
                <w:szCs w:val="24"/>
                <w:lang w:eastAsia="zh-Hans"/>
              </w:rPr>
              <w:t>105,288,204.93</w:t>
            </w:r>
          </w:p>
        </w:tc>
        <w:tc>
          <w:tcPr>
            <w:tcW w:w="2373" w:type="dxa"/>
            <w:tcBorders>
              <w:top w:val="single" w:sz="4" w:space="0" w:color="auto"/>
              <w:left w:val="nil"/>
              <w:bottom w:val="single" w:sz="4" w:space="0" w:color="auto"/>
              <w:right w:val="single" w:sz="4" w:space="0" w:color="auto"/>
            </w:tcBorders>
            <w:vAlign w:val="center"/>
            <w:hideMark/>
          </w:tcPr>
          <w:p w14:paraId="24EE8895" w14:textId="77777777" w:rsidR="006921CE" w:rsidRDefault="006921CE">
            <w:pPr>
              <w:jc w:val="right"/>
            </w:pPr>
            <w:r>
              <w:rPr>
                <w:rFonts w:ascii="宋体" w:hAnsi="宋体" w:hint="eastAsia"/>
                <w:szCs w:val="24"/>
                <w:lang w:eastAsia="zh-Hans"/>
              </w:rPr>
              <w:t>4.89</w:t>
            </w:r>
          </w:p>
        </w:tc>
      </w:tr>
      <w:tr w:rsidR="00D56498" w14:paraId="561D56D5"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DBD6648"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6099DC4" w14:textId="77777777" w:rsidR="006921CE" w:rsidRDefault="006921CE">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9F6383A"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5D7E29C" w14:textId="77777777" w:rsidR="006921CE" w:rsidRDefault="006921CE">
            <w:pPr>
              <w:jc w:val="right"/>
            </w:pPr>
            <w:r>
              <w:rPr>
                <w:rFonts w:ascii="宋体" w:hAnsi="宋体" w:hint="eastAsia"/>
                <w:szCs w:val="24"/>
                <w:lang w:eastAsia="zh-Hans"/>
              </w:rPr>
              <w:t>-</w:t>
            </w:r>
          </w:p>
        </w:tc>
      </w:tr>
      <w:tr w:rsidR="00D56498" w14:paraId="18FF8062"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E991341" w14:textId="77777777" w:rsidR="006921CE" w:rsidRDefault="006921CE">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14:paraId="11847158" w14:textId="77777777" w:rsidR="006921CE" w:rsidRDefault="006921C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0FCF072"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2A11717" w14:textId="77777777" w:rsidR="006921CE" w:rsidRDefault="006921CE">
            <w:pPr>
              <w:jc w:val="right"/>
            </w:pPr>
            <w:r>
              <w:rPr>
                <w:rFonts w:ascii="宋体" w:hAnsi="宋体" w:hint="eastAsia"/>
                <w:szCs w:val="24"/>
                <w:lang w:eastAsia="zh-Hans"/>
              </w:rPr>
              <w:t>-</w:t>
            </w:r>
          </w:p>
        </w:tc>
      </w:tr>
      <w:tr w:rsidR="00D56498" w14:paraId="17E314C3"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CECFDD4"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AD279C5" w14:textId="77777777" w:rsidR="006921CE" w:rsidRDefault="006921CE">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796468C"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B1D2361" w14:textId="77777777" w:rsidR="006921CE" w:rsidRDefault="006921CE">
            <w:pPr>
              <w:jc w:val="right"/>
            </w:pPr>
            <w:r>
              <w:rPr>
                <w:rFonts w:ascii="宋体" w:hAnsi="宋体" w:hint="eastAsia"/>
                <w:szCs w:val="24"/>
                <w:lang w:eastAsia="zh-Hans"/>
              </w:rPr>
              <w:t>-</w:t>
            </w:r>
          </w:p>
        </w:tc>
      </w:tr>
      <w:tr w:rsidR="00D56498" w14:paraId="578A0EF1"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DA02C1E"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4C96C58" w14:textId="77777777" w:rsidR="006921CE" w:rsidRDefault="006921CE">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E4E1FBF"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624A991" w14:textId="77777777" w:rsidR="006921CE" w:rsidRDefault="006921CE">
            <w:pPr>
              <w:jc w:val="right"/>
            </w:pPr>
            <w:r>
              <w:rPr>
                <w:rFonts w:ascii="宋体" w:hAnsi="宋体" w:hint="eastAsia"/>
                <w:szCs w:val="24"/>
                <w:lang w:eastAsia="zh-Hans"/>
              </w:rPr>
              <w:t>-</w:t>
            </w:r>
          </w:p>
        </w:tc>
      </w:tr>
      <w:tr w:rsidR="00D56498" w14:paraId="394BA373"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66C29A3"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5E86363E" w14:textId="77777777" w:rsidR="006921CE" w:rsidRDefault="006921CE">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DDBD52B"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58DBAFF" w14:textId="77777777" w:rsidR="006921CE" w:rsidRDefault="006921CE">
            <w:pPr>
              <w:jc w:val="right"/>
            </w:pPr>
            <w:r>
              <w:rPr>
                <w:rFonts w:ascii="宋体" w:hAnsi="宋体" w:hint="eastAsia"/>
                <w:szCs w:val="24"/>
                <w:lang w:eastAsia="zh-Hans"/>
              </w:rPr>
              <w:t>-</w:t>
            </w:r>
          </w:p>
        </w:tc>
      </w:tr>
      <w:tr w:rsidR="00D56498" w14:paraId="09D05DBD"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5CA5250"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5DC4913D" w14:textId="77777777" w:rsidR="006921CE" w:rsidRDefault="006921CE">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904CA9E"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7DDFA19" w14:textId="77777777" w:rsidR="006921CE" w:rsidRDefault="006921CE">
            <w:pPr>
              <w:jc w:val="right"/>
            </w:pPr>
            <w:r>
              <w:rPr>
                <w:rFonts w:ascii="宋体" w:hAnsi="宋体" w:hint="eastAsia"/>
                <w:szCs w:val="24"/>
                <w:lang w:eastAsia="zh-Hans"/>
              </w:rPr>
              <w:t>-</w:t>
            </w:r>
          </w:p>
        </w:tc>
      </w:tr>
      <w:tr w:rsidR="00D56498" w14:paraId="53EE41F4"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9A8C82C" w14:textId="77777777" w:rsidR="006921CE" w:rsidRDefault="006921CE">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14:paraId="7B13EF69" w14:textId="77777777" w:rsidR="006921CE" w:rsidRDefault="006921C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6D48E86" w14:textId="77777777" w:rsidR="006921CE" w:rsidRDefault="006921CE">
            <w:pPr>
              <w:jc w:val="right"/>
            </w:pPr>
            <w:r>
              <w:rPr>
                <w:rFonts w:ascii="宋体" w:hAnsi="宋体" w:hint="eastAsia"/>
                <w:szCs w:val="24"/>
                <w:lang w:eastAsia="zh-Hans"/>
              </w:rPr>
              <w:t>160,066,108.16</w:t>
            </w:r>
          </w:p>
        </w:tc>
        <w:tc>
          <w:tcPr>
            <w:tcW w:w="2373" w:type="dxa"/>
            <w:tcBorders>
              <w:top w:val="single" w:sz="4" w:space="0" w:color="auto"/>
              <w:left w:val="nil"/>
              <w:bottom w:val="single" w:sz="4" w:space="0" w:color="auto"/>
              <w:right w:val="single" w:sz="4" w:space="0" w:color="auto"/>
            </w:tcBorders>
            <w:vAlign w:val="center"/>
            <w:hideMark/>
          </w:tcPr>
          <w:p w14:paraId="636C7C6D" w14:textId="77777777" w:rsidR="006921CE" w:rsidRDefault="006921CE">
            <w:pPr>
              <w:jc w:val="right"/>
            </w:pPr>
            <w:r>
              <w:rPr>
                <w:rFonts w:ascii="宋体" w:hAnsi="宋体" w:hint="eastAsia"/>
                <w:szCs w:val="24"/>
                <w:lang w:eastAsia="zh-Hans"/>
              </w:rPr>
              <w:t>7.43</w:t>
            </w:r>
          </w:p>
        </w:tc>
      </w:tr>
      <w:tr w:rsidR="00D56498" w14:paraId="756FF8B3"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6651E1B" w14:textId="77777777" w:rsidR="006921CE" w:rsidRDefault="006921C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040E44D" w14:textId="77777777" w:rsidR="006921CE" w:rsidRDefault="006921C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483266D"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666163C" w14:textId="77777777" w:rsidR="006921CE" w:rsidRDefault="006921CE">
            <w:pPr>
              <w:jc w:val="right"/>
            </w:pPr>
            <w:r>
              <w:rPr>
                <w:rFonts w:ascii="宋体" w:hAnsi="宋体" w:hint="eastAsia"/>
                <w:szCs w:val="24"/>
                <w:lang w:eastAsia="zh-Hans"/>
              </w:rPr>
              <w:t>-</w:t>
            </w:r>
          </w:p>
        </w:tc>
      </w:tr>
      <w:tr w:rsidR="00D56498" w14:paraId="301D6187"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3A4E35C" w14:textId="77777777" w:rsidR="006921CE" w:rsidRDefault="006921CE">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14:paraId="47B335D6" w14:textId="77777777" w:rsidR="006921CE" w:rsidRDefault="006921CE">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1251E6C" w14:textId="77777777" w:rsidR="006921CE" w:rsidRDefault="006921C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80CDA3E" w14:textId="77777777" w:rsidR="006921CE" w:rsidRDefault="006921CE">
            <w:pPr>
              <w:jc w:val="right"/>
            </w:pPr>
            <w:r>
              <w:rPr>
                <w:rFonts w:ascii="宋体" w:hAnsi="宋体" w:hint="eastAsia"/>
                <w:szCs w:val="24"/>
                <w:lang w:eastAsia="zh-Hans"/>
              </w:rPr>
              <w:t>-</w:t>
            </w:r>
          </w:p>
        </w:tc>
      </w:tr>
      <w:tr w:rsidR="00D56498" w14:paraId="4438F9F1"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2334C2F" w14:textId="77777777" w:rsidR="006921CE" w:rsidRDefault="006921CE">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14:paraId="34FEA69A" w14:textId="77777777" w:rsidR="006921CE" w:rsidRDefault="006921C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84A41C8" w14:textId="77777777" w:rsidR="006921CE" w:rsidRDefault="006921CE">
            <w:pPr>
              <w:jc w:val="right"/>
            </w:pPr>
            <w:r>
              <w:rPr>
                <w:rFonts w:ascii="宋体" w:hAnsi="宋体" w:hint="eastAsia"/>
                <w:szCs w:val="24"/>
                <w:lang w:eastAsia="zh-Hans"/>
              </w:rPr>
              <w:t>65,461,691.65</w:t>
            </w:r>
          </w:p>
        </w:tc>
        <w:tc>
          <w:tcPr>
            <w:tcW w:w="2373" w:type="dxa"/>
            <w:tcBorders>
              <w:top w:val="single" w:sz="4" w:space="0" w:color="auto"/>
              <w:left w:val="nil"/>
              <w:bottom w:val="single" w:sz="4" w:space="0" w:color="auto"/>
              <w:right w:val="single" w:sz="4" w:space="0" w:color="auto"/>
            </w:tcBorders>
            <w:vAlign w:val="center"/>
            <w:hideMark/>
          </w:tcPr>
          <w:p w14:paraId="43CA5558" w14:textId="77777777" w:rsidR="006921CE" w:rsidRDefault="006921CE">
            <w:pPr>
              <w:jc w:val="right"/>
            </w:pPr>
            <w:r>
              <w:rPr>
                <w:rFonts w:ascii="宋体" w:hAnsi="宋体" w:hint="eastAsia"/>
                <w:szCs w:val="24"/>
                <w:lang w:eastAsia="zh-Hans"/>
              </w:rPr>
              <w:t>3.04</w:t>
            </w:r>
          </w:p>
        </w:tc>
      </w:tr>
      <w:tr w:rsidR="00D56498" w14:paraId="1AE025D2"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8D97EBF" w14:textId="77777777" w:rsidR="006921CE" w:rsidRDefault="006921CE">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14:paraId="2AE04A51" w14:textId="77777777" w:rsidR="006921CE" w:rsidRDefault="006921C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98FD299" w14:textId="77777777" w:rsidR="006921CE" w:rsidRDefault="006921CE">
            <w:pPr>
              <w:jc w:val="right"/>
            </w:pPr>
            <w:r>
              <w:rPr>
                <w:rFonts w:ascii="宋体" w:hAnsi="宋体" w:hint="eastAsia"/>
                <w:szCs w:val="24"/>
                <w:lang w:eastAsia="zh-Hans"/>
              </w:rPr>
              <w:t>8,119,277.06</w:t>
            </w:r>
          </w:p>
        </w:tc>
        <w:tc>
          <w:tcPr>
            <w:tcW w:w="2373" w:type="dxa"/>
            <w:tcBorders>
              <w:top w:val="single" w:sz="4" w:space="0" w:color="auto"/>
              <w:left w:val="nil"/>
              <w:bottom w:val="single" w:sz="4" w:space="0" w:color="auto"/>
              <w:right w:val="single" w:sz="4" w:space="0" w:color="auto"/>
            </w:tcBorders>
            <w:vAlign w:val="center"/>
            <w:hideMark/>
          </w:tcPr>
          <w:p w14:paraId="1D8F3B3C" w14:textId="77777777" w:rsidR="006921CE" w:rsidRDefault="006921CE">
            <w:pPr>
              <w:jc w:val="right"/>
            </w:pPr>
            <w:r>
              <w:rPr>
                <w:rFonts w:ascii="宋体" w:hAnsi="宋体" w:hint="eastAsia"/>
                <w:szCs w:val="24"/>
                <w:lang w:eastAsia="zh-Hans"/>
              </w:rPr>
              <w:t>0.38</w:t>
            </w:r>
          </w:p>
        </w:tc>
      </w:tr>
      <w:tr w:rsidR="00D56498" w14:paraId="79B094E2" w14:textId="77777777">
        <w:trPr>
          <w:divId w:val="46019577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417A589" w14:textId="77777777" w:rsidR="006921CE" w:rsidRDefault="006921CE">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14:paraId="3A362DBF" w14:textId="77777777" w:rsidR="006921CE" w:rsidRDefault="006921C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B85BBF9" w14:textId="77777777" w:rsidR="006921CE" w:rsidRDefault="006921CE">
            <w:pPr>
              <w:jc w:val="right"/>
            </w:pPr>
            <w:r>
              <w:rPr>
                <w:rFonts w:ascii="宋体" w:hAnsi="宋体" w:hint="eastAsia"/>
                <w:szCs w:val="24"/>
                <w:lang w:eastAsia="zh-Hans"/>
              </w:rPr>
              <w:t>2,154,993,034.77</w:t>
            </w:r>
          </w:p>
        </w:tc>
        <w:tc>
          <w:tcPr>
            <w:tcW w:w="2373" w:type="dxa"/>
            <w:tcBorders>
              <w:top w:val="single" w:sz="4" w:space="0" w:color="auto"/>
              <w:left w:val="nil"/>
              <w:bottom w:val="single" w:sz="4" w:space="0" w:color="auto"/>
              <w:right w:val="single" w:sz="4" w:space="0" w:color="auto"/>
            </w:tcBorders>
            <w:vAlign w:val="center"/>
            <w:hideMark/>
          </w:tcPr>
          <w:p w14:paraId="64891326" w14:textId="77777777" w:rsidR="006921CE" w:rsidRDefault="006921CE">
            <w:pPr>
              <w:jc w:val="right"/>
            </w:pPr>
            <w:r>
              <w:rPr>
                <w:rFonts w:ascii="宋体" w:hAnsi="宋体" w:hint="eastAsia"/>
                <w:szCs w:val="24"/>
                <w:lang w:eastAsia="zh-Hans"/>
              </w:rPr>
              <w:t>100.00</w:t>
            </w:r>
          </w:p>
        </w:tc>
      </w:tr>
    </w:tbl>
    <w:p w14:paraId="064C9A84" w14:textId="77777777" w:rsidR="006921CE" w:rsidRDefault="006921CE">
      <w:pPr>
        <w:pStyle w:val="XBRLTitle2"/>
        <w:spacing w:before="156" w:line="360" w:lineRule="auto"/>
        <w:ind w:left="454"/>
      </w:pPr>
      <w:bookmarkStart w:id="210" w:name="_Toc514088261"/>
      <w:bookmarkStart w:id="211" w:name="_Toc480465433"/>
      <w:bookmarkStart w:id="212" w:name="_Toc448480299"/>
      <w:bookmarkStart w:id="213" w:name="_Toc438654087"/>
      <w:bookmarkStart w:id="214" w:name="_Toc456107132"/>
      <w:bookmarkStart w:id="215" w:name="_Toc459213778"/>
      <w:bookmarkStart w:id="216" w:name="_Toc513542662"/>
      <w:bookmarkStart w:id="217" w:name="_Toc512696264"/>
      <w:bookmarkStart w:id="218" w:name="_Toc512612267"/>
      <w:bookmarkStart w:id="219" w:name="_Toc512612091"/>
      <w:bookmarkStart w:id="220" w:name="_Toc512611295"/>
      <w:bookmarkEnd w:id="204"/>
      <w:proofErr w:type="spellStart"/>
      <w:r>
        <w:rPr>
          <w:rFonts w:eastAsia="宋体" w:hint="eastAsia"/>
        </w:rPr>
        <w:lastRenderedPageBreak/>
        <w:t>报告期末在各个国家（地区）证券市场的股票及存托凭证投资分布</w:t>
      </w:r>
      <w:bookmarkEnd w:id="210"/>
      <w:bookmarkEnd w:id="211"/>
      <w:bookmarkEnd w:id="212"/>
      <w:bookmarkEnd w:id="213"/>
      <w:bookmarkEnd w:id="214"/>
      <w:bookmarkEnd w:id="215"/>
      <w:proofErr w:type="spellEnd"/>
      <w:r>
        <w:rPr>
          <w:rFonts w:hint="eastAsia"/>
        </w:rPr>
        <w:t xml:space="preserve"> </w:t>
      </w:r>
      <w:bookmarkEnd w:id="216"/>
      <w:bookmarkEnd w:id="217"/>
      <w:bookmarkEnd w:id="218"/>
      <w:bookmarkEnd w:id="219"/>
      <w:bookmarkEnd w:id="220"/>
    </w:p>
    <w:p w14:paraId="43D06988" w14:textId="77777777" w:rsidR="006921CE" w:rsidRDefault="006921CE">
      <w:pPr>
        <w:spacing w:line="360" w:lineRule="auto"/>
        <w:ind w:firstLineChars="200" w:firstLine="420"/>
        <w:jc w:val="left"/>
      </w:pPr>
      <w:r>
        <w:rPr>
          <w:rFonts w:ascii="宋体" w:hAnsi="宋体" w:hint="eastAsia"/>
        </w:rPr>
        <w:t>本基金本报告期末未持有股票及存托凭证。</w:t>
      </w:r>
    </w:p>
    <w:p w14:paraId="2D6D6D5C" w14:textId="77777777" w:rsidR="006921CE" w:rsidRDefault="006921CE">
      <w:pPr>
        <w:pStyle w:val="XBRLTitle2"/>
        <w:spacing w:before="156" w:line="360" w:lineRule="auto"/>
        <w:ind w:left="454"/>
      </w:pPr>
      <w:bookmarkStart w:id="221" w:name="m502_tab"/>
      <w:bookmarkStart w:id="222" w:name="_Toc514088262"/>
      <w:bookmarkStart w:id="223" w:name="_Toc480465434"/>
      <w:bookmarkStart w:id="224" w:name="_Toc448480300"/>
      <w:bookmarkStart w:id="225" w:name="_Toc438654088"/>
      <w:bookmarkStart w:id="226" w:name="_Toc456107133"/>
      <w:bookmarkStart w:id="227" w:name="_Toc459213779"/>
      <w:bookmarkStart w:id="228" w:name="_Toc513542663"/>
      <w:bookmarkStart w:id="229" w:name="_Toc512696265"/>
      <w:bookmarkStart w:id="230" w:name="_Toc512612268"/>
      <w:bookmarkStart w:id="231" w:name="_Toc512612092"/>
      <w:bookmarkStart w:id="232" w:name="_Toc512611296"/>
      <w:bookmarkStart w:id="233" w:name="m503"/>
      <w:bookmarkEnd w:id="221"/>
      <w:proofErr w:type="spellStart"/>
      <w:r>
        <w:rPr>
          <w:rFonts w:eastAsia="宋体" w:hint="eastAsia"/>
        </w:rPr>
        <w:t>报告期末按行业分类的股票及存托凭证投资组合</w:t>
      </w:r>
      <w:bookmarkEnd w:id="222"/>
      <w:bookmarkEnd w:id="223"/>
      <w:bookmarkEnd w:id="224"/>
      <w:bookmarkEnd w:id="225"/>
      <w:bookmarkEnd w:id="226"/>
      <w:bookmarkEnd w:id="227"/>
      <w:proofErr w:type="spellEnd"/>
      <w:r>
        <w:rPr>
          <w:rFonts w:hint="eastAsia"/>
        </w:rPr>
        <w:t xml:space="preserve"> </w:t>
      </w:r>
      <w:bookmarkEnd w:id="228"/>
      <w:bookmarkEnd w:id="229"/>
      <w:bookmarkEnd w:id="230"/>
      <w:bookmarkEnd w:id="231"/>
      <w:bookmarkEnd w:id="232"/>
    </w:p>
    <w:p w14:paraId="5A092BED" w14:textId="77777777" w:rsidR="006921CE" w:rsidRDefault="006921CE">
      <w:pPr>
        <w:spacing w:line="360" w:lineRule="auto"/>
        <w:ind w:firstLineChars="200" w:firstLine="420"/>
        <w:jc w:val="left"/>
        <w:divId w:val="1028414810"/>
      </w:pPr>
      <w:bookmarkStart w:id="234" w:name="m08QD_03_01_tab"/>
      <w:bookmarkStart w:id="235" w:name="m08QD_03_tab"/>
      <w:bookmarkStart w:id="236" w:name="m08QD_03_01"/>
      <w:bookmarkStart w:id="237" w:name="_Toc247616244"/>
      <w:bookmarkStart w:id="238" w:name="_Toc433036708"/>
      <w:bookmarkStart w:id="239" w:name="_Toc247613259"/>
      <w:bookmarkStart w:id="240" w:name="m08QD_04_01"/>
      <w:bookmarkStart w:id="241" w:name="m07_04_07_02"/>
      <w:bookmarkEnd w:id="234"/>
      <w:bookmarkEnd w:id="235"/>
      <w:bookmarkEnd w:id="236"/>
      <w:r>
        <w:rPr>
          <w:rFonts w:ascii="宋体" w:hAnsi="宋体" w:hint="eastAsia"/>
          <w:szCs w:val="21"/>
          <w:lang w:eastAsia="zh-Hans"/>
        </w:rPr>
        <w:t>本基金本报告期末未持有股票及存托凭证。</w:t>
      </w:r>
      <w:bookmarkEnd w:id="237"/>
      <w:bookmarkEnd w:id="238"/>
      <w:bookmarkEnd w:id="239"/>
      <w:r>
        <w:rPr>
          <w:rFonts w:ascii="宋体" w:hAnsi="宋体" w:hint="eastAsia"/>
          <w:szCs w:val="21"/>
          <w:lang w:eastAsia="zh-Hans"/>
        </w:rPr>
        <w:t xml:space="preserve"> </w:t>
      </w:r>
    </w:p>
    <w:p w14:paraId="2CE70435" w14:textId="77777777" w:rsidR="006921CE" w:rsidRDefault="006921CE">
      <w:pPr>
        <w:pStyle w:val="XBRLTitle2"/>
        <w:spacing w:before="156" w:line="360" w:lineRule="auto"/>
        <w:ind w:left="454"/>
      </w:pPr>
      <w:bookmarkStart w:id="242" w:name="_Toc5140882991"/>
      <w:bookmarkStart w:id="243" w:name="_Toc480465441"/>
      <w:bookmarkStart w:id="244" w:name="_Toc459213786"/>
      <w:bookmarkStart w:id="245" w:name="_Toc456107140"/>
      <w:bookmarkStart w:id="246" w:name="_Toc438654095"/>
      <w:bookmarkStart w:id="247" w:name="_Toc448480307"/>
      <w:bookmarkStart w:id="248" w:name="_Toc513542670"/>
      <w:bookmarkStart w:id="249" w:name="_Toc512696272"/>
      <w:bookmarkStart w:id="250" w:name="_Toc512612275"/>
      <w:bookmarkStart w:id="251" w:name="_Toc512612099"/>
      <w:bookmarkStart w:id="252" w:name="_Toc512611303"/>
      <w:bookmarkEnd w:id="233"/>
      <w:proofErr w:type="spellStart"/>
      <w:r>
        <w:rPr>
          <w:rFonts w:eastAsia="宋体" w:hint="eastAsia"/>
        </w:rPr>
        <w:t>期末按公允价值占基金资产净值比例大小排序的权益投资明细</w:t>
      </w:r>
      <w:bookmarkEnd w:id="242"/>
      <w:proofErr w:type="spellEnd"/>
      <w:r>
        <w:rPr>
          <w:rFonts w:eastAsia="宋体" w:hint="eastAsia"/>
        </w:rPr>
        <w:t xml:space="preserve"> </w:t>
      </w:r>
    </w:p>
    <w:p w14:paraId="35992851" w14:textId="77777777" w:rsidR="006921CE" w:rsidRDefault="006921CE">
      <w:pPr>
        <w:pStyle w:val="XBRLTitle3"/>
        <w:spacing w:before="156" w:line="360" w:lineRule="auto"/>
        <w:ind w:left="624"/>
      </w:pPr>
      <w:bookmarkStart w:id="253" w:name="m510_01_1597"/>
      <w:proofErr w:type="spellStart"/>
      <w:r>
        <w:rPr>
          <w:rFonts w:hAnsi="宋体" w:hint="eastAsia"/>
        </w:rPr>
        <w:t>报告期末按公允价值占基金资产净值比例大小排序的前十名股票及存托凭证投资明细</w:t>
      </w:r>
      <w:bookmarkStart w:id="254" w:name="_Toc5140882992"/>
      <w:bookmarkStart w:id="255" w:name="_Toc513542671"/>
      <w:bookmarkStart w:id="256" w:name="_Toc480465442"/>
      <w:bookmarkEnd w:id="254"/>
      <w:proofErr w:type="spellEnd"/>
      <w:r>
        <w:rPr>
          <w:rFonts w:hAnsi="宋体" w:hint="eastAsia"/>
        </w:rPr>
        <w:t xml:space="preserve"> </w:t>
      </w:r>
    </w:p>
    <w:p w14:paraId="4FAC74B4" w14:textId="77777777" w:rsidR="006921CE" w:rsidRDefault="006921CE">
      <w:pPr>
        <w:spacing w:line="360" w:lineRule="auto"/>
        <w:ind w:firstLineChars="200" w:firstLine="420"/>
      </w:pPr>
      <w:bookmarkStart w:id="257" w:name="m08QD_04_01_tab"/>
      <w:bookmarkEnd w:id="257"/>
      <w:r>
        <w:rPr>
          <w:rFonts w:ascii="宋体" w:hAnsi="宋体" w:hint="eastAsia"/>
          <w:lang w:eastAsia="zh-Hans"/>
        </w:rPr>
        <w:t>本基金本报告期末未持有股票及存托凭证。</w:t>
      </w:r>
      <w:bookmarkEnd w:id="240"/>
      <w:r>
        <w:rPr>
          <w:rFonts w:ascii="宋体" w:hAnsi="宋体" w:hint="eastAsia"/>
        </w:rPr>
        <w:t xml:space="preserve"> </w:t>
      </w:r>
    </w:p>
    <w:p w14:paraId="26060FF5" w14:textId="77777777" w:rsidR="006921CE" w:rsidRDefault="006921CE">
      <w:pPr>
        <w:pStyle w:val="XBRLTitle2"/>
        <w:spacing w:before="156" w:line="360" w:lineRule="auto"/>
        <w:ind w:left="454"/>
      </w:pPr>
      <w:bookmarkStart w:id="258" w:name="_Toc514088264"/>
      <w:bookmarkStart w:id="259" w:name="_Toc480465436"/>
      <w:bookmarkStart w:id="260" w:name="_Toc448480302"/>
      <w:bookmarkStart w:id="261" w:name="_Toc438654090"/>
      <w:bookmarkStart w:id="262" w:name="_Toc456107135"/>
      <w:bookmarkStart w:id="263" w:name="_Toc459213781"/>
      <w:bookmarkStart w:id="264" w:name="_Toc513542665"/>
      <w:bookmarkStart w:id="265" w:name="_Toc512696267"/>
      <w:bookmarkStart w:id="266" w:name="_Toc512612270"/>
      <w:bookmarkStart w:id="267" w:name="_Toc512612094"/>
      <w:bookmarkStart w:id="268" w:name="_Toc512611298"/>
      <w:bookmarkStart w:id="269" w:name="m505"/>
      <w:proofErr w:type="spellStart"/>
      <w:r>
        <w:rPr>
          <w:rFonts w:eastAsia="宋体" w:hint="eastAsia"/>
        </w:rPr>
        <w:t>报告期末按债券信用等级分类的债券投资组合</w:t>
      </w:r>
      <w:bookmarkEnd w:id="258"/>
      <w:bookmarkEnd w:id="259"/>
      <w:bookmarkEnd w:id="260"/>
      <w:bookmarkEnd w:id="261"/>
      <w:bookmarkEnd w:id="262"/>
      <w:bookmarkEnd w:id="263"/>
      <w:proofErr w:type="spellEnd"/>
      <w:r>
        <w:rPr>
          <w:rFonts w:hint="eastAsia"/>
        </w:rPr>
        <w:t xml:space="preserve"> </w:t>
      </w:r>
      <w:bookmarkEnd w:id="264"/>
      <w:bookmarkEnd w:id="265"/>
      <w:bookmarkEnd w:id="266"/>
      <w:bookmarkEnd w:id="267"/>
      <w:bookmarkEnd w:id="268"/>
    </w:p>
    <w:tbl>
      <w:tblPr>
        <w:tblW w:w="5000" w:type="pct"/>
        <w:tblCellMar>
          <w:left w:w="30" w:type="dxa"/>
          <w:right w:w="30" w:type="dxa"/>
        </w:tblCellMar>
        <w:tblLook w:val="04A0" w:firstRow="1" w:lastRow="0" w:firstColumn="1" w:lastColumn="0" w:noHBand="0" w:noVBand="1"/>
      </w:tblPr>
      <w:tblGrid>
        <w:gridCol w:w="3011"/>
        <w:gridCol w:w="3066"/>
        <w:gridCol w:w="2758"/>
      </w:tblGrid>
      <w:tr w:rsidR="00D56498" w14:paraId="29E182A3" w14:textId="77777777">
        <w:trPr>
          <w:divId w:val="1688479963"/>
          <w:trHeight w:val="315"/>
        </w:trPr>
        <w:tc>
          <w:tcPr>
            <w:tcW w:w="1704"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19EF96D" w14:textId="77777777" w:rsidR="006921CE" w:rsidRDefault="006921CE">
            <w:pPr>
              <w:jc w:val="center"/>
            </w:pPr>
            <w:r>
              <w:rPr>
                <w:rFonts w:ascii="宋体" w:hAnsi="宋体" w:hint="eastAsia"/>
                <w:szCs w:val="21"/>
              </w:rPr>
              <w:t>债券信用等级</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5AD3B91E" w14:textId="77777777" w:rsidR="006921CE" w:rsidRDefault="006921CE">
            <w:pPr>
              <w:jc w:val="center"/>
            </w:pPr>
            <w:r>
              <w:rPr>
                <w:rFonts w:ascii="宋体" w:hAnsi="宋体" w:hint="eastAsia"/>
                <w:szCs w:val="21"/>
              </w:rPr>
              <w:t>公允价值（人民币元）</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07718AAB" w14:textId="77777777" w:rsidR="006921CE" w:rsidRDefault="006921CE">
            <w:pPr>
              <w:jc w:val="center"/>
            </w:pPr>
            <w:r>
              <w:rPr>
                <w:rFonts w:ascii="宋体" w:hAnsi="宋体" w:hint="eastAsia"/>
                <w:szCs w:val="21"/>
              </w:rPr>
              <w:t>占基金资产净值比例（%）</w:t>
            </w:r>
            <w:r>
              <w:rPr>
                <w:rFonts w:ascii="宋体" w:hint="eastAsia"/>
                <w:szCs w:val="21"/>
                <w:lang w:eastAsia="zh-Hans"/>
              </w:rPr>
              <w:t xml:space="preserve"> </w:t>
            </w:r>
          </w:p>
        </w:tc>
      </w:tr>
      <w:tr w:rsidR="00D56498" w14:paraId="60A841D0" w14:textId="77777777">
        <w:trPr>
          <w:divId w:val="1688479963"/>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5D69C0" w14:textId="77777777" w:rsidR="006921CE" w:rsidRDefault="006921CE">
            <w:pPr>
              <w:ind w:leftChars="50" w:left="105"/>
            </w:pPr>
            <w:r>
              <w:rPr>
                <w:rFonts w:ascii="宋体" w:hAnsi="宋体" w:hint="eastAsia"/>
                <w:szCs w:val="21"/>
                <w:lang w:eastAsia="zh-Hans"/>
              </w:rPr>
              <w:t>AAA</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9AECFFA" w14:textId="77777777" w:rsidR="006921CE" w:rsidRDefault="006921CE">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26D92DF" w14:textId="77777777" w:rsidR="006921CE" w:rsidRDefault="006921CE">
            <w:pPr>
              <w:jc w:val="right"/>
            </w:pPr>
            <w:r>
              <w:rPr>
                <w:rFonts w:ascii="宋体" w:hAnsi="宋体" w:hint="eastAsia"/>
                <w:kern w:val="0"/>
                <w:szCs w:val="21"/>
                <w:lang w:eastAsia="zh-Hans"/>
              </w:rPr>
              <w:t>-</w:t>
            </w:r>
            <w:r>
              <w:rPr>
                <w:rFonts w:ascii="宋体" w:hint="eastAsia"/>
                <w:szCs w:val="21"/>
                <w:lang w:eastAsia="zh-Hans"/>
              </w:rPr>
              <w:t xml:space="preserve"> </w:t>
            </w:r>
          </w:p>
        </w:tc>
      </w:tr>
      <w:tr w:rsidR="00D56498" w14:paraId="78640277" w14:textId="77777777">
        <w:trPr>
          <w:divId w:val="1688479963"/>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F1A95F" w14:textId="77777777" w:rsidR="006921CE" w:rsidRDefault="006921CE">
            <w:pPr>
              <w:ind w:leftChars="50" w:left="105"/>
            </w:pPr>
            <w:r>
              <w:rPr>
                <w:rFonts w:ascii="宋体" w:hAnsi="宋体" w:hint="eastAsia"/>
                <w:szCs w:val="21"/>
                <w:lang w:eastAsia="zh-Hans"/>
              </w:rPr>
              <w:t>AA-至AA+</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EFB6F11" w14:textId="77777777" w:rsidR="006921CE" w:rsidRDefault="006921CE">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EE09294" w14:textId="77777777" w:rsidR="006921CE" w:rsidRDefault="006921CE">
            <w:pPr>
              <w:jc w:val="right"/>
            </w:pPr>
            <w:r>
              <w:rPr>
                <w:rFonts w:ascii="宋体" w:hAnsi="宋体" w:hint="eastAsia"/>
                <w:kern w:val="0"/>
                <w:szCs w:val="21"/>
                <w:lang w:eastAsia="zh-Hans"/>
              </w:rPr>
              <w:t>-</w:t>
            </w:r>
            <w:r>
              <w:rPr>
                <w:rFonts w:ascii="宋体" w:hint="eastAsia"/>
                <w:szCs w:val="21"/>
                <w:lang w:eastAsia="zh-Hans"/>
              </w:rPr>
              <w:t xml:space="preserve"> </w:t>
            </w:r>
          </w:p>
        </w:tc>
      </w:tr>
      <w:tr w:rsidR="00D56498" w14:paraId="7B121AB3" w14:textId="77777777">
        <w:trPr>
          <w:divId w:val="1688479963"/>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BF931B" w14:textId="77777777" w:rsidR="006921CE" w:rsidRDefault="006921CE">
            <w:pPr>
              <w:ind w:leftChars="50" w:left="105"/>
            </w:pPr>
            <w:r>
              <w:rPr>
                <w:rFonts w:ascii="宋体" w:hAnsi="宋体" w:hint="eastAsia"/>
                <w:szCs w:val="21"/>
                <w:lang w:eastAsia="zh-Hans"/>
              </w:rPr>
              <w:t>A-至A+</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37B40A8" w14:textId="77777777" w:rsidR="006921CE" w:rsidRDefault="006921CE">
            <w:pPr>
              <w:jc w:val="right"/>
            </w:pPr>
            <w:r>
              <w:rPr>
                <w:rFonts w:ascii="宋体" w:hAnsi="宋体" w:hint="eastAsia"/>
                <w:kern w:val="0"/>
                <w:szCs w:val="21"/>
                <w:lang w:eastAsia="zh-Hans"/>
              </w:rPr>
              <w:t>105,288,204.93</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A6C62AC" w14:textId="77777777" w:rsidR="006921CE" w:rsidRDefault="006921CE">
            <w:pPr>
              <w:jc w:val="right"/>
            </w:pPr>
            <w:r>
              <w:rPr>
                <w:rFonts w:ascii="宋体" w:hAnsi="宋体" w:hint="eastAsia"/>
                <w:kern w:val="0"/>
                <w:szCs w:val="21"/>
                <w:lang w:eastAsia="zh-Hans"/>
              </w:rPr>
              <w:t>5.01</w:t>
            </w:r>
            <w:r>
              <w:rPr>
                <w:rFonts w:ascii="宋体" w:hint="eastAsia"/>
                <w:szCs w:val="21"/>
                <w:lang w:eastAsia="zh-Hans"/>
              </w:rPr>
              <w:t xml:space="preserve"> </w:t>
            </w:r>
          </w:p>
        </w:tc>
      </w:tr>
      <w:tr w:rsidR="00D56498" w14:paraId="3E6A5735" w14:textId="77777777">
        <w:trPr>
          <w:divId w:val="1688479963"/>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974A67" w14:textId="77777777" w:rsidR="006921CE" w:rsidRDefault="006921CE">
            <w:pPr>
              <w:ind w:leftChars="50" w:left="105"/>
            </w:pPr>
            <w:r>
              <w:rPr>
                <w:rFonts w:ascii="宋体" w:hAnsi="宋体" w:hint="eastAsia"/>
                <w:szCs w:val="21"/>
                <w:lang w:eastAsia="zh-Hans"/>
              </w:rPr>
              <w:t>BBB-至BBB+</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70E112F" w14:textId="77777777" w:rsidR="006921CE" w:rsidRDefault="006921CE">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1B601A9" w14:textId="77777777" w:rsidR="006921CE" w:rsidRDefault="006921CE">
            <w:pPr>
              <w:jc w:val="right"/>
            </w:pPr>
            <w:r>
              <w:rPr>
                <w:rFonts w:ascii="宋体" w:hAnsi="宋体" w:hint="eastAsia"/>
                <w:kern w:val="0"/>
                <w:szCs w:val="21"/>
                <w:lang w:eastAsia="zh-Hans"/>
              </w:rPr>
              <w:t>-</w:t>
            </w:r>
            <w:r>
              <w:rPr>
                <w:rFonts w:ascii="宋体" w:hint="eastAsia"/>
                <w:szCs w:val="21"/>
                <w:lang w:eastAsia="zh-Hans"/>
              </w:rPr>
              <w:t xml:space="preserve"> </w:t>
            </w:r>
          </w:p>
        </w:tc>
      </w:tr>
      <w:tr w:rsidR="00D56498" w14:paraId="15015FFC" w14:textId="77777777">
        <w:trPr>
          <w:divId w:val="1688479963"/>
          <w:trHeight w:val="315"/>
        </w:trPr>
        <w:tc>
          <w:tcPr>
            <w:tcW w:w="1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A0698C" w14:textId="77777777" w:rsidR="006921CE" w:rsidRDefault="006921CE">
            <w:pPr>
              <w:ind w:leftChars="50" w:left="105"/>
            </w:pPr>
            <w:r>
              <w:rPr>
                <w:rFonts w:ascii="宋体" w:hAnsi="宋体" w:hint="eastAsia"/>
                <w:szCs w:val="21"/>
                <w:lang w:eastAsia="zh-Hans"/>
              </w:rPr>
              <w:t>BB-至BB+</w:t>
            </w:r>
            <w:r>
              <w:rPr>
                <w:rFonts w:ascii="宋体" w:hint="eastAsia"/>
                <w:szCs w:val="21"/>
                <w:lang w:eastAsia="zh-Hans"/>
              </w:rPr>
              <w:t xml:space="preserve"> </w:t>
            </w:r>
          </w:p>
        </w:tc>
        <w:tc>
          <w:tcPr>
            <w:tcW w:w="173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4FDC971" w14:textId="77777777" w:rsidR="006921CE" w:rsidRDefault="006921CE">
            <w:pPr>
              <w:jc w:val="right"/>
            </w:pPr>
            <w:r>
              <w:rPr>
                <w:rFonts w:ascii="宋体" w:hAnsi="宋体" w:hint="eastAsia"/>
                <w:kern w:val="0"/>
                <w:szCs w:val="21"/>
                <w:lang w:eastAsia="zh-Hans"/>
              </w:rPr>
              <w:t>-</w:t>
            </w:r>
            <w:r>
              <w:rPr>
                <w:rFonts w:ascii="宋体" w:hint="eastAsia"/>
                <w:szCs w:val="21"/>
                <w:lang w:eastAsia="zh-Hans"/>
              </w:rPr>
              <w:t xml:space="preserve"> </w:t>
            </w:r>
          </w:p>
        </w:tc>
        <w:tc>
          <w:tcPr>
            <w:tcW w:w="156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725ECFC" w14:textId="77777777" w:rsidR="006921CE" w:rsidRDefault="006921CE">
            <w:pPr>
              <w:jc w:val="right"/>
            </w:pPr>
            <w:r>
              <w:rPr>
                <w:rFonts w:ascii="宋体" w:hAnsi="宋体" w:hint="eastAsia"/>
                <w:kern w:val="0"/>
                <w:szCs w:val="21"/>
                <w:lang w:eastAsia="zh-Hans"/>
              </w:rPr>
              <w:t>-</w:t>
            </w:r>
            <w:r>
              <w:rPr>
                <w:rFonts w:ascii="宋体" w:hint="eastAsia"/>
                <w:szCs w:val="21"/>
                <w:lang w:eastAsia="zh-Hans"/>
              </w:rPr>
              <w:t xml:space="preserve"> </w:t>
            </w:r>
          </w:p>
        </w:tc>
      </w:tr>
    </w:tbl>
    <w:p w14:paraId="70CBF141" w14:textId="77777777" w:rsidR="006921CE" w:rsidRDefault="006921CE">
      <w:pPr>
        <w:spacing w:line="360" w:lineRule="auto"/>
        <w:jc w:val="left"/>
      </w:pPr>
      <w:r>
        <w:rPr>
          <w:rFonts w:ascii="宋体" w:hAnsi="宋体" w:hint="eastAsia"/>
          <w:szCs w:val="21"/>
        </w:rPr>
        <w:t>注：</w:t>
      </w:r>
      <w:r>
        <w:rPr>
          <w:rFonts w:ascii="宋体" w:hAnsi="宋体" w:hint="eastAsia"/>
        </w:rPr>
        <w:t>本基金债券投资组合主要采用标准普尔、惠誉等国际权威评级机构提供的债券信用评级信息。</w:t>
      </w:r>
    </w:p>
    <w:p w14:paraId="5AF338FB" w14:textId="77777777" w:rsidR="006921CE" w:rsidRDefault="006921CE">
      <w:pPr>
        <w:pStyle w:val="XBRLTitle2"/>
        <w:spacing w:before="156" w:line="360" w:lineRule="auto"/>
        <w:ind w:left="454"/>
      </w:pPr>
      <w:bookmarkStart w:id="270" w:name="_Toc514088265"/>
      <w:bookmarkStart w:id="271" w:name="_Toc480465437"/>
      <w:bookmarkStart w:id="272" w:name="_Toc448480303"/>
      <w:bookmarkStart w:id="273" w:name="_Toc438654091"/>
      <w:bookmarkStart w:id="274" w:name="_Toc456107136"/>
      <w:bookmarkStart w:id="275" w:name="_Toc459213782"/>
      <w:bookmarkStart w:id="276" w:name="_Toc513542666"/>
      <w:bookmarkStart w:id="277" w:name="_Toc512696268"/>
      <w:bookmarkStart w:id="278" w:name="_Toc512612271"/>
      <w:bookmarkStart w:id="279" w:name="_Toc512612095"/>
      <w:bookmarkStart w:id="280" w:name="_Toc512611299"/>
      <w:bookmarkStart w:id="281" w:name="m506"/>
      <w:bookmarkEnd w:id="269"/>
      <w:proofErr w:type="spellStart"/>
      <w:r>
        <w:rPr>
          <w:rFonts w:eastAsia="宋体" w:hint="eastAsia"/>
        </w:rPr>
        <w:t>报告期末按公允价值占基金资产净值比例大小排名的前五名债券投资明细</w:t>
      </w:r>
      <w:bookmarkEnd w:id="270"/>
      <w:bookmarkEnd w:id="271"/>
      <w:bookmarkEnd w:id="272"/>
      <w:bookmarkEnd w:id="273"/>
      <w:bookmarkEnd w:id="274"/>
      <w:bookmarkEnd w:id="275"/>
      <w:proofErr w:type="spellEnd"/>
      <w:r>
        <w:rPr>
          <w:rFonts w:hint="eastAsia"/>
        </w:rPr>
        <w:t xml:space="preserve"> </w:t>
      </w:r>
      <w:bookmarkEnd w:id="276"/>
      <w:bookmarkEnd w:id="277"/>
      <w:bookmarkEnd w:id="278"/>
      <w:bookmarkEnd w:id="279"/>
      <w:bookmarkEnd w:id="2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D56498" w14:paraId="7B70444D" w14:textId="77777777">
        <w:trPr>
          <w:divId w:val="1932664798"/>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DDE474" w14:textId="77777777" w:rsidR="006921CE" w:rsidRDefault="006921CE">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9205DD" w14:textId="77777777" w:rsidR="006921CE" w:rsidRDefault="006921CE">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F7D352" w14:textId="77777777" w:rsidR="006921CE" w:rsidRDefault="006921CE">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7290B5" w14:textId="77777777" w:rsidR="006921CE" w:rsidRDefault="006921CE">
            <w:pPr>
              <w:jc w:val="center"/>
            </w:pPr>
            <w:r>
              <w:rPr>
                <w:rFonts w:ascii="宋体" w:hAnsi="宋体" w:hint="eastAsia"/>
                <w:color w:val="000000"/>
              </w:rPr>
              <w:t>数量</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265821" w14:textId="77777777" w:rsidR="006921CE" w:rsidRDefault="006921CE">
            <w:pPr>
              <w:jc w:val="center"/>
            </w:pPr>
            <w:r>
              <w:rPr>
                <w:rFonts w:ascii="宋体" w:hAnsi="宋体" w:hint="eastAsia"/>
                <w:color w:val="000000"/>
              </w:rPr>
              <w:t>公允价值（人民币元）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0FDBCF" w14:textId="77777777" w:rsidR="006921CE" w:rsidRDefault="006921CE">
            <w:pPr>
              <w:jc w:val="center"/>
            </w:pPr>
            <w:r>
              <w:rPr>
                <w:rFonts w:ascii="宋体" w:hAnsi="宋体" w:hint="eastAsia"/>
                <w:color w:val="000000"/>
              </w:rPr>
              <w:t xml:space="preserve">占基金资产净值比例（%） </w:t>
            </w:r>
          </w:p>
        </w:tc>
      </w:tr>
      <w:tr w:rsidR="00D56498" w14:paraId="3B1CDFF0" w14:textId="77777777">
        <w:trPr>
          <w:divId w:val="19326647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92F58" w14:textId="77777777" w:rsidR="006921CE" w:rsidRDefault="006921CE">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99FD57" w14:textId="77777777" w:rsidR="006921CE" w:rsidRDefault="006921CE">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98B931" w14:textId="77777777" w:rsidR="006921CE" w:rsidRDefault="006921CE">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54453" w14:textId="77777777" w:rsidR="006921CE" w:rsidRDefault="006921CE">
            <w:pPr>
              <w:jc w:val="right"/>
            </w:pPr>
            <w:r>
              <w:rPr>
                <w:rFonts w:ascii="宋体" w:hAnsi="宋体" w:hint="eastAsia"/>
                <w:szCs w:val="24"/>
                <w:lang w:eastAsia="zh-Hans"/>
              </w:rPr>
              <w:t>1,000,000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1AEE7B" w14:textId="77777777" w:rsidR="006921CE" w:rsidRDefault="006921CE">
            <w:pPr>
              <w:jc w:val="right"/>
            </w:pPr>
            <w:r>
              <w:rPr>
                <w:rFonts w:ascii="宋体" w:hAnsi="宋体" w:hint="eastAsia"/>
                <w:szCs w:val="24"/>
                <w:lang w:eastAsia="zh-Hans"/>
              </w:rPr>
              <w:t>101,270,575.34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3BC5B8" w14:textId="77777777" w:rsidR="006921CE" w:rsidRDefault="006921CE">
            <w:pPr>
              <w:jc w:val="right"/>
            </w:pPr>
            <w:r>
              <w:rPr>
                <w:rFonts w:ascii="宋体" w:hAnsi="宋体" w:hint="eastAsia"/>
                <w:szCs w:val="24"/>
                <w:lang w:eastAsia="zh-Hans"/>
              </w:rPr>
              <w:t>4.81</w:t>
            </w:r>
          </w:p>
        </w:tc>
      </w:tr>
      <w:tr w:rsidR="00D56498" w14:paraId="1CCAD34B" w14:textId="77777777">
        <w:trPr>
          <w:divId w:val="19326647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7C796" w14:textId="77777777" w:rsidR="006921CE" w:rsidRDefault="006921CE">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0B7AF" w14:textId="77777777" w:rsidR="006921CE" w:rsidRDefault="006921CE">
            <w:pPr>
              <w:jc w:val="center"/>
            </w:pPr>
            <w:r>
              <w:rPr>
                <w:rFonts w:ascii="宋体" w:hAnsi="宋体" w:hint="eastAsia"/>
                <w:szCs w:val="24"/>
                <w:lang w:eastAsia="zh-Hans"/>
              </w:rPr>
              <w:t>019766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38785" w14:textId="77777777" w:rsidR="006921CE" w:rsidRDefault="006921CE">
            <w:pPr>
              <w:jc w:val="center"/>
            </w:pPr>
            <w:r>
              <w:rPr>
                <w:rFonts w:ascii="宋体" w:hAnsi="宋体" w:hint="eastAsia"/>
                <w:szCs w:val="24"/>
                <w:lang w:eastAsia="zh-Hans"/>
              </w:rPr>
              <w:t>25国债01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2D614" w14:textId="77777777" w:rsidR="006921CE" w:rsidRDefault="006921CE">
            <w:pPr>
              <w:jc w:val="right"/>
            </w:pPr>
            <w:r>
              <w:rPr>
                <w:rFonts w:ascii="宋体" w:hAnsi="宋体" w:hint="eastAsia"/>
                <w:szCs w:val="24"/>
                <w:lang w:eastAsia="zh-Hans"/>
              </w:rPr>
              <w:t>40,000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DB9228" w14:textId="77777777" w:rsidR="006921CE" w:rsidRDefault="006921CE">
            <w:pPr>
              <w:jc w:val="right"/>
            </w:pPr>
            <w:r>
              <w:rPr>
                <w:rFonts w:ascii="宋体" w:hAnsi="宋体" w:hint="eastAsia"/>
                <w:szCs w:val="24"/>
                <w:lang w:eastAsia="zh-Hans"/>
              </w:rPr>
              <w:t>4,017,629.59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830104" w14:textId="77777777" w:rsidR="006921CE" w:rsidRDefault="006921CE">
            <w:pPr>
              <w:jc w:val="right"/>
            </w:pPr>
            <w:r>
              <w:rPr>
                <w:rFonts w:ascii="宋体" w:hAnsi="宋体" w:hint="eastAsia"/>
                <w:szCs w:val="24"/>
                <w:lang w:eastAsia="zh-Hans"/>
              </w:rPr>
              <w:t>0.19</w:t>
            </w:r>
          </w:p>
        </w:tc>
      </w:tr>
    </w:tbl>
    <w:p w14:paraId="2C1899BF" w14:textId="77777777" w:rsidR="006921CE" w:rsidRDefault="006921CE">
      <w:pPr>
        <w:pStyle w:val="XBRLTitle2"/>
        <w:spacing w:before="156" w:line="360" w:lineRule="auto"/>
        <w:ind w:left="454"/>
      </w:pPr>
      <w:bookmarkStart w:id="282" w:name="_Toc514088266"/>
      <w:bookmarkStart w:id="283" w:name="_Toc480465438"/>
      <w:bookmarkStart w:id="284" w:name="_Toc448480304"/>
      <w:bookmarkStart w:id="285" w:name="_Toc438654092"/>
      <w:bookmarkStart w:id="286" w:name="_Toc456107137"/>
      <w:bookmarkStart w:id="287" w:name="_Toc459213783"/>
      <w:bookmarkStart w:id="288" w:name="_Toc513542667"/>
      <w:bookmarkStart w:id="289" w:name="_Toc512696269"/>
      <w:bookmarkStart w:id="290" w:name="_Toc512612272"/>
      <w:bookmarkStart w:id="291" w:name="_Toc512612096"/>
      <w:bookmarkStart w:id="292" w:name="_Toc512611300"/>
      <w:bookmarkStart w:id="293" w:name="m507"/>
      <w:bookmarkEnd w:id="281"/>
      <w:proofErr w:type="spellStart"/>
      <w:r>
        <w:rPr>
          <w:rFonts w:eastAsia="宋体" w:hint="eastAsia"/>
        </w:rPr>
        <w:t>报告期末按公允价值占基金资产净值比例大小排名的前十名资产支持证券投资明细</w:t>
      </w:r>
      <w:bookmarkEnd w:id="282"/>
      <w:bookmarkEnd w:id="283"/>
      <w:bookmarkEnd w:id="284"/>
      <w:bookmarkEnd w:id="285"/>
      <w:bookmarkEnd w:id="286"/>
      <w:bookmarkEnd w:id="287"/>
      <w:proofErr w:type="spellEnd"/>
      <w:r>
        <w:rPr>
          <w:rFonts w:hint="eastAsia"/>
        </w:rPr>
        <w:t xml:space="preserve"> </w:t>
      </w:r>
      <w:bookmarkEnd w:id="288"/>
      <w:bookmarkEnd w:id="289"/>
      <w:bookmarkEnd w:id="290"/>
      <w:bookmarkEnd w:id="291"/>
      <w:bookmarkEnd w:id="292"/>
    </w:p>
    <w:p w14:paraId="46CF0263" w14:textId="77777777" w:rsidR="006921CE" w:rsidRDefault="006921CE">
      <w:pPr>
        <w:spacing w:line="360" w:lineRule="auto"/>
        <w:ind w:firstLineChars="200" w:firstLine="420"/>
        <w:jc w:val="left"/>
        <w:divId w:val="755443724"/>
      </w:pPr>
      <w:r>
        <w:rPr>
          <w:rFonts w:ascii="宋体" w:hAnsi="宋体" w:hint="eastAsia"/>
          <w:color w:val="000000"/>
          <w:szCs w:val="21"/>
          <w:lang w:eastAsia="zh-Hans"/>
        </w:rPr>
        <w:t>本基金本报告期末未持有资产支持证券。</w:t>
      </w:r>
    </w:p>
    <w:p w14:paraId="0E9B6D2E" w14:textId="77777777" w:rsidR="006921CE" w:rsidRDefault="006921CE">
      <w:pPr>
        <w:pStyle w:val="XBRLTitle2"/>
        <w:spacing w:before="156" w:line="360" w:lineRule="auto"/>
        <w:ind w:left="454"/>
      </w:pPr>
      <w:bookmarkStart w:id="294" w:name="_Toc514088267"/>
      <w:bookmarkStart w:id="295" w:name="_Toc480465439"/>
      <w:bookmarkStart w:id="296" w:name="_Toc459213784"/>
      <w:bookmarkStart w:id="297" w:name="_Toc456107138"/>
      <w:bookmarkStart w:id="298" w:name="_Toc438654093"/>
      <w:bookmarkStart w:id="299" w:name="_Toc448480305"/>
      <w:bookmarkStart w:id="300" w:name="_Toc513542668"/>
      <w:bookmarkStart w:id="301" w:name="_Toc512696270"/>
      <w:bookmarkStart w:id="302" w:name="_Toc512612273"/>
      <w:bookmarkStart w:id="303" w:name="_Toc512612097"/>
      <w:bookmarkStart w:id="304" w:name="_Toc512611301"/>
      <w:bookmarkStart w:id="305" w:name="m508"/>
      <w:bookmarkEnd w:id="293"/>
      <w:proofErr w:type="spellStart"/>
      <w:r>
        <w:rPr>
          <w:rFonts w:eastAsia="宋体" w:hint="eastAsia"/>
        </w:rPr>
        <w:t>报告期末按公允价值占基金资产净值比例大小排名的前五名金融衍生品投资明细</w:t>
      </w:r>
      <w:bookmarkEnd w:id="294"/>
      <w:bookmarkEnd w:id="295"/>
      <w:bookmarkEnd w:id="296"/>
      <w:bookmarkEnd w:id="297"/>
      <w:bookmarkEnd w:id="298"/>
      <w:bookmarkEnd w:id="299"/>
      <w:proofErr w:type="spellEnd"/>
      <w:r>
        <w:rPr>
          <w:rFonts w:hint="eastAsia"/>
        </w:rPr>
        <w:t xml:space="preserve"> </w:t>
      </w:r>
      <w:bookmarkEnd w:id="300"/>
      <w:bookmarkEnd w:id="301"/>
      <w:bookmarkEnd w:id="302"/>
      <w:bookmarkEnd w:id="303"/>
      <w:bookmarkEnd w:id="304"/>
    </w:p>
    <w:p w14:paraId="7BB82FAF" w14:textId="77777777" w:rsidR="006921CE" w:rsidRDefault="006921CE">
      <w:pPr>
        <w:spacing w:line="360" w:lineRule="auto"/>
        <w:ind w:firstLineChars="200" w:firstLine="420"/>
        <w:divId w:val="1839728635"/>
      </w:pPr>
      <w:bookmarkStart w:id="306" w:name="m08QD_09"/>
      <w:bookmarkEnd w:id="241"/>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6"/>
      <w:r>
        <w:rPr>
          <w:rFonts w:ascii="宋体" w:hAnsi="宋体" w:hint="eastAsia"/>
          <w:szCs w:val="24"/>
          <w:lang w:eastAsia="zh-Hans"/>
        </w:rPr>
        <w:t xml:space="preserve"> </w:t>
      </w:r>
    </w:p>
    <w:p w14:paraId="640A52B2" w14:textId="77777777" w:rsidR="006921CE" w:rsidRDefault="006921CE">
      <w:pPr>
        <w:pStyle w:val="XBRLTitle2"/>
        <w:spacing w:before="156" w:line="360" w:lineRule="auto"/>
        <w:ind w:left="454"/>
      </w:pPr>
      <w:bookmarkStart w:id="307" w:name="_Toc514088268"/>
      <w:bookmarkStart w:id="308" w:name="_Toc480465440"/>
      <w:bookmarkStart w:id="309" w:name="_Toc459213785"/>
      <w:bookmarkStart w:id="310" w:name="_Toc456107139"/>
      <w:bookmarkStart w:id="311" w:name="_Toc438654094"/>
      <w:bookmarkStart w:id="312" w:name="_Toc448480306"/>
      <w:bookmarkStart w:id="313" w:name="_Toc513542669"/>
      <w:bookmarkStart w:id="314" w:name="_Toc512696271"/>
      <w:bookmarkStart w:id="315" w:name="_Toc512612274"/>
      <w:bookmarkStart w:id="316" w:name="_Toc512612098"/>
      <w:bookmarkStart w:id="317" w:name="_Toc512611302"/>
      <w:bookmarkStart w:id="318" w:name="m509"/>
      <w:bookmarkEnd w:id="305"/>
      <w:proofErr w:type="spellStart"/>
      <w:r>
        <w:rPr>
          <w:rFonts w:eastAsia="宋体" w:hint="eastAsia"/>
        </w:rPr>
        <w:t>报告期末按公允价值占基金资产净值比例大小排序的前十名基金投资明细</w:t>
      </w:r>
      <w:bookmarkEnd w:id="307"/>
      <w:bookmarkEnd w:id="308"/>
      <w:bookmarkEnd w:id="309"/>
      <w:bookmarkEnd w:id="310"/>
      <w:bookmarkEnd w:id="311"/>
      <w:bookmarkEnd w:id="312"/>
      <w:proofErr w:type="spellEnd"/>
      <w:r>
        <w:rPr>
          <w:rFonts w:hint="eastAsia"/>
        </w:rPr>
        <w:t xml:space="preserve"> </w:t>
      </w:r>
      <w:bookmarkEnd w:id="313"/>
      <w:bookmarkEnd w:id="314"/>
      <w:bookmarkEnd w:id="315"/>
      <w:bookmarkEnd w:id="316"/>
      <w:bookmarkEnd w:id="317"/>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917"/>
        <w:gridCol w:w="1184"/>
        <w:gridCol w:w="873"/>
        <w:gridCol w:w="1054"/>
        <w:gridCol w:w="2001"/>
        <w:gridCol w:w="1686"/>
        <w:gridCol w:w="1120"/>
      </w:tblGrid>
      <w:tr w:rsidR="00D56498" w14:paraId="7F12D643" w14:textId="77777777">
        <w:trPr>
          <w:divId w:val="1545749318"/>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B1355E5" w14:textId="77777777" w:rsidR="006921CE" w:rsidRDefault="006921CE">
            <w:pPr>
              <w:pStyle w:val="a5"/>
              <w:spacing w:before="0" w:beforeAutospacing="0" w:after="0" w:afterAutospacing="0"/>
              <w:ind w:firstLineChars="50" w:firstLine="105"/>
              <w:jc w:val="center"/>
              <w:rPr>
                <w:rFonts w:hint="eastAsia"/>
              </w:rPr>
            </w:pPr>
            <w:bookmarkStart w:id="319" w:name="m08QD_10"/>
            <w:r>
              <w:rPr>
                <w:rFonts w:hint="eastAsia"/>
                <w:kern w:val="2"/>
                <w:sz w:val="21"/>
              </w:rPr>
              <w:lastRenderedPageBreak/>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FD32D3A" w14:textId="77777777" w:rsidR="006921CE" w:rsidRDefault="006921CE">
            <w:pPr>
              <w:pStyle w:val="a5"/>
              <w:spacing w:before="0" w:beforeAutospacing="0" w:after="0" w:afterAutospacing="0"/>
              <w:jc w:val="center"/>
              <w:rPr>
                <w:rFonts w:hint="eastAsia"/>
              </w:rPr>
            </w:pPr>
            <w:r>
              <w:rPr>
                <w:rFonts w:hint="eastAsia"/>
                <w:kern w:val="2"/>
                <w:sz w:val="21"/>
              </w:rPr>
              <w:t>基金名称</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37AC770" w14:textId="77777777" w:rsidR="006921CE" w:rsidRDefault="006921CE">
            <w:pPr>
              <w:pStyle w:val="a5"/>
              <w:spacing w:before="0" w:beforeAutospacing="0" w:after="0" w:afterAutospacing="0"/>
              <w:jc w:val="center"/>
              <w:rPr>
                <w:rFonts w:hint="eastAsia"/>
              </w:rPr>
            </w:pPr>
            <w:r>
              <w:rPr>
                <w:rFonts w:hint="eastAsia"/>
                <w:kern w:val="2"/>
                <w:sz w:val="21"/>
              </w:rPr>
              <w:t>基金类型</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841E476" w14:textId="77777777" w:rsidR="006921CE" w:rsidRDefault="006921CE">
            <w:pPr>
              <w:pStyle w:val="a5"/>
              <w:spacing w:before="0" w:beforeAutospacing="0" w:after="0" w:afterAutospacing="0"/>
              <w:jc w:val="center"/>
              <w:rPr>
                <w:rFonts w:hint="eastAsia"/>
              </w:rPr>
            </w:pPr>
            <w:r>
              <w:rPr>
                <w:rFonts w:hint="eastAsia"/>
                <w:kern w:val="2"/>
                <w:sz w:val="21"/>
              </w:rPr>
              <w:t>运作方式</w:t>
            </w:r>
            <w:r>
              <w:rPr>
                <w:rFonts w:hint="eastAsia"/>
                <w:kern w:val="2"/>
                <w:sz w:val="21"/>
                <w:lang w:eastAsia="zh-Hans"/>
              </w:rPr>
              <w:t xml:space="preserve">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2E6555E" w14:textId="77777777" w:rsidR="006921CE" w:rsidRDefault="006921CE">
            <w:pPr>
              <w:pStyle w:val="a5"/>
              <w:spacing w:before="0" w:beforeAutospacing="0" w:after="0" w:afterAutospacing="0"/>
              <w:jc w:val="center"/>
              <w:rPr>
                <w:rFonts w:hint="eastAsia"/>
              </w:rPr>
            </w:pPr>
            <w:r>
              <w:rPr>
                <w:rFonts w:hint="eastAsia"/>
                <w:kern w:val="2"/>
                <w:sz w:val="21"/>
              </w:rPr>
              <w:t>管理人</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965AA19" w14:textId="77777777" w:rsidR="006921CE" w:rsidRDefault="006921CE">
            <w:pPr>
              <w:pStyle w:val="a5"/>
              <w:spacing w:before="0" w:beforeAutospacing="0" w:after="0" w:afterAutospacing="0"/>
              <w:jc w:val="center"/>
              <w:rPr>
                <w:rFonts w:hint="eastAsia"/>
              </w:rPr>
            </w:pPr>
            <w:r>
              <w:rPr>
                <w:rFonts w:hint="eastAsia"/>
                <w:kern w:val="2"/>
                <w:sz w:val="21"/>
              </w:rPr>
              <w:t>公允价值（人民币元）</w:t>
            </w:r>
            <w:r>
              <w:rPr>
                <w:rFonts w:hint="eastAsia"/>
                <w:kern w:val="2"/>
                <w:sz w:val="21"/>
                <w:lang w:eastAsia="zh-Hans"/>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C3B6EB5" w14:textId="77777777" w:rsidR="006921CE" w:rsidRDefault="006921CE">
            <w:pPr>
              <w:pStyle w:val="a5"/>
              <w:spacing w:before="0" w:beforeAutospacing="0" w:after="0" w:afterAutospacing="0"/>
              <w:jc w:val="center"/>
              <w:rPr>
                <w:rFonts w:hint="eastAsia"/>
              </w:rPr>
            </w:pPr>
            <w:r>
              <w:rPr>
                <w:rFonts w:hint="eastAsia"/>
                <w:kern w:val="2"/>
                <w:sz w:val="21"/>
              </w:rPr>
              <w:t>占基金资产净值比例（%）</w:t>
            </w:r>
            <w:r>
              <w:rPr>
                <w:rFonts w:hint="eastAsia"/>
                <w:kern w:val="2"/>
                <w:sz w:val="21"/>
                <w:lang w:eastAsia="zh-Hans"/>
              </w:rPr>
              <w:t xml:space="preserve"> </w:t>
            </w:r>
          </w:p>
        </w:tc>
      </w:tr>
      <w:tr w:rsidR="00D56498" w14:paraId="5C4C4B5A" w14:textId="77777777">
        <w:trPr>
          <w:divId w:val="1545749318"/>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2D79B" w14:textId="77777777" w:rsidR="006921CE" w:rsidRDefault="006921CE">
            <w:pPr>
              <w:pStyle w:val="a5"/>
              <w:spacing w:before="0" w:beforeAutospacing="0" w:after="0" w:afterAutospacing="0"/>
              <w:ind w:firstLineChars="50" w:firstLine="105"/>
              <w:jc w:val="center"/>
              <w:rPr>
                <w:rFonts w:hint="eastAsia"/>
              </w:rP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6142D" w14:textId="77777777" w:rsidR="006921CE" w:rsidRDefault="006921CE">
            <w:pPr>
              <w:pStyle w:val="a5"/>
              <w:spacing w:before="0" w:beforeAutospacing="0" w:after="0" w:afterAutospacing="0"/>
              <w:jc w:val="center"/>
              <w:rPr>
                <w:rFonts w:hint="eastAsia"/>
              </w:rPr>
            </w:pPr>
            <w:r>
              <w:rPr>
                <w:rFonts w:hint="eastAsia"/>
                <w:kern w:val="2"/>
                <w:sz w:val="21"/>
                <w:lang w:eastAsia="zh-Hans"/>
              </w:rPr>
              <w:t>JPM USD ULTSHT INC UCITS ETF LN</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0C508" w14:textId="77777777" w:rsidR="006921CE" w:rsidRDefault="006921CE">
            <w:pPr>
              <w:pStyle w:val="a5"/>
              <w:spacing w:before="0" w:beforeAutospacing="0" w:after="0" w:afterAutospacing="0"/>
              <w:jc w:val="center"/>
              <w:rPr>
                <w:rFonts w:hint="eastAsia"/>
              </w:rP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3B712" w14:textId="77777777" w:rsidR="006921CE" w:rsidRDefault="006921CE">
            <w:pPr>
              <w:pStyle w:val="a5"/>
              <w:spacing w:before="0" w:beforeAutospacing="0" w:after="0" w:afterAutospacing="0"/>
              <w:jc w:val="center"/>
              <w:rPr>
                <w:rFonts w:hint="eastAsia"/>
              </w:rPr>
            </w:pPr>
            <w:r>
              <w:rPr>
                <w:rFonts w:hint="eastAsia"/>
                <w:kern w:val="2"/>
                <w:sz w:val="21"/>
                <w:lang w:eastAsia="zh-Hans"/>
              </w:rPr>
              <w:t>交易型开放式(ETF)</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30E59" w14:textId="77777777" w:rsidR="006921CE" w:rsidRDefault="006921CE">
            <w:pPr>
              <w:pStyle w:val="a5"/>
              <w:spacing w:before="0" w:beforeAutospacing="0" w:after="0" w:afterAutospacing="0"/>
              <w:jc w:val="center"/>
              <w:rPr>
                <w:rFonts w:hint="eastAsia"/>
              </w:rPr>
            </w:pPr>
            <w:r>
              <w:rPr>
                <w:rFonts w:hint="eastAsia"/>
                <w:kern w:val="2"/>
                <w:sz w:val="21"/>
                <w:lang w:eastAsia="zh-Hans"/>
              </w:rPr>
              <w:t xml:space="preserve">JPMorgan </w:t>
            </w:r>
            <w:proofErr w:type="gramStart"/>
            <w:r>
              <w:rPr>
                <w:rFonts w:hint="eastAsia"/>
                <w:kern w:val="2"/>
                <w:sz w:val="21"/>
                <w:lang w:eastAsia="zh-Hans"/>
              </w:rPr>
              <w:t>ETFs(</w:t>
            </w:r>
            <w:proofErr w:type="gramEnd"/>
            <w:r>
              <w:rPr>
                <w:rFonts w:hint="eastAsia"/>
                <w:kern w:val="2"/>
                <w:sz w:val="21"/>
                <w:lang w:eastAsia="zh-Hans"/>
              </w:rPr>
              <w:t>Ireland)ICAV</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EA39E3" w14:textId="77777777" w:rsidR="006921CE" w:rsidRDefault="006921CE">
            <w:pPr>
              <w:pStyle w:val="a5"/>
              <w:spacing w:before="0" w:beforeAutospacing="0" w:after="0" w:afterAutospacing="0"/>
              <w:jc w:val="right"/>
              <w:rPr>
                <w:rFonts w:hint="eastAsia"/>
              </w:rPr>
            </w:pPr>
            <w:r>
              <w:rPr>
                <w:rFonts w:hint="eastAsia"/>
                <w:kern w:val="2"/>
                <w:sz w:val="21"/>
                <w:lang w:eastAsia="zh-Hans"/>
              </w:rPr>
              <w:t>363,911,474.68</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BB6CDE" w14:textId="77777777" w:rsidR="006921CE" w:rsidRDefault="006921CE">
            <w:pPr>
              <w:pStyle w:val="a5"/>
              <w:spacing w:before="0" w:beforeAutospacing="0" w:after="0" w:afterAutospacing="0"/>
              <w:jc w:val="right"/>
              <w:rPr>
                <w:rFonts w:hint="eastAsia"/>
              </w:rPr>
            </w:pPr>
            <w:r>
              <w:rPr>
                <w:rFonts w:hint="eastAsia"/>
                <w:kern w:val="2"/>
                <w:sz w:val="21"/>
                <w:lang w:eastAsia="zh-Hans"/>
              </w:rPr>
              <w:t>17.30</w:t>
            </w:r>
          </w:p>
        </w:tc>
      </w:tr>
      <w:tr w:rsidR="00D56498" w14:paraId="0DF714C9" w14:textId="77777777">
        <w:trPr>
          <w:divId w:val="1545749318"/>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F39934" w14:textId="77777777" w:rsidR="006921CE" w:rsidRDefault="006921CE">
            <w:pPr>
              <w:pStyle w:val="a5"/>
              <w:spacing w:before="0" w:beforeAutospacing="0" w:after="0" w:afterAutospacing="0"/>
              <w:ind w:firstLineChars="50" w:firstLine="105"/>
              <w:jc w:val="center"/>
              <w:rPr>
                <w:rFonts w:hint="eastAsia"/>
              </w:rP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9541B" w14:textId="77777777" w:rsidR="006921CE" w:rsidRDefault="006921CE">
            <w:pPr>
              <w:pStyle w:val="a5"/>
              <w:spacing w:before="0" w:beforeAutospacing="0" w:after="0" w:afterAutospacing="0"/>
              <w:jc w:val="center"/>
              <w:rPr>
                <w:rFonts w:hint="eastAsia"/>
              </w:rPr>
            </w:pPr>
            <w:r>
              <w:rPr>
                <w:rFonts w:hint="eastAsia"/>
                <w:kern w:val="2"/>
                <w:sz w:val="21"/>
                <w:lang w:eastAsia="zh-Hans"/>
              </w:rPr>
              <w:t>JPM BETA USTRES 0-1 USD UCITS LN</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2C5F29" w14:textId="77777777" w:rsidR="006921CE" w:rsidRDefault="006921CE">
            <w:pPr>
              <w:pStyle w:val="a5"/>
              <w:spacing w:before="0" w:beforeAutospacing="0" w:after="0" w:afterAutospacing="0"/>
              <w:jc w:val="center"/>
              <w:rPr>
                <w:rFonts w:hint="eastAsia"/>
              </w:rP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4B6915" w14:textId="77777777" w:rsidR="006921CE" w:rsidRDefault="006921CE">
            <w:pPr>
              <w:pStyle w:val="a5"/>
              <w:spacing w:before="0" w:beforeAutospacing="0" w:after="0" w:afterAutospacing="0"/>
              <w:jc w:val="center"/>
              <w:rPr>
                <w:rFonts w:hint="eastAsia"/>
              </w:rPr>
            </w:pPr>
            <w:r>
              <w:rPr>
                <w:rFonts w:hint="eastAsia"/>
                <w:kern w:val="2"/>
                <w:sz w:val="21"/>
                <w:lang w:eastAsia="zh-Hans"/>
              </w:rPr>
              <w:t>交易型开放式(ETF)</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B2584" w14:textId="77777777" w:rsidR="006921CE" w:rsidRDefault="006921CE">
            <w:pPr>
              <w:pStyle w:val="a5"/>
              <w:spacing w:before="0" w:beforeAutospacing="0" w:after="0" w:afterAutospacing="0"/>
              <w:jc w:val="center"/>
              <w:rPr>
                <w:rFonts w:hint="eastAsia"/>
              </w:rPr>
            </w:pPr>
            <w:r>
              <w:rPr>
                <w:rFonts w:hint="eastAsia"/>
                <w:kern w:val="2"/>
                <w:sz w:val="21"/>
                <w:lang w:eastAsia="zh-Hans"/>
              </w:rPr>
              <w:t xml:space="preserve">JPMorgan </w:t>
            </w:r>
            <w:proofErr w:type="gramStart"/>
            <w:r>
              <w:rPr>
                <w:rFonts w:hint="eastAsia"/>
                <w:kern w:val="2"/>
                <w:sz w:val="21"/>
                <w:lang w:eastAsia="zh-Hans"/>
              </w:rPr>
              <w:t>ETFs(</w:t>
            </w:r>
            <w:proofErr w:type="gramEnd"/>
            <w:r>
              <w:rPr>
                <w:rFonts w:hint="eastAsia"/>
                <w:kern w:val="2"/>
                <w:sz w:val="21"/>
                <w:lang w:eastAsia="zh-Hans"/>
              </w:rPr>
              <w:t>Ireland)ICAV</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1F75" w14:textId="77777777" w:rsidR="006921CE" w:rsidRDefault="006921CE">
            <w:pPr>
              <w:pStyle w:val="a5"/>
              <w:spacing w:before="0" w:beforeAutospacing="0" w:after="0" w:afterAutospacing="0"/>
              <w:jc w:val="right"/>
              <w:rPr>
                <w:rFonts w:hint="eastAsia"/>
              </w:rPr>
            </w:pPr>
            <w:r>
              <w:rPr>
                <w:rFonts w:hint="eastAsia"/>
                <w:kern w:val="2"/>
                <w:sz w:val="21"/>
                <w:lang w:eastAsia="zh-Hans"/>
              </w:rPr>
              <w:t>361,390,806.84</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29191" w14:textId="77777777" w:rsidR="006921CE" w:rsidRDefault="006921CE">
            <w:pPr>
              <w:pStyle w:val="a5"/>
              <w:spacing w:before="0" w:beforeAutospacing="0" w:after="0" w:afterAutospacing="0"/>
              <w:jc w:val="right"/>
              <w:rPr>
                <w:rFonts w:hint="eastAsia"/>
              </w:rPr>
            </w:pPr>
            <w:r>
              <w:rPr>
                <w:rFonts w:hint="eastAsia"/>
                <w:kern w:val="2"/>
                <w:sz w:val="21"/>
                <w:lang w:eastAsia="zh-Hans"/>
              </w:rPr>
              <w:t>17.18</w:t>
            </w:r>
          </w:p>
        </w:tc>
      </w:tr>
      <w:tr w:rsidR="00D56498" w14:paraId="48127323" w14:textId="77777777">
        <w:trPr>
          <w:divId w:val="1545749318"/>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523D5" w14:textId="77777777" w:rsidR="006921CE" w:rsidRDefault="006921CE">
            <w:pPr>
              <w:pStyle w:val="a5"/>
              <w:spacing w:before="0" w:beforeAutospacing="0" w:after="0" w:afterAutospacing="0"/>
              <w:ind w:firstLineChars="50" w:firstLine="105"/>
              <w:jc w:val="center"/>
              <w:rPr>
                <w:rFonts w:hint="eastAsia"/>
              </w:rP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9C80CA" w14:textId="77777777" w:rsidR="006921CE" w:rsidRDefault="006921CE">
            <w:pPr>
              <w:pStyle w:val="a5"/>
              <w:spacing w:before="0" w:beforeAutospacing="0" w:after="0" w:afterAutospacing="0"/>
              <w:jc w:val="center"/>
              <w:rPr>
                <w:rFonts w:hint="eastAsia"/>
              </w:rPr>
            </w:pPr>
            <w:r>
              <w:rPr>
                <w:rFonts w:hint="eastAsia"/>
                <w:kern w:val="2"/>
                <w:sz w:val="21"/>
                <w:lang w:eastAsia="zh-Hans"/>
              </w:rPr>
              <w:t>JPM MGD RESERVES-I ACC 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59A20" w14:textId="77777777" w:rsidR="006921CE" w:rsidRDefault="006921CE">
            <w:pPr>
              <w:pStyle w:val="a5"/>
              <w:spacing w:before="0" w:beforeAutospacing="0" w:after="0" w:afterAutospacing="0"/>
              <w:jc w:val="center"/>
              <w:rPr>
                <w:rFonts w:hint="eastAsia"/>
              </w:rP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F6A82C" w14:textId="77777777" w:rsidR="006921CE" w:rsidRDefault="006921CE">
            <w:pPr>
              <w:pStyle w:val="a5"/>
              <w:spacing w:before="0" w:beforeAutospacing="0" w:after="0" w:afterAutospacing="0"/>
              <w:jc w:val="center"/>
              <w:rPr>
                <w:rFonts w:hint="eastAsia"/>
              </w:rP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9E8511" w14:textId="77777777" w:rsidR="006921CE" w:rsidRDefault="006921CE">
            <w:pPr>
              <w:pStyle w:val="a5"/>
              <w:spacing w:before="0" w:beforeAutospacing="0" w:after="0" w:afterAutospacing="0"/>
              <w:jc w:val="center"/>
              <w:rPr>
                <w:rFonts w:hint="eastAsia"/>
              </w:rP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391ED" w14:textId="77777777" w:rsidR="006921CE" w:rsidRDefault="006921CE">
            <w:pPr>
              <w:pStyle w:val="a5"/>
              <w:spacing w:before="0" w:beforeAutospacing="0" w:after="0" w:afterAutospacing="0"/>
              <w:jc w:val="right"/>
              <w:rPr>
                <w:rFonts w:hint="eastAsia"/>
              </w:rPr>
            </w:pPr>
            <w:r>
              <w:rPr>
                <w:rFonts w:hint="eastAsia"/>
                <w:kern w:val="2"/>
                <w:sz w:val="21"/>
                <w:lang w:eastAsia="zh-Hans"/>
              </w:rPr>
              <w:t>359,226,435.06</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E20625" w14:textId="77777777" w:rsidR="006921CE" w:rsidRDefault="006921CE">
            <w:pPr>
              <w:pStyle w:val="a5"/>
              <w:spacing w:before="0" w:beforeAutospacing="0" w:after="0" w:afterAutospacing="0"/>
              <w:jc w:val="right"/>
              <w:rPr>
                <w:rFonts w:hint="eastAsia"/>
              </w:rPr>
            </w:pPr>
            <w:r>
              <w:rPr>
                <w:rFonts w:hint="eastAsia"/>
                <w:kern w:val="2"/>
                <w:sz w:val="21"/>
                <w:lang w:eastAsia="zh-Hans"/>
              </w:rPr>
              <w:t>17.08</w:t>
            </w:r>
          </w:p>
        </w:tc>
      </w:tr>
      <w:tr w:rsidR="00D56498" w14:paraId="0CF1ADEC" w14:textId="77777777">
        <w:trPr>
          <w:divId w:val="1545749318"/>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D7DA50" w14:textId="77777777" w:rsidR="006921CE" w:rsidRDefault="006921CE">
            <w:pPr>
              <w:pStyle w:val="a5"/>
              <w:spacing w:before="0" w:beforeAutospacing="0" w:after="0" w:afterAutospacing="0"/>
              <w:ind w:firstLineChars="50" w:firstLine="105"/>
              <w:jc w:val="center"/>
              <w:rPr>
                <w:rFonts w:hint="eastAsia"/>
              </w:rP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DEE550" w14:textId="77777777" w:rsidR="006921CE" w:rsidRDefault="006921CE">
            <w:pPr>
              <w:pStyle w:val="a5"/>
              <w:spacing w:before="0" w:beforeAutospacing="0" w:after="0" w:afterAutospacing="0"/>
              <w:jc w:val="center"/>
              <w:rPr>
                <w:rFonts w:hint="eastAsia"/>
              </w:rPr>
            </w:pPr>
            <w:r>
              <w:rPr>
                <w:rFonts w:hint="eastAsia"/>
                <w:kern w:val="2"/>
                <w:sz w:val="21"/>
                <w:lang w:eastAsia="zh-Hans"/>
              </w:rPr>
              <w:t>JPM US SHORT DUR BD I(ACC)-USD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0FF504" w14:textId="77777777" w:rsidR="006921CE" w:rsidRDefault="006921CE">
            <w:pPr>
              <w:pStyle w:val="a5"/>
              <w:spacing w:before="0" w:beforeAutospacing="0" w:after="0" w:afterAutospacing="0"/>
              <w:jc w:val="center"/>
              <w:rPr>
                <w:rFonts w:hint="eastAsia"/>
              </w:rP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379B2F" w14:textId="77777777" w:rsidR="006921CE" w:rsidRDefault="006921CE">
            <w:pPr>
              <w:pStyle w:val="a5"/>
              <w:spacing w:before="0" w:beforeAutospacing="0" w:after="0" w:afterAutospacing="0"/>
              <w:jc w:val="center"/>
              <w:rPr>
                <w:rFonts w:hint="eastAsia"/>
              </w:rP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90FF3" w14:textId="77777777" w:rsidR="006921CE" w:rsidRDefault="006921CE">
            <w:pPr>
              <w:pStyle w:val="a5"/>
              <w:spacing w:before="0" w:beforeAutospacing="0" w:after="0" w:afterAutospacing="0"/>
              <w:jc w:val="center"/>
              <w:rPr>
                <w:rFonts w:hint="eastAsia"/>
              </w:rP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5A7C1" w14:textId="77777777" w:rsidR="006921CE" w:rsidRDefault="006921CE">
            <w:pPr>
              <w:pStyle w:val="a5"/>
              <w:spacing w:before="0" w:beforeAutospacing="0" w:after="0" w:afterAutospacing="0"/>
              <w:jc w:val="right"/>
              <w:rPr>
                <w:rFonts w:hint="eastAsia"/>
              </w:rPr>
            </w:pPr>
            <w:r>
              <w:rPr>
                <w:rFonts w:hint="eastAsia"/>
                <w:kern w:val="2"/>
                <w:sz w:val="21"/>
                <w:lang w:eastAsia="zh-Hans"/>
              </w:rPr>
              <w:t>343,396,296.23</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18615" w14:textId="77777777" w:rsidR="006921CE" w:rsidRDefault="006921CE">
            <w:pPr>
              <w:pStyle w:val="a5"/>
              <w:spacing w:before="0" w:beforeAutospacing="0" w:after="0" w:afterAutospacing="0"/>
              <w:jc w:val="right"/>
              <w:rPr>
                <w:rFonts w:hint="eastAsia"/>
              </w:rPr>
            </w:pPr>
            <w:r>
              <w:rPr>
                <w:rFonts w:hint="eastAsia"/>
                <w:kern w:val="2"/>
                <w:sz w:val="21"/>
                <w:lang w:eastAsia="zh-Hans"/>
              </w:rPr>
              <w:t>16.32</w:t>
            </w:r>
          </w:p>
        </w:tc>
      </w:tr>
      <w:tr w:rsidR="00D56498" w14:paraId="654B7FD4" w14:textId="77777777">
        <w:trPr>
          <w:divId w:val="1545749318"/>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A9E57E" w14:textId="77777777" w:rsidR="006921CE" w:rsidRDefault="006921CE">
            <w:pPr>
              <w:pStyle w:val="a5"/>
              <w:spacing w:before="0" w:beforeAutospacing="0" w:after="0" w:afterAutospacing="0"/>
              <w:ind w:firstLineChars="50" w:firstLine="105"/>
              <w:jc w:val="center"/>
              <w:rPr>
                <w:rFonts w:hint="eastAsia"/>
              </w:rP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D5D370" w14:textId="77777777" w:rsidR="006921CE" w:rsidRDefault="006921CE">
            <w:pPr>
              <w:pStyle w:val="a5"/>
              <w:spacing w:before="0" w:beforeAutospacing="0" w:after="0" w:afterAutospacing="0"/>
              <w:jc w:val="center"/>
              <w:rPr>
                <w:rFonts w:hint="eastAsia"/>
              </w:rPr>
            </w:pPr>
            <w:r>
              <w:rPr>
                <w:rFonts w:hint="eastAsia"/>
                <w:kern w:val="2"/>
                <w:sz w:val="21"/>
                <w:lang w:eastAsia="zh-Hans"/>
              </w:rPr>
              <w:t>JPM GLOBL SHO DUR BND I(ACC)USD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1D402A" w14:textId="77777777" w:rsidR="006921CE" w:rsidRDefault="006921CE">
            <w:pPr>
              <w:pStyle w:val="a5"/>
              <w:spacing w:before="0" w:beforeAutospacing="0" w:after="0" w:afterAutospacing="0"/>
              <w:jc w:val="center"/>
              <w:rPr>
                <w:rFonts w:hint="eastAsia"/>
              </w:rP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41E1" w14:textId="77777777" w:rsidR="006921CE" w:rsidRDefault="006921CE">
            <w:pPr>
              <w:pStyle w:val="a5"/>
              <w:spacing w:before="0" w:beforeAutospacing="0" w:after="0" w:afterAutospacing="0"/>
              <w:jc w:val="center"/>
              <w:rPr>
                <w:rFonts w:hint="eastAsia"/>
              </w:rP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733E89" w14:textId="77777777" w:rsidR="006921CE" w:rsidRDefault="006921CE">
            <w:pPr>
              <w:pStyle w:val="a5"/>
              <w:spacing w:before="0" w:beforeAutospacing="0" w:after="0" w:afterAutospacing="0"/>
              <w:jc w:val="center"/>
              <w:rPr>
                <w:rFonts w:hint="eastAsia"/>
              </w:rP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2F9E3" w14:textId="77777777" w:rsidR="006921CE" w:rsidRDefault="006921CE">
            <w:pPr>
              <w:pStyle w:val="a5"/>
              <w:spacing w:before="0" w:beforeAutospacing="0" w:after="0" w:afterAutospacing="0"/>
              <w:jc w:val="right"/>
              <w:rPr>
                <w:rFonts w:hint="eastAsia"/>
              </w:rPr>
            </w:pPr>
            <w:r>
              <w:rPr>
                <w:rFonts w:hint="eastAsia"/>
                <w:kern w:val="2"/>
                <w:sz w:val="21"/>
                <w:lang w:eastAsia="zh-Hans"/>
              </w:rPr>
              <w:t>178,588,543.54</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A97DCA" w14:textId="77777777" w:rsidR="006921CE" w:rsidRDefault="006921CE">
            <w:pPr>
              <w:pStyle w:val="a5"/>
              <w:spacing w:before="0" w:beforeAutospacing="0" w:after="0" w:afterAutospacing="0"/>
              <w:jc w:val="right"/>
              <w:rPr>
                <w:rFonts w:hint="eastAsia"/>
              </w:rPr>
            </w:pPr>
            <w:r>
              <w:rPr>
                <w:rFonts w:hint="eastAsia"/>
                <w:kern w:val="2"/>
                <w:sz w:val="21"/>
                <w:lang w:eastAsia="zh-Hans"/>
              </w:rPr>
              <w:t>8.49</w:t>
            </w:r>
          </w:p>
        </w:tc>
      </w:tr>
      <w:tr w:rsidR="00D56498" w14:paraId="77AADEC8" w14:textId="77777777">
        <w:trPr>
          <w:divId w:val="1545749318"/>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3D2DE" w14:textId="77777777" w:rsidR="006921CE" w:rsidRDefault="006921CE">
            <w:pPr>
              <w:pStyle w:val="a5"/>
              <w:spacing w:before="0" w:beforeAutospacing="0" w:after="0" w:afterAutospacing="0"/>
              <w:ind w:firstLineChars="50" w:firstLine="105"/>
              <w:jc w:val="center"/>
              <w:rPr>
                <w:rFonts w:hint="eastAsia"/>
              </w:rP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D42E0" w14:textId="77777777" w:rsidR="006921CE" w:rsidRDefault="006921CE">
            <w:pPr>
              <w:pStyle w:val="a5"/>
              <w:spacing w:before="0" w:beforeAutospacing="0" w:after="0" w:afterAutospacing="0"/>
              <w:jc w:val="center"/>
              <w:rPr>
                <w:rFonts w:hint="eastAsia"/>
              </w:rPr>
            </w:pPr>
            <w:r>
              <w:rPr>
                <w:rFonts w:hint="eastAsia"/>
                <w:kern w:val="2"/>
                <w:sz w:val="21"/>
                <w:lang w:eastAsia="zh-Hans"/>
              </w:rPr>
              <w:t>JPM INCOME FUND I (ACC) - 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B5601" w14:textId="77777777" w:rsidR="006921CE" w:rsidRDefault="006921CE">
            <w:pPr>
              <w:pStyle w:val="a5"/>
              <w:spacing w:before="0" w:beforeAutospacing="0" w:after="0" w:afterAutospacing="0"/>
              <w:jc w:val="center"/>
              <w:rPr>
                <w:rFonts w:hint="eastAsia"/>
              </w:rP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F3AE8" w14:textId="77777777" w:rsidR="006921CE" w:rsidRDefault="006921CE">
            <w:pPr>
              <w:pStyle w:val="a5"/>
              <w:spacing w:before="0" w:beforeAutospacing="0" w:after="0" w:afterAutospacing="0"/>
              <w:jc w:val="center"/>
              <w:rPr>
                <w:rFonts w:hint="eastAsia"/>
              </w:rP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3A840" w14:textId="77777777" w:rsidR="006921CE" w:rsidRDefault="006921CE">
            <w:pPr>
              <w:pStyle w:val="a5"/>
              <w:spacing w:before="0" w:beforeAutospacing="0" w:after="0" w:afterAutospacing="0"/>
              <w:jc w:val="center"/>
              <w:rPr>
                <w:rFonts w:hint="eastAsia"/>
              </w:rP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A9483" w14:textId="77777777" w:rsidR="006921CE" w:rsidRDefault="006921CE">
            <w:pPr>
              <w:pStyle w:val="a5"/>
              <w:spacing w:before="0" w:beforeAutospacing="0" w:after="0" w:afterAutospacing="0"/>
              <w:jc w:val="right"/>
              <w:rPr>
                <w:rFonts w:hint="eastAsia"/>
              </w:rPr>
            </w:pPr>
            <w:r>
              <w:rPr>
                <w:rFonts w:hint="eastAsia"/>
                <w:kern w:val="2"/>
                <w:sz w:val="21"/>
                <w:lang w:eastAsia="zh-Hans"/>
              </w:rPr>
              <w:t>131,851,389.96</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049C4" w14:textId="77777777" w:rsidR="006921CE" w:rsidRDefault="006921CE">
            <w:pPr>
              <w:pStyle w:val="a5"/>
              <w:spacing w:before="0" w:beforeAutospacing="0" w:after="0" w:afterAutospacing="0"/>
              <w:jc w:val="right"/>
              <w:rPr>
                <w:rFonts w:hint="eastAsia"/>
              </w:rPr>
            </w:pPr>
            <w:r>
              <w:rPr>
                <w:rFonts w:hint="eastAsia"/>
                <w:kern w:val="2"/>
                <w:sz w:val="21"/>
                <w:lang w:eastAsia="zh-Hans"/>
              </w:rPr>
              <w:t>6.27</w:t>
            </w:r>
          </w:p>
        </w:tc>
      </w:tr>
      <w:tr w:rsidR="00D56498" w14:paraId="01A7DA0F" w14:textId="77777777">
        <w:trPr>
          <w:divId w:val="1545749318"/>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31A526" w14:textId="77777777" w:rsidR="006921CE" w:rsidRDefault="006921CE">
            <w:pPr>
              <w:pStyle w:val="a5"/>
              <w:spacing w:before="0" w:beforeAutospacing="0" w:after="0" w:afterAutospacing="0"/>
              <w:ind w:firstLineChars="50" w:firstLine="105"/>
              <w:jc w:val="center"/>
              <w:rPr>
                <w:rFonts w:hint="eastAsia"/>
              </w:rP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99A4CF" w14:textId="77777777" w:rsidR="006921CE" w:rsidRDefault="006921CE">
            <w:pPr>
              <w:pStyle w:val="a5"/>
              <w:spacing w:before="0" w:beforeAutospacing="0" w:after="0" w:afterAutospacing="0"/>
              <w:jc w:val="center"/>
              <w:rPr>
                <w:rFonts w:hint="eastAsia"/>
              </w:rPr>
            </w:pPr>
            <w:r>
              <w:rPr>
                <w:rFonts w:hint="eastAsia"/>
                <w:kern w:val="2"/>
                <w:sz w:val="21"/>
                <w:lang w:eastAsia="zh-Hans"/>
              </w:rPr>
              <w:t xml:space="preserve">JPM BETA US TRE BD 0-3 USD </w:t>
            </w:r>
            <w:proofErr w:type="gramStart"/>
            <w:r>
              <w:rPr>
                <w:rFonts w:hint="eastAsia"/>
                <w:kern w:val="2"/>
                <w:sz w:val="21"/>
                <w:lang w:eastAsia="zh-Hans"/>
              </w:rPr>
              <w:t>A</w:t>
            </w:r>
            <w:proofErr w:type="gramEnd"/>
            <w:r>
              <w:rPr>
                <w:rFonts w:hint="eastAsia"/>
                <w:kern w:val="2"/>
                <w:sz w:val="21"/>
                <w:lang w:eastAsia="zh-Hans"/>
              </w:rPr>
              <w:t xml:space="preserve"> ETF</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54525E" w14:textId="77777777" w:rsidR="006921CE" w:rsidRDefault="006921CE">
            <w:pPr>
              <w:pStyle w:val="a5"/>
              <w:spacing w:before="0" w:beforeAutospacing="0" w:after="0" w:afterAutospacing="0"/>
              <w:jc w:val="center"/>
              <w:rPr>
                <w:rFonts w:hint="eastAsia"/>
              </w:rP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E8D0B2" w14:textId="77777777" w:rsidR="006921CE" w:rsidRDefault="006921CE">
            <w:pPr>
              <w:pStyle w:val="a5"/>
              <w:spacing w:before="0" w:beforeAutospacing="0" w:after="0" w:afterAutospacing="0"/>
              <w:jc w:val="center"/>
              <w:rPr>
                <w:rFonts w:hint="eastAsia"/>
              </w:rPr>
            </w:pPr>
            <w:r>
              <w:rPr>
                <w:rFonts w:hint="eastAsia"/>
                <w:kern w:val="2"/>
                <w:sz w:val="21"/>
                <w:lang w:eastAsia="zh-Hans"/>
              </w:rPr>
              <w:t>交易型开放式(ETF)</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AE966" w14:textId="77777777" w:rsidR="006921CE" w:rsidRDefault="006921CE">
            <w:pPr>
              <w:pStyle w:val="a5"/>
              <w:spacing w:before="0" w:beforeAutospacing="0" w:after="0" w:afterAutospacing="0"/>
              <w:jc w:val="center"/>
              <w:rPr>
                <w:rFonts w:hint="eastAsia"/>
              </w:rPr>
            </w:pPr>
            <w:r>
              <w:rPr>
                <w:rFonts w:hint="eastAsia"/>
                <w:kern w:val="2"/>
                <w:sz w:val="21"/>
                <w:lang w:eastAsia="zh-Hans"/>
              </w:rPr>
              <w:t xml:space="preserve">JPMorgan </w:t>
            </w:r>
            <w:proofErr w:type="gramStart"/>
            <w:r>
              <w:rPr>
                <w:rFonts w:hint="eastAsia"/>
                <w:kern w:val="2"/>
                <w:sz w:val="21"/>
                <w:lang w:eastAsia="zh-Hans"/>
              </w:rPr>
              <w:t>ETFs(</w:t>
            </w:r>
            <w:proofErr w:type="gramEnd"/>
            <w:r>
              <w:rPr>
                <w:rFonts w:hint="eastAsia"/>
                <w:kern w:val="2"/>
                <w:sz w:val="21"/>
                <w:lang w:eastAsia="zh-Hans"/>
              </w:rPr>
              <w:t>Ireland)ICAV</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F8B264" w14:textId="77777777" w:rsidR="006921CE" w:rsidRDefault="006921CE">
            <w:pPr>
              <w:pStyle w:val="a5"/>
              <w:spacing w:before="0" w:beforeAutospacing="0" w:after="0" w:afterAutospacing="0"/>
              <w:jc w:val="right"/>
              <w:rPr>
                <w:rFonts w:hint="eastAsia"/>
              </w:rPr>
            </w:pPr>
            <w:r>
              <w:rPr>
                <w:rFonts w:hint="eastAsia"/>
                <w:kern w:val="2"/>
                <w:sz w:val="21"/>
                <w:lang w:eastAsia="zh-Hans"/>
              </w:rPr>
              <w:t>77,692,806.66</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E072FC" w14:textId="77777777" w:rsidR="006921CE" w:rsidRDefault="006921CE">
            <w:pPr>
              <w:pStyle w:val="a5"/>
              <w:spacing w:before="0" w:beforeAutospacing="0" w:after="0" w:afterAutospacing="0"/>
              <w:jc w:val="right"/>
              <w:rPr>
                <w:rFonts w:hint="eastAsia"/>
              </w:rPr>
            </w:pPr>
            <w:r>
              <w:rPr>
                <w:rFonts w:hint="eastAsia"/>
                <w:kern w:val="2"/>
                <w:sz w:val="21"/>
                <w:lang w:eastAsia="zh-Hans"/>
              </w:rPr>
              <w:t>3.69</w:t>
            </w:r>
            <w:bookmarkEnd w:id="206"/>
            <w:bookmarkEnd w:id="207"/>
            <w:bookmarkEnd w:id="208"/>
            <w:bookmarkEnd w:id="209"/>
            <w:bookmarkEnd w:id="319"/>
          </w:p>
        </w:tc>
      </w:tr>
    </w:tbl>
    <w:p w14:paraId="1F6520E2" w14:textId="77777777" w:rsidR="006921CE" w:rsidRDefault="006921CE">
      <w:pPr>
        <w:pStyle w:val="XBRLTitle2"/>
        <w:spacing w:before="156" w:line="360" w:lineRule="auto"/>
        <w:ind w:left="454"/>
      </w:pPr>
      <w:bookmarkStart w:id="320" w:name="_Toc514088269"/>
      <w:bookmarkEnd w:id="318"/>
      <w:proofErr w:type="spellStart"/>
      <w:r>
        <w:rPr>
          <w:rFonts w:eastAsia="宋体" w:hint="eastAsia"/>
        </w:rPr>
        <w:t>投资组合报告附注</w:t>
      </w:r>
      <w:bookmarkEnd w:id="320"/>
      <w:bookmarkEnd w:id="243"/>
      <w:bookmarkEnd w:id="244"/>
      <w:bookmarkEnd w:id="245"/>
      <w:bookmarkEnd w:id="246"/>
      <w:bookmarkEnd w:id="247"/>
      <w:bookmarkEnd w:id="248"/>
      <w:bookmarkEnd w:id="249"/>
      <w:bookmarkEnd w:id="250"/>
      <w:bookmarkEnd w:id="251"/>
      <w:bookmarkEnd w:id="252"/>
      <w:proofErr w:type="spellEnd"/>
      <w:r>
        <w:rPr>
          <w:rFonts w:eastAsia="宋体" w:hint="eastAsia"/>
        </w:rPr>
        <w:t xml:space="preserve"> </w:t>
      </w:r>
    </w:p>
    <w:p w14:paraId="05AB30C2" w14:textId="77777777" w:rsidR="006921CE" w:rsidRDefault="006921CE">
      <w:pPr>
        <w:pStyle w:val="XBRLTitle3"/>
        <w:spacing w:before="156" w:line="360" w:lineRule="auto"/>
        <w:ind w:left="624"/>
      </w:pPr>
      <w:r>
        <w:rPr>
          <w:rFonts w:hAnsi="宋体" w:hint="eastAsia"/>
          <w:lang w:eastAsia="zh-CN"/>
        </w:rPr>
        <w:t xml:space="preserve"> </w:t>
      </w:r>
      <w:bookmarkStart w:id="321" w:name="_Toc514088270"/>
      <w:bookmarkEnd w:id="321"/>
      <w:bookmarkEnd w:id="255"/>
      <w:bookmarkEnd w:id="256"/>
      <w:r>
        <w:rPr>
          <w:rFonts w:hAnsi="宋体" w:hint="eastAsia"/>
        </w:rPr>
        <w:t xml:space="preserve"> </w:t>
      </w:r>
    </w:p>
    <w:p w14:paraId="137A395D" w14:textId="77777777" w:rsidR="006921CE" w:rsidRDefault="006921CE">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52F76D6D" w14:textId="77777777" w:rsidR="006921CE" w:rsidRDefault="006921CE">
      <w:pPr>
        <w:pStyle w:val="XBRLTitle3"/>
        <w:spacing w:before="156" w:line="360" w:lineRule="auto"/>
        <w:ind w:left="624"/>
      </w:pPr>
      <w:bookmarkStart w:id="322" w:name="m510_01_1598"/>
      <w:bookmarkEnd w:id="253"/>
      <w:r>
        <w:rPr>
          <w:rFonts w:hAnsi="宋体" w:hint="eastAsia"/>
          <w:lang w:eastAsia="zh-CN"/>
        </w:rPr>
        <w:t xml:space="preserve"> </w:t>
      </w:r>
      <w:bookmarkStart w:id="323" w:name="_Toc514088271"/>
      <w:bookmarkStart w:id="324" w:name="_Toc513542672"/>
      <w:bookmarkStart w:id="325" w:name="_Toc480465443"/>
      <w:bookmarkEnd w:id="323"/>
      <w:bookmarkEnd w:id="324"/>
      <w:bookmarkEnd w:id="325"/>
      <w:r>
        <w:rPr>
          <w:rFonts w:hAnsi="宋体" w:hint="eastAsia"/>
        </w:rPr>
        <w:t xml:space="preserve"> </w:t>
      </w:r>
    </w:p>
    <w:p w14:paraId="792DDF79" w14:textId="77777777" w:rsidR="006921CE" w:rsidRDefault="006921CE">
      <w:pPr>
        <w:spacing w:line="360" w:lineRule="auto"/>
        <w:ind w:firstLineChars="200" w:firstLine="420"/>
      </w:pPr>
      <w:r>
        <w:rPr>
          <w:rFonts w:ascii="宋体" w:hAnsi="宋体" w:hint="eastAsia"/>
        </w:rPr>
        <w:t>报告期内本基金投资的前十名股票中没有在基金合同规定备选股票库之外的股票。</w:t>
      </w:r>
    </w:p>
    <w:p w14:paraId="6FE32AA0" w14:textId="77777777" w:rsidR="006921CE" w:rsidRDefault="006921CE">
      <w:pPr>
        <w:pStyle w:val="XBRLTitle3"/>
        <w:spacing w:before="156" w:line="360" w:lineRule="auto"/>
        <w:ind w:left="624"/>
      </w:pPr>
      <w:bookmarkStart w:id="326" w:name="_Toc514088272"/>
      <w:bookmarkStart w:id="327" w:name="_Toc480465444"/>
      <w:bookmarkStart w:id="328" w:name="_Toc513542673"/>
      <w:bookmarkStart w:id="329" w:name="m510_02"/>
      <w:bookmarkEnd w:id="322"/>
      <w:proofErr w:type="spellStart"/>
      <w:r>
        <w:rPr>
          <w:rFonts w:hAnsi="宋体" w:hint="eastAsia"/>
        </w:rPr>
        <w:lastRenderedPageBreak/>
        <w:t>其他资产构成</w:t>
      </w:r>
      <w:bookmarkEnd w:id="326"/>
      <w:bookmarkEnd w:id="327"/>
      <w:proofErr w:type="spellEnd"/>
      <w:r>
        <w:rPr>
          <w:rFonts w:hint="eastAsia"/>
        </w:rPr>
        <w:t xml:space="preserve"> </w:t>
      </w:r>
      <w:bookmarkEnd w:id="3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D56498" w14:paraId="407FD7DE" w14:textId="77777777">
        <w:trPr>
          <w:divId w:val="201996074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73E1F" w14:textId="77777777" w:rsidR="006921CE" w:rsidRDefault="006921C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73128" w14:textId="77777777" w:rsidR="006921CE" w:rsidRDefault="006921C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35BC25" w14:textId="77777777" w:rsidR="006921CE" w:rsidRDefault="006921CE">
            <w:pPr>
              <w:jc w:val="center"/>
            </w:pPr>
            <w:r>
              <w:rPr>
                <w:rFonts w:ascii="宋体" w:hAnsi="宋体" w:hint="eastAsia"/>
              </w:rPr>
              <w:t>金额（人民币元）</w:t>
            </w:r>
            <w:r>
              <w:t xml:space="preserve"> </w:t>
            </w:r>
          </w:p>
        </w:tc>
      </w:tr>
      <w:tr w:rsidR="00D56498" w14:paraId="1211E5EC" w14:textId="77777777">
        <w:trPr>
          <w:divId w:val="20199607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894661" w14:textId="77777777" w:rsidR="006921CE" w:rsidRDefault="006921C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5DABD7" w14:textId="77777777" w:rsidR="006921CE" w:rsidRDefault="006921C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61E36" w14:textId="77777777" w:rsidR="006921CE" w:rsidRDefault="006921CE">
            <w:pPr>
              <w:jc w:val="right"/>
            </w:pPr>
            <w:r>
              <w:rPr>
                <w:rFonts w:ascii="宋体" w:hAnsi="宋体" w:hint="eastAsia"/>
              </w:rPr>
              <w:t>5,144.35</w:t>
            </w:r>
          </w:p>
        </w:tc>
      </w:tr>
      <w:tr w:rsidR="00D56498" w14:paraId="2EF7A66F" w14:textId="77777777">
        <w:trPr>
          <w:divId w:val="20199607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E3C37" w14:textId="77777777" w:rsidR="006921CE" w:rsidRDefault="006921C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48EDA2" w14:textId="77777777" w:rsidR="006921CE" w:rsidRDefault="006921C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15005" w14:textId="77777777" w:rsidR="006921CE" w:rsidRDefault="006921CE">
            <w:pPr>
              <w:jc w:val="right"/>
            </w:pPr>
            <w:r>
              <w:rPr>
                <w:rFonts w:ascii="宋体" w:hAnsi="宋体" w:hint="eastAsia"/>
              </w:rPr>
              <w:t>-</w:t>
            </w:r>
          </w:p>
        </w:tc>
      </w:tr>
      <w:tr w:rsidR="00D56498" w14:paraId="49C9FBBA" w14:textId="77777777">
        <w:trPr>
          <w:divId w:val="20199607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8C943" w14:textId="77777777" w:rsidR="006921CE" w:rsidRDefault="006921C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E007B" w14:textId="77777777" w:rsidR="006921CE" w:rsidRDefault="006921C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35534F" w14:textId="77777777" w:rsidR="006921CE" w:rsidRDefault="006921CE">
            <w:pPr>
              <w:jc w:val="right"/>
            </w:pPr>
            <w:r>
              <w:rPr>
                <w:rFonts w:ascii="宋体" w:hAnsi="宋体" w:hint="eastAsia"/>
              </w:rPr>
              <w:t>-</w:t>
            </w:r>
          </w:p>
        </w:tc>
      </w:tr>
      <w:tr w:rsidR="00D56498" w14:paraId="3B8C2396" w14:textId="77777777">
        <w:trPr>
          <w:divId w:val="20199607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AFC57" w14:textId="77777777" w:rsidR="006921CE" w:rsidRDefault="006921C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3F736A" w14:textId="77777777" w:rsidR="006921CE" w:rsidRDefault="006921C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B933B" w14:textId="77777777" w:rsidR="006921CE" w:rsidRDefault="006921CE">
            <w:pPr>
              <w:jc w:val="right"/>
            </w:pPr>
            <w:r>
              <w:rPr>
                <w:rFonts w:ascii="宋体" w:hAnsi="宋体" w:hint="eastAsia"/>
              </w:rPr>
              <w:t>-</w:t>
            </w:r>
          </w:p>
        </w:tc>
      </w:tr>
      <w:tr w:rsidR="00D56498" w14:paraId="40175291" w14:textId="77777777">
        <w:trPr>
          <w:divId w:val="20199607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E1394" w14:textId="77777777" w:rsidR="006921CE" w:rsidRDefault="006921C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81BF54" w14:textId="77777777" w:rsidR="006921CE" w:rsidRDefault="006921C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95B396" w14:textId="77777777" w:rsidR="006921CE" w:rsidRDefault="006921CE">
            <w:pPr>
              <w:jc w:val="right"/>
            </w:pPr>
            <w:r>
              <w:rPr>
                <w:rFonts w:ascii="宋体" w:hAnsi="宋体" w:hint="eastAsia"/>
              </w:rPr>
              <w:t>8,114,132.71</w:t>
            </w:r>
          </w:p>
        </w:tc>
      </w:tr>
      <w:tr w:rsidR="00D56498" w14:paraId="5EC2A3EB" w14:textId="77777777">
        <w:trPr>
          <w:divId w:val="20199607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C74CAE" w14:textId="77777777" w:rsidR="006921CE" w:rsidRDefault="006921C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D59E67" w14:textId="77777777" w:rsidR="006921CE" w:rsidRDefault="006921C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AC48A" w14:textId="77777777" w:rsidR="006921CE" w:rsidRDefault="006921CE">
            <w:pPr>
              <w:jc w:val="right"/>
            </w:pPr>
            <w:r>
              <w:rPr>
                <w:rFonts w:ascii="宋体" w:hAnsi="宋体" w:hint="eastAsia"/>
              </w:rPr>
              <w:t>-</w:t>
            </w:r>
          </w:p>
        </w:tc>
      </w:tr>
      <w:tr w:rsidR="00D56498" w14:paraId="5AE2E689" w14:textId="77777777">
        <w:trPr>
          <w:divId w:val="20199607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175AA4" w14:textId="77777777" w:rsidR="006921CE" w:rsidRDefault="006921C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D3179" w14:textId="77777777" w:rsidR="006921CE" w:rsidRDefault="006921C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5FDE60" w14:textId="77777777" w:rsidR="006921CE" w:rsidRDefault="006921CE">
            <w:pPr>
              <w:jc w:val="right"/>
            </w:pPr>
            <w:r>
              <w:rPr>
                <w:rFonts w:ascii="宋体" w:hAnsi="宋体" w:hint="eastAsia"/>
              </w:rPr>
              <w:t>-</w:t>
            </w:r>
          </w:p>
        </w:tc>
      </w:tr>
      <w:tr w:rsidR="00D56498" w14:paraId="4931EEEB" w14:textId="77777777">
        <w:trPr>
          <w:divId w:val="20199607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B2F18E" w14:textId="77777777" w:rsidR="006921CE" w:rsidRDefault="006921C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E9C1FB" w14:textId="77777777" w:rsidR="006921CE" w:rsidRDefault="006921C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39B83" w14:textId="77777777" w:rsidR="006921CE" w:rsidRDefault="006921CE">
            <w:pPr>
              <w:jc w:val="right"/>
            </w:pPr>
            <w:r>
              <w:rPr>
                <w:rFonts w:ascii="宋体" w:hAnsi="宋体" w:hint="eastAsia"/>
              </w:rPr>
              <w:t>8,119,277.06</w:t>
            </w:r>
          </w:p>
        </w:tc>
      </w:tr>
    </w:tbl>
    <w:p w14:paraId="1BA790CE" w14:textId="77777777" w:rsidR="006921CE" w:rsidRDefault="006921CE">
      <w:pPr>
        <w:pStyle w:val="XBRLTitle3"/>
        <w:spacing w:before="156" w:line="360" w:lineRule="auto"/>
        <w:ind w:left="624"/>
      </w:pPr>
      <w:bookmarkStart w:id="330" w:name="_Toc514088273"/>
      <w:bookmarkStart w:id="331" w:name="_Toc480465445"/>
      <w:bookmarkStart w:id="332" w:name="_Toc513542674"/>
      <w:bookmarkStart w:id="333" w:name="m510_03"/>
      <w:bookmarkEnd w:id="329"/>
      <w:proofErr w:type="spellStart"/>
      <w:r>
        <w:rPr>
          <w:rFonts w:hAnsi="宋体" w:hint="eastAsia"/>
        </w:rPr>
        <w:t>报告期末持有的处于转股期的可转换债券明细</w:t>
      </w:r>
      <w:bookmarkEnd w:id="330"/>
      <w:bookmarkEnd w:id="331"/>
      <w:proofErr w:type="spellEnd"/>
      <w:r>
        <w:rPr>
          <w:rFonts w:hint="eastAsia"/>
        </w:rPr>
        <w:t xml:space="preserve"> </w:t>
      </w:r>
      <w:bookmarkEnd w:id="332"/>
    </w:p>
    <w:p w14:paraId="066AE3BD" w14:textId="77777777" w:rsidR="006921CE" w:rsidRDefault="006921CE">
      <w:pPr>
        <w:spacing w:line="360" w:lineRule="auto"/>
        <w:ind w:firstLineChars="200" w:firstLine="420"/>
        <w:jc w:val="left"/>
        <w:divId w:val="275597111"/>
      </w:pPr>
      <w:r>
        <w:rPr>
          <w:rFonts w:ascii="宋体" w:hAnsi="宋体" w:hint="eastAsia"/>
        </w:rPr>
        <w:t xml:space="preserve">本基金本报告期末未持有处于转股期的可转换债券。 </w:t>
      </w:r>
    </w:p>
    <w:p w14:paraId="4DAF8647" w14:textId="77777777" w:rsidR="006921CE" w:rsidRDefault="006921CE">
      <w:pPr>
        <w:pStyle w:val="XBRLTitle3"/>
        <w:spacing w:before="156" w:line="360" w:lineRule="auto"/>
        <w:ind w:left="624"/>
      </w:pPr>
      <w:bookmarkStart w:id="334" w:name="_Toc514088274"/>
      <w:bookmarkStart w:id="335" w:name="_Toc480465446"/>
      <w:bookmarkStart w:id="336" w:name="_Toc513542675"/>
      <w:bookmarkStart w:id="337" w:name="m510_04"/>
      <w:bookmarkEnd w:id="333"/>
      <w:proofErr w:type="spellStart"/>
      <w:r>
        <w:rPr>
          <w:rFonts w:hAnsi="宋体" w:hint="eastAsia"/>
        </w:rPr>
        <w:t>报告期末前十名股票中存在流通受限情况的说明</w:t>
      </w:r>
      <w:bookmarkEnd w:id="334"/>
      <w:bookmarkEnd w:id="335"/>
      <w:proofErr w:type="spellEnd"/>
      <w:r>
        <w:rPr>
          <w:rFonts w:hint="eastAsia"/>
        </w:rPr>
        <w:t xml:space="preserve"> </w:t>
      </w:r>
      <w:bookmarkEnd w:id="336"/>
    </w:p>
    <w:p w14:paraId="61BF299B" w14:textId="77777777" w:rsidR="006921CE" w:rsidRDefault="006921CE">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23"/>
    </w:p>
    <w:p w14:paraId="7DAC1B03" w14:textId="77777777" w:rsidR="006921CE" w:rsidRDefault="006921CE">
      <w:pPr>
        <w:pStyle w:val="XBRLTitle3"/>
        <w:spacing w:before="156" w:line="360" w:lineRule="auto"/>
        <w:ind w:left="624"/>
      </w:pPr>
      <w:bookmarkStart w:id="338" w:name="_Toc514088275"/>
      <w:bookmarkStart w:id="339" w:name="_Toc480465447"/>
      <w:bookmarkStart w:id="340" w:name="_Toc513542676"/>
      <w:bookmarkStart w:id="341" w:name="m510_05_1678"/>
      <w:bookmarkEnd w:id="337"/>
      <w:proofErr w:type="spellStart"/>
      <w:r>
        <w:rPr>
          <w:rFonts w:hAnsi="宋体" w:hint="eastAsia"/>
        </w:rPr>
        <w:t>投资组合报告附注的其他文字描述部分</w:t>
      </w:r>
      <w:bookmarkEnd w:id="338"/>
      <w:bookmarkEnd w:id="339"/>
      <w:bookmarkEnd w:id="340"/>
      <w:proofErr w:type="spellEnd"/>
      <w:r>
        <w:rPr>
          <w:rFonts w:hAnsi="宋体" w:hint="eastAsia"/>
        </w:rPr>
        <w:t xml:space="preserve"> </w:t>
      </w:r>
    </w:p>
    <w:p w14:paraId="4E953E05" w14:textId="77777777" w:rsidR="006921CE" w:rsidRDefault="006921CE">
      <w:pPr>
        <w:spacing w:line="360" w:lineRule="auto"/>
        <w:ind w:firstLineChars="200" w:firstLine="420"/>
        <w:jc w:val="left"/>
      </w:pPr>
      <w:r>
        <w:rPr>
          <w:rFonts w:ascii="宋体" w:hAnsi="宋体" w:hint="eastAsia"/>
        </w:rPr>
        <w:t>因四舍五入原因，投资组合报告中分项之和与合计可能存在尾差。</w:t>
      </w:r>
    </w:p>
    <w:p w14:paraId="4E793070" w14:textId="77777777" w:rsidR="006921CE" w:rsidRDefault="006921CE">
      <w:pPr>
        <w:pStyle w:val="XBRLTitle1"/>
        <w:spacing w:before="156"/>
        <w:ind w:left="425"/>
        <w:rPr>
          <w:rFonts w:hint="eastAsia"/>
        </w:rPr>
      </w:pPr>
      <w:bookmarkStart w:id="342" w:name="_Toc514088276"/>
      <w:bookmarkStart w:id="343" w:name="_Toc480465448"/>
      <w:bookmarkStart w:id="344" w:name="_Toc448480308"/>
      <w:bookmarkStart w:id="345" w:name="_Toc438654096"/>
      <w:bookmarkStart w:id="346" w:name="_Toc456107141"/>
      <w:bookmarkStart w:id="347" w:name="_Toc459213787"/>
      <w:bookmarkStart w:id="348" w:name="_Toc513542677"/>
      <w:bookmarkStart w:id="349" w:name="_Toc512696273"/>
      <w:bookmarkStart w:id="350" w:name="_Toc512612276"/>
      <w:bookmarkStart w:id="351" w:name="_Toc512612100"/>
      <w:bookmarkStart w:id="352" w:name="_Toc512611304"/>
      <w:bookmarkStart w:id="353" w:name="m601"/>
      <w:proofErr w:type="spellStart"/>
      <w:r>
        <w:rPr>
          <w:rFonts w:hint="eastAsia"/>
        </w:rPr>
        <w:t>开放式基金份额变动</w:t>
      </w:r>
      <w:bookmarkEnd w:id="342"/>
      <w:bookmarkEnd w:id="343"/>
      <w:bookmarkEnd w:id="344"/>
      <w:bookmarkEnd w:id="345"/>
      <w:bookmarkEnd w:id="346"/>
      <w:bookmarkEnd w:id="347"/>
      <w:bookmarkEnd w:id="348"/>
      <w:bookmarkEnd w:id="349"/>
      <w:bookmarkEnd w:id="350"/>
      <w:bookmarkEnd w:id="351"/>
      <w:bookmarkEnd w:id="352"/>
      <w:proofErr w:type="spellEnd"/>
    </w:p>
    <w:p w14:paraId="1A4424BD" w14:textId="77777777" w:rsidR="006921CE" w:rsidRDefault="006921CE">
      <w:pPr>
        <w:wordWrap w:val="0"/>
        <w:spacing w:line="360" w:lineRule="auto"/>
        <w:jc w:val="right"/>
      </w:pPr>
      <w:bookmarkStart w:id="35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90"/>
        <w:gridCol w:w="2531"/>
      </w:tblGrid>
      <w:tr w:rsidR="00D56498" w14:paraId="7C682E93"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342174A" w14:textId="77777777" w:rsidR="006921CE" w:rsidRDefault="006921C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55" w:name="m10_01" w:colFirst="1" w:colLast="2"/>
            <w:bookmarkStart w:id="356" w:name="m601_tab"/>
            <w:bookmarkEnd w:id="354"/>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84474D" w14:textId="77777777" w:rsidR="006921CE" w:rsidRDefault="006921CE">
            <w:pPr>
              <w:ind w:right="3"/>
              <w:jc w:val="center"/>
            </w:pPr>
            <w:r>
              <w:rPr>
                <w:rFonts w:ascii="宋体" w:hAnsi="宋体" w:hint="eastAsia"/>
                <w:lang w:eastAsia="zh-Hans"/>
              </w:rPr>
              <w:t>摩根海外稳健配置混合(QDII-FOF)人民币A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B03182" w14:textId="77777777" w:rsidR="006921CE" w:rsidRDefault="006921CE">
            <w:pPr>
              <w:ind w:right="3"/>
              <w:jc w:val="center"/>
            </w:pPr>
            <w:r>
              <w:rPr>
                <w:rFonts w:ascii="宋体" w:hAnsi="宋体" w:hint="eastAsia"/>
                <w:lang w:eastAsia="zh-Hans"/>
              </w:rPr>
              <w:t>摩根海外稳健配置混合(QDII-FOF)人民币C</w:t>
            </w:r>
            <w:r>
              <w:rPr>
                <w:rFonts w:ascii="宋体" w:hAnsi="宋体" w:hint="eastAsia"/>
                <w:kern w:val="0"/>
                <w:szCs w:val="24"/>
                <w:lang w:eastAsia="zh-Hans"/>
              </w:rPr>
              <w:t xml:space="preserve"> </w:t>
            </w:r>
          </w:p>
        </w:tc>
      </w:tr>
      <w:tr w:rsidR="00D56498" w14:paraId="3ADFDE17"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CFC240" w14:textId="77777777" w:rsidR="006921CE" w:rsidRDefault="006921C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5BED0A" w14:textId="77777777" w:rsidR="006921CE" w:rsidRDefault="006921CE">
            <w:pPr>
              <w:jc w:val="right"/>
            </w:pPr>
            <w:r>
              <w:rPr>
                <w:rFonts w:ascii="宋体" w:hAnsi="宋体" w:hint="eastAsia"/>
              </w:rPr>
              <w:t>1,518,728,264.93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A15FAB" w14:textId="77777777" w:rsidR="006921CE" w:rsidRDefault="006921CE">
            <w:pPr>
              <w:jc w:val="right"/>
            </w:pPr>
            <w:r>
              <w:rPr>
                <w:rFonts w:ascii="宋体" w:hAnsi="宋体" w:hint="eastAsia"/>
              </w:rPr>
              <w:t>366,581,166.78</w:t>
            </w:r>
          </w:p>
        </w:tc>
      </w:tr>
      <w:tr w:rsidR="00D56498" w14:paraId="4EDE3182"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57F052" w14:textId="77777777" w:rsidR="006921CE" w:rsidRDefault="006921C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AB5D11" w14:textId="77777777" w:rsidR="006921CE" w:rsidRDefault="006921CE">
            <w:pPr>
              <w:jc w:val="right"/>
            </w:pPr>
            <w:r>
              <w:rPr>
                <w:rFonts w:ascii="宋体" w:hAnsi="宋体" w:hint="eastAsia"/>
              </w:rPr>
              <w:t>303,548,001.16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1E48DE" w14:textId="77777777" w:rsidR="006921CE" w:rsidRDefault="006921CE">
            <w:pPr>
              <w:jc w:val="right"/>
            </w:pPr>
            <w:r>
              <w:rPr>
                <w:rFonts w:ascii="宋体" w:hAnsi="宋体" w:hint="eastAsia"/>
              </w:rPr>
              <w:t>108,394,069.98</w:t>
            </w:r>
          </w:p>
        </w:tc>
      </w:tr>
      <w:tr w:rsidR="00D56498" w14:paraId="785C966D"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1E1F4B" w14:textId="77777777" w:rsidR="006921CE" w:rsidRDefault="006921C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A35CA2" w14:textId="77777777" w:rsidR="006921CE" w:rsidRDefault="006921CE">
            <w:pPr>
              <w:jc w:val="right"/>
            </w:pPr>
            <w:r>
              <w:rPr>
                <w:rFonts w:ascii="宋体" w:hAnsi="宋体" w:hint="eastAsia"/>
              </w:rPr>
              <w:t>249,721,750.88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258B44" w14:textId="77777777" w:rsidR="006921CE" w:rsidRDefault="006921CE">
            <w:pPr>
              <w:jc w:val="right"/>
            </w:pPr>
            <w:r>
              <w:rPr>
                <w:rFonts w:ascii="宋体" w:hAnsi="宋体" w:hint="eastAsia"/>
              </w:rPr>
              <w:t>109,116,440.22</w:t>
            </w:r>
          </w:p>
        </w:tc>
      </w:tr>
      <w:tr w:rsidR="00D56498" w14:paraId="6EB50D6D"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03D4ED" w14:textId="77777777" w:rsidR="006921CE" w:rsidRDefault="006921C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0C4F5B" w14:textId="77777777" w:rsidR="006921CE" w:rsidRDefault="006921C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4D25EF" w14:textId="77777777" w:rsidR="006921CE" w:rsidRDefault="006921CE">
            <w:pPr>
              <w:jc w:val="right"/>
            </w:pPr>
            <w:r>
              <w:rPr>
                <w:rFonts w:ascii="宋体" w:hAnsi="宋体" w:hint="eastAsia"/>
              </w:rPr>
              <w:t>-</w:t>
            </w:r>
          </w:p>
        </w:tc>
      </w:tr>
      <w:tr w:rsidR="00D56498" w14:paraId="2F317261"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D0F301" w14:textId="77777777" w:rsidR="006921CE" w:rsidRDefault="006921C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073021" w14:textId="77777777" w:rsidR="006921CE" w:rsidRDefault="006921CE">
            <w:pPr>
              <w:jc w:val="right"/>
            </w:pPr>
            <w:r>
              <w:rPr>
                <w:rFonts w:ascii="宋体" w:hAnsi="宋体" w:hint="eastAsia"/>
              </w:rPr>
              <w:t>1,572,554,515.21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CE0F65" w14:textId="77777777" w:rsidR="006921CE" w:rsidRDefault="006921CE">
            <w:pPr>
              <w:jc w:val="right"/>
            </w:pPr>
            <w:r>
              <w:rPr>
                <w:rFonts w:ascii="宋体" w:hAnsi="宋体" w:hint="eastAsia"/>
              </w:rPr>
              <w:t>365,858,796.54</w:t>
            </w:r>
          </w:p>
        </w:tc>
      </w:tr>
    </w:tbl>
    <w:p w14:paraId="16FDC12B" w14:textId="77777777" w:rsidR="006921CE" w:rsidRDefault="006921CE">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55"/>
      <w:r>
        <w:rPr>
          <w:rFonts w:ascii="宋体" w:hAnsi="宋体" w:hint="eastAsia"/>
        </w:rPr>
        <w:t xml:space="preserve"> </w:t>
      </w:r>
    </w:p>
    <w:p w14:paraId="1FE83E81" w14:textId="77777777" w:rsidR="006921CE" w:rsidRDefault="006921CE">
      <w:pPr>
        <w:pStyle w:val="XBRLTitle1"/>
        <w:spacing w:before="156"/>
        <w:ind w:left="425"/>
        <w:rPr>
          <w:rFonts w:hint="eastAsia"/>
        </w:rPr>
      </w:pPr>
      <w:bookmarkStart w:id="357" w:name="_Toc514088277"/>
      <w:bookmarkStart w:id="358" w:name="_Toc480465449"/>
      <w:bookmarkStart w:id="359" w:name="_Toc448480309"/>
      <w:bookmarkStart w:id="360" w:name="_Toc438654097"/>
      <w:bookmarkStart w:id="361" w:name="_Toc456107142"/>
      <w:bookmarkStart w:id="362" w:name="_Toc459213788"/>
      <w:bookmarkStart w:id="363" w:name="_Toc513542678"/>
      <w:bookmarkStart w:id="364" w:name="_Toc512696274"/>
      <w:bookmarkStart w:id="365" w:name="_Toc512612277"/>
      <w:bookmarkStart w:id="366" w:name="_Toc512612101"/>
      <w:bookmarkStart w:id="367" w:name="_Toc512611305"/>
      <w:bookmarkStart w:id="368" w:name="m7manage01"/>
      <w:bookmarkEnd w:id="356"/>
      <w:bookmarkEnd w:id="353"/>
      <w:proofErr w:type="spellStart"/>
      <w:r>
        <w:rPr>
          <w:rFonts w:hint="eastAsia"/>
        </w:rPr>
        <w:t>基金管理人运用固有资金投资本基金交易明细</w:t>
      </w:r>
      <w:bookmarkEnd w:id="357"/>
      <w:bookmarkEnd w:id="358"/>
      <w:bookmarkEnd w:id="359"/>
      <w:bookmarkEnd w:id="360"/>
      <w:bookmarkEnd w:id="361"/>
      <w:bookmarkEnd w:id="362"/>
      <w:bookmarkEnd w:id="363"/>
      <w:bookmarkEnd w:id="364"/>
      <w:bookmarkEnd w:id="365"/>
      <w:bookmarkEnd w:id="366"/>
      <w:bookmarkEnd w:id="367"/>
      <w:bookmarkEnd w:id="368"/>
      <w:bookmarkEnd w:id="34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D56498" w14:paraId="0D394E0B" w14:textId="77777777">
        <w:trPr>
          <w:divId w:val="232588621"/>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B290F7" w14:textId="77777777" w:rsidR="006921CE" w:rsidRDefault="006921CE">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700CBF" w14:textId="77777777" w:rsidR="006921CE" w:rsidRDefault="006921CE">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A6045A" w14:textId="77777777" w:rsidR="006921CE" w:rsidRDefault="006921CE">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01F266" w14:textId="77777777" w:rsidR="006921CE" w:rsidRDefault="006921CE">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BCF6B7" w14:textId="77777777" w:rsidR="006921CE" w:rsidRDefault="006921CE">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51A525" w14:textId="77777777" w:rsidR="006921CE" w:rsidRDefault="006921CE">
            <w:pPr>
              <w:spacing w:line="360" w:lineRule="auto"/>
              <w:jc w:val="center"/>
            </w:pPr>
            <w:r>
              <w:rPr>
                <w:rFonts w:ascii="宋体" w:hAnsi="宋体" w:hint="eastAsia"/>
              </w:rPr>
              <w:t xml:space="preserve">适用费率(%) </w:t>
            </w:r>
          </w:p>
        </w:tc>
      </w:tr>
      <w:tr w:rsidR="00D56498" w14:paraId="01673612" w14:textId="77777777">
        <w:trPr>
          <w:divId w:val="23258862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73A80D" w14:textId="77777777" w:rsidR="006921CE" w:rsidRDefault="006921CE">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02F36E" w14:textId="77777777" w:rsidR="006921CE" w:rsidRDefault="006921CE">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1B4B3" w14:textId="77777777" w:rsidR="006921CE" w:rsidRDefault="006921CE">
            <w:pPr>
              <w:spacing w:line="360" w:lineRule="auto"/>
              <w:jc w:val="center"/>
            </w:pPr>
            <w:r>
              <w:rPr>
                <w:rFonts w:ascii="宋体" w:hAnsi="宋体" w:hint="eastAsia"/>
              </w:rPr>
              <w:t>2025-05-19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E2D0A" w14:textId="77777777" w:rsidR="006921CE" w:rsidRDefault="006921CE">
            <w:pPr>
              <w:spacing w:line="360" w:lineRule="auto"/>
              <w:jc w:val="right"/>
            </w:pPr>
            <w:r>
              <w:rPr>
                <w:rFonts w:ascii="宋体" w:hAnsi="宋体" w:hint="eastAsia"/>
              </w:rPr>
              <w:t>71,502.65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D2B5C6" w14:textId="77777777" w:rsidR="006921CE" w:rsidRDefault="006921CE">
            <w:pPr>
              <w:spacing w:line="360" w:lineRule="auto"/>
              <w:jc w:val="right"/>
            </w:pPr>
            <w:r>
              <w:rPr>
                <w:rFonts w:ascii="宋体" w:hAnsi="宋体" w:hint="eastAsia"/>
              </w:rPr>
              <w:t>-77,520.14</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9417F0" w14:textId="77777777" w:rsidR="006921CE" w:rsidRDefault="006921CE">
            <w:pPr>
              <w:spacing w:line="360" w:lineRule="auto"/>
              <w:jc w:val="right"/>
            </w:pPr>
            <w:r>
              <w:rPr>
                <w:rFonts w:ascii="宋体" w:hAnsi="宋体" w:hint="eastAsia"/>
              </w:rPr>
              <w:t>0.0500</w:t>
            </w:r>
            <w:r>
              <w:t xml:space="preserve"> </w:t>
            </w:r>
          </w:p>
        </w:tc>
      </w:tr>
      <w:tr w:rsidR="00D56498" w14:paraId="3E16BCBE" w14:textId="77777777">
        <w:trPr>
          <w:divId w:val="23258862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9208E2" w14:textId="77777777" w:rsidR="006921CE" w:rsidRDefault="006921CE">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6BB6B8" w14:textId="77777777" w:rsidR="006921CE" w:rsidRDefault="006921CE">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D9685" w14:textId="77777777" w:rsidR="006921CE" w:rsidRDefault="006921CE">
            <w:pPr>
              <w:spacing w:line="360" w:lineRule="auto"/>
              <w:jc w:val="center"/>
            </w:pPr>
            <w:r>
              <w:rPr>
                <w:rFonts w:ascii="宋体" w:hAnsi="宋体" w:hint="eastAsia"/>
              </w:rPr>
              <w:t>2025-05-19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458CF" w14:textId="77777777" w:rsidR="006921CE" w:rsidRDefault="006921CE">
            <w:pPr>
              <w:spacing w:line="360" w:lineRule="auto"/>
              <w:jc w:val="right"/>
            </w:pPr>
            <w:r>
              <w:rPr>
                <w:rFonts w:ascii="宋体" w:hAnsi="宋体" w:hint="eastAsia"/>
              </w:rPr>
              <w:t>83,462.17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1FFE00" w14:textId="77777777" w:rsidR="006921CE" w:rsidRDefault="006921CE">
            <w:pPr>
              <w:spacing w:line="360" w:lineRule="auto"/>
              <w:jc w:val="right"/>
            </w:pPr>
            <w:r>
              <w:rPr>
                <w:rFonts w:ascii="宋体" w:hAnsi="宋体" w:hint="eastAsia"/>
              </w:rPr>
              <w:t>-90,486.15</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02922" w14:textId="77777777" w:rsidR="006921CE" w:rsidRDefault="006921CE">
            <w:pPr>
              <w:spacing w:line="360" w:lineRule="auto"/>
              <w:jc w:val="right"/>
            </w:pPr>
            <w:r>
              <w:rPr>
                <w:rFonts w:ascii="宋体" w:hAnsi="宋体" w:hint="eastAsia"/>
              </w:rPr>
              <w:t>0.0500</w:t>
            </w:r>
            <w:r>
              <w:t xml:space="preserve"> </w:t>
            </w:r>
          </w:p>
        </w:tc>
      </w:tr>
      <w:tr w:rsidR="00D56498" w14:paraId="41BCBDEC" w14:textId="77777777">
        <w:trPr>
          <w:divId w:val="23258862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39221" w14:textId="77777777" w:rsidR="006921CE" w:rsidRDefault="006921CE">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19C2F2" w14:textId="77777777" w:rsidR="006921CE" w:rsidRDefault="006921CE"/>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589848" w14:textId="77777777" w:rsidR="006921CE" w:rsidRDefault="006921CE">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6B7E2" w14:textId="77777777" w:rsidR="006921CE" w:rsidRDefault="006921CE">
            <w:pPr>
              <w:spacing w:line="360" w:lineRule="auto"/>
              <w:jc w:val="right"/>
            </w:pPr>
            <w:r>
              <w:rPr>
                <w:rFonts w:ascii="宋体" w:hAnsi="宋体" w:hint="eastAsia"/>
              </w:rPr>
              <w:t>154,964.82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915A4" w14:textId="77777777" w:rsidR="006921CE" w:rsidRDefault="006921CE">
            <w:pPr>
              <w:spacing w:line="360" w:lineRule="auto"/>
              <w:jc w:val="right"/>
            </w:pPr>
            <w:r>
              <w:rPr>
                <w:rFonts w:ascii="宋体" w:hAnsi="宋体" w:hint="eastAsia"/>
              </w:rPr>
              <w:t>-168,006.29</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A02BCA" w14:textId="77777777" w:rsidR="006921CE" w:rsidRDefault="006921CE"/>
        </w:tc>
      </w:tr>
    </w:tbl>
    <w:p w14:paraId="00CEE2E6" w14:textId="77777777" w:rsidR="006921CE" w:rsidRDefault="006921CE">
      <w:pPr>
        <w:spacing w:line="360" w:lineRule="auto"/>
        <w:jc w:val="left"/>
      </w:pPr>
      <w:r>
        <w:rPr>
          <w:rFonts w:ascii="宋体" w:hAnsi="宋体" w:hint="eastAsia"/>
        </w:rPr>
        <w:lastRenderedPageBreak/>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1BE35511" w14:textId="77777777" w:rsidR="006921CE" w:rsidRDefault="006921CE">
      <w:pPr>
        <w:pStyle w:val="XBRLTitle1"/>
        <w:spacing w:before="156"/>
        <w:ind w:left="425"/>
        <w:rPr>
          <w:rFonts w:hint="eastAsia"/>
        </w:rPr>
      </w:pPr>
      <w:bookmarkStart w:id="369" w:name="_Toc17881714"/>
      <w:bookmarkStart w:id="370" w:name="_Toc479856294"/>
      <w:bookmarkStart w:id="371" w:name="_Toc492299909"/>
      <w:bookmarkStart w:id="372" w:name="_Toc512627244"/>
      <w:bookmarkStart w:id="373" w:name="_Toc512694324"/>
      <w:bookmarkStart w:id="374" w:name="m701"/>
      <w:proofErr w:type="spellStart"/>
      <w:r>
        <w:rPr>
          <w:rFonts w:hint="eastAsia"/>
        </w:rPr>
        <w:t>影响投资者决策的其他重要信息</w:t>
      </w:r>
      <w:bookmarkEnd w:id="369"/>
      <w:bookmarkEnd w:id="370"/>
      <w:bookmarkEnd w:id="371"/>
      <w:bookmarkEnd w:id="372"/>
      <w:bookmarkEnd w:id="373"/>
      <w:proofErr w:type="spellEnd"/>
      <w:r>
        <w:rPr>
          <w:rFonts w:hint="eastAsia"/>
          <w:lang w:eastAsia="zh-CN"/>
        </w:rPr>
        <w:t xml:space="preserve"> </w:t>
      </w:r>
    </w:p>
    <w:p w14:paraId="7B4339E6" w14:textId="77777777" w:rsidR="006921CE" w:rsidRDefault="006921CE">
      <w:pPr>
        <w:pStyle w:val="XBRLTitle2"/>
        <w:spacing w:before="156"/>
        <w:ind w:left="454"/>
      </w:pPr>
      <w:bookmarkStart w:id="375" w:name="_Toc17881715"/>
      <w:bookmarkStart w:id="376" w:name="_Toc492299910"/>
      <w:bookmarkStart w:id="377" w:name="_Toc512627245"/>
      <w:bookmarkStart w:id="378"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75"/>
      <w:bookmarkEnd w:id="376"/>
      <w:bookmarkEnd w:id="377"/>
      <w:bookmarkEnd w:id="378"/>
      <w:r>
        <w:rPr>
          <w:rFonts w:hint="eastAsia"/>
          <w:kern w:val="0"/>
          <w:lang w:eastAsia="zh-CN"/>
        </w:rPr>
        <w:t xml:space="preserve"> </w:t>
      </w:r>
    </w:p>
    <w:bookmarkEnd w:id="50"/>
    <w:bookmarkEnd w:id="51"/>
    <w:bookmarkEnd w:id="24"/>
    <w:p w14:paraId="5D113842" w14:textId="77777777" w:rsidR="006921CE" w:rsidRDefault="006921CE">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78A81C68" w14:textId="77777777" w:rsidR="006921CE" w:rsidRDefault="006921CE">
      <w:pPr>
        <w:pStyle w:val="XBRLTitle1"/>
        <w:spacing w:before="156"/>
        <w:ind w:left="425"/>
        <w:rPr>
          <w:rFonts w:hint="eastAsia"/>
        </w:rPr>
      </w:pPr>
      <w:bookmarkStart w:id="379" w:name="_Toc514088283"/>
      <w:bookmarkStart w:id="380" w:name="_Toc466644495"/>
      <w:bookmarkStart w:id="381" w:name="_Toc480465455"/>
      <w:bookmarkStart w:id="382" w:name="_Toc513542684"/>
      <w:bookmarkStart w:id="383" w:name="_Toc512696280"/>
      <w:bookmarkStart w:id="384" w:name="_Toc512612283"/>
      <w:bookmarkStart w:id="385" w:name="_Toc512612107"/>
      <w:bookmarkStart w:id="386" w:name="_Toc512611311"/>
      <w:bookmarkEnd w:id="374"/>
      <w:proofErr w:type="spellStart"/>
      <w:r>
        <w:rPr>
          <w:rFonts w:hint="eastAsia"/>
        </w:rPr>
        <w:t>备查文件目录</w:t>
      </w:r>
      <w:bookmarkEnd w:id="379"/>
      <w:bookmarkEnd w:id="380"/>
      <w:bookmarkEnd w:id="381"/>
      <w:bookmarkEnd w:id="382"/>
      <w:bookmarkEnd w:id="383"/>
      <w:bookmarkEnd w:id="384"/>
      <w:bookmarkEnd w:id="385"/>
      <w:bookmarkEnd w:id="386"/>
      <w:proofErr w:type="spellEnd"/>
    </w:p>
    <w:p w14:paraId="6456B937" w14:textId="77777777" w:rsidR="006921CE" w:rsidRDefault="006921CE">
      <w:pPr>
        <w:pStyle w:val="XBRLTitle2"/>
        <w:spacing w:before="156" w:line="360" w:lineRule="auto"/>
        <w:ind w:left="454"/>
      </w:pPr>
      <w:bookmarkStart w:id="387" w:name="_Toc514088284"/>
      <w:bookmarkStart w:id="388" w:name="_Toc480465456"/>
      <w:bookmarkStart w:id="389" w:name="_Toc448480313"/>
      <w:bookmarkStart w:id="390" w:name="_Toc438654101"/>
      <w:bookmarkStart w:id="391" w:name="_Toc456107145"/>
      <w:bookmarkStart w:id="392" w:name="_Toc459213792"/>
      <w:bookmarkStart w:id="393" w:name="_Toc513542685"/>
      <w:bookmarkStart w:id="394" w:name="_Toc512696281"/>
      <w:bookmarkStart w:id="395" w:name="_Toc512612284"/>
      <w:bookmarkStart w:id="396" w:name="_Toc512612108"/>
      <w:bookmarkStart w:id="397" w:name="_Toc512611312"/>
      <w:bookmarkStart w:id="398" w:name="m801_01_1733"/>
      <w:proofErr w:type="spellStart"/>
      <w:r>
        <w:rPr>
          <w:rFonts w:eastAsia="宋体" w:hint="eastAsia"/>
        </w:rPr>
        <w:t>备查文件目录</w:t>
      </w:r>
      <w:bookmarkEnd w:id="387"/>
      <w:bookmarkEnd w:id="388"/>
      <w:bookmarkEnd w:id="389"/>
      <w:bookmarkEnd w:id="390"/>
      <w:bookmarkEnd w:id="391"/>
      <w:bookmarkEnd w:id="392"/>
      <w:bookmarkEnd w:id="393"/>
      <w:bookmarkEnd w:id="394"/>
      <w:bookmarkEnd w:id="395"/>
      <w:bookmarkEnd w:id="396"/>
      <w:bookmarkEnd w:id="397"/>
      <w:proofErr w:type="spellEnd"/>
      <w:r>
        <w:rPr>
          <w:rFonts w:eastAsia="宋体" w:hint="eastAsia"/>
        </w:rPr>
        <w:t xml:space="preserve"> </w:t>
      </w:r>
    </w:p>
    <w:p w14:paraId="6E0C617F" w14:textId="77777777" w:rsidR="006921CE" w:rsidRDefault="006921CE">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(二)摩根海外稳健配置混合型证券投资基金(QDII-FOF)基金合同</w:t>
      </w:r>
      <w:r>
        <w:rPr>
          <w:rFonts w:ascii="宋体" w:hAnsi="宋体" w:cs="宋体" w:hint="eastAsia"/>
          <w:color w:val="000000"/>
          <w:kern w:val="0"/>
        </w:rPr>
        <w:br/>
        <w:t xml:space="preserve">　　(三)摩根海外稳健配置混合型证券投资基金(QDII-FOF)托管协议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6C054244" w14:textId="77777777" w:rsidR="006921CE" w:rsidRDefault="006921CE">
      <w:pPr>
        <w:pStyle w:val="XBRLTitle2"/>
        <w:spacing w:before="156" w:line="360" w:lineRule="auto"/>
        <w:ind w:left="454"/>
      </w:pPr>
      <w:bookmarkStart w:id="399" w:name="_Toc514088285"/>
      <w:bookmarkStart w:id="400" w:name="_Toc480465457"/>
      <w:bookmarkStart w:id="401" w:name="_Toc448480314"/>
      <w:bookmarkStart w:id="402" w:name="_Toc438654102"/>
      <w:bookmarkStart w:id="403" w:name="_Toc456107146"/>
      <w:bookmarkStart w:id="404" w:name="_Toc459213793"/>
      <w:bookmarkStart w:id="405" w:name="_Toc513542686"/>
      <w:bookmarkStart w:id="406" w:name="_Toc512696282"/>
      <w:bookmarkStart w:id="407" w:name="_Toc512612285"/>
      <w:bookmarkStart w:id="408" w:name="_Toc512612109"/>
      <w:bookmarkStart w:id="409" w:name="_Toc512611313"/>
      <w:bookmarkStart w:id="410" w:name="m801_01_1734"/>
      <w:bookmarkEnd w:id="398"/>
      <w:proofErr w:type="spellStart"/>
      <w:r>
        <w:rPr>
          <w:rFonts w:eastAsia="宋体" w:hint="eastAsia"/>
        </w:rPr>
        <w:t>存放地点</w:t>
      </w:r>
      <w:bookmarkEnd w:id="399"/>
      <w:bookmarkEnd w:id="400"/>
      <w:bookmarkEnd w:id="401"/>
      <w:bookmarkEnd w:id="402"/>
      <w:bookmarkEnd w:id="403"/>
      <w:bookmarkEnd w:id="404"/>
      <w:bookmarkEnd w:id="405"/>
      <w:bookmarkEnd w:id="406"/>
      <w:bookmarkEnd w:id="407"/>
      <w:bookmarkEnd w:id="408"/>
      <w:bookmarkEnd w:id="409"/>
      <w:proofErr w:type="spellEnd"/>
      <w:r>
        <w:rPr>
          <w:rFonts w:eastAsia="宋体" w:hint="eastAsia"/>
        </w:rPr>
        <w:t xml:space="preserve"> </w:t>
      </w:r>
    </w:p>
    <w:p w14:paraId="20CC11BB" w14:textId="77777777" w:rsidR="006921CE" w:rsidRDefault="006921CE">
      <w:pPr>
        <w:spacing w:line="360" w:lineRule="auto"/>
        <w:ind w:firstLineChars="200" w:firstLine="420"/>
        <w:jc w:val="left"/>
      </w:pPr>
      <w:r>
        <w:rPr>
          <w:rFonts w:ascii="宋体" w:hAnsi="宋体" w:cs="宋体" w:hint="eastAsia"/>
          <w:color w:val="000000"/>
          <w:kern w:val="0"/>
        </w:rPr>
        <w:t>基金管理人或基金托管人住所。</w:t>
      </w:r>
    </w:p>
    <w:p w14:paraId="4FD1037B" w14:textId="77777777" w:rsidR="006921CE" w:rsidRDefault="006921CE">
      <w:pPr>
        <w:pStyle w:val="XBRLTitle2"/>
        <w:spacing w:before="156" w:line="360" w:lineRule="auto"/>
        <w:ind w:left="454"/>
      </w:pPr>
      <w:bookmarkStart w:id="411" w:name="_Toc514088286"/>
      <w:bookmarkStart w:id="412" w:name="_Toc480465458"/>
      <w:bookmarkStart w:id="413" w:name="_Toc448480315"/>
      <w:bookmarkStart w:id="414" w:name="_Toc438654103"/>
      <w:bookmarkStart w:id="415" w:name="_Toc456107147"/>
      <w:bookmarkStart w:id="416" w:name="_Toc459213794"/>
      <w:bookmarkStart w:id="417" w:name="_Toc513542687"/>
      <w:bookmarkStart w:id="418" w:name="_Toc512696283"/>
      <w:bookmarkStart w:id="419" w:name="_Toc512612286"/>
      <w:bookmarkStart w:id="420" w:name="_Toc512612110"/>
      <w:bookmarkStart w:id="421" w:name="_Toc512611314"/>
      <w:bookmarkStart w:id="422" w:name="m801_01_1735"/>
      <w:bookmarkEnd w:id="410"/>
      <w:proofErr w:type="spellStart"/>
      <w:r>
        <w:rPr>
          <w:rFonts w:eastAsia="宋体" w:hint="eastAsia"/>
        </w:rPr>
        <w:t>查阅方式</w:t>
      </w:r>
      <w:bookmarkEnd w:id="411"/>
      <w:bookmarkEnd w:id="412"/>
      <w:bookmarkEnd w:id="413"/>
      <w:bookmarkEnd w:id="414"/>
      <w:bookmarkEnd w:id="415"/>
      <w:bookmarkEnd w:id="416"/>
      <w:bookmarkEnd w:id="417"/>
      <w:bookmarkEnd w:id="418"/>
      <w:bookmarkEnd w:id="419"/>
      <w:bookmarkEnd w:id="420"/>
      <w:bookmarkEnd w:id="421"/>
      <w:proofErr w:type="spellEnd"/>
      <w:r>
        <w:rPr>
          <w:rFonts w:eastAsia="宋体" w:hint="eastAsia"/>
        </w:rPr>
        <w:t xml:space="preserve"> </w:t>
      </w:r>
    </w:p>
    <w:p w14:paraId="207F69A4" w14:textId="77777777" w:rsidR="006921CE" w:rsidRDefault="006921CE">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5"/>
      <w:r>
        <w:rPr>
          <w:rFonts w:ascii="宋体" w:hAnsi="宋体" w:cs="宋体" w:hint="eastAsia"/>
          <w:color w:val="000000"/>
          <w:kern w:val="0"/>
        </w:rPr>
        <w:t xml:space="preserve"> </w:t>
      </w:r>
    </w:p>
    <w:bookmarkEnd w:id="422"/>
    <w:p w14:paraId="530477E4" w14:textId="77777777" w:rsidR="006921CE" w:rsidRDefault="006921CE">
      <w:pPr>
        <w:spacing w:line="360" w:lineRule="auto"/>
        <w:jc w:val="left"/>
        <w:rPr>
          <w:rFonts w:ascii="宋体" w:hAnsi="宋体" w:hint="eastAsia"/>
          <w:b/>
          <w:bCs/>
          <w:sz w:val="28"/>
          <w:szCs w:val="30"/>
        </w:rPr>
      </w:pPr>
      <w:r>
        <w:rPr>
          <w:rFonts w:ascii="宋体" w:hAnsi="宋体" w:hint="eastAsia"/>
          <w:b/>
          <w:bCs/>
          <w:sz w:val="28"/>
          <w:szCs w:val="30"/>
        </w:rPr>
        <w:t xml:space="preserve">　 </w:t>
      </w:r>
    </w:p>
    <w:p w14:paraId="6D785252" w14:textId="77777777" w:rsidR="006921CE" w:rsidRDefault="006921CE">
      <w:pPr>
        <w:spacing w:line="360" w:lineRule="auto"/>
        <w:jc w:val="left"/>
        <w:rPr>
          <w:rFonts w:ascii="宋体" w:hAnsi="宋体" w:hint="eastAsia"/>
          <w:b/>
          <w:bCs/>
          <w:sz w:val="28"/>
          <w:szCs w:val="30"/>
        </w:rPr>
      </w:pPr>
      <w:r>
        <w:rPr>
          <w:rFonts w:ascii="宋体" w:hAnsi="宋体" w:hint="eastAsia"/>
          <w:b/>
          <w:bCs/>
          <w:sz w:val="28"/>
          <w:szCs w:val="30"/>
        </w:rPr>
        <w:t xml:space="preserve">　 </w:t>
      </w:r>
    </w:p>
    <w:p w14:paraId="3BFB1497" w14:textId="77777777" w:rsidR="006921CE" w:rsidRDefault="006921CE">
      <w:pPr>
        <w:spacing w:line="360" w:lineRule="auto"/>
        <w:ind w:firstLineChars="600" w:firstLine="1446"/>
        <w:jc w:val="right"/>
      </w:pPr>
      <w:r>
        <w:rPr>
          <w:rFonts w:ascii="宋体" w:hAnsi="宋体" w:hint="eastAsia"/>
          <w:b/>
          <w:bCs/>
          <w:sz w:val="24"/>
          <w:szCs w:val="24"/>
        </w:rPr>
        <w:t>摩根基金管理（中国）有限公司</w:t>
      </w:r>
    </w:p>
    <w:p w14:paraId="2A51C7FD" w14:textId="77777777" w:rsidR="006921CE" w:rsidRDefault="006921CE">
      <w:pPr>
        <w:spacing w:line="360" w:lineRule="auto"/>
        <w:ind w:firstLineChars="600" w:firstLine="1446"/>
        <w:jc w:val="right"/>
      </w:pPr>
      <w:r>
        <w:rPr>
          <w:rFonts w:ascii="宋体" w:hAnsi="宋体" w:hint="eastAsia"/>
          <w:b/>
          <w:bCs/>
          <w:sz w:val="24"/>
          <w:szCs w:val="24"/>
        </w:rPr>
        <w:t>2025年7月21日</w:t>
      </w:r>
    </w:p>
    <w:sectPr w:rsidR="006921CE">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EB3CA" w14:textId="77777777" w:rsidR="006921CE" w:rsidRDefault="006921CE">
      <w:pPr>
        <w:rPr>
          <w:szCs w:val="21"/>
        </w:rPr>
      </w:pPr>
      <w:r>
        <w:rPr>
          <w:szCs w:val="21"/>
        </w:rPr>
        <w:separator/>
      </w:r>
      <w:r>
        <w:rPr>
          <w:szCs w:val="21"/>
        </w:rPr>
        <w:t xml:space="preserve"> </w:t>
      </w:r>
    </w:p>
  </w:endnote>
  <w:endnote w:type="continuationSeparator" w:id="0">
    <w:p w14:paraId="3E73A4A2" w14:textId="77777777" w:rsidR="006921CE" w:rsidRDefault="006921C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05A3" w14:textId="77777777" w:rsidR="006921CE" w:rsidRDefault="006921CE">
    <w:pPr>
      <w:pStyle w:val="aa"/>
      <w:framePr w:wrap="around" w:vAnchor="text" w:hAnchor="margin" w:xAlign="right" w:y="1"/>
      <w:rPr>
        <w:rStyle w:val="af9"/>
      </w:rPr>
    </w:pPr>
    <w:r>
      <w:fldChar w:fldCharType="begin"/>
    </w:r>
    <w:r>
      <w:rPr>
        <w:rStyle w:val="af9"/>
      </w:rPr>
      <w:instrText xml:space="preserve">PAGE  </w:instrText>
    </w:r>
    <w:r>
      <w:fldChar w:fldCharType="separate"/>
    </w:r>
    <w:r>
      <w:fldChar w:fldCharType="end"/>
    </w:r>
  </w:p>
  <w:p w14:paraId="2C381E59" w14:textId="77777777" w:rsidR="006921CE" w:rsidRDefault="006921C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84AE" w14:textId="77777777" w:rsidR="006921CE" w:rsidRDefault="006921CE">
    <w:pPr>
      <w:pStyle w:val="aa"/>
      <w:framePr w:wrap="around" w:vAnchor="text" w:hAnchor="margin" w:xAlign="right" w:y="1"/>
      <w:rPr>
        <w:rStyle w:val="af9"/>
      </w:rPr>
    </w:pPr>
    <w:r>
      <w:rPr>
        <w:rStyle w:val="af9"/>
      </w:rPr>
      <w:t xml:space="preserve">  </w:t>
    </w:r>
  </w:p>
  <w:p w14:paraId="16A4F4FC" w14:textId="77777777" w:rsidR="006921CE" w:rsidRDefault="006921CE">
    <w:pPr>
      <w:jc w:val="center"/>
      <w:rPr>
        <w:rFonts w:ascii="宋体" w:hAnsi="宋体" w:hint="eastAsia"/>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Pr>
        <w:rFonts w:ascii="宋体" w:hAnsi="宋体" w:hint="eastAsia"/>
        <w:noProof/>
        <w:sz w:val="18"/>
        <w:szCs w:val="18"/>
      </w:rPr>
      <w:t>7</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5828C" w14:textId="77777777" w:rsidR="006921CE" w:rsidRDefault="006921CE">
      <w:pPr>
        <w:rPr>
          <w:szCs w:val="21"/>
        </w:rPr>
      </w:pPr>
      <w:r>
        <w:rPr>
          <w:szCs w:val="21"/>
        </w:rPr>
        <w:separator/>
      </w:r>
      <w:r>
        <w:rPr>
          <w:szCs w:val="21"/>
        </w:rPr>
        <w:t xml:space="preserve"> </w:t>
      </w:r>
    </w:p>
  </w:footnote>
  <w:footnote w:type="continuationSeparator" w:id="0">
    <w:p w14:paraId="0725966F" w14:textId="77777777" w:rsidR="006921CE" w:rsidRDefault="006921C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E98D" w14:textId="77777777" w:rsidR="006921CE" w:rsidRDefault="006921CE">
    <w:pPr>
      <w:pStyle w:val="a8"/>
      <w:pBdr>
        <w:between w:val="single" w:sz="4" w:space="1" w:color="4F81BD"/>
      </w:pBdr>
      <w:spacing w:line="276" w:lineRule="auto"/>
      <w:jc w:val="right"/>
    </w:pPr>
    <w:r>
      <w:rPr>
        <w:rFonts w:ascii="宋体" w:hAnsi="宋体" w:hint="eastAsia"/>
        <w:bCs/>
      </w:rPr>
      <w:t>摩根海外稳健配置混合型证券投资基金(QDII-FOF)2025年第2季度报告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E000" w14:textId="77777777" w:rsidR="006921CE" w:rsidRDefault="006921CE">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707833127">
    <w:abstractNumId w:val="0"/>
  </w:num>
  <w:num w:numId="2" w16cid:durableId="1457603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740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CE"/>
    <w:rsid w:val="003A516D"/>
    <w:rsid w:val="006921CE"/>
    <w:rsid w:val="00872668"/>
    <w:rsid w:val="00970BEA"/>
    <w:rsid w:val="009B602B"/>
    <w:rsid w:val="00CB0ADD"/>
    <w:rsid w:val="00D5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AAB0BD2"/>
  <w15:chartTrackingRefBased/>
  <w15:docId w15:val="{F9C56D67-C45D-4BE2-9646-85A0A734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rFonts w:asciiTheme="majorHAnsi" w:eastAsiaTheme="majorEastAsia" w:hAnsiTheme="majorHAnsi" w:cstheme="majorBidi"/>
      <w:color w:val="365F91" w:themeColor="accent1" w:themeShade="BF"/>
      <w:kern w:val="2"/>
      <w:sz w:val="48"/>
      <w:szCs w:val="48"/>
    </w:rPr>
  </w:style>
  <w:style w:type="character" w:customStyle="1" w:styleId="20">
    <w:name w:val="标题 2 字符"/>
    <w:basedOn w:val="a0"/>
    <w:uiPriority w:val="9"/>
    <w:rPr>
      <w:rFonts w:asciiTheme="majorHAnsi" w:eastAsiaTheme="majorEastAsia" w:hAnsiTheme="majorHAnsi" w:cstheme="majorBidi"/>
      <w:color w:val="365F91" w:themeColor="accent1" w:themeShade="BF"/>
      <w:kern w:val="2"/>
      <w:sz w:val="40"/>
      <w:szCs w:val="40"/>
    </w:rPr>
  </w:style>
  <w:style w:type="character" w:customStyle="1" w:styleId="30">
    <w:name w:val="标题 3 字符"/>
    <w:basedOn w:val="a0"/>
    <w:uiPriority w:val="9"/>
    <w:rPr>
      <w:rFonts w:asciiTheme="majorHAnsi" w:eastAsiaTheme="majorEastAsia" w:hAnsiTheme="majorHAnsi" w:cstheme="majorBidi"/>
      <w:color w:val="365F91" w:themeColor="accent1" w:themeShade="BF"/>
      <w:kern w:val="2"/>
      <w:sz w:val="32"/>
      <w:szCs w:val="32"/>
    </w:rPr>
  </w:style>
  <w:style w:type="character" w:customStyle="1" w:styleId="40">
    <w:name w:val="标题 4 字符"/>
    <w:basedOn w:val="a0"/>
    <w:rPr>
      <w:rFonts w:asciiTheme="minorHAnsi" w:eastAsiaTheme="minorEastAsia" w:hAnsiTheme="minorHAnsi" w:cstheme="majorBidi"/>
      <w:color w:val="365F91" w:themeColor="accent1" w:themeShade="BF"/>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spacing w:val="-10"/>
      <w:kern w:val="28"/>
      <w:sz w:val="56"/>
      <w:szCs w:val="56"/>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rPr>
      <w:rFonts w:asciiTheme="majorHAnsi" w:eastAsiaTheme="majorEastAsia" w:hAnsiTheme="majorHAnsi" w:cstheme="majorBidi"/>
      <w:color w:val="595959" w:themeColor="text1" w:themeTint="A6"/>
      <w:spacing w:val="15"/>
      <w:kern w:val="2"/>
      <w:sz w:val="28"/>
      <w:szCs w:val="28"/>
    </w:rPr>
  </w:style>
  <w:style w:type="paragraph" w:styleId="af0">
    <w:name w:val="Date"/>
    <w:basedOn w:val="a"/>
    <w:next w:val="a"/>
    <w:link w:val="17"/>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8"/>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页眉 字符1"/>
    <w:basedOn w:val="a0"/>
    <w:link w:val="a8"/>
    <w:uiPriority w:val="99"/>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 w:type="paragraph" w:styleId="afa">
    <w:name w:val="Revision"/>
    <w:hidden/>
    <w:uiPriority w:val="99"/>
    <w:unhideWhenUsed/>
    <w:rsid w:val="009B60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30512">
      <w:marLeft w:val="0"/>
      <w:marRight w:val="0"/>
      <w:marTop w:val="0"/>
      <w:marBottom w:val="0"/>
      <w:divBdr>
        <w:top w:val="none" w:sz="0" w:space="0" w:color="auto"/>
        <w:left w:val="none" w:sz="0" w:space="0" w:color="auto"/>
        <w:bottom w:val="none" w:sz="0" w:space="0" w:color="auto"/>
        <w:right w:val="none" w:sz="0" w:space="0" w:color="auto"/>
      </w:divBdr>
    </w:div>
    <w:div w:id="173884480">
      <w:marLeft w:val="0"/>
      <w:marRight w:val="0"/>
      <w:marTop w:val="0"/>
      <w:marBottom w:val="0"/>
      <w:divBdr>
        <w:top w:val="none" w:sz="0" w:space="0" w:color="auto"/>
        <w:left w:val="none" w:sz="0" w:space="0" w:color="auto"/>
        <w:bottom w:val="none" w:sz="0" w:space="0" w:color="auto"/>
        <w:right w:val="none" w:sz="0" w:space="0" w:color="auto"/>
      </w:divBdr>
    </w:div>
    <w:div w:id="232588621">
      <w:marLeft w:val="0"/>
      <w:marRight w:val="0"/>
      <w:marTop w:val="0"/>
      <w:marBottom w:val="0"/>
      <w:divBdr>
        <w:top w:val="none" w:sz="0" w:space="0" w:color="auto"/>
        <w:left w:val="none" w:sz="0" w:space="0" w:color="auto"/>
        <w:bottom w:val="none" w:sz="0" w:space="0" w:color="auto"/>
        <w:right w:val="none" w:sz="0" w:space="0" w:color="auto"/>
      </w:divBdr>
    </w:div>
    <w:div w:id="275597111">
      <w:marLeft w:val="0"/>
      <w:marRight w:val="0"/>
      <w:marTop w:val="0"/>
      <w:marBottom w:val="0"/>
      <w:divBdr>
        <w:top w:val="none" w:sz="0" w:space="0" w:color="auto"/>
        <w:left w:val="none" w:sz="0" w:space="0" w:color="auto"/>
        <w:bottom w:val="none" w:sz="0" w:space="0" w:color="auto"/>
        <w:right w:val="none" w:sz="0" w:space="0" w:color="auto"/>
      </w:divBdr>
    </w:div>
    <w:div w:id="426656433">
      <w:marLeft w:val="0"/>
      <w:marRight w:val="0"/>
      <w:marTop w:val="0"/>
      <w:marBottom w:val="0"/>
      <w:divBdr>
        <w:top w:val="none" w:sz="0" w:space="0" w:color="auto"/>
        <w:left w:val="none" w:sz="0" w:space="0" w:color="auto"/>
        <w:bottom w:val="none" w:sz="0" w:space="0" w:color="auto"/>
        <w:right w:val="none" w:sz="0" w:space="0" w:color="auto"/>
      </w:divBdr>
      <w:divsChild>
        <w:div w:id="1422097184">
          <w:marLeft w:val="0"/>
          <w:marRight w:val="0"/>
          <w:marTop w:val="0"/>
          <w:marBottom w:val="0"/>
          <w:divBdr>
            <w:top w:val="none" w:sz="0" w:space="0" w:color="auto"/>
            <w:left w:val="none" w:sz="0" w:space="0" w:color="auto"/>
            <w:bottom w:val="none" w:sz="0" w:space="0" w:color="auto"/>
            <w:right w:val="none" w:sz="0" w:space="0" w:color="auto"/>
          </w:divBdr>
          <w:divsChild>
            <w:div w:id="19417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5779">
      <w:marLeft w:val="0"/>
      <w:marRight w:val="0"/>
      <w:marTop w:val="0"/>
      <w:marBottom w:val="0"/>
      <w:divBdr>
        <w:top w:val="none" w:sz="0" w:space="0" w:color="auto"/>
        <w:left w:val="none" w:sz="0" w:space="0" w:color="auto"/>
        <w:bottom w:val="none" w:sz="0" w:space="0" w:color="auto"/>
        <w:right w:val="none" w:sz="0" w:space="0" w:color="auto"/>
      </w:divBdr>
    </w:div>
    <w:div w:id="512035458">
      <w:marLeft w:val="0"/>
      <w:marRight w:val="0"/>
      <w:marTop w:val="0"/>
      <w:marBottom w:val="0"/>
      <w:divBdr>
        <w:top w:val="none" w:sz="0" w:space="0" w:color="auto"/>
        <w:left w:val="none" w:sz="0" w:space="0" w:color="auto"/>
        <w:bottom w:val="none" w:sz="0" w:space="0" w:color="auto"/>
        <w:right w:val="none" w:sz="0" w:space="0" w:color="auto"/>
      </w:divBdr>
      <w:divsChild>
        <w:div w:id="1932664798">
          <w:marLeft w:val="0"/>
          <w:marRight w:val="0"/>
          <w:marTop w:val="0"/>
          <w:marBottom w:val="0"/>
          <w:divBdr>
            <w:top w:val="none" w:sz="0" w:space="0" w:color="auto"/>
            <w:left w:val="none" w:sz="0" w:space="0" w:color="auto"/>
            <w:bottom w:val="none" w:sz="0" w:space="0" w:color="auto"/>
            <w:right w:val="none" w:sz="0" w:space="0" w:color="auto"/>
          </w:divBdr>
        </w:div>
      </w:divsChild>
    </w:div>
    <w:div w:id="552273549">
      <w:marLeft w:val="0"/>
      <w:marRight w:val="0"/>
      <w:marTop w:val="0"/>
      <w:marBottom w:val="0"/>
      <w:divBdr>
        <w:top w:val="none" w:sz="0" w:space="0" w:color="auto"/>
        <w:left w:val="none" w:sz="0" w:space="0" w:color="auto"/>
        <w:bottom w:val="none" w:sz="0" w:space="0" w:color="auto"/>
        <w:right w:val="none" w:sz="0" w:space="0" w:color="auto"/>
      </w:divBdr>
    </w:div>
    <w:div w:id="755443724">
      <w:marLeft w:val="0"/>
      <w:marRight w:val="0"/>
      <w:marTop w:val="0"/>
      <w:marBottom w:val="0"/>
      <w:divBdr>
        <w:top w:val="none" w:sz="0" w:space="0" w:color="auto"/>
        <w:left w:val="none" w:sz="0" w:space="0" w:color="auto"/>
        <w:bottom w:val="none" w:sz="0" w:space="0" w:color="auto"/>
        <w:right w:val="none" w:sz="0" w:space="0" w:color="auto"/>
      </w:divBdr>
    </w:div>
    <w:div w:id="787315051">
      <w:marLeft w:val="0"/>
      <w:marRight w:val="0"/>
      <w:marTop w:val="0"/>
      <w:marBottom w:val="0"/>
      <w:divBdr>
        <w:top w:val="none" w:sz="0" w:space="0" w:color="auto"/>
        <w:left w:val="none" w:sz="0" w:space="0" w:color="auto"/>
        <w:bottom w:val="none" w:sz="0" w:space="0" w:color="auto"/>
        <w:right w:val="none" w:sz="0" w:space="0" w:color="auto"/>
      </w:divBdr>
    </w:div>
    <w:div w:id="1028414810">
      <w:marLeft w:val="0"/>
      <w:marRight w:val="0"/>
      <w:marTop w:val="0"/>
      <w:marBottom w:val="0"/>
      <w:divBdr>
        <w:top w:val="none" w:sz="0" w:space="0" w:color="auto"/>
        <w:left w:val="none" w:sz="0" w:space="0" w:color="auto"/>
        <w:bottom w:val="none" w:sz="0" w:space="0" w:color="auto"/>
        <w:right w:val="none" w:sz="0" w:space="0" w:color="auto"/>
      </w:divBdr>
    </w:div>
    <w:div w:id="1111628496">
      <w:marLeft w:val="0"/>
      <w:marRight w:val="0"/>
      <w:marTop w:val="0"/>
      <w:marBottom w:val="0"/>
      <w:divBdr>
        <w:top w:val="none" w:sz="0" w:space="0" w:color="auto"/>
        <w:left w:val="none" w:sz="0" w:space="0" w:color="auto"/>
        <w:bottom w:val="none" w:sz="0" w:space="0" w:color="auto"/>
        <w:right w:val="none" w:sz="0" w:space="0" w:color="auto"/>
      </w:divBdr>
    </w:div>
    <w:div w:id="1421944270">
      <w:marLeft w:val="0"/>
      <w:marRight w:val="0"/>
      <w:marTop w:val="0"/>
      <w:marBottom w:val="0"/>
      <w:divBdr>
        <w:top w:val="none" w:sz="0" w:space="0" w:color="auto"/>
        <w:left w:val="none" w:sz="0" w:space="0" w:color="auto"/>
        <w:bottom w:val="none" w:sz="0" w:space="0" w:color="auto"/>
        <w:right w:val="none" w:sz="0" w:space="0" w:color="auto"/>
      </w:divBdr>
      <w:divsChild>
        <w:div w:id="276841669">
          <w:marLeft w:val="0"/>
          <w:marRight w:val="0"/>
          <w:marTop w:val="0"/>
          <w:marBottom w:val="0"/>
          <w:divBdr>
            <w:top w:val="none" w:sz="0" w:space="0" w:color="auto"/>
            <w:left w:val="none" w:sz="0" w:space="0" w:color="auto"/>
            <w:bottom w:val="none" w:sz="0" w:space="0" w:color="auto"/>
            <w:right w:val="none" w:sz="0" w:space="0" w:color="auto"/>
          </w:divBdr>
        </w:div>
      </w:divsChild>
    </w:div>
    <w:div w:id="1462114876">
      <w:marLeft w:val="0"/>
      <w:marRight w:val="0"/>
      <w:marTop w:val="0"/>
      <w:marBottom w:val="0"/>
      <w:divBdr>
        <w:top w:val="none" w:sz="0" w:space="0" w:color="auto"/>
        <w:left w:val="none" w:sz="0" w:space="0" w:color="auto"/>
        <w:bottom w:val="none" w:sz="0" w:space="0" w:color="auto"/>
        <w:right w:val="none" w:sz="0" w:space="0" w:color="auto"/>
      </w:divBdr>
    </w:div>
    <w:div w:id="1545749318">
      <w:marLeft w:val="0"/>
      <w:marRight w:val="0"/>
      <w:marTop w:val="0"/>
      <w:marBottom w:val="0"/>
      <w:divBdr>
        <w:top w:val="none" w:sz="0" w:space="0" w:color="auto"/>
        <w:left w:val="none" w:sz="0" w:space="0" w:color="auto"/>
        <w:bottom w:val="none" w:sz="0" w:space="0" w:color="auto"/>
        <w:right w:val="none" w:sz="0" w:space="0" w:color="auto"/>
      </w:divBdr>
    </w:div>
    <w:div w:id="1688479963">
      <w:marLeft w:val="0"/>
      <w:marRight w:val="0"/>
      <w:marTop w:val="0"/>
      <w:marBottom w:val="0"/>
      <w:divBdr>
        <w:top w:val="none" w:sz="0" w:space="0" w:color="auto"/>
        <w:left w:val="none" w:sz="0" w:space="0" w:color="auto"/>
        <w:bottom w:val="none" w:sz="0" w:space="0" w:color="auto"/>
        <w:right w:val="none" w:sz="0" w:space="0" w:color="auto"/>
      </w:divBdr>
    </w:div>
    <w:div w:id="1716394323">
      <w:marLeft w:val="0"/>
      <w:marRight w:val="0"/>
      <w:marTop w:val="0"/>
      <w:marBottom w:val="0"/>
      <w:divBdr>
        <w:top w:val="none" w:sz="0" w:space="0" w:color="auto"/>
        <w:left w:val="none" w:sz="0" w:space="0" w:color="auto"/>
        <w:bottom w:val="none" w:sz="0" w:space="0" w:color="auto"/>
        <w:right w:val="none" w:sz="0" w:space="0" w:color="auto"/>
      </w:divBdr>
    </w:div>
    <w:div w:id="1719624991">
      <w:marLeft w:val="0"/>
      <w:marRight w:val="0"/>
      <w:marTop w:val="0"/>
      <w:marBottom w:val="0"/>
      <w:divBdr>
        <w:top w:val="none" w:sz="0" w:space="0" w:color="auto"/>
        <w:left w:val="none" w:sz="0" w:space="0" w:color="auto"/>
        <w:bottom w:val="none" w:sz="0" w:space="0" w:color="auto"/>
        <w:right w:val="none" w:sz="0" w:space="0" w:color="auto"/>
      </w:divBdr>
    </w:div>
    <w:div w:id="1839728635">
      <w:marLeft w:val="0"/>
      <w:marRight w:val="0"/>
      <w:marTop w:val="0"/>
      <w:marBottom w:val="0"/>
      <w:divBdr>
        <w:top w:val="none" w:sz="0" w:space="0" w:color="auto"/>
        <w:left w:val="none" w:sz="0" w:space="0" w:color="auto"/>
        <w:bottom w:val="none" w:sz="0" w:space="0" w:color="auto"/>
        <w:right w:val="none" w:sz="0" w:space="0" w:color="auto"/>
      </w:divBdr>
    </w:div>
    <w:div w:id="1942032914">
      <w:marLeft w:val="0"/>
      <w:marRight w:val="0"/>
      <w:marTop w:val="0"/>
      <w:marBottom w:val="0"/>
      <w:divBdr>
        <w:top w:val="none" w:sz="0" w:space="0" w:color="auto"/>
        <w:left w:val="none" w:sz="0" w:space="0" w:color="auto"/>
        <w:bottom w:val="none" w:sz="0" w:space="0" w:color="auto"/>
        <w:right w:val="none" w:sz="0" w:space="0" w:color="auto"/>
      </w:divBdr>
    </w:div>
    <w:div w:id="2019960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2123F-EEC0-4322-A92B-99705110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5965</Words>
  <Characters>2842</Characters>
  <Application>Microsoft Office Word</Application>
  <DocSecurity>0</DocSecurity>
  <Lines>284</Lines>
  <Paragraphs>518</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Alex.Huang@FA</cp:lastModifiedBy>
  <cp:revision>4</cp:revision>
  <dcterms:created xsi:type="dcterms:W3CDTF">2025-07-14T11:53:00Z</dcterms:created>
  <dcterms:modified xsi:type="dcterms:W3CDTF">2025-07-18T08:14:00Z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