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99631" w14:textId="77777777" w:rsidR="00397616" w:rsidRPr="00A3398F" w:rsidRDefault="00397616" w:rsidP="00397616">
      <w:pPr>
        <w:autoSpaceDE w:val="0"/>
        <w:autoSpaceDN w:val="0"/>
        <w:adjustRightInd w:val="0"/>
        <w:spacing w:line="360" w:lineRule="auto"/>
        <w:jc w:val="left"/>
        <w:rPr>
          <w:rFonts w:eastAsiaTheme="minorEastAsia" w:hint="eastAsia"/>
          <w:color w:val="000000" w:themeColor="text1"/>
          <w:kern w:val="0"/>
          <w:sz w:val="24"/>
        </w:rPr>
      </w:pPr>
      <w:bookmarkStart w:id="0" w:name="_GoBack"/>
      <w:bookmarkEnd w:id="0"/>
    </w:p>
    <w:p w14:paraId="0123C380" w14:textId="77777777" w:rsidR="00397616" w:rsidRPr="00A3398F" w:rsidRDefault="00397616" w:rsidP="00397616">
      <w:pPr>
        <w:autoSpaceDE w:val="0"/>
        <w:autoSpaceDN w:val="0"/>
        <w:adjustRightInd w:val="0"/>
        <w:spacing w:line="360" w:lineRule="auto"/>
        <w:jc w:val="left"/>
        <w:rPr>
          <w:rFonts w:eastAsiaTheme="minorEastAsia"/>
          <w:color w:val="000000" w:themeColor="text1"/>
          <w:kern w:val="0"/>
          <w:sz w:val="24"/>
        </w:rPr>
      </w:pPr>
    </w:p>
    <w:p w14:paraId="540FB5FA" w14:textId="77777777" w:rsidR="00397616" w:rsidRPr="00A3398F" w:rsidRDefault="00397616" w:rsidP="00397616">
      <w:pPr>
        <w:autoSpaceDE w:val="0"/>
        <w:autoSpaceDN w:val="0"/>
        <w:adjustRightInd w:val="0"/>
        <w:spacing w:line="360" w:lineRule="auto"/>
        <w:jc w:val="left"/>
        <w:rPr>
          <w:rFonts w:eastAsiaTheme="minorEastAsia"/>
          <w:color w:val="000000" w:themeColor="text1"/>
          <w:kern w:val="0"/>
          <w:sz w:val="24"/>
        </w:rPr>
      </w:pPr>
    </w:p>
    <w:p w14:paraId="79C525AA" w14:textId="77777777" w:rsidR="00F22F00" w:rsidRPr="00A3398F" w:rsidRDefault="00F22F00" w:rsidP="00F22F00">
      <w:pPr>
        <w:autoSpaceDE w:val="0"/>
        <w:autoSpaceDN w:val="0"/>
        <w:adjustRightInd w:val="0"/>
        <w:spacing w:line="360" w:lineRule="auto"/>
        <w:jc w:val="left"/>
        <w:rPr>
          <w:rFonts w:eastAsiaTheme="minorEastAsia"/>
          <w:color w:val="000000" w:themeColor="text1"/>
          <w:kern w:val="0"/>
          <w:sz w:val="24"/>
        </w:rPr>
      </w:pPr>
    </w:p>
    <w:p w14:paraId="1B42DB01" w14:textId="77777777" w:rsidR="00F22F00" w:rsidRPr="00A3398F" w:rsidRDefault="00F22F00" w:rsidP="00506D57">
      <w:pPr>
        <w:spacing w:line="360" w:lineRule="auto"/>
        <w:jc w:val="center"/>
        <w:rPr>
          <w:rFonts w:eastAsiaTheme="minorEastAsia"/>
          <w:b/>
          <w:color w:val="000000" w:themeColor="text1"/>
          <w:sz w:val="36"/>
          <w:szCs w:val="36"/>
        </w:rPr>
      </w:pPr>
      <w:r w:rsidRPr="00A3398F">
        <w:rPr>
          <w:rFonts w:eastAsiaTheme="minorEastAsia"/>
          <w:b/>
          <w:color w:val="000000" w:themeColor="text1"/>
          <w:sz w:val="36"/>
          <w:szCs w:val="36"/>
        </w:rPr>
        <w:t>摩根海外稳健配置混合型证券投资基金</w:t>
      </w:r>
      <w:r w:rsidRPr="00A3398F">
        <w:rPr>
          <w:rFonts w:eastAsiaTheme="minorEastAsia"/>
          <w:b/>
          <w:color w:val="000000" w:themeColor="text1"/>
          <w:sz w:val="36"/>
          <w:szCs w:val="36"/>
        </w:rPr>
        <w:t>(QDII-FOF)</w:t>
      </w:r>
    </w:p>
    <w:p w14:paraId="6ED86CBC" w14:textId="77777777" w:rsidR="00F22F00" w:rsidRPr="00A3398F" w:rsidRDefault="00F22F00" w:rsidP="00506D57">
      <w:pPr>
        <w:spacing w:line="360" w:lineRule="auto"/>
        <w:jc w:val="center"/>
        <w:rPr>
          <w:rFonts w:eastAsiaTheme="minorEastAsia"/>
          <w:b/>
          <w:color w:val="000000" w:themeColor="text1"/>
          <w:sz w:val="36"/>
          <w:szCs w:val="36"/>
        </w:rPr>
      </w:pPr>
      <w:r w:rsidRPr="00A3398F">
        <w:rPr>
          <w:rFonts w:eastAsiaTheme="minorEastAsia"/>
          <w:b/>
          <w:color w:val="000000" w:themeColor="text1"/>
          <w:sz w:val="36"/>
          <w:szCs w:val="36"/>
        </w:rPr>
        <w:t>2024</w:t>
      </w:r>
      <w:r w:rsidRPr="00A3398F">
        <w:rPr>
          <w:rFonts w:eastAsiaTheme="minorEastAsia"/>
          <w:b/>
          <w:color w:val="000000" w:themeColor="text1"/>
          <w:sz w:val="36"/>
          <w:szCs w:val="36"/>
        </w:rPr>
        <w:t>年第</w:t>
      </w:r>
      <w:r w:rsidRPr="00A3398F">
        <w:rPr>
          <w:rFonts w:eastAsiaTheme="minorEastAsia"/>
          <w:b/>
          <w:color w:val="000000" w:themeColor="text1"/>
          <w:sz w:val="36"/>
          <w:szCs w:val="36"/>
        </w:rPr>
        <w:t>2</w:t>
      </w:r>
      <w:r w:rsidRPr="00A3398F">
        <w:rPr>
          <w:rFonts w:eastAsiaTheme="minorEastAsia"/>
          <w:b/>
          <w:color w:val="000000" w:themeColor="text1"/>
          <w:sz w:val="36"/>
          <w:szCs w:val="36"/>
        </w:rPr>
        <w:t>季度报告</w:t>
      </w:r>
    </w:p>
    <w:p w14:paraId="7FD04B0C" w14:textId="77777777" w:rsidR="00397616" w:rsidRPr="00A3398F" w:rsidRDefault="00623556" w:rsidP="00506D57">
      <w:pPr>
        <w:spacing w:line="360" w:lineRule="auto"/>
        <w:jc w:val="center"/>
        <w:rPr>
          <w:rFonts w:eastAsiaTheme="minorEastAsia"/>
          <w:b/>
          <w:color w:val="000000" w:themeColor="text1"/>
          <w:sz w:val="24"/>
        </w:rPr>
      </w:pPr>
      <w:r w:rsidRPr="00A3398F">
        <w:rPr>
          <w:rFonts w:eastAsiaTheme="minorEastAsia"/>
          <w:b/>
          <w:color w:val="000000" w:themeColor="text1"/>
          <w:sz w:val="24"/>
        </w:rPr>
        <w:t>2024</w:t>
      </w:r>
      <w:r w:rsidRPr="00A3398F">
        <w:rPr>
          <w:rFonts w:eastAsiaTheme="minorEastAsia"/>
          <w:b/>
          <w:color w:val="000000" w:themeColor="text1"/>
          <w:sz w:val="24"/>
        </w:rPr>
        <w:t>年</w:t>
      </w:r>
      <w:r w:rsidRPr="00A3398F">
        <w:rPr>
          <w:rFonts w:eastAsiaTheme="minorEastAsia"/>
          <w:b/>
          <w:color w:val="000000" w:themeColor="text1"/>
          <w:sz w:val="24"/>
        </w:rPr>
        <w:t>6</w:t>
      </w:r>
      <w:r w:rsidRPr="00A3398F">
        <w:rPr>
          <w:rFonts w:eastAsiaTheme="minorEastAsia"/>
          <w:b/>
          <w:color w:val="000000" w:themeColor="text1"/>
          <w:sz w:val="24"/>
        </w:rPr>
        <w:t>月</w:t>
      </w:r>
      <w:r w:rsidRPr="00A3398F">
        <w:rPr>
          <w:rFonts w:eastAsiaTheme="minorEastAsia"/>
          <w:b/>
          <w:color w:val="000000" w:themeColor="text1"/>
          <w:sz w:val="24"/>
        </w:rPr>
        <w:t>30</w:t>
      </w:r>
      <w:r w:rsidRPr="00A3398F">
        <w:rPr>
          <w:rFonts w:eastAsiaTheme="minorEastAsia"/>
          <w:b/>
          <w:color w:val="000000" w:themeColor="text1"/>
          <w:sz w:val="24"/>
        </w:rPr>
        <w:t>日</w:t>
      </w:r>
    </w:p>
    <w:p w14:paraId="74DC1B25" w14:textId="77777777" w:rsidR="00397616" w:rsidRPr="00A3398F" w:rsidRDefault="00397616" w:rsidP="00397616">
      <w:pPr>
        <w:spacing w:line="360" w:lineRule="auto"/>
        <w:jc w:val="center"/>
        <w:rPr>
          <w:rFonts w:eastAsiaTheme="minorEastAsia"/>
          <w:b/>
          <w:color w:val="000000" w:themeColor="text1"/>
          <w:sz w:val="24"/>
        </w:rPr>
      </w:pPr>
    </w:p>
    <w:p w14:paraId="3B0A4A29" w14:textId="77777777" w:rsidR="00397616" w:rsidRPr="00A3398F" w:rsidRDefault="00397616" w:rsidP="00397616">
      <w:pPr>
        <w:spacing w:line="360" w:lineRule="auto"/>
        <w:jc w:val="center"/>
        <w:rPr>
          <w:rFonts w:eastAsiaTheme="minorEastAsia"/>
          <w:b/>
          <w:color w:val="000000" w:themeColor="text1"/>
          <w:sz w:val="24"/>
        </w:rPr>
      </w:pPr>
    </w:p>
    <w:p w14:paraId="14CBDA25" w14:textId="77777777" w:rsidR="00397616" w:rsidRPr="00A3398F" w:rsidRDefault="00397616" w:rsidP="00397616">
      <w:pPr>
        <w:spacing w:line="360" w:lineRule="auto"/>
        <w:jc w:val="center"/>
        <w:rPr>
          <w:rFonts w:eastAsiaTheme="minorEastAsia"/>
          <w:b/>
          <w:color w:val="000000" w:themeColor="text1"/>
          <w:sz w:val="24"/>
        </w:rPr>
      </w:pPr>
    </w:p>
    <w:p w14:paraId="6B7C6959" w14:textId="77777777" w:rsidR="00397616" w:rsidRPr="00A3398F" w:rsidRDefault="00397616" w:rsidP="00397616">
      <w:pPr>
        <w:spacing w:line="360" w:lineRule="auto"/>
        <w:jc w:val="center"/>
        <w:rPr>
          <w:rFonts w:eastAsiaTheme="minorEastAsia"/>
          <w:b/>
          <w:color w:val="000000" w:themeColor="text1"/>
          <w:sz w:val="24"/>
        </w:rPr>
      </w:pPr>
    </w:p>
    <w:p w14:paraId="1EE2661B" w14:textId="77777777" w:rsidR="00397616" w:rsidRPr="00A3398F" w:rsidRDefault="00397616" w:rsidP="00397616">
      <w:pPr>
        <w:spacing w:line="360" w:lineRule="auto"/>
        <w:jc w:val="center"/>
        <w:rPr>
          <w:rFonts w:eastAsiaTheme="minorEastAsia"/>
          <w:b/>
          <w:color w:val="000000" w:themeColor="text1"/>
          <w:sz w:val="24"/>
        </w:rPr>
      </w:pPr>
    </w:p>
    <w:p w14:paraId="6E73ED80" w14:textId="77777777" w:rsidR="00397616" w:rsidRPr="00A3398F" w:rsidRDefault="00397616" w:rsidP="00397616">
      <w:pPr>
        <w:spacing w:line="360" w:lineRule="auto"/>
        <w:jc w:val="center"/>
        <w:rPr>
          <w:rFonts w:eastAsiaTheme="minorEastAsia"/>
          <w:b/>
          <w:color w:val="000000" w:themeColor="text1"/>
          <w:sz w:val="24"/>
        </w:rPr>
      </w:pPr>
    </w:p>
    <w:p w14:paraId="706B4394" w14:textId="77777777" w:rsidR="00397616" w:rsidRPr="00A3398F" w:rsidRDefault="00397616" w:rsidP="00397616">
      <w:pPr>
        <w:spacing w:line="360" w:lineRule="auto"/>
        <w:jc w:val="center"/>
        <w:rPr>
          <w:rFonts w:eastAsiaTheme="minorEastAsia"/>
          <w:b/>
          <w:color w:val="000000" w:themeColor="text1"/>
          <w:sz w:val="24"/>
        </w:rPr>
      </w:pPr>
    </w:p>
    <w:p w14:paraId="5E0C7D2D" w14:textId="77777777" w:rsidR="00397616" w:rsidRPr="00A3398F" w:rsidRDefault="00397616" w:rsidP="00397616">
      <w:pPr>
        <w:spacing w:line="360" w:lineRule="auto"/>
        <w:jc w:val="center"/>
        <w:rPr>
          <w:rFonts w:eastAsiaTheme="minorEastAsia"/>
          <w:b/>
          <w:color w:val="000000" w:themeColor="text1"/>
          <w:sz w:val="24"/>
        </w:rPr>
      </w:pPr>
    </w:p>
    <w:p w14:paraId="202AFD4B" w14:textId="77777777" w:rsidR="00397616" w:rsidRPr="00A3398F" w:rsidRDefault="00397616" w:rsidP="00397616">
      <w:pPr>
        <w:spacing w:line="360" w:lineRule="auto"/>
        <w:jc w:val="center"/>
        <w:rPr>
          <w:rFonts w:eastAsiaTheme="minorEastAsia"/>
          <w:b/>
          <w:color w:val="000000" w:themeColor="text1"/>
          <w:sz w:val="24"/>
        </w:rPr>
      </w:pPr>
    </w:p>
    <w:p w14:paraId="2C43E6D6" w14:textId="77777777" w:rsidR="00397616" w:rsidRPr="00A3398F" w:rsidRDefault="00397616" w:rsidP="00397616">
      <w:pPr>
        <w:spacing w:line="360" w:lineRule="auto"/>
        <w:jc w:val="center"/>
        <w:rPr>
          <w:rFonts w:eastAsiaTheme="minorEastAsia"/>
          <w:b/>
          <w:color w:val="000000" w:themeColor="text1"/>
          <w:sz w:val="24"/>
        </w:rPr>
      </w:pPr>
    </w:p>
    <w:p w14:paraId="43FB693F" w14:textId="77777777" w:rsidR="00397616" w:rsidRPr="00A3398F" w:rsidRDefault="00397616" w:rsidP="00397616">
      <w:pPr>
        <w:spacing w:line="360" w:lineRule="auto"/>
        <w:jc w:val="center"/>
        <w:rPr>
          <w:rFonts w:eastAsiaTheme="minorEastAsia"/>
          <w:b/>
          <w:color w:val="000000" w:themeColor="text1"/>
          <w:sz w:val="24"/>
        </w:rPr>
      </w:pPr>
    </w:p>
    <w:p w14:paraId="1F0176FF" w14:textId="77777777" w:rsidR="00397616" w:rsidRPr="00A3398F" w:rsidRDefault="00397616" w:rsidP="00397616">
      <w:pPr>
        <w:spacing w:line="360" w:lineRule="auto"/>
        <w:jc w:val="center"/>
        <w:rPr>
          <w:rFonts w:eastAsiaTheme="minorEastAsia"/>
          <w:b/>
          <w:color w:val="000000" w:themeColor="text1"/>
          <w:sz w:val="24"/>
        </w:rPr>
      </w:pPr>
    </w:p>
    <w:p w14:paraId="163ED7B3" w14:textId="77777777" w:rsidR="00397616" w:rsidRPr="00A3398F" w:rsidRDefault="00397616" w:rsidP="00397616">
      <w:pPr>
        <w:spacing w:line="360" w:lineRule="auto"/>
        <w:jc w:val="center"/>
        <w:rPr>
          <w:rFonts w:eastAsiaTheme="minorEastAsia"/>
          <w:b/>
          <w:color w:val="000000" w:themeColor="text1"/>
          <w:sz w:val="24"/>
        </w:rPr>
      </w:pPr>
    </w:p>
    <w:p w14:paraId="03E5B750" w14:textId="77777777" w:rsidR="00397616" w:rsidRPr="00A3398F" w:rsidRDefault="00397616" w:rsidP="00826B12">
      <w:pPr>
        <w:spacing w:line="288" w:lineRule="auto"/>
        <w:ind w:firstLineChars="900" w:firstLine="2168"/>
        <w:rPr>
          <w:rFonts w:eastAsiaTheme="minorEastAsia"/>
          <w:b/>
          <w:color w:val="000000" w:themeColor="text1"/>
          <w:sz w:val="24"/>
        </w:rPr>
      </w:pPr>
    </w:p>
    <w:p w14:paraId="1EB61DE7" w14:textId="77777777" w:rsidR="007D1292" w:rsidRPr="00A3398F" w:rsidRDefault="007D1292" w:rsidP="00506D57">
      <w:pPr>
        <w:spacing w:line="360" w:lineRule="auto"/>
        <w:ind w:firstLineChars="900" w:firstLine="2168"/>
        <w:rPr>
          <w:rFonts w:eastAsiaTheme="minorEastAsia"/>
          <w:b/>
          <w:color w:val="000000" w:themeColor="text1"/>
          <w:sz w:val="24"/>
        </w:rPr>
      </w:pPr>
      <w:r w:rsidRPr="00A3398F">
        <w:rPr>
          <w:rFonts w:eastAsiaTheme="minorEastAsia"/>
          <w:b/>
          <w:color w:val="000000" w:themeColor="text1"/>
          <w:sz w:val="24"/>
        </w:rPr>
        <w:t>基金管理人：摩根基金管理（中国）有限公司</w:t>
      </w:r>
    </w:p>
    <w:p w14:paraId="4BA5F657" w14:textId="77777777" w:rsidR="007D1292" w:rsidRPr="00A3398F" w:rsidRDefault="007D1292" w:rsidP="00506D57">
      <w:pPr>
        <w:spacing w:line="360" w:lineRule="auto"/>
        <w:ind w:firstLineChars="900" w:firstLine="2168"/>
        <w:rPr>
          <w:rFonts w:eastAsiaTheme="minorEastAsia"/>
          <w:b/>
          <w:color w:val="000000" w:themeColor="text1"/>
          <w:sz w:val="24"/>
        </w:rPr>
      </w:pPr>
      <w:r w:rsidRPr="00A3398F">
        <w:rPr>
          <w:rFonts w:eastAsiaTheme="minorEastAsia"/>
          <w:b/>
          <w:color w:val="000000" w:themeColor="text1"/>
          <w:sz w:val="24"/>
        </w:rPr>
        <w:t>基金托管人：招商银行股份有限公司</w:t>
      </w:r>
    </w:p>
    <w:p w14:paraId="38E85620" w14:textId="77777777" w:rsidR="007D1292" w:rsidRPr="00A3398F" w:rsidRDefault="007D1292" w:rsidP="00506D57">
      <w:pPr>
        <w:spacing w:line="360" w:lineRule="auto"/>
        <w:ind w:firstLineChars="900" w:firstLine="2168"/>
        <w:rPr>
          <w:rFonts w:eastAsiaTheme="minorEastAsia"/>
          <w:b/>
          <w:color w:val="000000" w:themeColor="text1"/>
          <w:sz w:val="24"/>
        </w:rPr>
        <w:sectPr w:rsidR="007D1292" w:rsidRPr="00A3398F" w:rsidSect="00B918B8">
          <w:headerReference w:type="default" r:id="rId7"/>
          <w:footerReference w:type="default" r:id="rId8"/>
          <w:pgSz w:w="11926" w:h="15840"/>
          <w:pgMar w:top="1418" w:right="1418" w:bottom="851" w:left="1418" w:header="851" w:footer="992" w:gutter="0"/>
          <w:cols w:space="720"/>
          <w:noEndnote/>
        </w:sectPr>
      </w:pPr>
      <w:r w:rsidRPr="00A3398F">
        <w:rPr>
          <w:rFonts w:eastAsiaTheme="minorEastAsia"/>
          <w:b/>
          <w:color w:val="000000" w:themeColor="text1"/>
          <w:sz w:val="24"/>
        </w:rPr>
        <w:t>报告送出日期：</w:t>
      </w:r>
      <w:r w:rsidR="00CB44DE" w:rsidRPr="00A3398F">
        <w:rPr>
          <w:rFonts w:eastAsiaTheme="minorEastAsia"/>
          <w:b/>
          <w:color w:val="000000" w:themeColor="text1"/>
          <w:sz w:val="24"/>
        </w:rPr>
        <w:t>二〇二四年七月十九日</w:t>
      </w:r>
    </w:p>
    <w:p w14:paraId="443CE064" w14:textId="77777777" w:rsidR="0076518F" w:rsidRPr="00A3398F" w:rsidRDefault="0076518F" w:rsidP="009E705F">
      <w:pPr>
        <w:pStyle w:val="1"/>
        <w:spacing w:beforeLines="100" w:before="312" w:afterLines="100" w:after="312" w:line="360" w:lineRule="auto"/>
        <w:jc w:val="center"/>
        <w:rPr>
          <w:rFonts w:eastAsiaTheme="minorEastAsia"/>
          <w:b w:val="0"/>
          <w:color w:val="000000" w:themeColor="text1"/>
          <w:kern w:val="0"/>
          <w:sz w:val="24"/>
          <w:szCs w:val="24"/>
        </w:rPr>
      </w:pPr>
      <w:r w:rsidRPr="00A3398F">
        <w:rPr>
          <w:rFonts w:eastAsiaTheme="minorEastAsia"/>
          <w:color w:val="000000" w:themeColor="text1"/>
          <w:kern w:val="0"/>
          <w:sz w:val="24"/>
          <w:szCs w:val="24"/>
        </w:rPr>
        <w:lastRenderedPageBreak/>
        <w:t xml:space="preserve">§1  </w:t>
      </w:r>
      <w:r w:rsidRPr="00A3398F">
        <w:rPr>
          <w:rFonts w:eastAsiaTheme="minorEastAsia"/>
          <w:color w:val="000000" w:themeColor="text1"/>
          <w:kern w:val="0"/>
          <w:sz w:val="24"/>
          <w:szCs w:val="24"/>
        </w:rPr>
        <w:t>重要提示</w:t>
      </w:r>
    </w:p>
    <w:p w14:paraId="6E794334" w14:textId="77777777" w:rsidR="00351E81" w:rsidRDefault="007F3594">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基金管理人的董事会及董事保证本报告所载资料不存在虚假记载、误导性陈述或重大遗漏，并对其内容的真实性、准确性和完整性承担个别及连带责任。</w:t>
      </w:r>
      <w:r>
        <w:rPr>
          <w:rFonts w:eastAsiaTheme="minorEastAsia"/>
          <w:color w:val="000000" w:themeColor="text1"/>
          <w:szCs w:val="21"/>
        </w:rPr>
        <w:t xml:space="preserve"> </w:t>
      </w:r>
    </w:p>
    <w:p w14:paraId="3D140ACA" w14:textId="77777777" w:rsidR="00351E81" w:rsidRDefault="007F3594">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基金托管人招商银行股份有限公司根据本基金合同规定，于</w:t>
      </w:r>
      <w:r>
        <w:rPr>
          <w:rFonts w:eastAsiaTheme="minorEastAsia"/>
          <w:color w:val="000000" w:themeColor="text1"/>
          <w:szCs w:val="21"/>
        </w:rPr>
        <w:t>2024</w:t>
      </w:r>
      <w:r>
        <w:rPr>
          <w:rFonts w:eastAsiaTheme="minorEastAsia"/>
          <w:color w:val="000000" w:themeColor="text1"/>
          <w:szCs w:val="21"/>
        </w:rPr>
        <w:t>年</w:t>
      </w:r>
      <w:r>
        <w:rPr>
          <w:rFonts w:eastAsiaTheme="minorEastAsia"/>
          <w:color w:val="000000" w:themeColor="text1"/>
          <w:szCs w:val="21"/>
        </w:rPr>
        <w:t>7</w:t>
      </w:r>
      <w:r>
        <w:rPr>
          <w:rFonts w:eastAsiaTheme="minorEastAsia"/>
          <w:color w:val="000000" w:themeColor="text1"/>
          <w:szCs w:val="21"/>
        </w:rPr>
        <w:t>月</w:t>
      </w:r>
      <w:r>
        <w:rPr>
          <w:rFonts w:eastAsiaTheme="minorEastAsia"/>
          <w:color w:val="000000" w:themeColor="text1"/>
          <w:szCs w:val="21"/>
        </w:rPr>
        <w:t>18</w:t>
      </w:r>
      <w:r>
        <w:rPr>
          <w:rFonts w:eastAsiaTheme="minorEastAsia"/>
          <w:color w:val="000000" w:themeColor="text1"/>
          <w:szCs w:val="21"/>
        </w:rPr>
        <w:t>日复核了本报告中的财务指标、净值表现和投资组合报告等内容，保证复核内容不存在虚假记载、误导性陈述或者重大遗漏。</w:t>
      </w:r>
      <w:r>
        <w:rPr>
          <w:rFonts w:eastAsiaTheme="minorEastAsia"/>
          <w:color w:val="000000" w:themeColor="text1"/>
          <w:szCs w:val="21"/>
        </w:rPr>
        <w:t xml:space="preserve"> </w:t>
      </w:r>
    </w:p>
    <w:p w14:paraId="44EECC9C" w14:textId="77777777" w:rsidR="00351E81" w:rsidRDefault="007F3594">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基金管理人承诺以诚实信用、勤勉尽责的原则管理和运用基金资产，但不保证基金一定盈利。</w:t>
      </w:r>
      <w:r>
        <w:rPr>
          <w:rFonts w:eastAsiaTheme="minorEastAsia"/>
          <w:color w:val="000000" w:themeColor="text1"/>
          <w:szCs w:val="21"/>
        </w:rPr>
        <w:t xml:space="preserve"> </w:t>
      </w:r>
    </w:p>
    <w:p w14:paraId="182C65B9" w14:textId="77777777" w:rsidR="00351E81" w:rsidRDefault="007F3594">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基金的过往业绩并不代表其未来表现。投资有风险，投资者在作出投资决策前应仔细阅读本基金的招募说明书。</w:t>
      </w:r>
      <w:r>
        <w:rPr>
          <w:rFonts w:eastAsiaTheme="minorEastAsia"/>
          <w:color w:val="000000" w:themeColor="text1"/>
          <w:szCs w:val="21"/>
        </w:rPr>
        <w:t xml:space="preserve"> </w:t>
      </w:r>
    </w:p>
    <w:p w14:paraId="7A473701" w14:textId="77777777" w:rsidR="00351E81" w:rsidRDefault="007F3594">
      <w:pPr>
        <w:spacing w:line="360" w:lineRule="auto"/>
        <w:ind w:firstLineChars="200" w:firstLine="420"/>
        <w:rPr>
          <w:rFonts w:eastAsiaTheme="minorEastAsia"/>
          <w:color w:val="000000" w:themeColor="text1"/>
          <w:szCs w:val="21"/>
        </w:rPr>
      </w:pPr>
      <w:r>
        <w:rPr>
          <w:rFonts w:eastAsiaTheme="minorEastAsia"/>
          <w:color w:val="000000" w:themeColor="text1"/>
          <w:szCs w:val="21"/>
        </w:rPr>
        <w:t>本报告中财务资料未经审计。</w:t>
      </w:r>
    </w:p>
    <w:p w14:paraId="19162889" w14:textId="77777777" w:rsidR="007D1292" w:rsidRPr="00A3398F" w:rsidRDefault="007D1292" w:rsidP="006669C9">
      <w:pPr>
        <w:spacing w:line="360" w:lineRule="auto"/>
        <w:ind w:firstLineChars="200" w:firstLine="420"/>
        <w:rPr>
          <w:rFonts w:eastAsiaTheme="minorEastAsia"/>
          <w:color w:val="000000" w:themeColor="text1"/>
          <w:szCs w:val="21"/>
        </w:rPr>
      </w:pPr>
      <w:r w:rsidRPr="00A3398F">
        <w:rPr>
          <w:rFonts w:eastAsiaTheme="minorEastAsia"/>
          <w:color w:val="000000" w:themeColor="text1"/>
          <w:szCs w:val="21"/>
        </w:rPr>
        <w:t>本报告期自</w:t>
      </w:r>
      <w:r w:rsidRPr="00A3398F">
        <w:rPr>
          <w:rFonts w:eastAsiaTheme="minorEastAsia"/>
          <w:color w:val="000000" w:themeColor="text1"/>
          <w:szCs w:val="21"/>
        </w:rPr>
        <w:t>2024</w:t>
      </w:r>
      <w:r w:rsidRPr="00A3398F">
        <w:rPr>
          <w:rFonts w:eastAsiaTheme="minorEastAsia"/>
          <w:color w:val="000000" w:themeColor="text1"/>
          <w:szCs w:val="21"/>
        </w:rPr>
        <w:t>年</w:t>
      </w:r>
      <w:r w:rsidRPr="00A3398F">
        <w:rPr>
          <w:rFonts w:eastAsiaTheme="minorEastAsia"/>
          <w:color w:val="000000" w:themeColor="text1"/>
          <w:szCs w:val="21"/>
        </w:rPr>
        <w:t>4</w:t>
      </w:r>
      <w:r w:rsidRPr="00A3398F">
        <w:rPr>
          <w:rFonts w:eastAsiaTheme="minorEastAsia"/>
          <w:color w:val="000000" w:themeColor="text1"/>
          <w:szCs w:val="21"/>
        </w:rPr>
        <w:t>月</w:t>
      </w:r>
      <w:r w:rsidRPr="00A3398F">
        <w:rPr>
          <w:rFonts w:eastAsiaTheme="minorEastAsia"/>
          <w:color w:val="000000" w:themeColor="text1"/>
          <w:szCs w:val="21"/>
        </w:rPr>
        <w:t>1</w:t>
      </w:r>
      <w:r w:rsidRPr="00A3398F">
        <w:rPr>
          <w:rFonts w:eastAsiaTheme="minorEastAsia"/>
          <w:color w:val="000000" w:themeColor="text1"/>
          <w:szCs w:val="21"/>
        </w:rPr>
        <w:t>日起至</w:t>
      </w:r>
      <w:r w:rsidRPr="00A3398F">
        <w:rPr>
          <w:rFonts w:eastAsiaTheme="minorEastAsia"/>
          <w:color w:val="000000" w:themeColor="text1"/>
          <w:szCs w:val="21"/>
        </w:rPr>
        <w:t>6</w:t>
      </w:r>
      <w:r w:rsidRPr="00A3398F">
        <w:rPr>
          <w:rFonts w:eastAsiaTheme="minorEastAsia"/>
          <w:color w:val="000000" w:themeColor="text1"/>
          <w:szCs w:val="21"/>
        </w:rPr>
        <w:t>月</w:t>
      </w:r>
      <w:r w:rsidRPr="00A3398F">
        <w:rPr>
          <w:rFonts w:eastAsiaTheme="minorEastAsia"/>
          <w:color w:val="000000" w:themeColor="text1"/>
          <w:szCs w:val="21"/>
        </w:rPr>
        <w:t>30</w:t>
      </w:r>
      <w:r w:rsidRPr="00A3398F">
        <w:rPr>
          <w:rFonts w:eastAsiaTheme="minorEastAsia"/>
          <w:color w:val="000000" w:themeColor="text1"/>
          <w:szCs w:val="21"/>
        </w:rPr>
        <w:t>日止。</w:t>
      </w:r>
    </w:p>
    <w:p w14:paraId="021DDD53" w14:textId="77777777" w:rsidR="0076518F" w:rsidRPr="00A3398F" w:rsidRDefault="0076518F" w:rsidP="009E705F">
      <w:pPr>
        <w:pStyle w:val="1"/>
        <w:spacing w:beforeLines="100" w:before="312" w:afterLines="100" w:after="312" w:line="360" w:lineRule="auto"/>
        <w:jc w:val="center"/>
        <w:rPr>
          <w:rFonts w:eastAsiaTheme="minorEastAsia"/>
          <w:color w:val="000000" w:themeColor="text1"/>
          <w:kern w:val="0"/>
          <w:sz w:val="24"/>
          <w:szCs w:val="24"/>
        </w:rPr>
      </w:pPr>
      <w:r w:rsidRPr="00A3398F">
        <w:rPr>
          <w:rFonts w:eastAsiaTheme="minorEastAsia"/>
          <w:color w:val="000000" w:themeColor="text1"/>
          <w:kern w:val="0"/>
          <w:sz w:val="24"/>
          <w:szCs w:val="24"/>
        </w:rPr>
        <w:t xml:space="preserve">§2  </w:t>
      </w:r>
      <w:r w:rsidRPr="00A3398F">
        <w:rPr>
          <w:rFonts w:eastAsiaTheme="minorEastAsia"/>
          <w:color w:val="000000" w:themeColor="text1"/>
          <w:kern w:val="0"/>
          <w:sz w:val="24"/>
          <w:szCs w:val="24"/>
        </w:rPr>
        <w:t>基金产品概况</w:t>
      </w:r>
    </w:p>
    <w:tbl>
      <w:tblPr>
        <w:tblW w:w="84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0"/>
        <w:gridCol w:w="2780"/>
        <w:gridCol w:w="2663"/>
      </w:tblGrid>
      <w:tr w:rsidR="008277FF" w:rsidRPr="00A3398F" w14:paraId="7DF56165" w14:textId="77777777" w:rsidTr="003376D5">
        <w:tc>
          <w:tcPr>
            <w:tcW w:w="2980" w:type="dxa"/>
            <w:vAlign w:val="center"/>
          </w:tcPr>
          <w:p w14:paraId="4EC06C8D" w14:textId="77777777" w:rsidR="00363E15" w:rsidRPr="00A3398F" w:rsidRDefault="00363E15" w:rsidP="003376D5">
            <w:pPr>
              <w:adjustRightInd w:val="0"/>
              <w:spacing w:before="29" w:line="360" w:lineRule="auto"/>
              <w:ind w:left="17"/>
              <w:rPr>
                <w:rFonts w:eastAsiaTheme="minorEastAsia"/>
                <w:color w:val="000000" w:themeColor="text1"/>
                <w:kern w:val="0"/>
                <w:szCs w:val="21"/>
              </w:rPr>
            </w:pPr>
            <w:r w:rsidRPr="00A3398F">
              <w:rPr>
                <w:rFonts w:eastAsiaTheme="minorEastAsia"/>
                <w:color w:val="000000" w:themeColor="text1"/>
                <w:kern w:val="0"/>
                <w:szCs w:val="21"/>
              </w:rPr>
              <w:t>基金简称</w:t>
            </w:r>
          </w:p>
        </w:tc>
        <w:tc>
          <w:tcPr>
            <w:tcW w:w="5443" w:type="dxa"/>
            <w:gridSpan w:val="2"/>
            <w:vAlign w:val="center"/>
          </w:tcPr>
          <w:p w14:paraId="47114E4B" w14:textId="77777777" w:rsidR="00363E15" w:rsidRPr="00A3398F" w:rsidRDefault="00363E15" w:rsidP="003376D5">
            <w:pPr>
              <w:adjustRightInd w:val="0"/>
              <w:spacing w:before="29" w:line="360" w:lineRule="auto"/>
              <w:ind w:left="17"/>
              <w:rPr>
                <w:rFonts w:eastAsiaTheme="minorEastAsia"/>
                <w:color w:val="000000" w:themeColor="text1"/>
                <w:kern w:val="0"/>
                <w:szCs w:val="21"/>
              </w:rPr>
            </w:pPr>
            <w:r w:rsidRPr="00A3398F">
              <w:rPr>
                <w:rFonts w:eastAsiaTheme="minorEastAsia"/>
                <w:color w:val="000000" w:themeColor="text1"/>
                <w:kern w:val="0"/>
                <w:szCs w:val="21"/>
              </w:rPr>
              <w:t>摩根海外稳健配置混合</w:t>
            </w:r>
            <w:r w:rsidRPr="00A3398F">
              <w:rPr>
                <w:rFonts w:eastAsiaTheme="minorEastAsia"/>
                <w:color w:val="000000" w:themeColor="text1"/>
                <w:kern w:val="0"/>
                <w:szCs w:val="21"/>
              </w:rPr>
              <w:t>(QDII-FOF)</w:t>
            </w:r>
          </w:p>
        </w:tc>
      </w:tr>
      <w:tr w:rsidR="008277FF" w:rsidRPr="00A3398F" w14:paraId="77D86D23" w14:textId="77777777" w:rsidTr="003376D5">
        <w:tc>
          <w:tcPr>
            <w:tcW w:w="2980" w:type="dxa"/>
            <w:vAlign w:val="center"/>
          </w:tcPr>
          <w:p w14:paraId="49A64AD7" w14:textId="77777777" w:rsidR="0066726C" w:rsidRPr="00A3398F" w:rsidRDefault="0066726C" w:rsidP="003376D5">
            <w:pPr>
              <w:adjustRightInd w:val="0"/>
              <w:spacing w:before="29" w:line="360" w:lineRule="auto"/>
              <w:ind w:left="17"/>
              <w:rPr>
                <w:rFonts w:eastAsiaTheme="minorEastAsia"/>
                <w:color w:val="000000" w:themeColor="text1"/>
                <w:kern w:val="0"/>
                <w:szCs w:val="21"/>
              </w:rPr>
            </w:pPr>
            <w:r w:rsidRPr="00A3398F">
              <w:rPr>
                <w:rFonts w:eastAsiaTheme="minorEastAsia"/>
                <w:color w:val="000000" w:themeColor="text1"/>
                <w:kern w:val="0"/>
                <w:szCs w:val="21"/>
              </w:rPr>
              <w:t>基金主代码</w:t>
            </w:r>
          </w:p>
        </w:tc>
        <w:tc>
          <w:tcPr>
            <w:tcW w:w="5443" w:type="dxa"/>
            <w:gridSpan w:val="2"/>
            <w:vAlign w:val="center"/>
          </w:tcPr>
          <w:p w14:paraId="0B91EA5B" w14:textId="77777777" w:rsidR="0066726C" w:rsidRPr="00A3398F" w:rsidRDefault="0066726C" w:rsidP="003376D5">
            <w:pPr>
              <w:adjustRightInd w:val="0"/>
              <w:spacing w:before="29" w:line="360" w:lineRule="auto"/>
              <w:ind w:left="17"/>
              <w:rPr>
                <w:rFonts w:eastAsiaTheme="minorEastAsia"/>
                <w:color w:val="000000" w:themeColor="text1"/>
                <w:kern w:val="0"/>
                <w:szCs w:val="21"/>
              </w:rPr>
            </w:pPr>
            <w:r w:rsidRPr="00A3398F">
              <w:rPr>
                <w:rFonts w:eastAsiaTheme="minorEastAsia"/>
                <w:color w:val="000000" w:themeColor="text1"/>
                <w:kern w:val="0"/>
                <w:szCs w:val="21"/>
              </w:rPr>
              <w:t>017970</w:t>
            </w:r>
          </w:p>
        </w:tc>
      </w:tr>
      <w:tr w:rsidR="008277FF" w:rsidRPr="00A3398F" w14:paraId="227A05E9" w14:textId="77777777" w:rsidTr="003376D5">
        <w:tc>
          <w:tcPr>
            <w:tcW w:w="2980" w:type="dxa"/>
            <w:vAlign w:val="center"/>
          </w:tcPr>
          <w:p w14:paraId="44DFCDE0" w14:textId="77777777" w:rsidR="005837E4" w:rsidRPr="00A3398F" w:rsidRDefault="005837E4" w:rsidP="003376D5">
            <w:pPr>
              <w:adjustRightInd w:val="0"/>
              <w:spacing w:before="29" w:line="360" w:lineRule="auto"/>
              <w:ind w:left="17"/>
              <w:rPr>
                <w:rFonts w:eastAsiaTheme="minorEastAsia"/>
                <w:color w:val="000000" w:themeColor="text1"/>
                <w:kern w:val="0"/>
                <w:szCs w:val="21"/>
              </w:rPr>
            </w:pPr>
            <w:r w:rsidRPr="00A3398F">
              <w:rPr>
                <w:rFonts w:eastAsiaTheme="minorEastAsia"/>
                <w:color w:val="000000" w:themeColor="text1"/>
                <w:kern w:val="0"/>
                <w:szCs w:val="21"/>
              </w:rPr>
              <w:t>交易代码</w:t>
            </w:r>
          </w:p>
        </w:tc>
        <w:tc>
          <w:tcPr>
            <w:tcW w:w="5443" w:type="dxa"/>
            <w:gridSpan w:val="2"/>
            <w:vAlign w:val="center"/>
          </w:tcPr>
          <w:p w14:paraId="58E9F572" w14:textId="77777777" w:rsidR="005837E4" w:rsidRPr="00A3398F" w:rsidRDefault="005837E4" w:rsidP="003376D5">
            <w:pPr>
              <w:adjustRightInd w:val="0"/>
              <w:spacing w:before="29" w:line="360" w:lineRule="auto"/>
              <w:ind w:left="17"/>
              <w:rPr>
                <w:rFonts w:eastAsiaTheme="minorEastAsia"/>
                <w:color w:val="000000" w:themeColor="text1"/>
                <w:kern w:val="0"/>
                <w:szCs w:val="21"/>
              </w:rPr>
            </w:pPr>
            <w:r w:rsidRPr="00A3398F">
              <w:rPr>
                <w:rFonts w:eastAsiaTheme="minorEastAsia"/>
                <w:color w:val="000000" w:themeColor="text1"/>
                <w:kern w:val="0"/>
                <w:szCs w:val="21"/>
              </w:rPr>
              <w:t>017970</w:t>
            </w:r>
          </w:p>
        </w:tc>
      </w:tr>
      <w:tr w:rsidR="008277FF" w:rsidRPr="00A3398F" w14:paraId="10FB3F79" w14:textId="77777777" w:rsidTr="003376D5">
        <w:tc>
          <w:tcPr>
            <w:tcW w:w="2980" w:type="dxa"/>
            <w:vAlign w:val="center"/>
          </w:tcPr>
          <w:p w14:paraId="3E4179E9" w14:textId="77777777" w:rsidR="0066726C" w:rsidRPr="00A3398F" w:rsidRDefault="0066726C" w:rsidP="003376D5">
            <w:pPr>
              <w:adjustRightInd w:val="0"/>
              <w:spacing w:before="29" w:line="360" w:lineRule="auto"/>
              <w:ind w:left="17"/>
              <w:rPr>
                <w:rFonts w:eastAsiaTheme="minorEastAsia"/>
                <w:color w:val="000000" w:themeColor="text1"/>
                <w:szCs w:val="21"/>
              </w:rPr>
            </w:pPr>
            <w:r w:rsidRPr="00A3398F">
              <w:rPr>
                <w:rFonts w:eastAsiaTheme="minorEastAsia"/>
                <w:color w:val="000000" w:themeColor="text1"/>
                <w:kern w:val="0"/>
                <w:szCs w:val="21"/>
              </w:rPr>
              <w:t>基金运作方式</w:t>
            </w:r>
          </w:p>
        </w:tc>
        <w:tc>
          <w:tcPr>
            <w:tcW w:w="5443" w:type="dxa"/>
            <w:gridSpan w:val="2"/>
            <w:vAlign w:val="center"/>
          </w:tcPr>
          <w:p w14:paraId="70EEB74F" w14:textId="77777777" w:rsidR="0066726C" w:rsidRPr="00A3398F" w:rsidRDefault="0066726C" w:rsidP="003376D5">
            <w:pPr>
              <w:adjustRightInd w:val="0"/>
              <w:spacing w:before="29" w:line="360" w:lineRule="auto"/>
              <w:ind w:left="17"/>
              <w:rPr>
                <w:rFonts w:eastAsiaTheme="minorEastAsia"/>
                <w:color w:val="000000" w:themeColor="text1"/>
                <w:szCs w:val="21"/>
              </w:rPr>
            </w:pPr>
            <w:r w:rsidRPr="00A3398F">
              <w:rPr>
                <w:rFonts w:eastAsiaTheme="minorEastAsia"/>
                <w:color w:val="000000" w:themeColor="text1"/>
                <w:kern w:val="0"/>
                <w:szCs w:val="21"/>
              </w:rPr>
              <w:t>契约型开放式</w:t>
            </w:r>
          </w:p>
        </w:tc>
      </w:tr>
      <w:tr w:rsidR="008277FF" w:rsidRPr="00A3398F" w14:paraId="1B68A520" w14:textId="77777777" w:rsidTr="003376D5">
        <w:tc>
          <w:tcPr>
            <w:tcW w:w="2980" w:type="dxa"/>
            <w:vAlign w:val="center"/>
          </w:tcPr>
          <w:p w14:paraId="11BEBC7B" w14:textId="77777777" w:rsidR="0066726C" w:rsidRPr="00A3398F" w:rsidRDefault="0066726C" w:rsidP="003376D5">
            <w:pPr>
              <w:adjustRightInd w:val="0"/>
              <w:spacing w:before="29" w:line="360" w:lineRule="auto"/>
              <w:ind w:left="17"/>
              <w:rPr>
                <w:rFonts w:eastAsiaTheme="minorEastAsia"/>
                <w:color w:val="000000" w:themeColor="text1"/>
                <w:szCs w:val="21"/>
              </w:rPr>
            </w:pPr>
            <w:r w:rsidRPr="00A3398F">
              <w:rPr>
                <w:rFonts w:eastAsiaTheme="minorEastAsia"/>
                <w:color w:val="000000" w:themeColor="text1"/>
                <w:kern w:val="0"/>
                <w:szCs w:val="21"/>
              </w:rPr>
              <w:t>基金合同生效日</w:t>
            </w:r>
          </w:p>
        </w:tc>
        <w:tc>
          <w:tcPr>
            <w:tcW w:w="5443" w:type="dxa"/>
            <w:gridSpan w:val="2"/>
            <w:vAlign w:val="center"/>
          </w:tcPr>
          <w:p w14:paraId="5D518503" w14:textId="77777777" w:rsidR="0066726C" w:rsidRPr="00A3398F" w:rsidRDefault="0066726C" w:rsidP="003376D5">
            <w:pPr>
              <w:adjustRightInd w:val="0"/>
              <w:spacing w:before="29" w:line="360" w:lineRule="auto"/>
              <w:ind w:left="17"/>
              <w:rPr>
                <w:rFonts w:eastAsiaTheme="minorEastAsia"/>
                <w:color w:val="000000" w:themeColor="text1"/>
                <w:kern w:val="0"/>
                <w:szCs w:val="21"/>
              </w:rPr>
            </w:pPr>
            <w:r w:rsidRPr="00A3398F">
              <w:rPr>
                <w:rFonts w:eastAsiaTheme="minorEastAsia"/>
                <w:color w:val="000000" w:themeColor="text1"/>
                <w:kern w:val="0"/>
                <w:szCs w:val="21"/>
              </w:rPr>
              <w:t>2023</w:t>
            </w:r>
            <w:r w:rsidRPr="00A3398F">
              <w:rPr>
                <w:rFonts w:eastAsiaTheme="minorEastAsia"/>
                <w:color w:val="000000" w:themeColor="text1"/>
                <w:kern w:val="0"/>
                <w:szCs w:val="21"/>
              </w:rPr>
              <w:t>年</w:t>
            </w:r>
            <w:r w:rsidRPr="00A3398F">
              <w:rPr>
                <w:rFonts w:eastAsiaTheme="minorEastAsia"/>
                <w:color w:val="000000" w:themeColor="text1"/>
                <w:kern w:val="0"/>
                <w:szCs w:val="21"/>
              </w:rPr>
              <w:t>5</w:t>
            </w:r>
            <w:r w:rsidRPr="00A3398F">
              <w:rPr>
                <w:rFonts w:eastAsiaTheme="minorEastAsia"/>
                <w:color w:val="000000" w:themeColor="text1"/>
                <w:kern w:val="0"/>
                <w:szCs w:val="21"/>
              </w:rPr>
              <w:t>月</w:t>
            </w:r>
            <w:r w:rsidRPr="00A3398F">
              <w:rPr>
                <w:rFonts w:eastAsiaTheme="minorEastAsia"/>
                <w:color w:val="000000" w:themeColor="text1"/>
                <w:kern w:val="0"/>
                <w:szCs w:val="21"/>
              </w:rPr>
              <w:t>23</w:t>
            </w:r>
            <w:r w:rsidRPr="00A3398F">
              <w:rPr>
                <w:rFonts w:eastAsiaTheme="minorEastAsia"/>
                <w:color w:val="000000" w:themeColor="text1"/>
                <w:kern w:val="0"/>
                <w:szCs w:val="21"/>
              </w:rPr>
              <w:t>日</w:t>
            </w:r>
          </w:p>
        </w:tc>
      </w:tr>
      <w:tr w:rsidR="008277FF" w:rsidRPr="00A3398F" w14:paraId="2A6254B7" w14:textId="77777777" w:rsidTr="003376D5">
        <w:tc>
          <w:tcPr>
            <w:tcW w:w="2980" w:type="dxa"/>
            <w:vAlign w:val="center"/>
          </w:tcPr>
          <w:p w14:paraId="189378B8" w14:textId="77777777" w:rsidR="0066726C" w:rsidRPr="00A3398F" w:rsidRDefault="0066726C" w:rsidP="003376D5">
            <w:pPr>
              <w:adjustRightInd w:val="0"/>
              <w:spacing w:before="29" w:line="360" w:lineRule="auto"/>
              <w:ind w:left="17"/>
              <w:rPr>
                <w:rFonts w:eastAsiaTheme="minorEastAsia"/>
                <w:color w:val="000000" w:themeColor="text1"/>
                <w:szCs w:val="21"/>
              </w:rPr>
            </w:pPr>
            <w:r w:rsidRPr="00A3398F">
              <w:rPr>
                <w:rFonts w:eastAsiaTheme="minorEastAsia"/>
                <w:color w:val="000000" w:themeColor="text1"/>
                <w:kern w:val="0"/>
                <w:szCs w:val="21"/>
              </w:rPr>
              <w:t>报告期末基金份额总额</w:t>
            </w:r>
          </w:p>
        </w:tc>
        <w:tc>
          <w:tcPr>
            <w:tcW w:w="5443" w:type="dxa"/>
            <w:gridSpan w:val="2"/>
            <w:vAlign w:val="center"/>
          </w:tcPr>
          <w:p w14:paraId="6C8AF83E" w14:textId="77777777" w:rsidR="0066726C" w:rsidRPr="00A3398F" w:rsidRDefault="0066726C" w:rsidP="003376D5">
            <w:pPr>
              <w:adjustRightInd w:val="0"/>
              <w:spacing w:before="29" w:line="360" w:lineRule="auto"/>
              <w:ind w:left="17"/>
              <w:rPr>
                <w:rFonts w:eastAsiaTheme="minorEastAsia"/>
                <w:color w:val="000000" w:themeColor="text1"/>
                <w:szCs w:val="21"/>
              </w:rPr>
            </w:pPr>
            <w:r w:rsidRPr="00A3398F">
              <w:rPr>
                <w:rFonts w:eastAsiaTheme="minorEastAsia"/>
                <w:color w:val="000000" w:themeColor="text1"/>
                <w:kern w:val="0"/>
                <w:szCs w:val="21"/>
              </w:rPr>
              <w:t>1,467,957,476.58</w:t>
            </w:r>
            <w:r w:rsidRPr="00A3398F">
              <w:rPr>
                <w:rFonts w:eastAsiaTheme="minorEastAsia"/>
                <w:color w:val="000000" w:themeColor="text1"/>
                <w:kern w:val="0"/>
                <w:szCs w:val="21"/>
              </w:rPr>
              <w:t>份</w:t>
            </w:r>
          </w:p>
        </w:tc>
      </w:tr>
      <w:tr w:rsidR="008277FF" w:rsidRPr="00A3398F" w14:paraId="35C9E351" w14:textId="77777777" w:rsidTr="003376D5">
        <w:tc>
          <w:tcPr>
            <w:tcW w:w="2980" w:type="dxa"/>
            <w:vAlign w:val="center"/>
          </w:tcPr>
          <w:p w14:paraId="1958C36E" w14:textId="77777777" w:rsidR="0066726C" w:rsidRPr="00A3398F" w:rsidRDefault="0066726C" w:rsidP="003376D5">
            <w:pPr>
              <w:adjustRightInd w:val="0"/>
              <w:spacing w:before="29" w:line="360" w:lineRule="auto"/>
              <w:ind w:left="17"/>
              <w:rPr>
                <w:rFonts w:eastAsiaTheme="minorEastAsia"/>
                <w:color w:val="000000" w:themeColor="text1"/>
                <w:szCs w:val="21"/>
              </w:rPr>
            </w:pPr>
            <w:r w:rsidRPr="00A3398F">
              <w:rPr>
                <w:rFonts w:eastAsiaTheme="minorEastAsia"/>
                <w:color w:val="000000" w:themeColor="text1"/>
                <w:kern w:val="0"/>
                <w:szCs w:val="21"/>
              </w:rPr>
              <w:t>投资目标</w:t>
            </w:r>
          </w:p>
        </w:tc>
        <w:tc>
          <w:tcPr>
            <w:tcW w:w="5443" w:type="dxa"/>
            <w:gridSpan w:val="2"/>
            <w:vAlign w:val="center"/>
          </w:tcPr>
          <w:p w14:paraId="7D4E095B" w14:textId="77777777" w:rsidR="0066726C" w:rsidRPr="00A3398F" w:rsidRDefault="0066726C" w:rsidP="003376D5">
            <w:pPr>
              <w:adjustRightInd w:val="0"/>
              <w:spacing w:before="29" w:line="360" w:lineRule="auto"/>
              <w:ind w:left="17"/>
              <w:rPr>
                <w:rFonts w:eastAsiaTheme="minorEastAsia"/>
                <w:color w:val="000000" w:themeColor="text1"/>
                <w:szCs w:val="21"/>
              </w:rPr>
            </w:pPr>
            <w:r w:rsidRPr="00A3398F">
              <w:rPr>
                <w:rFonts w:eastAsiaTheme="minorEastAsia"/>
                <w:color w:val="000000" w:themeColor="text1"/>
                <w:kern w:val="0"/>
                <w:szCs w:val="21"/>
              </w:rPr>
              <w:t>通过全球化的资产配置和组合管理，有效地分散投资风险；在降低组合波动性的同时，实现资产的长期增值。</w:t>
            </w:r>
          </w:p>
        </w:tc>
      </w:tr>
      <w:tr w:rsidR="008277FF" w:rsidRPr="00A3398F" w14:paraId="7A18F0B4" w14:textId="77777777" w:rsidTr="003376D5">
        <w:tc>
          <w:tcPr>
            <w:tcW w:w="2980" w:type="dxa"/>
            <w:vAlign w:val="center"/>
          </w:tcPr>
          <w:p w14:paraId="1D226CA0" w14:textId="77777777" w:rsidR="0066726C" w:rsidRPr="00A3398F" w:rsidRDefault="0066726C" w:rsidP="003376D5">
            <w:pPr>
              <w:adjustRightInd w:val="0"/>
              <w:spacing w:before="29" w:line="360" w:lineRule="auto"/>
              <w:ind w:left="17"/>
              <w:rPr>
                <w:rFonts w:eastAsiaTheme="minorEastAsia"/>
                <w:color w:val="000000" w:themeColor="text1"/>
                <w:szCs w:val="21"/>
              </w:rPr>
            </w:pPr>
            <w:r w:rsidRPr="00A3398F">
              <w:rPr>
                <w:rFonts w:eastAsiaTheme="minorEastAsia"/>
                <w:color w:val="000000" w:themeColor="text1"/>
                <w:kern w:val="0"/>
                <w:szCs w:val="21"/>
              </w:rPr>
              <w:t>投资策略</w:t>
            </w:r>
          </w:p>
        </w:tc>
        <w:tc>
          <w:tcPr>
            <w:tcW w:w="5443" w:type="dxa"/>
            <w:gridSpan w:val="2"/>
            <w:vAlign w:val="center"/>
          </w:tcPr>
          <w:p w14:paraId="4CADF391" w14:textId="77777777" w:rsidR="00351E81" w:rsidRDefault="007F3594">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1</w:t>
            </w:r>
            <w:r>
              <w:rPr>
                <w:rFonts w:eastAsiaTheme="minorEastAsia"/>
                <w:color w:val="000000" w:themeColor="text1"/>
                <w:kern w:val="0"/>
                <w:szCs w:val="21"/>
              </w:rPr>
              <w:t>、大类资产配置策略</w:t>
            </w:r>
          </w:p>
          <w:p w14:paraId="4865D96B" w14:textId="77777777" w:rsidR="00351E81" w:rsidRDefault="007F3594">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本基金在大类资产配置层面将贯彻</w:t>
            </w:r>
            <w:r>
              <w:rPr>
                <w:rFonts w:eastAsiaTheme="minorEastAsia"/>
                <w:color w:val="000000" w:themeColor="text1"/>
                <w:kern w:val="0"/>
                <w:szCs w:val="21"/>
              </w:rPr>
              <w:t>“</w:t>
            </w:r>
            <w:r>
              <w:rPr>
                <w:rFonts w:eastAsiaTheme="minorEastAsia"/>
                <w:color w:val="000000" w:themeColor="text1"/>
                <w:kern w:val="0"/>
                <w:szCs w:val="21"/>
              </w:rPr>
              <w:t>自上而下</w:t>
            </w:r>
            <w:r>
              <w:rPr>
                <w:rFonts w:eastAsiaTheme="minorEastAsia"/>
                <w:color w:val="000000" w:themeColor="text1"/>
                <w:kern w:val="0"/>
                <w:szCs w:val="21"/>
              </w:rPr>
              <w:t>”</w:t>
            </w:r>
            <w:r>
              <w:rPr>
                <w:rFonts w:eastAsiaTheme="minorEastAsia"/>
                <w:color w:val="000000" w:themeColor="text1"/>
                <w:kern w:val="0"/>
                <w:szCs w:val="21"/>
              </w:rPr>
              <w:t>的资产组合配置策略，运用定性和定量相结合的方式确定基金资产配置长期比例。</w:t>
            </w:r>
          </w:p>
          <w:p w14:paraId="0652AC40" w14:textId="77777777" w:rsidR="00351E81" w:rsidRDefault="007F3594">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2</w:t>
            </w:r>
            <w:r>
              <w:rPr>
                <w:rFonts w:eastAsiaTheme="minorEastAsia"/>
                <w:color w:val="000000" w:themeColor="text1"/>
                <w:kern w:val="0"/>
                <w:szCs w:val="21"/>
              </w:rPr>
              <w:t>、区域资产配置策略</w:t>
            </w:r>
          </w:p>
          <w:p w14:paraId="2CA6C694" w14:textId="77777777" w:rsidR="00351E81" w:rsidRDefault="007F3594">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lastRenderedPageBreak/>
              <w:t>本基金将根据全球经济以及区域化经济发展、不同国家或地区经济体的宏观经济变化和经济增长情况，以及各证券市场的表现、全球资本的流动情况，挑选部分特定国家或地区作为重点投资对象，增加该目标市场在资产组合中的配置比例。本基金管理人在确定国家或地区配置比例后，将动态跟踪各国家或地区的权重，对其估值水平及风险收益特征进行研究并结合风险预算确定超配和低配比例。</w:t>
            </w:r>
          </w:p>
          <w:p w14:paraId="151CDF81" w14:textId="77777777" w:rsidR="00351E81" w:rsidRDefault="007F3594">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3</w:t>
            </w:r>
            <w:r>
              <w:rPr>
                <w:rFonts w:eastAsiaTheme="minorEastAsia"/>
                <w:color w:val="000000" w:themeColor="text1"/>
                <w:kern w:val="0"/>
                <w:szCs w:val="21"/>
              </w:rPr>
              <w:t>、标的基金投资策略</w:t>
            </w:r>
          </w:p>
          <w:p w14:paraId="0FB71323" w14:textId="77777777" w:rsidR="00351E81" w:rsidRDefault="007F3594">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本基金通过定量分析策略和定性分析策略相结合的方式优选标的基金，通过分析各标的基金的定量及定性指标，挑选出合适的基金组成标的基金池，构建基金投资组合。</w:t>
            </w:r>
          </w:p>
          <w:p w14:paraId="7D65CCD3" w14:textId="77777777" w:rsidR="00351E81" w:rsidRDefault="007F3594">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目前本基金将主要投资于摩根资产管理（</w:t>
            </w:r>
            <w:r>
              <w:rPr>
                <w:rFonts w:eastAsiaTheme="minorEastAsia"/>
                <w:color w:val="000000" w:themeColor="text1"/>
                <w:kern w:val="0"/>
                <w:szCs w:val="21"/>
              </w:rPr>
              <w:t>J.P. Morgan Asset Management</w:t>
            </w:r>
            <w:r>
              <w:rPr>
                <w:rFonts w:eastAsiaTheme="minorEastAsia"/>
                <w:color w:val="000000" w:themeColor="text1"/>
                <w:kern w:val="0"/>
                <w:szCs w:val="21"/>
              </w:rPr>
              <w:t>）旗下的公募基金，并根据定量及定性分析策略优选标的基金。摩根资产管理（</w:t>
            </w:r>
            <w:r>
              <w:rPr>
                <w:rFonts w:eastAsiaTheme="minorEastAsia"/>
                <w:color w:val="000000" w:themeColor="text1"/>
                <w:kern w:val="0"/>
                <w:szCs w:val="21"/>
              </w:rPr>
              <w:t>J.P. Morgan Asset Management</w:t>
            </w:r>
            <w:r>
              <w:rPr>
                <w:rFonts w:eastAsiaTheme="minorEastAsia"/>
                <w:color w:val="000000" w:themeColor="text1"/>
                <w:kern w:val="0"/>
                <w:szCs w:val="21"/>
              </w:rPr>
              <w:t>）主要是指与基金管理人存在关联关系的摩根资产管理旗下的法人实体，包括但不限于</w:t>
            </w:r>
            <w:r>
              <w:rPr>
                <w:rFonts w:eastAsiaTheme="minorEastAsia"/>
                <w:color w:val="000000" w:themeColor="text1"/>
                <w:kern w:val="0"/>
                <w:szCs w:val="21"/>
              </w:rPr>
              <w:t>JPMorgan Funds (Asia) Limited</w:t>
            </w:r>
            <w:r>
              <w:rPr>
                <w:rFonts w:eastAsiaTheme="minorEastAsia"/>
                <w:color w:val="000000" w:themeColor="text1"/>
                <w:kern w:val="0"/>
                <w:szCs w:val="21"/>
              </w:rPr>
              <w:t>、</w:t>
            </w:r>
            <w:r>
              <w:rPr>
                <w:rFonts w:eastAsiaTheme="minorEastAsia"/>
                <w:color w:val="000000" w:themeColor="text1"/>
                <w:kern w:val="0"/>
                <w:szCs w:val="21"/>
              </w:rPr>
              <w:t>JPMorgan Asset Management (UK) Limited</w:t>
            </w:r>
            <w:r>
              <w:rPr>
                <w:rFonts w:eastAsiaTheme="minorEastAsia"/>
                <w:color w:val="000000" w:themeColor="text1"/>
                <w:kern w:val="0"/>
                <w:szCs w:val="21"/>
              </w:rPr>
              <w:t>等。</w:t>
            </w:r>
          </w:p>
          <w:p w14:paraId="456FB3D0" w14:textId="77777777" w:rsidR="00351E81" w:rsidRDefault="007F3594">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4</w:t>
            </w:r>
            <w:r>
              <w:rPr>
                <w:rFonts w:eastAsiaTheme="minorEastAsia"/>
                <w:color w:val="000000" w:themeColor="text1"/>
                <w:kern w:val="0"/>
                <w:szCs w:val="21"/>
              </w:rPr>
              <w:t>、金融衍生品投资策略</w:t>
            </w:r>
          </w:p>
          <w:p w14:paraId="69520176" w14:textId="77777777" w:rsidR="00351E81" w:rsidRDefault="007F3594">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本基金可本着谨慎和风险可控的原则，适度投资于金融衍生品，以避险和增值、管理汇率风险。</w:t>
            </w:r>
          </w:p>
          <w:p w14:paraId="0A0EEFFA" w14:textId="77777777" w:rsidR="0066726C" w:rsidRPr="00A3398F" w:rsidRDefault="0066726C" w:rsidP="003376D5">
            <w:pPr>
              <w:adjustRightInd w:val="0"/>
              <w:spacing w:before="29" w:line="360" w:lineRule="auto"/>
              <w:ind w:left="17"/>
              <w:rPr>
                <w:rFonts w:eastAsiaTheme="minorEastAsia"/>
                <w:color w:val="000000" w:themeColor="text1"/>
                <w:szCs w:val="21"/>
              </w:rPr>
            </w:pPr>
            <w:r w:rsidRPr="00A3398F">
              <w:rPr>
                <w:rFonts w:eastAsiaTheme="minorEastAsia"/>
                <w:color w:val="000000" w:themeColor="text1"/>
                <w:kern w:val="0"/>
                <w:szCs w:val="21"/>
              </w:rPr>
              <w:t>5</w:t>
            </w:r>
            <w:r w:rsidRPr="00A3398F">
              <w:rPr>
                <w:rFonts w:eastAsiaTheme="minorEastAsia"/>
                <w:color w:val="000000" w:themeColor="text1"/>
                <w:kern w:val="0"/>
                <w:szCs w:val="21"/>
              </w:rPr>
              <w:t>、其他投资策略包括股票投资策略、港股投资策略、债券投资策略、资产支持证券投资策略、存托凭证投资策略。</w:t>
            </w:r>
          </w:p>
        </w:tc>
      </w:tr>
      <w:tr w:rsidR="008277FF" w:rsidRPr="00A3398F" w14:paraId="6A22ABC2" w14:textId="77777777" w:rsidTr="003376D5">
        <w:tc>
          <w:tcPr>
            <w:tcW w:w="2980" w:type="dxa"/>
            <w:vAlign w:val="center"/>
          </w:tcPr>
          <w:p w14:paraId="29D73402" w14:textId="77777777" w:rsidR="0066726C" w:rsidRPr="00A3398F" w:rsidRDefault="0066726C" w:rsidP="003376D5">
            <w:pPr>
              <w:adjustRightInd w:val="0"/>
              <w:spacing w:before="29" w:line="360" w:lineRule="auto"/>
              <w:ind w:left="17"/>
              <w:rPr>
                <w:rFonts w:eastAsiaTheme="minorEastAsia"/>
                <w:color w:val="000000" w:themeColor="text1"/>
                <w:szCs w:val="21"/>
              </w:rPr>
            </w:pPr>
            <w:r w:rsidRPr="00A3398F">
              <w:rPr>
                <w:rFonts w:eastAsiaTheme="minorEastAsia"/>
                <w:color w:val="000000" w:themeColor="text1"/>
                <w:kern w:val="0"/>
                <w:szCs w:val="21"/>
              </w:rPr>
              <w:lastRenderedPageBreak/>
              <w:t>业绩比较基准</w:t>
            </w:r>
          </w:p>
        </w:tc>
        <w:tc>
          <w:tcPr>
            <w:tcW w:w="5443" w:type="dxa"/>
            <w:gridSpan w:val="2"/>
            <w:vAlign w:val="center"/>
          </w:tcPr>
          <w:p w14:paraId="3FF30C11" w14:textId="77777777" w:rsidR="0066726C" w:rsidRPr="00A3398F" w:rsidRDefault="0066726C" w:rsidP="003376D5">
            <w:pPr>
              <w:adjustRightInd w:val="0"/>
              <w:spacing w:before="29" w:line="360" w:lineRule="auto"/>
              <w:ind w:left="17"/>
              <w:rPr>
                <w:rFonts w:eastAsiaTheme="minorEastAsia"/>
                <w:color w:val="000000" w:themeColor="text1"/>
                <w:szCs w:val="21"/>
              </w:rPr>
            </w:pPr>
            <w:r w:rsidRPr="00A3398F">
              <w:rPr>
                <w:rFonts w:eastAsiaTheme="minorEastAsia"/>
                <w:color w:val="000000" w:themeColor="text1"/>
                <w:kern w:val="0"/>
                <w:szCs w:val="21"/>
              </w:rPr>
              <w:t>MSCI</w:t>
            </w:r>
            <w:r w:rsidRPr="00A3398F">
              <w:rPr>
                <w:rFonts w:eastAsiaTheme="minorEastAsia"/>
                <w:color w:val="000000" w:themeColor="text1"/>
                <w:kern w:val="0"/>
                <w:szCs w:val="21"/>
              </w:rPr>
              <w:t>全球指数（</w:t>
            </w:r>
            <w:r w:rsidRPr="00A3398F">
              <w:rPr>
                <w:rFonts w:eastAsiaTheme="minorEastAsia"/>
                <w:color w:val="000000" w:themeColor="text1"/>
                <w:kern w:val="0"/>
                <w:szCs w:val="21"/>
              </w:rPr>
              <w:t>MSCI ACWI</w:t>
            </w:r>
            <w:r w:rsidRPr="00A3398F">
              <w:rPr>
                <w:rFonts w:eastAsiaTheme="minorEastAsia"/>
                <w:color w:val="000000" w:themeColor="text1"/>
                <w:kern w:val="0"/>
                <w:szCs w:val="21"/>
              </w:rPr>
              <w:t>）</w:t>
            </w:r>
            <w:r w:rsidRPr="00A3398F">
              <w:rPr>
                <w:rFonts w:eastAsiaTheme="minorEastAsia"/>
                <w:color w:val="000000" w:themeColor="text1"/>
                <w:kern w:val="0"/>
                <w:szCs w:val="21"/>
              </w:rPr>
              <w:t>*20%+</w:t>
            </w:r>
            <w:r w:rsidRPr="00A3398F">
              <w:rPr>
                <w:rFonts w:eastAsiaTheme="minorEastAsia"/>
                <w:color w:val="000000" w:themeColor="text1"/>
                <w:kern w:val="0"/>
                <w:szCs w:val="21"/>
              </w:rPr>
              <w:t>摩根大通全球债券指数（</w:t>
            </w:r>
            <w:r w:rsidRPr="00A3398F">
              <w:rPr>
                <w:rFonts w:eastAsiaTheme="minorEastAsia"/>
                <w:color w:val="000000" w:themeColor="text1"/>
                <w:kern w:val="0"/>
                <w:szCs w:val="21"/>
              </w:rPr>
              <w:t>J.P. Morgan Global Aggregate Bond Index</w:t>
            </w:r>
            <w:r w:rsidRPr="00A3398F">
              <w:rPr>
                <w:rFonts w:eastAsiaTheme="minorEastAsia"/>
                <w:color w:val="000000" w:themeColor="text1"/>
                <w:kern w:val="0"/>
                <w:szCs w:val="21"/>
              </w:rPr>
              <w:t>）</w:t>
            </w:r>
            <w:r w:rsidRPr="00A3398F">
              <w:rPr>
                <w:rFonts w:eastAsiaTheme="minorEastAsia"/>
                <w:color w:val="000000" w:themeColor="text1"/>
                <w:kern w:val="0"/>
                <w:szCs w:val="21"/>
              </w:rPr>
              <w:t>*80%</w:t>
            </w:r>
          </w:p>
        </w:tc>
      </w:tr>
      <w:tr w:rsidR="008277FF" w:rsidRPr="00A3398F" w14:paraId="0A18E380" w14:textId="77777777" w:rsidTr="003376D5">
        <w:tc>
          <w:tcPr>
            <w:tcW w:w="2980" w:type="dxa"/>
            <w:vAlign w:val="center"/>
          </w:tcPr>
          <w:p w14:paraId="4F242B89" w14:textId="77777777" w:rsidR="0066726C" w:rsidRPr="00A3398F" w:rsidRDefault="0066726C" w:rsidP="003376D5">
            <w:pPr>
              <w:adjustRightInd w:val="0"/>
              <w:spacing w:before="29" w:line="360" w:lineRule="auto"/>
              <w:ind w:left="17"/>
              <w:rPr>
                <w:rFonts w:eastAsiaTheme="minorEastAsia"/>
                <w:color w:val="000000" w:themeColor="text1"/>
                <w:szCs w:val="21"/>
              </w:rPr>
            </w:pPr>
            <w:r w:rsidRPr="00A3398F">
              <w:rPr>
                <w:rFonts w:eastAsiaTheme="minorEastAsia"/>
                <w:color w:val="000000" w:themeColor="text1"/>
                <w:kern w:val="0"/>
                <w:szCs w:val="21"/>
              </w:rPr>
              <w:t>风险收益特征</w:t>
            </w:r>
          </w:p>
        </w:tc>
        <w:tc>
          <w:tcPr>
            <w:tcW w:w="5443" w:type="dxa"/>
            <w:gridSpan w:val="2"/>
            <w:vAlign w:val="center"/>
          </w:tcPr>
          <w:p w14:paraId="39A6FC7D" w14:textId="77777777" w:rsidR="00351E81" w:rsidRDefault="007F3594">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本基金主要投资于境外公募基金，预期风险和收益水平低于股票型基金，高于债券型基金和货币市场基金。</w:t>
            </w:r>
          </w:p>
          <w:p w14:paraId="56311975" w14:textId="77777777" w:rsidR="00351E81" w:rsidRDefault="007F3594">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本基金投资于境外证券市场，因此还面临汇率风险等境外证券市场投资所面临的特别投资风险。</w:t>
            </w:r>
          </w:p>
          <w:p w14:paraId="34AA735F" w14:textId="77777777" w:rsidR="0066726C" w:rsidRPr="00A3398F" w:rsidRDefault="0066726C" w:rsidP="003376D5">
            <w:pPr>
              <w:adjustRightInd w:val="0"/>
              <w:spacing w:before="29" w:line="360" w:lineRule="auto"/>
              <w:ind w:left="17"/>
              <w:rPr>
                <w:rFonts w:eastAsiaTheme="minorEastAsia"/>
                <w:color w:val="000000" w:themeColor="text1"/>
                <w:szCs w:val="21"/>
              </w:rPr>
            </w:pPr>
            <w:r w:rsidRPr="00A3398F">
              <w:rPr>
                <w:rFonts w:eastAsiaTheme="minorEastAsia"/>
                <w:color w:val="000000" w:themeColor="text1"/>
                <w:kern w:val="0"/>
                <w:szCs w:val="21"/>
              </w:rPr>
              <w:lastRenderedPageBreak/>
              <w:t>本基金若通过港股通机制投资港股通标的股票，将面临港股通机制下因投资环境、投资标的、市场制度以及交易规则等差异带来的特有风险。</w:t>
            </w:r>
          </w:p>
        </w:tc>
      </w:tr>
      <w:tr w:rsidR="008277FF" w:rsidRPr="00A3398F" w14:paraId="2D378F10" w14:textId="77777777" w:rsidTr="003376D5">
        <w:tc>
          <w:tcPr>
            <w:tcW w:w="2980" w:type="dxa"/>
            <w:vAlign w:val="center"/>
          </w:tcPr>
          <w:p w14:paraId="77DC4CC2" w14:textId="77777777" w:rsidR="0066726C" w:rsidRPr="00A3398F" w:rsidRDefault="0066726C" w:rsidP="003376D5">
            <w:pPr>
              <w:adjustRightInd w:val="0"/>
              <w:spacing w:before="29" w:line="360" w:lineRule="auto"/>
              <w:ind w:left="17"/>
              <w:rPr>
                <w:rFonts w:eastAsiaTheme="minorEastAsia"/>
                <w:color w:val="000000" w:themeColor="text1"/>
                <w:szCs w:val="21"/>
              </w:rPr>
            </w:pPr>
            <w:r w:rsidRPr="00A3398F">
              <w:rPr>
                <w:rFonts w:eastAsiaTheme="minorEastAsia"/>
                <w:color w:val="000000" w:themeColor="text1"/>
                <w:kern w:val="0"/>
                <w:szCs w:val="21"/>
              </w:rPr>
              <w:lastRenderedPageBreak/>
              <w:t>基金管理人</w:t>
            </w:r>
          </w:p>
        </w:tc>
        <w:tc>
          <w:tcPr>
            <w:tcW w:w="5443" w:type="dxa"/>
            <w:gridSpan w:val="2"/>
            <w:vAlign w:val="center"/>
          </w:tcPr>
          <w:p w14:paraId="5979B592" w14:textId="77777777" w:rsidR="0066726C" w:rsidRPr="00A3398F" w:rsidRDefault="0066726C" w:rsidP="003376D5">
            <w:pPr>
              <w:adjustRightInd w:val="0"/>
              <w:spacing w:before="29" w:line="360" w:lineRule="auto"/>
              <w:ind w:left="17"/>
              <w:rPr>
                <w:rFonts w:eastAsiaTheme="minorEastAsia"/>
                <w:color w:val="000000" w:themeColor="text1"/>
                <w:szCs w:val="21"/>
              </w:rPr>
            </w:pPr>
            <w:r w:rsidRPr="00A3398F">
              <w:rPr>
                <w:rFonts w:eastAsiaTheme="minorEastAsia"/>
                <w:color w:val="000000" w:themeColor="text1"/>
                <w:kern w:val="0"/>
                <w:szCs w:val="21"/>
              </w:rPr>
              <w:t>摩根基金管理（中国）有限公司</w:t>
            </w:r>
          </w:p>
        </w:tc>
      </w:tr>
      <w:tr w:rsidR="008277FF" w:rsidRPr="00A3398F" w14:paraId="03CDA2E8" w14:textId="77777777" w:rsidTr="003376D5">
        <w:tc>
          <w:tcPr>
            <w:tcW w:w="2980" w:type="dxa"/>
            <w:vAlign w:val="center"/>
          </w:tcPr>
          <w:p w14:paraId="4778174D" w14:textId="77777777" w:rsidR="0066726C" w:rsidRPr="00A3398F" w:rsidRDefault="0066726C" w:rsidP="003376D5">
            <w:pPr>
              <w:adjustRightInd w:val="0"/>
              <w:spacing w:before="29" w:line="360" w:lineRule="auto"/>
              <w:ind w:left="17"/>
              <w:rPr>
                <w:rFonts w:eastAsiaTheme="minorEastAsia"/>
                <w:color w:val="000000" w:themeColor="text1"/>
                <w:szCs w:val="21"/>
              </w:rPr>
            </w:pPr>
            <w:r w:rsidRPr="00A3398F">
              <w:rPr>
                <w:rFonts w:eastAsiaTheme="minorEastAsia"/>
                <w:color w:val="000000" w:themeColor="text1"/>
                <w:kern w:val="0"/>
                <w:szCs w:val="21"/>
              </w:rPr>
              <w:t>基金托管人</w:t>
            </w:r>
          </w:p>
        </w:tc>
        <w:tc>
          <w:tcPr>
            <w:tcW w:w="5443" w:type="dxa"/>
            <w:gridSpan w:val="2"/>
            <w:vAlign w:val="center"/>
          </w:tcPr>
          <w:p w14:paraId="6522D18B" w14:textId="77777777" w:rsidR="0066726C" w:rsidRPr="00A3398F" w:rsidRDefault="0066726C" w:rsidP="003376D5">
            <w:pPr>
              <w:adjustRightInd w:val="0"/>
              <w:spacing w:before="29" w:line="360" w:lineRule="auto"/>
              <w:ind w:left="17"/>
              <w:rPr>
                <w:rFonts w:eastAsiaTheme="minorEastAsia"/>
                <w:color w:val="000000" w:themeColor="text1"/>
                <w:szCs w:val="21"/>
              </w:rPr>
            </w:pPr>
            <w:r w:rsidRPr="00A3398F">
              <w:rPr>
                <w:rFonts w:eastAsiaTheme="minorEastAsia"/>
                <w:color w:val="000000" w:themeColor="text1"/>
                <w:kern w:val="0"/>
                <w:szCs w:val="21"/>
              </w:rPr>
              <w:t>招商银行股份有限公司</w:t>
            </w:r>
          </w:p>
        </w:tc>
      </w:tr>
      <w:tr w:rsidR="008277FF" w:rsidRPr="00A3398F" w14:paraId="678A18C2" w14:textId="77777777" w:rsidTr="003376D5">
        <w:tc>
          <w:tcPr>
            <w:tcW w:w="2980" w:type="dxa"/>
            <w:vAlign w:val="center"/>
          </w:tcPr>
          <w:p w14:paraId="02EF56DB" w14:textId="77777777" w:rsidR="0066726C" w:rsidRPr="00A3398F" w:rsidRDefault="0066726C" w:rsidP="003376D5">
            <w:pPr>
              <w:adjustRightInd w:val="0"/>
              <w:spacing w:before="29" w:line="360" w:lineRule="auto"/>
              <w:ind w:left="17"/>
              <w:rPr>
                <w:rFonts w:eastAsiaTheme="minorEastAsia"/>
                <w:color w:val="000000" w:themeColor="text1"/>
                <w:kern w:val="0"/>
                <w:szCs w:val="21"/>
              </w:rPr>
            </w:pPr>
            <w:r w:rsidRPr="00A3398F">
              <w:rPr>
                <w:rFonts w:eastAsiaTheme="minorEastAsia"/>
                <w:color w:val="000000" w:themeColor="text1"/>
                <w:kern w:val="0"/>
                <w:szCs w:val="21"/>
              </w:rPr>
              <w:t>境外投资顾问英文名称</w:t>
            </w:r>
          </w:p>
        </w:tc>
        <w:tc>
          <w:tcPr>
            <w:tcW w:w="5443" w:type="dxa"/>
            <w:gridSpan w:val="2"/>
            <w:vAlign w:val="center"/>
          </w:tcPr>
          <w:p w14:paraId="32E3C85B" w14:textId="77777777" w:rsidR="0066726C" w:rsidRPr="00A3398F" w:rsidRDefault="0066726C" w:rsidP="003376D5">
            <w:pPr>
              <w:adjustRightInd w:val="0"/>
              <w:spacing w:before="29" w:line="360" w:lineRule="auto"/>
              <w:ind w:left="17"/>
              <w:rPr>
                <w:rFonts w:eastAsiaTheme="minorEastAsia"/>
                <w:color w:val="000000" w:themeColor="text1"/>
                <w:kern w:val="0"/>
                <w:szCs w:val="21"/>
              </w:rPr>
            </w:pPr>
            <w:r w:rsidRPr="00A3398F">
              <w:rPr>
                <w:rFonts w:eastAsiaTheme="minorEastAsia"/>
                <w:color w:val="000000" w:themeColor="text1"/>
                <w:kern w:val="0"/>
                <w:szCs w:val="21"/>
              </w:rPr>
              <w:t>JPMORGAN ASSET MANAGEMENT (ASIA PACIFIC) LIMITED</w:t>
            </w:r>
          </w:p>
        </w:tc>
      </w:tr>
      <w:tr w:rsidR="008277FF" w:rsidRPr="00A3398F" w14:paraId="226BDFAE" w14:textId="77777777" w:rsidTr="003376D5">
        <w:tc>
          <w:tcPr>
            <w:tcW w:w="2980" w:type="dxa"/>
            <w:vAlign w:val="center"/>
          </w:tcPr>
          <w:p w14:paraId="37E4C92E" w14:textId="77777777" w:rsidR="0066726C" w:rsidRPr="00A3398F" w:rsidRDefault="0066726C" w:rsidP="003376D5">
            <w:pPr>
              <w:adjustRightInd w:val="0"/>
              <w:spacing w:before="29" w:line="360" w:lineRule="auto"/>
              <w:ind w:left="17"/>
              <w:rPr>
                <w:rFonts w:eastAsiaTheme="minorEastAsia"/>
                <w:color w:val="000000" w:themeColor="text1"/>
                <w:kern w:val="0"/>
                <w:szCs w:val="21"/>
              </w:rPr>
            </w:pPr>
            <w:r w:rsidRPr="00A3398F">
              <w:rPr>
                <w:rFonts w:eastAsiaTheme="minorEastAsia"/>
                <w:color w:val="000000" w:themeColor="text1"/>
                <w:kern w:val="0"/>
                <w:szCs w:val="21"/>
              </w:rPr>
              <w:t>境外投资顾问中文名称</w:t>
            </w:r>
          </w:p>
        </w:tc>
        <w:tc>
          <w:tcPr>
            <w:tcW w:w="5443" w:type="dxa"/>
            <w:gridSpan w:val="2"/>
            <w:vAlign w:val="center"/>
          </w:tcPr>
          <w:p w14:paraId="5F06C978" w14:textId="77777777" w:rsidR="0066726C" w:rsidRPr="00A3398F" w:rsidRDefault="0066726C" w:rsidP="003376D5">
            <w:pPr>
              <w:adjustRightInd w:val="0"/>
              <w:spacing w:before="29" w:line="360" w:lineRule="auto"/>
              <w:ind w:left="17"/>
              <w:rPr>
                <w:rFonts w:eastAsiaTheme="minorEastAsia"/>
                <w:color w:val="000000" w:themeColor="text1"/>
                <w:kern w:val="0"/>
                <w:szCs w:val="21"/>
              </w:rPr>
            </w:pPr>
            <w:r w:rsidRPr="00A3398F">
              <w:rPr>
                <w:rFonts w:eastAsiaTheme="minorEastAsia"/>
                <w:color w:val="000000" w:themeColor="text1"/>
                <w:kern w:val="0"/>
                <w:szCs w:val="21"/>
              </w:rPr>
              <w:t>摩根资产管理</w:t>
            </w:r>
            <w:r w:rsidRPr="00A3398F">
              <w:rPr>
                <w:rFonts w:eastAsiaTheme="minorEastAsia"/>
                <w:color w:val="000000" w:themeColor="text1"/>
                <w:kern w:val="0"/>
                <w:szCs w:val="21"/>
              </w:rPr>
              <w:t>(</w:t>
            </w:r>
            <w:r w:rsidRPr="00A3398F">
              <w:rPr>
                <w:rFonts w:eastAsiaTheme="minorEastAsia"/>
                <w:color w:val="000000" w:themeColor="text1"/>
                <w:kern w:val="0"/>
                <w:szCs w:val="21"/>
              </w:rPr>
              <w:t>亚太</w:t>
            </w:r>
            <w:r w:rsidRPr="00A3398F">
              <w:rPr>
                <w:rFonts w:eastAsiaTheme="minorEastAsia"/>
                <w:color w:val="000000" w:themeColor="text1"/>
                <w:kern w:val="0"/>
                <w:szCs w:val="21"/>
              </w:rPr>
              <w:t>)</w:t>
            </w:r>
            <w:r w:rsidRPr="00A3398F">
              <w:rPr>
                <w:rFonts w:eastAsiaTheme="minorEastAsia"/>
                <w:color w:val="000000" w:themeColor="text1"/>
                <w:kern w:val="0"/>
                <w:szCs w:val="21"/>
              </w:rPr>
              <w:t>有限公司</w:t>
            </w:r>
          </w:p>
        </w:tc>
      </w:tr>
      <w:tr w:rsidR="008277FF" w:rsidRPr="00A3398F" w14:paraId="694A25F6" w14:textId="77777777" w:rsidTr="0031104D">
        <w:tc>
          <w:tcPr>
            <w:tcW w:w="2980" w:type="dxa"/>
            <w:vAlign w:val="center"/>
          </w:tcPr>
          <w:p w14:paraId="1F70DCF2" w14:textId="77777777" w:rsidR="0066726C" w:rsidRPr="00A3398F" w:rsidRDefault="0066726C" w:rsidP="003376D5">
            <w:pPr>
              <w:adjustRightInd w:val="0"/>
              <w:spacing w:before="29" w:line="360" w:lineRule="auto"/>
              <w:ind w:left="17"/>
              <w:rPr>
                <w:rFonts w:eastAsiaTheme="minorEastAsia"/>
                <w:color w:val="000000" w:themeColor="text1"/>
                <w:kern w:val="0"/>
                <w:szCs w:val="21"/>
              </w:rPr>
            </w:pPr>
            <w:r w:rsidRPr="00A3398F">
              <w:rPr>
                <w:rFonts w:eastAsiaTheme="minorEastAsia"/>
                <w:color w:val="000000" w:themeColor="text1"/>
                <w:kern w:val="0"/>
                <w:szCs w:val="21"/>
              </w:rPr>
              <w:t>境外资产托管人英文名称</w:t>
            </w:r>
          </w:p>
        </w:tc>
        <w:tc>
          <w:tcPr>
            <w:tcW w:w="5443" w:type="dxa"/>
            <w:gridSpan w:val="2"/>
            <w:vAlign w:val="center"/>
          </w:tcPr>
          <w:p w14:paraId="47D8F55F" w14:textId="77777777" w:rsidR="0066726C" w:rsidRPr="00A3398F" w:rsidRDefault="0066726C" w:rsidP="003376D5">
            <w:pPr>
              <w:adjustRightInd w:val="0"/>
              <w:spacing w:before="29" w:line="360" w:lineRule="auto"/>
              <w:ind w:left="17"/>
              <w:rPr>
                <w:rFonts w:eastAsiaTheme="minorEastAsia"/>
                <w:color w:val="000000" w:themeColor="text1"/>
                <w:kern w:val="0"/>
                <w:szCs w:val="21"/>
              </w:rPr>
            </w:pPr>
            <w:r w:rsidRPr="00A3398F">
              <w:rPr>
                <w:rFonts w:eastAsiaTheme="minorEastAsia"/>
                <w:color w:val="000000" w:themeColor="text1"/>
                <w:kern w:val="0"/>
                <w:szCs w:val="21"/>
              </w:rPr>
              <w:t>The Hong Kong and Shanghai Banking Corporation Limited</w:t>
            </w:r>
          </w:p>
        </w:tc>
      </w:tr>
      <w:tr w:rsidR="008277FF" w:rsidRPr="00A3398F" w14:paraId="412D17E6" w14:textId="77777777" w:rsidTr="0031104D">
        <w:tc>
          <w:tcPr>
            <w:tcW w:w="2980" w:type="dxa"/>
            <w:vAlign w:val="center"/>
          </w:tcPr>
          <w:p w14:paraId="5C9F3026" w14:textId="77777777" w:rsidR="0066726C" w:rsidRPr="00A3398F" w:rsidRDefault="0066726C" w:rsidP="003376D5">
            <w:pPr>
              <w:adjustRightInd w:val="0"/>
              <w:spacing w:before="29" w:line="360" w:lineRule="auto"/>
              <w:ind w:left="17"/>
              <w:rPr>
                <w:rFonts w:eastAsiaTheme="minorEastAsia"/>
                <w:color w:val="000000" w:themeColor="text1"/>
                <w:kern w:val="0"/>
                <w:szCs w:val="21"/>
              </w:rPr>
            </w:pPr>
            <w:r w:rsidRPr="00A3398F">
              <w:rPr>
                <w:rFonts w:eastAsiaTheme="minorEastAsia"/>
                <w:color w:val="000000" w:themeColor="text1"/>
                <w:kern w:val="0"/>
                <w:szCs w:val="21"/>
              </w:rPr>
              <w:t>境外资产托管人中文名称</w:t>
            </w:r>
          </w:p>
        </w:tc>
        <w:tc>
          <w:tcPr>
            <w:tcW w:w="5443" w:type="dxa"/>
            <w:gridSpan w:val="2"/>
            <w:vAlign w:val="center"/>
          </w:tcPr>
          <w:p w14:paraId="6206FD37" w14:textId="77777777" w:rsidR="0066726C" w:rsidRPr="00A3398F" w:rsidRDefault="0066726C" w:rsidP="003376D5">
            <w:pPr>
              <w:adjustRightInd w:val="0"/>
              <w:spacing w:before="29" w:line="360" w:lineRule="auto"/>
              <w:ind w:left="17"/>
              <w:rPr>
                <w:rFonts w:eastAsiaTheme="minorEastAsia"/>
                <w:color w:val="000000" w:themeColor="text1"/>
                <w:kern w:val="0"/>
                <w:szCs w:val="21"/>
              </w:rPr>
            </w:pPr>
            <w:r w:rsidRPr="00A3398F">
              <w:rPr>
                <w:rFonts w:eastAsiaTheme="minorEastAsia"/>
                <w:color w:val="000000" w:themeColor="text1"/>
                <w:kern w:val="0"/>
                <w:szCs w:val="21"/>
              </w:rPr>
              <w:t>香港上海汇丰银行有限公司</w:t>
            </w:r>
          </w:p>
        </w:tc>
      </w:tr>
      <w:tr w:rsidR="00070DD6" w:rsidRPr="00A3398F" w14:paraId="1E2C75AB" w14:textId="77777777" w:rsidTr="00845292">
        <w:tblPrEx>
          <w:tblLook w:val="0000" w:firstRow="0" w:lastRow="0" w:firstColumn="0" w:lastColumn="0" w:noHBand="0" w:noVBand="0"/>
        </w:tblPrEx>
        <w:trPr>
          <w:trHeight w:val="866"/>
        </w:trPr>
        <w:tc>
          <w:tcPr>
            <w:tcW w:w="2980" w:type="dxa"/>
          </w:tcPr>
          <w:p w14:paraId="79FAA220" w14:textId="77777777" w:rsidR="00070DD6" w:rsidRPr="00A3398F" w:rsidRDefault="00070DD6" w:rsidP="00845292">
            <w:pPr>
              <w:adjustRightInd w:val="0"/>
              <w:spacing w:before="29" w:line="360" w:lineRule="auto"/>
              <w:ind w:left="17"/>
              <w:jc w:val="left"/>
              <w:rPr>
                <w:rFonts w:eastAsiaTheme="minorEastAsia"/>
                <w:color w:val="000000" w:themeColor="text1"/>
                <w:kern w:val="0"/>
                <w:szCs w:val="21"/>
              </w:rPr>
            </w:pPr>
            <w:r w:rsidRPr="00A3398F">
              <w:rPr>
                <w:rFonts w:eastAsiaTheme="minorEastAsia"/>
                <w:color w:val="000000" w:themeColor="text1"/>
                <w:szCs w:val="21"/>
              </w:rPr>
              <w:t>下属分级基金的基金简称</w:t>
            </w:r>
          </w:p>
        </w:tc>
        <w:tc>
          <w:tcPr>
            <w:tcW w:w="2780" w:type="dxa"/>
            <w:vAlign w:val="center"/>
          </w:tcPr>
          <w:p w14:paraId="1F2AA215" w14:textId="77777777" w:rsidR="00070DD6" w:rsidRPr="00A3398F" w:rsidRDefault="00070DD6" w:rsidP="00845292">
            <w:pPr>
              <w:jc w:val="left"/>
              <w:rPr>
                <w:rFonts w:eastAsiaTheme="minorEastAsia"/>
                <w:color w:val="000000" w:themeColor="text1"/>
                <w:szCs w:val="21"/>
              </w:rPr>
            </w:pPr>
            <w:r w:rsidRPr="00A3398F">
              <w:rPr>
                <w:rFonts w:eastAsiaTheme="minorEastAsia"/>
                <w:color w:val="000000" w:themeColor="text1"/>
                <w:szCs w:val="21"/>
              </w:rPr>
              <w:t>摩根海外稳健配置混合</w:t>
            </w:r>
            <w:r w:rsidRPr="00A3398F">
              <w:rPr>
                <w:rFonts w:eastAsiaTheme="minorEastAsia"/>
                <w:color w:val="000000" w:themeColor="text1"/>
                <w:szCs w:val="21"/>
              </w:rPr>
              <w:t>(QDII-FOF)</w:t>
            </w:r>
            <w:r w:rsidRPr="00A3398F">
              <w:rPr>
                <w:rFonts w:eastAsiaTheme="minorEastAsia"/>
                <w:color w:val="000000" w:themeColor="text1"/>
                <w:szCs w:val="21"/>
              </w:rPr>
              <w:t>人民币</w:t>
            </w:r>
            <w:r w:rsidRPr="00A3398F">
              <w:rPr>
                <w:rFonts w:eastAsiaTheme="minorEastAsia"/>
                <w:color w:val="000000" w:themeColor="text1"/>
                <w:szCs w:val="21"/>
              </w:rPr>
              <w:t>A</w:t>
            </w:r>
          </w:p>
        </w:tc>
        <w:tc>
          <w:tcPr>
            <w:tcW w:w="2663" w:type="dxa"/>
            <w:vAlign w:val="center"/>
          </w:tcPr>
          <w:p w14:paraId="4198CE3B" w14:textId="77777777" w:rsidR="00070DD6" w:rsidRPr="00A3398F" w:rsidRDefault="00070DD6" w:rsidP="00845292">
            <w:pPr>
              <w:jc w:val="left"/>
              <w:rPr>
                <w:rFonts w:eastAsiaTheme="minorEastAsia"/>
                <w:color w:val="000000" w:themeColor="text1"/>
                <w:szCs w:val="21"/>
              </w:rPr>
            </w:pPr>
            <w:r w:rsidRPr="00A3398F">
              <w:rPr>
                <w:rFonts w:eastAsiaTheme="minorEastAsia"/>
                <w:color w:val="000000" w:themeColor="text1"/>
                <w:szCs w:val="21"/>
              </w:rPr>
              <w:t>摩根海外稳健配置混合</w:t>
            </w:r>
            <w:r w:rsidRPr="00A3398F">
              <w:rPr>
                <w:rFonts w:eastAsiaTheme="minorEastAsia"/>
                <w:color w:val="000000" w:themeColor="text1"/>
                <w:szCs w:val="21"/>
              </w:rPr>
              <w:t>(QDII-FOF)</w:t>
            </w:r>
            <w:r w:rsidRPr="00A3398F">
              <w:rPr>
                <w:rFonts w:eastAsiaTheme="minorEastAsia"/>
                <w:color w:val="000000" w:themeColor="text1"/>
                <w:szCs w:val="21"/>
              </w:rPr>
              <w:t>人民币</w:t>
            </w:r>
            <w:r w:rsidRPr="00A3398F">
              <w:rPr>
                <w:rFonts w:eastAsiaTheme="minorEastAsia"/>
                <w:color w:val="000000" w:themeColor="text1"/>
                <w:szCs w:val="21"/>
              </w:rPr>
              <w:t>C</w:t>
            </w:r>
          </w:p>
        </w:tc>
      </w:tr>
      <w:tr w:rsidR="00070DD6" w:rsidRPr="00A3398F" w14:paraId="33363535" w14:textId="77777777" w:rsidTr="00845292">
        <w:tblPrEx>
          <w:tblLook w:val="0000" w:firstRow="0" w:lastRow="0" w:firstColumn="0" w:lastColumn="0" w:noHBand="0" w:noVBand="0"/>
        </w:tblPrEx>
        <w:trPr>
          <w:trHeight w:val="628"/>
        </w:trPr>
        <w:tc>
          <w:tcPr>
            <w:tcW w:w="2980" w:type="dxa"/>
          </w:tcPr>
          <w:p w14:paraId="2AAAD87F" w14:textId="77777777" w:rsidR="00070DD6" w:rsidRPr="00A3398F" w:rsidRDefault="00070DD6" w:rsidP="00845292">
            <w:pPr>
              <w:adjustRightInd w:val="0"/>
              <w:spacing w:before="29" w:line="360" w:lineRule="auto"/>
              <w:ind w:left="17"/>
              <w:jc w:val="left"/>
              <w:rPr>
                <w:rFonts w:eastAsiaTheme="minorEastAsia"/>
                <w:color w:val="000000" w:themeColor="text1"/>
                <w:szCs w:val="21"/>
              </w:rPr>
            </w:pPr>
            <w:r w:rsidRPr="00A3398F">
              <w:rPr>
                <w:rFonts w:eastAsiaTheme="minorEastAsia"/>
                <w:color w:val="000000" w:themeColor="text1"/>
                <w:szCs w:val="21"/>
              </w:rPr>
              <w:t>下属分级基金的交易代码</w:t>
            </w:r>
          </w:p>
        </w:tc>
        <w:tc>
          <w:tcPr>
            <w:tcW w:w="2780" w:type="dxa"/>
            <w:vAlign w:val="center"/>
          </w:tcPr>
          <w:p w14:paraId="77403C87" w14:textId="77777777" w:rsidR="00070DD6" w:rsidRPr="00A3398F" w:rsidRDefault="00070DD6" w:rsidP="00845292">
            <w:pPr>
              <w:jc w:val="left"/>
              <w:rPr>
                <w:rFonts w:eastAsiaTheme="minorEastAsia"/>
                <w:color w:val="000000" w:themeColor="text1"/>
                <w:szCs w:val="21"/>
              </w:rPr>
            </w:pPr>
            <w:r w:rsidRPr="00A3398F">
              <w:rPr>
                <w:rFonts w:eastAsiaTheme="minorEastAsia"/>
                <w:color w:val="000000" w:themeColor="text1"/>
                <w:szCs w:val="21"/>
              </w:rPr>
              <w:t>017970</w:t>
            </w:r>
          </w:p>
        </w:tc>
        <w:tc>
          <w:tcPr>
            <w:tcW w:w="2663" w:type="dxa"/>
            <w:vAlign w:val="center"/>
          </w:tcPr>
          <w:p w14:paraId="765EF050" w14:textId="77777777" w:rsidR="00070DD6" w:rsidRPr="00A3398F" w:rsidRDefault="00070DD6" w:rsidP="00845292">
            <w:pPr>
              <w:jc w:val="left"/>
              <w:rPr>
                <w:rFonts w:eastAsiaTheme="minorEastAsia"/>
                <w:color w:val="000000" w:themeColor="text1"/>
                <w:szCs w:val="21"/>
              </w:rPr>
            </w:pPr>
            <w:r w:rsidRPr="00A3398F">
              <w:rPr>
                <w:rFonts w:eastAsiaTheme="minorEastAsia"/>
                <w:color w:val="000000" w:themeColor="text1"/>
                <w:szCs w:val="21"/>
              </w:rPr>
              <w:t>020512</w:t>
            </w:r>
          </w:p>
        </w:tc>
      </w:tr>
      <w:tr w:rsidR="00322A5E" w:rsidRPr="00A3398F" w14:paraId="282B1C88" w14:textId="77777777" w:rsidTr="0031104D">
        <w:tblPrEx>
          <w:tblLook w:val="0000" w:firstRow="0" w:lastRow="0" w:firstColumn="0" w:lastColumn="0" w:noHBand="0" w:noVBand="0"/>
        </w:tblPrEx>
        <w:trPr>
          <w:trHeight w:val="555"/>
        </w:trPr>
        <w:tc>
          <w:tcPr>
            <w:tcW w:w="2980" w:type="dxa"/>
            <w:vAlign w:val="center"/>
          </w:tcPr>
          <w:p w14:paraId="41A40DBE" w14:textId="77777777" w:rsidR="00322A5E" w:rsidRPr="00A3398F" w:rsidRDefault="00322A5E" w:rsidP="00845292">
            <w:pPr>
              <w:adjustRightInd w:val="0"/>
              <w:spacing w:before="29" w:line="360" w:lineRule="auto"/>
              <w:ind w:left="17"/>
              <w:rPr>
                <w:rFonts w:eastAsiaTheme="minorEastAsia"/>
                <w:color w:val="000000" w:themeColor="text1"/>
                <w:szCs w:val="21"/>
              </w:rPr>
            </w:pPr>
            <w:r w:rsidRPr="00A3398F">
              <w:rPr>
                <w:rFonts w:eastAsiaTheme="minorEastAsia"/>
                <w:color w:val="000000" w:themeColor="text1"/>
                <w:szCs w:val="21"/>
              </w:rPr>
              <w:t>报告期末下属分级基金的份额总额</w:t>
            </w:r>
          </w:p>
        </w:tc>
        <w:tc>
          <w:tcPr>
            <w:tcW w:w="2780" w:type="dxa"/>
            <w:vAlign w:val="center"/>
          </w:tcPr>
          <w:p w14:paraId="4DB0038B" w14:textId="77777777" w:rsidR="00322A5E" w:rsidRPr="00A3398F" w:rsidRDefault="00322A5E" w:rsidP="00845292">
            <w:pPr>
              <w:rPr>
                <w:rFonts w:eastAsiaTheme="minorEastAsia"/>
                <w:color w:val="000000" w:themeColor="text1"/>
                <w:szCs w:val="21"/>
              </w:rPr>
            </w:pPr>
            <w:r w:rsidRPr="00A3398F">
              <w:rPr>
                <w:rFonts w:eastAsiaTheme="minorEastAsia"/>
                <w:color w:val="000000" w:themeColor="text1"/>
                <w:szCs w:val="21"/>
              </w:rPr>
              <w:t>1,321,641,654.03</w:t>
            </w:r>
            <w:r w:rsidRPr="00A3398F">
              <w:rPr>
                <w:rFonts w:eastAsiaTheme="minorEastAsia"/>
                <w:color w:val="000000" w:themeColor="text1"/>
                <w:kern w:val="0"/>
                <w:szCs w:val="21"/>
              </w:rPr>
              <w:t>份</w:t>
            </w:r>
          </w:p>
        </w:tc>
        <w:tc>
          <w:tcPr>
            <w:tcW w:w="2663" w:type="dxa"/>
            <w:vAlign w:val="center"/>
          </w:tcPr>
          <w:p w14:paraId="7484DD4F" w14:textId="77777777" w:rsidR="00322A5E" w:rsidRPr="00A3398F" w:rsidRDefault="00322A5E" w:rsidP="00845292">
            <w:pPr>
              <w:rPr>
                <w:rFonts w:eastAsiaTheme="minorEastAsia"/>
                <w:color w:val="000000" w:themeColor="text1"/>
                <w:szCs w:val="21"/>
              </w:rPr>
            </w:pPr>
            <w:r w:rsidRPr="00A3398F">
              <w:rPr>
                <w:rFonts w:eastAsiaTheme="minorEastAsia"/>
                <w:color w:val="000000" w:themeColor="text1"/>
                <w:szCs w:val="21"/>
              </w:rPr>
              <w:t>146,315,822.55</w:t>
            </w:r>
            <w:r w:rsidRPr="00A3398F">
              <w:rPr>
                <w:rFonts w:eastAsiaTheme="minorEastAsia"/>
                <w:color w:val="000000" w:themeColor="text1"/>
                <w:kern w:val="0"/>
                <w:szCs w:val="21"/>
              </w:rPr>
              <w:t>份</w:t>
            </w:r>
          </w:p>
        </w:tc>
      </w:tr>
    </w:tbl>
    <w:p w14:paraId="18F25890" w14:textId="77777777" w:rsidR="0076518F" w:rsidRPr="00A3398F" w:rsidRDefault="0076518F" w:rsidP="009E705F">
      <w:pPr>
        <w:pStyle w:val="1"/>
        <w:spacing w:beforeLines="100" w:before="312" w:afterLines="100" w:after="312" w:line="360" w:lineRule="auto"/>
        <w:jc w:val="center"/>
        <w:rPr>
          <w:rFonts w:eastAsiaTheme="minorEastAsia"/>
          <w:color w:val="000000" w:themeColor="text1"/>
          <w:kern w:val="0"/>
          <w:sz w:val="24"/>
          <w:szCs w:val="24"/>
        </w:rPr>
      </w:pPr>
      <w:r w:rsidRPr="00A3398F">
        <w:rPr>
          <w:rFonts w:eastAsiaTheme="minorEastAsia"/>
          <w:color w:val="000000" w:themeColor="text1"/>
          <w:kern w:val="0"/>
          <w:sz w:val="24"/>
          <w:szCs w:val="24"/>
        </w:rPr>
        <w:t xml:space="preserve">§3  </w:t>
      </w:r>
      <w:r w:rsidRPr="00A3398F">
        <w:rPr>
          <w:rFonts w:eastAsiaTheme="minorEastAsia"/>
          <w:color w:val="000000" w:themeColor="text1"/>
          <w:kern w:val="0"/>
          <w:sz w:val="24"/>
          <w:szCs w:val="24"/>
        </w:rPr>
        <w:t>主要财务指标和基金净值表现</w:t>
      </w:r>
    </w:p>
    <w:p w14:paraId="243C46E9" w14:textId="77777777" w:rsidR="0076518F" w:rsidRPr="00A3398F" w:rsidRDefault="0076518F" w:rsidP="00506D57">
      <w:pPr>
        <w:autoSpaceDE w:val="0"/>
        <w:autoSpaceDN w:val="0"/>
        <w:adjustRightInd w:val="0"/>
        <w:spacing w:line="360" w:lineRule="auto"/>
        <w:jc w:val="left"/>
        <w:rPr>
          <w:rFonts w:eastAsiaTheme="minorEastAsia"/>
          <w:b/>
          <w:color w:val="000000" w:themeColor="text1"/>
          <w:kern w:val="0"/>
          <w:sz w:val="24"/>
        </w:rPr>
      </w:pPr>
      <w:r w:rsidRPr="00A3398F">
        <w:rPr>
          <w:rFonts w:eastAsiaTheme="minorEastAsia"/>
          <w:b/>
          <w:color w:val="000000" w:themeColor="text1"/>
          <w:kern w:val="0"/>
          <w:sz w:val="24"/>
        </w:rPr>
        <w:t xml:space="preserve">3.1 </w:t>
      </w:r>
      <w:r w:rsidRPr="00A3398F">
        <w:rPr>
          <w:rFonts w:eastAsiaTheme="minorEastAsia"/>
          <w:b/>
          <w:color w:val="000000" w:themeColor="text1"/>
          <w:kern w:val="0"/>
          <w:sz w:val="24"/>
        </w:rPr>
        <w:t>主要财务指标</w:t>
      </w:r>
    </w:p>
    <w:p w14:paraId="37790DC5" w14:textId="77777777" w:rsidR="0076518F" w:rsidRPr="00A3398F" w:rsidRDefault="0076518F" w:rsidP="008B6A4A">
      <w:pPr>
        <w:autoSpaceDE w:val="0"/>
        <w:autoSpaceDN w:val="0"/>
        <w:adjustRightInd w:val="0"/>
        <w:spacing w:before="29" w:line="360" w:lineRule="auto"/>
        <w:ind w:left="15"/>
        <w:jc w:val="right"/>
        <w:rPr>
          <w:rFonts w:eastAsiaTheme="minorEastAsia"/>
          <w:color w:val="000000" w:themeColor="text1"/>
          <w:kern w:val="0"/>
          <w:szCs w:val="21"/>
        </w:rPr>
      </w:pPr>
      <w:r w:rsidRPr="00A3398F">
        <w:rPr>
          <w:rFonts w:eastAsiaTheme="minorEastAsia"/>
          <w:color w:val="000000" w:themeColor="text1"/>
          <w:kern w:val="0"/>
          <w:szCs w:val="21"/>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225051" w:rsidRPr="00A3398F" w14:paraId="2B3A2F20" w14:textId="77777777" w:rsidTr="00845292">
        <w:tc>
          <w:tcPr>
            <w:tcW w:w="3402" w:type="dxa"/>
            <w:vMerge w:val="restart"/>
            <w:vAlign w:val="center"/>
          </w:tcPr>
          <w:p w14:paraId="3A121017" w14:textId="77777777" w:rsidR="00225051" w:rsidRPr="00A3398F" w:rsidRDefault="00225051" w:rsidP="00845292">
            <w:pPr>
              <w:adjustRightInd w:val="0"/>
              <w:spacing w:before="29" w:line="360" w:lineRule="auto"/>
              <w:ind w:left="17"/>
              <w:rPr>
                <w:rFonts w:eastAsiaTheme="minorEastAsia"/>
                <w:color w:val="000000" w:themeColor="text1"/>
                <w:kern w:val="0"/>
                <w:szCs w:val="21"/>
              </w:rPr>
            </w:pPr>
            <w:r w:rsidRPr="00A3398F">
              <w:rPr>
                <w:rFonts w:eastAsiaTheme="minorEastAsia"/>
                <w:color w:val="000000" w:themeColor="text1"/>
                <w:kern w:val="0"/>
                <w:szCs w:val="21"/>
              </w:rPr>
              <w:t>主要财务指标</w:t>
            </w:r>
          </w:p>
        </w:tc>
        <w:tc>
          <w:tcPr>
            <w:tcW w:w="4962" w:type="dxa"/>
            <w:gridSpan w:val="2"/>
            <w:vAlign w:val="center"/>
          </w:tcPr>
          <w:p w14:paraId="62000DCE" w14:textId="77777777" w:rsidR="00225051" w:rsidRPr="00A3398F" w:rsidRDefault="00225051" w:rsidP="00845292">
            <w:pPr>
              <w:adjustRightInd w:val="0"/>
              <w:spacing w:before="29" w:line="360" w:lineRule="auto"/>
              <w:ind w:left="17"/>
              <w:jc w:val="center"/>
              <w:rPr>
                <w:rFonts w:eastAsiaTheme="minorEastAsia"/>
                <w:color w:val="000000" w:themeColor="text1"/>
                <w:szCs w:val="21"/>
              </w:rPr>
            </w:pPr>
            <w:r w:rsidRPr="00A3398F">
              <w:rPr>
                <w:rFonts w:eastAsiaTheme="minorEastAsia"/>
                <w:color w:val="000000" w:themeColor="text1"/>
                <w:szCs w:val="21"/>
              </w:rPr>
              <w:t>报告期</w:t>
            </w:r>
          </w:p>
          <w:p w14:paraId="371E94AB" w14:textId="77777777" w:rsidR="00225051" w:rsidRPr="00A3398F" w:rsidRDefault="00225051" w:rsidP="00845292">
            <w:pPr>
              <w:adjustRightInd w:val="0"/>
              <w:spacing w:before="29" w:line="360" w:lineRule="auto"/>
              <w:ind w:left="17"/>
              <w:jc w:val="center"/>
              <w:rPr>
                <w:rFonts w:eastAsiaTheme="minorEastAsia"/>
                <w:color w:val="000000" w:themeColor="text1"/>
                <w:szCs w:val="21"/>
              </w:rPr>
            </w:pPr>
            <w:r w:rsidRPr="00A3398F">
              <w:rPr>
                <w:rFonts w:eastAsiaTheme="minorEastAsia"/>
                <w:color w:val="000000" w:themeColor="text1"/>
                <w:szCs w:val="21"/>
              </w:rPr>
              <w:t>(2024</w:t>
            </w:r>
            <w:r w:rsidRPr="00A3398F">
              <w:rPr>
                <w:rFonts w:eastAsiaTheme="minorEastAsia"/>
                <w:color w:val="000000" w:themeColor="text1"/>
                <w:szCs w:val="21"/>
              </w:rPr>
              <w:t>年</w:t>
            </w:r>
            <w:r w:rsidRPr="00A3398F">
              <w:rPr>
                <w:rFonts w:eastAsiaTheme="minorEastAsia"/>
                <w:color w:val="000000" w:themeColor="text1"/>
                <w:szCs w:val="21"/>
              </w:rPr>
              <w:t>4</w:t>
            </w:r>
            <w:r w:rsidRPr="00A3398F">
              <w:rPr>
                <w:rFonts w:eastAsiaTheme="minorEastAsia"/>
                <w:color w:val="000000" w:themeColor="text1"/>
                <w:szCs w:val="21"/>
              </w:rPr>
              <w:t>月</w:t>
            </w:r>
            <w:r w:rsidRPr="00A3398F">
              <w:rPr>
                <w:rFonts w:eastAsiaTheme="minorEastAsia"/>
                <w:color w:val="000000" w:themeColor="text1"/>
                <w:szCs w:val="21"/>
              </w:rPr>
              <w:t>1</w:t>
            </w:r>
            <w:r w:rsidRPr="00A3398F">
              <w:rPr>
                <w:rFonts w:eastAsiaTheme="minorEastAsia"/>
                <w:color w:val="000000" w:themeColor="text1"/>
                <w:szCs w:val="21"/>
              </w:rPr>
              <w:t>日</w:t>
            </w:r>
            <w:r w:rsidRPr="00A3398F">
              <w:rPr>
                <w:rFonts w:eastAsiaTheme="minorEastAsia"/>
                <w:color w:val="000000" w:themeColor="text1"/>
                <w:szCs w:val="21"/>
              </w:rPr>
              <w:t>-2024</w:t>
            </w:r>
            <w:r w:rsidRPr="00A3398F">
              <w:rPr>
                <w:rFonts w:eastAsiaTheme="minorEastAsia"/>
                <w:color w:val="000000" w:themeColor="text1"/>
                <w:szCs w:val="21"/>
              </w:rPr>
              <w:t>年</w:t>
            </w:r>
            <w:r w:rsidRPr="00A3398F">
              <w:rPr>
                <w:rFonts w:eastAsiaTheme="minorEastAsia"/>
                <w:color w:val="000000" w:themeColor="text1"/>
                <w:szCs w:val="21"/>
              </w:rPr>
              <w:t>6</w:t>
            </w:r>
            <w:r w:rsidRPr="00A3398F">
              <w:rPr>
                <w:rFonts w:eastAsiaTheme="minorEastAsia"/>
                <w:color w:val="000000" w:themeColor="text1"/>
                <w:szCs w:val="21"/>
              </w:rPr>
              <w:t>月</w:t>
            </w:r>
            <w:r w:rsidRPr="00A3398F">
              <w:rPr>
                <w:rFonts w:eastAsiaTheme="minorEastAsia"/>
                <w:color w:val="000000" w:themeColor="text1"/>
                <w:szCs w:val="21"/>
              </w:rPr>
              <w:t>30</w:t>
            </w:r>
            <w:r w:rsidRPr="00A3398F">
              <w:rPr>
                <w:rFonts w:eastAsiaTheme="minorEastAsia"/>
                <w:color w:val="000000" w:themeColor="text1"/>
                <w:szCs w:val="21"/>
              </w:rPr>
              <w:t>日</w:t>
            </w:r>
            <w:r w:rsidRPr="00A3398F">
              <w:rPr>
                <w:rFonts w:eastAsiaTheme="minorEastAsia"/>
                <w:color w:val="000000" w:themeColor="text1"/>
                <w:szCs w:val="21"/>
              </w:rPr>
              <w:t>)</w:t>
            </w:r>
          </w:p>
        </w:tc>
      </w:tr>
      <w:tr w:rsidR="00225051" w:rsidRPr="00A3398F" w14:paraId="032B2B59" w14:textId="77777777" w:rsidTr="00845292">
        <w:tc>
          <w:tcPr>
            <w:tcW w:w="3402" w:type="dxa"/>
            <w:vMerge/>
            <w:vAlign w:val="center"/>
          </w:tcPr>
          <w:p w14:paraId="722EB1A5" w14:textId="77777777" w:rsidR="00225051" w:rsidRPr="00A3398F" w:rsidRDefault="00225051" w:rsidP="00845292">
            <w:pPr>
              <w:adjustRightInd w:val="0"/>
              <w:spacing w:before="29" w:line="360" w:lineRule="auto"/>
              <w:ind w:left="17"/>
              <w:rPr>
                <w:rFonts w:eastAsiaTheme="minorEastAsia"/>
                <w:color w:val="000000" w:themeColor="text1"/>
                <w:kern w:val="0"/>
                <w:szCs w:val="21"/>
              </w:rPr>
            </w:pPr>
          </w:p>
        </w:tc>
        <w:tc>
          <w:tcPr>
            <w:tcW w:w="2481" w:type="dxa"/>
            <w:vAlign w:val="center"/>
          </w:tcPr>
          <w:p w14:paraId="0461EAAD" w14:textId="77777777" w:rsidR="00225051" w:rsidRPr="00A3398F" w:rsidRDefault="00225051" w:rsidP="00845292">
            <w:pPr>
              <w:adjustRightInd w:val="0"/>
              <w:spacing w:before="29" w:line="360" w:lineRule="auto"/>
              <w:ind w:left="17"/>
              <w:jc w:val="center"/>
              <w:rPr>
                <w:rFonts w:eastAsiaTheme="minorEastAsia"/>
                <w:color w:val="000000" w:themeColor="text1"/>
                <w:szCs w:val="21"/>
              </w:rPr>
            </w:pPr>
            <w:r w:rsidRPr="00A3398F">
              <w:rPr>
                <w:rFonts w:eastAsiaTheme="minorEastAsia"/>
                <w:color w:val="000000" w:themeColor="text1"/>
                <w:szCs w:val="21"/>
              </w:rPr>
              <w:t>摩根海外稳健配置混合</w:t>
            </w:r>
            <w:r w:rsidRPr="00A3398F">
              <w:rPr>
                <w:rFonts w:eastAsiaTheme="minorEastAsia"/>
                <w:color w:val="000000" w:themeColor="text1"/>
                <w:szCs w:val="21"/>
              </w:rPr>
              <w:t>(QDII-FOF)</w:t>
            </w:r>
            <w:r w:rsidRPr="00A3398F">
              <w:rPr>
                <w:rFonts w:eastAsiaTheme="minorEastAsia"/>
                <w:color w:val="000000" w:themeColor="text1"/>
                <w:szCs w:val="21"/>
              </w:rPr>
              <w:t>人民币</w:t>
            </w:r>
            <w:r w:rsidRPr="00A3398F">
              <w:rPr>
                <w:rFonts w:eastAsiaTheme="minorEastAsia"/>
                <w:color w:val="000000" w:themeColor="text1"/>
                <w:szCs w:val="21"/>
              </w:rPr>
              <w:t>A</w:t>
            </w:r>
          </w:p>
        </w:tc>
        <w:tc>
          <w:tcPr>
            <w:tcW w:w="2481" w:type="dxa"/>
            <w:vAlign w:val="center"/>
          </w:tcPr>
          <w:p w14:paraId="3B749955" w14:textId="77777777" w:rsidR="00225051" w:rsidRPr="00A3398F" w:rsidRDefault="00225051" w:rsidP="00845292">
            <w:pPr>
              <w:adjustRightInd w:val="0"/>
              <w:spacing w:before="29" w:line="360" w:lineRule="auto"/>
              <w:ind w:left="17"/>
              <w:jc w:val="center"/>
              <w:rPr>
                <w:rFonts w:eastAsiaTheme="minorEastAsia"/>
                <w:color w:val="000000" w:themeColor="text1"/>
                <w:szCs w:val="21"/>
              </w:rPr>
            </w:pPr>
            <w:r w:rsidRPr="00A3398F">
              <w:rPr>
                <w:rFonts w:eastAsiaTheme="minorEastAsia"/>
                <w:color w:val="000000" w:themeColor="text1"/>
                <w:szCs w:val="21"/>
              </w:rPr>
              <w:t>摩根海外稳健配置混合</w:t>
            </w:r>
            <w:r w:rsidRPr="00A3398F">
              <w:rPr>
                <w:rFonts w:eastAsiaTheme="minorEastAsia"/>
                <w:color w:val="000000" w:themeColor="text1"/>
                <w:szCs w:val="21"/>
              </w:rPr>
              <w:t>(QDII-FOF)</w:t>
            </w:r>
            <w:r w:rsidRPr="00A3398F">
              <w:rPr>
                <w:rFonts w:eastAsiaTheme="minorEastAsia"/>
                <w:color w:val="000000" w:themeColor="text1"/>
                <w:szCs w:val="21"/>
              </w:rPr>
              <w:t>人民币</w:t>
            </w:r>
            <w:r w:rsidRPr="00A3398F">
              <w:rPr>
                <w:rFonts w:eastAsiaTheme="minorEastAsia"/>
                <w:color w:val="000000" w:themeColor="text1"/>
                <w:szCs w:val="21"/>
              </w:rPr>
              <w:t>C</w:t>
            </w:r>
          </w:p>
        </w:tc>
      </w:tr>
      <w:tr w:rsidR="00225051" w:rsidRPr="00A3398F" w14:paraId="0A784B5F" w14:textId="77777777" w:rsidTr="00845292">
        <w:tc>
          <w:tcPr>
            <w:tcW w:w="3402" w:type="dxa"/>
            <w:vAlign w:val="center"/>
          </w:tcPr>
          <w:p w14:paraId="2A2AA42A" w14:textId="77777777" w:rsidR="00225051" w:rsidRPr="00A3398F" w:rsidRDefault="00225051" w:rsidP="00845292">
            <w:pPr>
              <w:adjustRightInd w:val="0"/>
              <w:spacing w:before="29" w:line="360" w:lineRule="auto"/>
              <w:ind w:left="17"/>
              <w:rPr>
                <w:rFonts w:eastAsiaTheme="minorEastAsia"/>
                <w:color w:val="000000" w:themeColor="text1"/>
                <w:kern w:val="0"/>
                <w:szCs w:val="21"/>
              </w:rPr>
            </w:pPr>
            <w:r w:rsidRPr="00A3398F">
              <w:rPr>
                <w:rFonts w:eastAsiaTheme="minorEastAsia"/>
                <w:color w:val="000000" w:themeColor="text1"/>
                <w:kern w:val="0"/>
                <w:szCs w:val="21"/>
              </w:rPr>
              <w:t>1.</w:t>
            </w:r>
            <w:r w:rsidRPr="00A3398F">
              <w:rPr>
                <w:rFonts w:eastAsiaTheme="minorEastAsia"/>
                <w:color w:val="000000" w:themeColor="text1"/>
                <w:kern w:val="0"/>
                <w:szCs w:val="21"/>
              </w:rPr>
              <w:t>本期已实现收益</w:t>
            </w:r>
          </w:p>
        </w:tc>
        <w:tc>
          <w:tcPr>
            <w:tcW w:w="2481" w:type="dxa"/>
            <w:vAlign w:val="center"/>
          </w:tcPr>
          <w:p w14:paraId="40E8A6E4" w14:textId="77777777" w:rsidR="00225051" w:rsidRPr="00A3398F" w:rsidRDefault="00225051" w:rsidP="00845292">
            <w:pPr>
              <w:adjustRightInd w:val="0"/>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-7,361,572.71</w:t>
            </w:r>
          </w:p>
        </w:tc>
        <w:tc>
          <w:tcPr>
            <w:tcW w:w="2481" w:type="dxa"/>
            <w:vAlign w:val="center"/>
          </w:tcPr>
          <w:p w14:paraId="38575C2F" w14:textId="77777777" w:rsidR="00225051" w:rsidRPr="00A3398F" w:rsidRDefault="00225051" w:rsidP="00845292">
            <w:pPr>
              <w:adjustRightInd w:val="0"/>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-630,935.68</w:t>
            </w:r>
          </w:p>
        </w:tc>
      </w:tr>
      <w:tr w:rsidR="00225051" w:rsidRPr="00A3398F" w14:paraId="2CDE4295" w14:textId="77777777" w:rsidTr="00845292">
        <w:tc>
          <w:tcPr>
            <w:tcW w:w="3402" w:type="dxa"/>
            <w:vAlign w:val="center"/>
          </w:tcPr>
          <w:p w14:paraId="43F03C40" w14:textId="77777777" w:rsidR="00225051" w:rsidRPr="00A3398F" w:rsidRDefault="00225051" w:rsidP="00845292">
            <w:pPr>
              <w:adjustRightInd w:val="0"/>
              <w:spacing w:before="29" w:line="360" w:lineRule="auto"/>
              <w:ind w:left="17"/>
              <w:rPr>
                <w:rFonts w:eastAsiaTheme="minorEastAsia"/>
                <w:color w:val="000000" w:themeColor="text1"/>
                <w:kern w:val="0"/>
                <w:szCs w:val="21"/>
              </w:rPr>
            </w:pPr>
            <w:r w:rsidRPr="00A3398F">
              <w:rPr>
                <w:rFonts w:eastAsiaTheme="minorEastAsia"/>
                <w:color w:val="000000" w:themeColor="text1"/>
                <w:kern w:val="0"/>
                <w:szCs w:val="21"/>
              </w:rPr>
              <w:t>2.</w:t>
            </w:r>
            <w:r w:rsidRPr="00A3398F">
              <w:rPr>
                <w:rFonts w:eastAsiaTheme="minorEastAsia"/>
                <w:color w:val="000000" w:themeColor="text1"/>
                <w:kern w:val="0"/>
                <w:szCs w:val="21"/>
              </w:rPr>
              <w:t>本期利润</w:t>
            </w:r>
          </w:p>
        </w:tc>
        <w:tc>
          <w:tcPr>
            <w:tcW w:w="2481" w:type="dxa"/>
            <w:vAlign w:val="center"/>
          </w:tcPr>
          <w:p w14:paraId="72443AB0" w14:textId="77777777" w:rsidR="00225051" w:rsidRPr="00A3398F" w:rsidRDefault="00225051" w:rsidP="00845292">
            <w:pPr>
              <w:adjustRightInd w:val="0"/>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11,122,900.42</w:t>
            </w:r>
          </w:p>
        </w:tc>
        <w:tc>
          <w:tcPr>
            <w:tcW w:w="2481" w:type="dxa"/>
            <w:vAlign w:val="center"/>
          </w:tcPr>
          <w:p w14:paraId="3E8C712B" w14:textId="77777777" w:rsidR="00225051" w:rsidRPr="00A3398F" w:rsidRDefault="00225051" w:rsidP="00845292">
            <w:pPr>
              <w:adjustRightInd w:val="0"/>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820,849.96</w:t>
            </w:r>
          </w:p>
        </w:tc>
      </w:tr>
      <w:tr w:rsidR="00225051" w:rsidRPr="00A3398F" w14:paraId="01BC594B" w14:textId="77777777" w:rsidTr="00845292">
        <w:tc>
          <w:tcPr>
            <w:tcW w:w="3402" w:type="dxa"/>
            <w:vAlign w:val="center"/>
          </w:tcPr>
          <w:p w14:paraId="65AD1E4D" w14:textId="77777777" w:rsidR="00225051" w:rsidRPr="00A3398F" w:rsidRDefault="00225051" w:rsidP="00845292">
            <w:pPr>
              <w:adjustRightInd w:val="0"/>
              <w:spacing w:before="29" w:line="360" w:lineRule="auto"/>
              <w:ind w:left="17"/>
              <w:rPr>
                <w:rFonts w:eastAsiaTheme="minorEastAsia"/>
                <w:color w:val="000000" w:themeColor="text1"/>
                <w:kern w:val="0"/>
                <w:szCs w:val="21"/>
              </w:rPr>
            </w:pPr>
            <w:r w:rsidRPr="00A3398F">
              <w:rPr>
                <w:rFonts w:eastAsiaTheme="minorEastAsia"/>
                <w:color w:val="000000" w:themeColor="text1"/>
                <w:kern w:val="0"/>
                <w:szCs w:val="21"/>
              </w:rPr>
              <w:t>3.</w:t>
            </w:r>
            <w:r w:rsidRPr="00A3398F">
              <w:rPr>
                <w:rFonts w:eastAsiaTheme="minorEastAsia"/>
                <w:color w:val="000000" w:themeColor="text1"/>
                <w:kern w:val="0"/>
                <w:szCs w:val="21"/>
              </w:rPr>
              <w:t>加权平均基金份额本期利润</w:t>
            </w:r>
          </w:p>
        </w:tc>
        <w:tc>
          <w:tcPr>
            <w:tcW w:w="2481" w:type="dxa"/>
            <w:vAlign w:val="center"/>
          </w:tcPr>
          <w:p w14:paraId="3D705773" w14:textId="77777777" w:rsidR="00225051" w:rsidRPr="00A3398F" w:rsidRDefault="00225051" w:rsidP="00845292">
            <w:pPr>
              <w:adjustRightInd w:val="0"/>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0.0087</w:t>
            </w:r>
          </w:p>
        </w:tc>
        <w:tc>
          <w:tcPr>
            <w:tcW w:w="2481" w:type="dxa"/>
            <w:vAlign w:val="center"/>
          </w:tcPr>
          <w:p w14:paraId="19D7AAB3" w14:textId="77777777" w:rsidR="00225051" w:rsidRPr="00A3398F" w:rsidRDefault="00225051" w:rsidP="00845292">
            <w:pPr>
              <w:adjustRightInd w:val="0"/>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0.0085</w:t>
            </w:r>
          </w:p>
        </w:tc>
      </w:tr>
      <w:tr w:rsidR="00225051" w:rsidRPr="00A3398F" w14:paraId="050651F8" w14:textId="77777777" w:rsidTr="00845292">
        <w:tc>
          <w:tcPr>
            <w:tcW w:w="3402" w:type="dxa"/>
            <w:vAlign w:val="center"/>
          </w:tcPr>
          <w:p w14:paraId="31BA3191" w14:textId="77777777" w:rsidR="00225051" w:rsidRPr="00A3398F" w:rsidRDefault="00225051" w:rsidP="00845292">
            <w:pPr>
              <w:adjustRightInd w:val="0"/>
              <w:spacing w:before="29" w:line="360" w:lineRule="auto"/>
              <w:ind w:left="17"/>
              <w:rPr>
                <w:rFonts w:eastAsiaTheme="minorEastAsia"/>
                <w:color w:val="000000" w:themeColor="text1"/>
                <w:kern w:val="0"/>
                <w:szCs w:val="21"/>
              </w:rPr>
            </w:pPr>
            <w:r w:rsidRPr="00A3398F">
              <w:rPr>
                <w:rFonts w:eastAsiaTheme="minorEastAsia"/>
                <w:color w:val="000000" w:themeColor="text1"/>
                <w:kern w:val="0"/>
                <w:szCs w:val="21"/>
              </w:rPr>
              <w:t>4.</w:t>
            </w:r>
            <w:r w:rsidRPr="00A3398F">
              <w:rPr>
                <w:rFonts w:eastAsiaTheme="minorEastAsia"/>
                <w:color w:val="000000" w:themeColor="text1"/>
                <w:kern w:val="0"/>
                <w:szCs w:val="21"/>
              </w:rPr>
              <w:t>期末基金资产净值</w:t>
            </w:r>
          </w:p>
        </w:tc>
        <w:tc>
          <w:tcPr>
            <w:tcW w:w="2481" w:type="dxa"/>
            <w:vAlign w:val="center"/>
          </w:tcPr>
          <w:p w14:paraId="4F0C5EAB" w14:textId="77777777" w:rsidR="00225051" w:rsidRPr="00A3398F" w:rsidRDefault="00225051" w:rsidP="00845292">
            <w:pPr>
              <w:adjustRightInd w:val="0"/>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1,378,763,467.59</w:t>
            </w:r>
          </w:p>
        </w:tc>
        <w:tc>
          <w:tcPr>
            <w:tcW w:w="2481" w:type="dxa"/>
            <w:vAlign w:val="center"/>
          </w:tcPr>
          <w:p w14:paraId="2898B28B" w14:textId="77777777" w:rsidR="00225051" w:rsidRPr="00A3398F" w:rsidRDefault="00225051" w:rsidP="00845292">
            <w:pPr>
              <w:adjustRightInd w:val="0"/>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152,358,280.82</w:t>
            </w:r>
          </w:p>
        </w:tc>
      </w:tr>
      <w:tr w:rsidR="00225051" w:rsidRPr="00A3398F" w14:paraId="5A65849E" w14:textId="77777777" w:rsidTr="00845292">
        <w:trPr>
          <w:trHeight w:val="158"/>
        </w:trPr>
        <w:tc>
          <w:tcPr>
            <w:tcW w:w="3402" w:type="dxa"/>
            <w:vAlign w:val="center"/>
          </w:tcPr>
          <w:p w14:paraId="5E8357E8" w14:textId="77777777" w:rsidR="00225051" w:rsidRPr="00A3398F" w:rsidRDefault="00225051" w:rsidP="00845292">
            <w:pPr>
              <w:adjustRightInd w:val="0"/>
              <w:spacing w:before="29" w:line="360" w:lineRule="auto"/>
              <w:ind w:left="17"/>
              <w:rPr>
                <w:rFonts w:eastAsiaTheme="minorEastAsia"/>
                <w:color w:val="000000" w:themeColor="text1"/>
                <w:kern w:val="0"/>
                <w:szCs w:val="21"/>
              </w:rPr>
            </w:pPr>
            <w:r w:rsidRPr="00A3398F">
              <w:rPr>
                <w:rFonts w:eastAsiaTheme="minorEastAsia"/>
                <w:color w:val="000000" w:themeColor="text1"/>
                <w:kern w:val="0"/>
                <w:szCs w:val="21"/>
              </w:rPr>
              <w:lastRenderedPageBreak/>
              <w:t>5.</w:t>
            </w:r>
            <w:r w:rsidRPr="00A3398F">
              <w:rPr>
                <w:rFonts w:eastAsiaTheme="minorEastAsia"/>
                <w:color w:val="000000" w:themeColor="text1"/>
                <w:kern w:val="0"/>
                <w:szCs w:val="21"/>
              </w:rPr>
              <w:t>期末基金份额净值</w:t>
            </w:r>
          </w:p>
        </w:tc>
        <w:tc>
          <w:tcPr>
            <w:tcW w:w="2481" w:type="dxa"/>
            <w:vAlign w:val="center"/>
          </w:tcPr>
          <w:p w14:paraId="6FD03DB0" w14:textId="77777777" w:rsidR="00225051" w:rsidRPr="00A3398F" w:rsidRDefault="00225051" w:rsidP="00845292">
            <w:pPr>
              <w:adjustRightInd w:val="0"/>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1.0432</w:t>
            </w:r>
          </w:p>
        </w:tc>
        <w:tc>
          <w:tcPr>
            <w:tcW w:w="2481" w:type="dxa"/>
            <w:vAlign w:val="center"/>
          </w:tcPr>
          <w:p w14:paraId="22DB840C" w14:textId="77777777" w:rsidR="00225051" w:rsidRPr="00A3398F" w:rsidRDefault="00225051" w:rsidP="00845292">
            <w:pPr>
              <w:adjustRightInd w:val="0"/>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1.0413</w:t>
            </w:r>
          </w:p>
        </w:tc>
      </w:tr>
    </w:tbl>
    <w:p w14:paraId="039D8D73" w14:textId="6A5DD76A" w:rsidR="00351E81" w:rsidRDefault="007F3594">
      <w:pPr>
        <w:autoSpaceDE w:val="0"/>
        <w:autoSpaceDN w:val="0"/>
        <w:adjustRightInd w:val="0"/>
        <w:spacing w:line="360" w:lineRule="auto"/>
        <w:jc w:val="left"/>
        <w:rPr>
          <w:rFonts w:eastAsiaTheme="minorEastAsia"/>
          <w:color w:val="000000" w:themeColor="text1"/>
          <w:szCs w:val="21"/>
        </w:rPr>
      </w:pPr>
      <w:r>
        <w:rPr>
          <w:rFonts w:eastAsiaTheme="minorEastAsia"/>
          <w:color w:val="000000" w:themeColor="text1"/>
          <w:szCs w:val="21"/>
        </w:rPr>
        <w:t>本期已实现收益指基金本期利息收入、投资收益、其他收入（不含公允价值变动收益）扣除相关费用后的余额，本期利润为本期已实现收益加上本期公允价值变动收益。</w:t>
      </w:r>
    </w:p>
    <w:p w14:paraId="4E482568" w14:textId="77777777" w:rsidR="00351E81" w:rsidRDefault="007F3594">
      <w:pPr>
        <w:autoSpaceDE w:val="0"/>
        <w:autoSpaceDN w:val="0"/>
        <w:adjustRightInd w:val="0"/>
        <w:spacing w:line="360" w:lineRule="auto"/>
        <w:jc w:val="left"/>
        <w:rPr>
          <w:rFonts w:eastAsiaTheme="minorEastAsia"/>
          <w:color w:val="000000" w:themeColor="text1"/>
          <w:szCs w:val="21"/>
        </w:rPr>
      </w:pPr>
      <w:r>
        <w:rPr>
          <w:rFonts w:eastAsiaTheme="minorEastAsia"/>
          <w:color w:val="000000" w:themeColor="text1"/>
          <w:szCs w:val="21"/>
        </w:rPr>
        <w:t>上述基金业绩指标不包括持有人认购或交易基金的各项费用（例如，开放式基金的申购赎回费、红利再投资费、基金转换费等），计入费用后实际收益水平要低于所列数字。</w:t>
      </w:r>
    </w:p>
    <w:p w14:paraId="40CFDC33" w14:textId="48B1808F" w:rsidR="007D1292" w:rsidRPr="00A3398F" w:rsidRDefault="007D1292" w:rsidP="002236BC">
      <w:pPr>
        <w:autoSpaceDE w:val="0"/>
        <w:autoSpaceDN w:val="0"/>
        <w:adjustRightInd w:val="0"/>
        <w:spacing w:line="360" w:lineRule="auto"/>
        <w:jc w:val="left"/>
        <w:rPr>
          <w:rFonts w:eastAsiaTheme="minorEastAsia"/>
          <w:color w:val="000000" w:themeColor="text1"/>
          <w:szCs w:val="21"/>
        </w:rPr>
      </w:pPr>
    </w:p>
    <w:p w14:paraId="013F6D11" w14:textId="77777777" w:rsidR="0076518F" w:rsidRPr="00A3398F" w:rsidRDefault="0076518F" w:rsidP="008B6A4A">
      <w:pPr>
        <w:autoSpaceDE w:val="0"/>
        <w:autoSpaceDN w:val="0"/>
        <w:adjustRightInd w:val="0"/>
        <w:spacing w:line="360" w:lineRule="auto"/>
        <w:jc w:val="left"/>
        <w:rPr>
          <w:rFonts w:eastAsiaTheme="minorEastAsia"/>
          <w:color w:val="000000" w:themeColor="text1"/>
          <w:kern w:val="0"/>
          <w:sz w:val="24"/>
        </w:rPr>
      </w:pPr>
    </w:p>
    <w:p w14:paraId="7947E529" w14:textId="77777777" w:rsidR="0076518F" w:rsidRPr="00A3398F" w:rsidRDefault="0076518F" w:rsidP="00EC4BA3">
      <w:pPr>
        <w:autoSpaceDE w:val="0"/>
        <w:autoSpaceDN w:val="0"/>
        <w:adjustRightInd w:val="0"/>
        <w:spacing w:line="360" w:lineRule="auto"/>
        <w:jc w:val="left"/>
        <w:rPr>
          <w:rFonts w:eastAsiaTheme="minorEastAsia"/>
          <w:b/>
          <w:color w:val="000000" w:themeColor="text1"/>
          <w:kern w:val="0"/>
          <w:sz w:val="24"/>
        </w:rPr>
      </w:pPr>
      <w:r w:rsidRPr="00A3398F">
        <w:rPr>
          <w:rFonts w:eastAsiaTheme="minorEastAsia"/>
          <w:b/>
          <w:color w:val="000000" w:themeColor="text1"/>
          <w:kern w:val="0"/>
          <w:sz w:val="24"/>
        </w:rPr>
        <w:t xml:space="preserve">3.2 </w:t>
      </w:r>
      <w:r w:rsidRPr="00A3398F">
        <w:rPr>
          <w:rFonts w:eastAsiaTheme="minorEastAsia"/>
          <w:b/>
          <w:color w:val="000000" w:themeColor="text1"/>
          <w:kern w:val="0"/>
          <w:sz w:val="24"/>
        </w:rPr>
        <w:t>基金净值表现</w:t>
      </w:r>
    </w:p>
    <w:p w14:paraId="562F5ABE" w14:textId="77777777" w:rsidR="0076518F" w:rsidRPr="00A3398F" w:rsidRDefault="0076518F" w:rsidP="00EC4BA3">
      <w:pPr>
        <w:autoSpaceDE w:val="0"/>
        <w:autoSpaceDN w:val="0"/>
        <w:adjustRightInd w:val="0"/>
        <w:spacing w:line="360" w:lineRule="auto"/>
        <w:jc w:val="left"/>
        <w:rPr>
          <w:rFonts w:eastAsiaTheme="minorEastAsia"/>
          <w:b/>
          <w:color w:val="000000" w:themeColor="text1"/>
          <w:kern w:val="0"/>
          <w:sz w:val="24"/>
        </w:rPr>
      </w:pPr>
      <w:smartTag w:uri="urn:schemas-microsoft-com:office:smarttags" w:element="chsdate">
        <w:smartTagPr>
          <w:attr w:name="Year" w:val="1899"/>
          <w:attr w:name="Month" w:val="12"/>
          <w:attr w:name="Day" w:val="30"/>
          <w:attr w:name="IsLunarDate" w:val="False"/>
          <w:attr w:name="IsROCDate" w:val="False"/>
        </w:smartTagPr>
        <w:r w:rsidRPr="00A3398F">
          <w:rPr>
            <w:rFonts w:eastAsiaTheme="minorEastAsia"/>
            <w:b/>
            <w:color w:val="000000" w:themeColor="text1"/>
            <w:kern w:val="0"/>
            <w:sz w:val="24"/>
          </w:rPr>
          <w:t>3.2.1</w:t>
        </w:r>
      </w:smartTag>
      <w:r w:rsidRPr="00A3398F">
        <w:rPr>
          <w:rFonts w:eastAsiaTheme="minorEastAsia"/>
          <w:b/>
          <w:color w:val="000000" w:themeColor="text1"/>
          <w:kern w:val="0"/>
          <w:sz w:val="24"/>
        </w:rPr>
        <w:t>本报告期基金份额净值增长率及其与同期业绩比较基准收益率的比较</w:t>
      </w:r>
    </w:p>
    <w:p w14:paraId="71B91259" w14:textId="77777777" w:rsidR="0065601A" w:rsidRPr="00A3398F" w:rsidRDefault="0065601A" w:rsidP="0065601A">
      <w:pPr>
        <w:spacing w:line="360" w:lineRule="auto"/>
        <w:rPr>
          <w:rFonts w:eastAsiaTheme="minorEastAsia"/>
          <w:b/>
          <w:color w:val="000000" w:themeColor="text1"/>
          <w:szCs w:val="21"/>
        </w:rPr>
      </w:pPr>
      <w:r w:rsidRPr="00A3398F">
        <w:rPr>
          <w:rFonts w:eastAsiaTheme="minorEastAsia"/>
          <w:b/>
          <w:color w:val="000000" w:themeColor="text1"/>
          <w:szCs w:val="21"/>
        </w:rPr>
        <w:t>1</w:t>
      </w:r>
      <w:r w:rsidRPr="00A3398F">
        <w:rPr>
          <w:rFonts w:eastAsiaTheme="minorEastAsia"/>
          <w:b/>
          <w:color w:val="000000" w:themeColor="text1"/>
          <w:szCs w:val="21"/>
        </w:rPr>
        <w:t>、</w:t>
      </w:r>
      <w:r w:rsidRPr="00A3398F">
        <w:rPr>
          <w:rFonts w:eastAsiaTheme="minorEastAsia"/>
          <w:b/>
          <w:color w:val="000000" w:themeColor="text1"/>
          <w:kern w:val="0"/>
          <w:szCs w:val="21"/>
        </w:rPr>
        <w:t>摩根海外稳健配置混合</w:t>
      </w:r>
      <w:r w:rsidRPr="00A3398F">
        <w:rPr>
          <w:rFonts w:eastAsiaTheme="minorEastAsia"/>
          <w:b/>
          <w:color w:val="000000" w:themeColor="text1"/>
          <w:kern w:val="0"/>
          <w:szCs w:val="21"/>
        </w:rPr>
        <w:t>(QDII-FOF)</w:t>
      </w:r>
      <w:r w:rsidRPr="00A3398F">
        <w:rPr>
          <w:rFonts w:eastAsiaTheme="minorEastAsia"/>
          <w:b/>
          <w:color w:val="000000" w:themeColor="text1"/>
          <w:kern w:val="0"/>
          <w:szCs w:val="21"/>
        </w:rPr>
        <w:t>人民币</w:t>
      </w:r>
      <w:r w:rsidRPr="00A3398F">
        <w:rPr>
          <w:rFonts w:eastAsiaTheme="minorEastAsia"/>
          <w:b/>
          <w:color w:val="000000" w:themeColor="text1"/>
          <w:kern w:val="0"/>
          <w:szCs w:val="21"/>
        </w:rPr>
        <w:t>A</w:t>
      </w:r>
      <w:r w:rsidRPr="00A3398F">
        <w:rPr>
          <w:rFonts w:eastAsiaTheme="minorEastAsia"/>
          <w:b/>
          <w:color w:val="000000" w:themeColor="text1"/>
          <w:szCs w:val="21"/>
        </w:rPr>
        <w:t>：</w:t>
      </w:r>
    </w:p>
    <w:tbl>
      <w:tblPr>
        <w:tblStyle w:val="afa"/>
        <w:tblW w:w="0" w:type="auto"/>
        <w:tblInd w:w="108" w:type="dxa"/>
        <w:tblLayout w:type="fixed"/>
        <w:tblLook w:val="04A0" w:firstRow="1" w:lastRow="0" w:firstColumn="1" w:lastColumn="0" w:noHBand="0" w:noVBand="1"/>
      </w:tblPr>
      <w:tblGrid>
        <w:gridCol w:w="1290"/>
        <w:gridCol w:w="1291"/>
        <w:gridCol w:w="1291"/>
        <w:gridCol w:w="1291"/>
        <w:gridCol w:w="1291"/>
        <w:gridCol w:w="1291"/>
        <w:gridCol w:w="1291"/>
      </w:tblGrid>
      <w:tr w:rsidR="0065601A" w:rsidRPr="00A3398F" w14:paraId="1AD15F55" w14:textId="77777777" w:rsidTr="00845292">
        <w:tc>
          <w:tcPr>
            <w:tcW w:w="1290" w:type="dxa"/>
            <w:vAlign w:val="center"/>
          </w:tcPr>
          <w:p w14:paraId="6401CCAD" w14:textId="77777777" w:rsidR="0065601A" w:rsidRPr="00A3398F" w:rsidRDefault="0065601A" w:rsidP="00845292">
            <w:pPr>
              <w:snapToGrid w:val="0"/>
              <w:spacing w:line="288" w:lineRule="auto"/>
              <w:jc w:val="center"/>
              <w:rPr>
                <w:rFonts w:eastAsiaTheme="minorEastAsia"/>
                <w:color w:val="000000" w:themeColor="text1"/>
                <w:szCs w:val="21"/>
              </w:rPr>
            </w:pPr>
            <w:r w:rsidRPr="00A3398F">
              <w:rPr>
                <w:rFonts w:eastAsiaTheme="minorEastAsia"/>
                <w:color w:val="000000" w:themeColor="text1"/>
                <w:szCs w:val="21"/>
              </w:rPr>
              <w:t>阶段</w:t>
            </w:r>
          </w:p>
        </w:tc>
        <w:tc>
          <w:tcPr>
            <w:tcW w:w="1291" w:type="dxa"/>
            <w:vAlign w:val="center"/>
          </w:tcPr>
          <w:p w14:paraId="3415FBDD" w14:textId="77777777" w:rsidR="0065601A" w:rsidRPr="00A3398F" w:rsidRDefault="0065601A" w:rsidP="00845292">
            <w:pPr>
              <w:snapToGrid w:val="0"/>
              <w:spacing w:line="288" w:lineRule="auto"/>
              <w:jc w:val="center"/>
              <w:rPr>
                <w:rFonts w:eastAsiaTheme="minorEastAsia"/>
                <w:color w:val="000000" w:themeColor="text1"/>
                <w:szCs w:val="21"/>
              </w:rPr>
            </w:pPr>
            <w:r w:rsidRPr="00A3398F">
              <w:rPr>
                <w:rFonts w:eastAsiaTheme="minorEastAsia"/>
                <w:color w:val="000000" w:themeColor="text1"/>
                <w:szCs w:val="21"/>
              </w:rPr>
              <w:t>净值增长率</w:t>
            </w:r>
            <w:r w:rsidRPr="00A3398F">
              <w:rPr>
                <w:rFonts w:ascii="宋体" w:hAnsi="宋体" w:cs="宋体" w:hint="eastAsia"/>
                <w:color w:val="000000" w:themeColor="text1"/>
                <w:szCs w:val="21"/>
              </w:rPr>
              <w:t>①</w:t>
            </w:r>
          </w:p>
        </w:tc>
        <w:tc>
          <w:tcPr>
            <w:tcW w:w="1291" w:type="dxa"/>
            <w:vAlign w:val="center"/>
          </w:tcPr>
          <w:p w14:paraId="4A6C2028" w14:textId="77777777" w:rsidR="0065601A" w:rsidRPr="00A3398F" w:rsidRDefault="0065601A" w:rsidP="00845292">
            <w:pPr>
              <w:snapToGrid w:val="0"/>
              <w:spacing w:line="288" w:lineRule="auto"/>
              <w:jc w:val="center"/>
              <w:rPr>
                <w:rFonts w:eastAsiaTheme="minorEastAsia"/>
                <w:color w:val="000000" w:themeColor="text1"/>
                <w:szCs w:val="21"/>
              </w:rPr>
            </w:pPr>
            <w:r w:rsidRPr="00A3398F">
              <w:rPr>
                <w:rFonts w:eastAsiaTheme="minorEastAsia"/>
                <w:color w:val="000000" w:themeColor="text1"/>
                <w:szCs w:val="21"/>
              </w:rPr>
              <w:t>净值增长率标准差</w:t>
            </w:r>
            <w:r w:rsidRPr="00A3398F">
              <w:rPr>
                <w:rFonts w:ascii="宋体" w:hAnsi="宋体" w:cs="宋体" w:hint="eastAsia"/>
                <w:color w:val="000000" w:themeColor="text1"/>
                <w:szCs w:val="21"/>
              </w:rPr>
              <w:t>②</w:t>
            </w:r>
          </w:p>
        </w:tc>
        <w:tc>
          <w:tcPr>
            <w:tcW w:w="1291" w:type="dxa"/>
            <w:vAlign w:val="center"/>
          </w:tcPr>
          <w:p w14:paraId="311A7453" w14:textId="77777777" w:rsidR="0065601A" w:rsidRPr="00A3398F" w:rsidRDefault="0065601A" w:rsidP="00845292">
            <w:pPr>
              <w:snapToGrid w:val="0"/>
              <w:spacing w:line="288" w:lineRule="auto"/>
              <w:jc w:val="center"/>
              <w:rPr>
                <w:rFonts w:eastAsiaTheme="minorEastAsia"/>
                <w:color w:val="000000" w:themeColor="text1"/>
                <w:szCs w:val="21"/>
              </w:rPr>
            </w:pPr>
            <w:r w:rsidRPr="00A3398F">
              <w:rPr>
                <w:rFonts w:eastAsiaTheme="minorEastAsia"/>
                <w:color w:val="000000" w:themeColor="text1"/>
                <w:szCs w:val="21"/>
              </w:rPr>
              <w:t>业绩比较基准收益率</w:t>
            </w:r>
            <w:r w:rsidRPr="00A3398F">
              <w:rPr>
                <w:rFonts w:ascii="宋体" w:hAnsi="宋体" w:cs="宋体" w:hint="eastAsia"/>
                <w:color w:val="000000" w:themeColor="text1"/>
                <w:szCs w:val="21"/>
              </w:rPr>
              <w:t>③</w:t>
            </w:r>
          </w:p>
        </w:tc>
        <w:tc>
          <w:tcPr>
            <w:tcW w:w="1291" w:type="dxa"/>
            <w:vAlign w:val="center"/>
          </w:tcPr>
          <w:p w14:paraId="5EED6D2A" w14:textId="77777777" w:rsidR="0065601A" w:rsidRPr="00A3398F" w:rsidRDefault="0065601A" w:rsidP="00845292">
            <w:pPr>
              <w:snapToGrid w:val="0"/>
              <w:spacing w:line="288" w:lineRule="auto"/>
              <w:jc w:val="center"/>
              <w:rPr>
                <w:rFonts w:eastAsiaTheme="minorEastAsia"/>
                <w:color w:val="000000" w:themeColor="text1"/>
                <w:szCs w:val="21"/>
              </w:rPr>
            </w:pPr>
            <w:r w:rsidRPr="00A3398F">
              <w:rPr>
                <w:rFonts w:eastAsiaTheme="minorEastAsia"/>
                <w:color w:val="000000" w:themeColor="text1"/>
                <w:szCs w:val="21"/>
              </w:rPr>
              <w:t>业绩比较基准收益率标准差</w:t>
            </w:r>
            <w:r w:rsidRPr="00A3398F">
              <w:rPr>
                <w:rFonts w:ascii="宋体" w:hAnsi="宋体" w:cs="宋体" w:hint="eastAsia"/>
                <w:color w:val="000000" w:themeColor="text1"/>
                <w:szCs w:val="21"/>
              </w:rPr>
              <w:t>④</w:t>
            </w:r>
          </w:p>
        </w:tc>
        <w:tc>
          <w:tcPr>
            <w:tcW w:w="1291" w:type="dxa"/>
            <w:vAlign w:val="center"/>
          </w:tcPr>
          <w:p w14:paraId="5581DC5E" w14:textId="77777777" w:rsidR="0065601A" w:rsidRPr="00A3398F" w:rsidRDefault="0065601A" w:rsidP="00845292">
            <w:pPr>
              <w:snapToGrid w:val="0"/>
              <w:spacing w:line="288" w:lineRule="auto"/>
              <w:jc w:val="center"/>
              <w:rPr>
                <w:rFonts w:eastAsiaTheme="minorEastAsia"/>
                <w:color w:val="000000" w:themeColor="text1"/>
                <w:szCs w:val="21"/>
              </w:rPr>
            </w:pPr>
            <w:r w:rsidRPr="00A3398F">
              <w:rPr>
                <w:rFonts w:ascii="宋体" w:hAnsi="宋体" w:cs="宋体" w:hint="eastAsia"/>
                <w:color w:val="000000" w:themeColor="text1"/>
                <w:szCs w:val="21"/>
              </w:rPr>
              <w:t>①</w:t>
            </w:r>
            <w:r w:rsidRPr="00A3398F">
              <w:rPr>
                <w:rFonts w:eastAsiaTheme="minorEastAsia"/>
                <w:color w:val="000000" w:themeColor="text1"/>
                <w:szCs w:val="21"/>
              </w:rPr>
              <w:t>－</w:t>
            </w:r>
            <w:r w:rsidRPr="00A3398F">
              <w:rPr>
                <w:rFonts w:ascii="宋体" w:hAnsi="宋体" w:cs="宋体" w:hint="eastAsia"/>
                <w:color w:val="000000" w:themeColor="text1"/>
                <w:szCs w:val="21"/>
              </w:rPr>
              <w:t>③</w:t>
            </w:r>
          </w:p>
        </w:tc>
        <w:tc>
          <w:tcPr>
            <w:tcW w:w="1291" w:type="dxa"/>
            <w:vAlign w:val="center"/>
          </w:tcPr>
          <w:p w14:paraId="71EFE281" w14:textId="77777777" w:rsidR="0065601A" w:rsidRPr="00A3398F" w:rsidRDefault="0065601A" w:rsidP="00845292">
            <w:pPr>
              <w:snapToGrid w:val="0"/>
              <w:spacing w:line="288" w:lineRule="auto"/>
              <w:jc w:val="center"/>
              <w:rPr>
                <w:rFonts w:eastAsiaTheme="minorEastAsia"/>
                <w:color w:val="000000" w:themeColor="text1"/>
                <w:szCs w:val="21"/>
              </w:rPr>
            </w:pPr>
            <w:r w:rsidRPr="00A3398F">
              <w:rPr>
                <w:rFonts w:ascii="宋体" w:hAnsi="宋体" w:cs="宋体" w:hint="eastAsia"/>
                <w:color w:val="000000" w:themeColor="text1"/>
                <w:szCs w:val="21"/>
              </w:rPr>
              <w:t>②</w:t>
            </w:r>
            <w:r w:rsidRPr="00A3398F">
              <w:rPr>
                <w:rFonts w:eastAsiaTheme="minorEastAsia"/>
                <w:color w:val="000000" w:themeColor="text1"/>
                <w:szCs w:val="21"/>
              </w:rPr>
              <w:t>－</w:t>
            </w:r>
            <w:r w:rsidRPr="00A3398F">
              <w:rPr>
                <w:rFonts w:ascii="宋体" w:hAnsi="宋体" w:cs="宋体" w:hint="eastAsia"/>
                <w:color w:val="000000" w:themeColor="text1"/>
                <w:szCs w:val="21"/>
              </w:rPr>
              <w:t>④</w:t>
            </w:r>
          </w:p>
        </w:tc>
      </w:tr>
      <w:tr w:rsidR="00351E81" w14:paraId="7C3C217E" w14:textId="77777777">
        <w:tc>
          <w:tcPr>
            <w:tcW w:w="1290" w:type="dxa"/>
            <w:vAlign w:val="center"/>
          </w:tcPr>
          <w:p w14:paraId="6D430C14" w14:textId="77777777" w:rsidR="00351E81" w:rsidRDefault="007F3594">
            <w:pPr>
              <w:jc w:val="left"/>
            </w:pPr>
            <w:r>
              <w:rPr>
                <w:rFonts w:eastAsiaTheme="minorEastAsia"/>
                <w:color w:val="000000" w:themeColor="text1"/>
                <w:szCs w:val="21"/>
              </w:rPr>
              <w:t>过去三个月</w:t>
            </w:r>
          </w:p>
        </w:tc>
        <w:tc>
          <w:tcPr>
            <w:tcW w:w="1291" w:type="dxa"/>
            <w:vAlign w:val="center"/>
          </w:tcPr>
          <w:p w14:paraId="4033510E" w14:textId="77777777" w:rsidR="00351E81" w:rsidRDefault="007F3594">
            <w:pPr>
              <w:jc w:val="right"/>
            </w:pPr>
            <w:r>
              <w:rPr>
                <w:rFonts w:eastAsiaTheme="minorEastAsia"/>
                <w:color w:val="000000" w:themeColor="text1"/>
                <w:szCs w:val="21"/>
              </w:rPr>
              <w:t>0.84%</w:t>
            </w:r>
          </w:p>
        </w:tc>
        <w:tc>
          <w:tcPr>
            <w:tcW w:w="1291" w:type="dxa"/>
            <w:vAlign w:val="center"/>
          </w:tcPr>
          <w:p w14:paraId="0BB94E3F" w14:textId="77777777" w:rsidR="00351E81" w:rsidRDefault="007F3594">
            <w:pPr>
              <w:jc w:val="right"/>
            </w:pPr>
            <w:r>
              <w:rPr>
                <w:rFonts w:eastAsiaTheme="minorEastAsia"/>
                <w:color w:val="000000" w:themeColor="text1"/>
                <w:szCs w:val="21"/>
              </w:rPr>
              <w:t>0.03%</w:t>
            </w:r>
          </w:p>
        </w:tc>
        <w:tc>
          <w:tcPr>
            <w:tcW w:w="1291" w:type="dxa"/>
            <w:vAlign w:val="center"/>
          </w:tcPr>
          <w:p w14:paraId="5EFB774A" w14:textId="77777777" w:rsidR="00351E81" w:rsidRDefault="007F3594">
            <w:pPr>
              <w:jc w:val="right"/>
            </w:pPr>
            <w:r>
              <w:rPr>
                <w:rFonts w:eastAsiaTheme="minorEastAsia"/>
                <w:color w:val="000000" w:themeColor="text1"/>
                <w:szCs w:val="21"/>
              </w:rPr>
              <w:t>0.14%</w:t>
            </w:r>
          </w:p>
        </w:tc>
        <w:tc>
          <w:tcPr>
            <w:tcW w:w="1291" w:type="dxa"/>
            <w:vAlign w:val="center"/>
          </w:tcPr>
          <w:p w14:paraId="701C38C2" w14:textId="77777777" w:rsidR="00351E81" w:rsidRDefault="007F3594">
            <w:pPr>
              <w:jc w:val="right"/>
            </w:pPr>
            <w:r>
              <w:rPr>
                <w:rFonts w:eastAsiaTheme="minorEastAsia"/>
                <w:color w:val="000000" w:themeColor="text1"/>
                <w:szCs w:val="21"/>
              </w:rPr>
              <w:t>0.40%</w:t>
            </w:r>
          </w:p>
        </w:tc>
        <w:tc>
          <w:tcPr>
            <w:tcW w:w="1291" w:type="dxa"/>
            <w:vAlign w:val="center"/>
          </w:tcPr>
          <w:p w14:paraId="05BA5361" w14:textId="77777777" w:rsidR="00351E81" w:rsidRDefault="007F3594">
            <w:pPr>
              <w:jc w:val="right"/>
            </w:pPr>
            <w:r>
              <w:rPr>
                <w:rFonts w:eastAsiaTheme="minorEastAsia"/>
                <w:color w:val="000000" w:themeColor="text1"/>
                <w:szCs w:val="21"/>
              </w:rPr>
              <w:t>0.70%</w:t>
            </w:r>
          </w:p>
        </w:tc>
        <w:tc>
          <w:tcPr>
            <w:tcW w:w="1291" w:type="dxa"/>
            <w:vAlign w:val="center"/>
          </w:tcPr>
          <w:p w14:paraId="581D6F1A" w14:textId="77777777" w:rsidR="00351E81" w:rsidRDefault="007F3594">
            <w:pPr>
              <w:jc w:val="right"/>
            </w:pPr>
            <w:r>
              <w:rPr>
                <w:rFonts w:eastAsiaTheme="minorEastAsia"/>
                <w:color w:val="000000" w:themeColor="text1"/>
                <w:szCs w:val="21"/>
              </w:rPr>
              <w:t>-0.37%</w:t>
            </w:r>
          </w:p>
        </w:tc>
      </w:tr>
      <w:tr w:rsidR="00351E81" w14:paraId="3E5FD573" w14:textId="77777777">
        <w:tc>
          <w:tcPr>
            <w:tcW w:w="1290" w:type="dxa"/>
            <w:vAlign w:val="center"/>
          </w:tcPr>
          <w:p w14:paraId="29DDD1F1" w14:textId="77777777" w:rsidR="00351E81" w:rsidRDefault="007F3594">
            <w:pPr>
              <w:jc w:val="left"/>
            </w:pPr>
            <w:r>
              <w:rPr>
                <w:rFonts w:eastAsiaTheme="minorEastAsia"/>
                <w:color w:val="000000" w:themeColor="text1"/>
                <w:szCs w:val="21"/>
              </w:rPr>
              <w:t>过去六个月</w:t>
            </w:r>
          </w:p>
        </w:tc>
        <w:tc>
          <w:tcPr>
            <w:tcW w:w="1291" w:type="dxa"/>
            <w:vAlign w:val="center"/>
          </w:tcPr>
          <w:p w14:paraId="3DCBC512" w14:textId="77777777" w:rsidR="00351E81" w:rsidRDefault="007F3594">
            <w:pPr>
              <w:jc w:val="right"/>
            </w:pPr>
            <w:r>
              <w:rPr>
                <w:rFonts w:eastAsiaTheme="minorEastAsia"/>
                <w:color w:val="000000" w:themeColor="text1"/>
                <w:szCs w:val="21"/>
              </w:rPr>
              <w:t>1.70%</w:t>
            </w:r>
          </w:p>
        </w:tc>
        <w:tc>
          <w:tcPr>
            <w:tcW w:w="1291" w:type="dxa"/>
            <w:vAlign w:val="center"/>
          </w:tcPr>
          <w:p w14:paraId="4D54180F" w14:textId="77777777" w:rsidR="00351E81" w:rsidRDefault="007F3594">
            <w:pPr>
              <w:jc w:val="right"/>
            </w:pPr>
            <w:r>
              <w:rPr>
                <w:rFonts w:eastAsiaTheme="minorEastAsia"/>
                <w:color w:val="000000" w:themeColor="text1"/>
                <w:szCs w:val="21"/>
              </w:rPr>
              <w:t>0.04%</w:t>
            </w:r>
          </w:p>
        </w:tc>
        <w:tc>
          <w:tcPr>
            <w:tcW w:w="1291" w:type="dxa"/>
            <w:vAlign w:val="center"/>
          </w:tcPr>
          <w:p w14:paraId="2E2BCD18" w14:textId="77777777" w:rsidR="00351E81" w:rsidRDefault="007F3594">
            <w:pPr>
              <w:jc w:val="right"/>
            </w:pPr>
            <w:r>
              <w:rPr>
                <w:rFonts w:eastAsiaTheme="minorEastAsia"/>
                <w:color w:val="000000" w:themeColor="text1"/>
                <w:szCs w:val="21"/>
              </w:rPr>
              <w:t>0.55%</w:t>
            </w:r>
          </w:p>
        </w:tc>
        <w:tc>
          <w:tcPr>
            <w:tcW w:w="1291" w:type="dxa"/>
            <w:vAlign w:val="center"/>
          </w:tcPr>
          <w:p w14:paraId="6167DCCC" w14:textId="77777777" w:rsidR="00351E81" w:rsidRDefault="007F3594">
            <w:pPr>
              <w:jc w:val="right"/>
            </w:pPr>
            <w:r>
              <w:rPr>
                <w:rFonts w:eastAsiaTheme="minorEastAsia"/>
                <w:color w:val="000000" w:themeColor="text1"/>
                <w:szCs w:val="21"/>
              </w:rPr>
              <w:t>0.35%</w:t>
            </w:r>
          </w:p>
        </w:tc>
        <w:tc>
          <w:tcPr>
            <w:tcW w:w="1291" w:type="dxa"/>
            <w:vAlign w:val="center"/>
          </w:tcPr>
          <w:p w14:paraId="688E5819" w14:textId="77777777" w:rsidR="00351E81" w:rsidRDefault="007F3594">
            <w:pPr>
              <w:jc w:val="right"/>
            </w:pPr>
            <w:r>
              <w:rPr>
                <w:rFonts w:eastAsiaTheme="minorEastAsia"/>
                <w:color w:val="000000" w:themeColor="text1"/>
                <w:szCs w:val="21"/>
              </w:rPr>
              <w:t>1.15%</w:t>
            </w:r>
          </w:p>
        </w:tc>
        <w:tc>
          <w:tcPr>
            <w:tcW w:w="1291" w:type="dxa"/>
            <w:vAlign w:val="center"/>
          </w:tcPr>
          <w:p w14:paraId="37D696B1" w14:textId="77777777" w:rsidR="00351E81" w:rsidRDefault="007F3594">
            <w:pPr>
              <w:jc w:val="right"/>
            </w:pPr>
            <w:r>
              <w:rPr>
                <w:rFonts w:eastAsiaTheme="minorEastAsia"/>
                <w:color w:val="000000" w:themeColor="text1"/>
                <w:szCs w:val="21"/>
              </w:rPr>
              <w:t>-0.31%</w:t>
            </w:r>
          </w:p>
        </w:tc>
      </w:tr>
      <w:tr w:rsidR="00351E81" w14:paraId="6095FB7F" w14:textId="77777777">
        <w:tc>
          <w:tcPr>
            <w:tcW w:w="1290" w:type="dxa"/>
            <w:vAlign w:val="center"/>
          </w:tcPr>
          <w:p w14:paraId="7D8C6BC0" w14:textId="77777777" w:rsidR="00351E81" w:rsidRDefault="007F3594">
            <w:pPr>
              <w:jc w:val="left"/>
            </w:pPr>
            <w:r>
              <w:rPr>
                <w:rFonts w:eastAsiaTheme="minorEastAsia"/>
                <w:color w:val="000000" w:themeColor="text1"/>
                <w:szCs w:val="21"/>
              </w:rPr>
              <w:t>过去一年</w:t>
            </w:r>
          </w:p>
        </w:tc>
        <w:tc>
          <w:tcPr>
            <w:tcW w:w="1291" w:type="dxa"/>
            <w:vAlign w:val="center"/>
          </w:tcPr>
          <w:p w14:paraId="0F0E8FD3" w14:textId="77777777" w:rsidR="00351E81" w:rsidRDefault="007F3594">
            <w:pPr>
              <w:jc w:val="right"/>
            </w:pPr>
            <w:r>
              <w:rPr>
                <w:rFonts w:eastAsiaTheme="minorEastAsia"/>
                <w:color w:val="000000" w:themeColor="text1"/>
                <w:szCs w:val="21"/>
              </w:rPr>
              <w:t>1.44%</w:t>
            </w:r>
          </w:p>
        </w:tc>
        <w:tc>
          <w:tcPr>
            <w:tcW w:w="1291" w:type="dxa"/>
            <w:vAlign w:val="center"/>
          </w:tcPr>
          <w:p w14:paraId="3CB05ADC" w14:textId="77777777" w:rsidR="00351E81" w:rsidRDefault="007F3594">
            <w:pPr>
              <w:jc w:val="right"/>
            </w:pPr>
            <w:r>
              <w:rPr>
                <w:rFonts w:eastAsiaTheme="minorEastAsia"/>
                <w:color w:val="000000" w:themeColor="text1"/>
                <w:szCs w:val="21"/>
              </w:rPr>
              <w:t>0.08%</w:t>
            </w:r>
          </w:p>
        </w:tc>
        <w:tc>
          <w:tcPr>
            <w:tcW w:w="1291" w:type="dxa"/>
            <w:vAlign w:val="center"/>
          </w:tcPr>
          <w:p w14:paraId="549A6F28" w14:textId="77777777" w:rsidR="00351E81" w:rsidRDefault="007F3594">
            <w:pPr>
              <w:jc w:val="right"/>
            </w:pPr>
            <w:r>
              <w:rPr>
                <w:rFonts w:eastAsiaTheme="minorEastAsia"/>
                <w:color w:val="000000" w:themeColor="text1"/>
                <w:szCs w:val="21"/>
              </w:rPr>
              <w:t>3.09%</w:t>
            </w:r>
          </w:p>
        </w:tc>
        <w:tc>
          <w:tcPr>
            <w:tcW w:w="1291" w:type="dxa"/>
            <w:vAlign w:val="center"/>
          </w:tcPr>
          <w:p w14:paraId="43A72514" w14:textId="77777777" w:rsidR="00351E81" w:rsidRDefault="007F3594">
            <w:pPr>
              <w:jc w:val="right"/>
            </w:pPr>
            <w:r>
              <w:rPr>
                <w:rFonts w:eastAsiaTheme="minorEastAsia"/>
                <w:color w:val="000000" w:themeColor="text1"/>
                <w:szCs w:val="21"/>
              </w:rPr>
              <w:t>0.38%</w:t>
            </w:r>
          </w:p>
        </w:tc>
        <w:tc>
          <w:tcPr>
            <w:tcW w:w="1291" w:type="dxa"/>
            <w:vAlign w:val="center"/>
          </w:tcPr>
          <w:p w14:paraId="7E46380B" w14:textId="77777777" w:rsidR="00351E81" w:rsidRDefault="007F3594">
            <w:pPr>
              <w:jc w:val="right"/>
            </w:pPr>
            <w:r>
              <w:rPr>
                <w:rFonts w:eastAsiaTheme="minorEastAsia"/>
                <w:color w:val="000000" w:themeColor="text1"/>
                <w:szCs w:val="21"/>
              </w:rPr>
              <w:t>-1.65%</w:t>
            </w:r>
          </w:p>
        </w:tc>
        <w:tc>
          <w:tcPr>
            <w:tcW w:w="1291" w:type="dxa"/>
            <w:vAlign w:val="center"/>
          </w:tcPr>
          <w:p w14:paraId="66E0FEA5" w14:textId="77777777" w:rsidR="00351E81" w:rsidRDefault="007F3594">
            <w:pPr>
              <w:jc w:val="right"/>
            </w:pPr>
            <w:r>
              <w:rPr>
                <w:rFonts w:eastAsiaTheme="minorEastAsia"/>
                <w:color w:val="000000" w:themeColor="text1"/>
                <w:szCs w:val="21"/>
              </w:rPr>
              <w:t>-0.30%</w:t>
            </w:r>
          </w:p>
        </w:tc>
      </w:tr>
      <w:tr w:rsidR="00351E81" w14:paraId="2CDC4F8B" w14:textId="77777777">
        <w:tc>
          <w:tcPr>
            <w:tcW w:w="1290" w:type="dxa"/>
            <w:vAlign w:val="center"/>
          </w:tcPr>
          <w:p w14:paraId="74DE2521" w14:textId="77777777" w:rsidR="00351E81" w:rsidRDefault="007F3594">
            <w:pPr>
              <w:jc w:val="left"/>
            </w:pPr>
            <w:r>
              <w:rPr>
                <w:rFonts w:eastAsiaTheme="minorEastAsia"/>
                <w:color w:val="000000" w:themeColor="text1"/>
                <w:szCs w:val="21"/>
              </w:rPr>
              <w:t>过去三年</w:t>
            </w:r>
          </w:p>
        </w:tc>
        <w:tc>
          <w:tcPr>
            <w:tcW w:w="1291" w:type="dxa"/>
            <w:vAlign w:val="center"/>
          </w:tcPr>
          <w:p w14:paraId="094355B5" w14:textId="77777777" w:rsidR="00351E81" w:rsidRDefault="007F3594">
            <w:pPr>
              <w:jc w:val="right"/>
            </w:pPr>
            <w:r>
              <w:rPr>
                <w:rFonts w:eastAsiaTheme="minorEastAsia"/>
                <w:color w:val="000000" w:themeColor="text1"/>
                <w:szCs w:val="21"/>
              </w:rPr>
              <w:t>-</w:t>
            </w:r>
          </w:p>
        </w:tc>
        <w:tc>
          <w:tcPr>
            <w:tcW w:w="1291" w:type="dxa"/>
            <w:vAlign w:val="center"/>
          </w:tcPr>
          <w:p w14:paraId="773BB7D3" w14:textId="77777777" w:rsidR="00351E81" w:rsidRDefault="007F3594">
            <w:pPr>
              <w:jc w:val="right"/>
            </w:pPr>
            <w:r>
              <w:rPr>
                <w:rFonts w:eastAsiaTheme="minorEastAsia"/>
                <w:color w:val="000000" w:themeColor="text1"/>
                <w:szCs w:val="21"/>
              </w:rPr>
              <w:t>-</w:t>
            </w:r>
          </w:p>
        </w:tc>
        <w:tc>
          <w:tcPr>
            <w:tcW w:w="1291" w:type="dxa"/>
            <w:vAlign w:val="center"/>
          </w:tcPr>
          <w:p w14:paraId="490806E6" w14:textId="77777777" w:rsidR="00351E81" w:rsidRDefault="007F3594">
            <w:pPr>
              <w:jc w:val="right"/>
            </w:pPr>
            <w:r>
              <w:rPr>
                <w:rFonts w:eastAsiaTheme="minorEastAsia"/>
                <w:color w:val="000000" w:themeColor="text1"/>
                <w:szCs w:val="21"/>
              </w:rPr>
              <w:t>-</w:t>
            </w:r>
          </w:p>
        </w:tc>
        <w:tc>
          <w:tcPr>
            <w:tcW w:w="1291" w:type="dxa"/>
            <w:vAlign w:val="center"/>
          </w:tcPr>
          <w:p w14:paraId="53FD7919" w14:textId="77777777" w:rsidR="00351E81" w:rsidRDefault="007F3594">
            <w:pPr>
              <w:jc w:val="right"/>
            </w:pPr>
            <w:r>
              <w:rPr>
                <w:rFonts w:eastAsiaTheme="minorEastAsia"/>
                <w:color w:val="000000" w:themeColor="text1"/>
                <w:szCs w:val="21"/>
              </w:rPr>
              <w:t>-</w:t>
            </w:r>
          </w:p>
        </w:tc>
        <w:tc>
          <w:tcPr>
            <w:tcW w:w="1291" w:type="dxa"/>
            <w:vAlign w:val="center"/>
          </w:tcPr>
          <w:p w14:paraId="3E1BA23A" w14:textId="77777777" w:rsidR="00351E81" w:rsidRDefault="007F3594">
            <w:pPr>
              <w:jc w:val="right"/>
            </w:pPr>
            <w:r>
              <w:rPr>
                <w:rFonts w:eastAsiaTheme="minorEastAsia"/>
                <w:color w:val="000000" w:themeColor="text1"/>
                <w:szCs w:val="21"/>
              </w:rPr>
              <w:t>-</w:t>
            </w:r>
          </w:p>
        </w:tc>
        <w:tc>
          <w:tcPr>
            <w:tcW w:w="1291" w:type="dxa"/>
            <w:vAlign w:val="center"/>
          </w:tcPr>
          <w:p w14:paraId="452B655C" w14:textId="77777777" w:rsidR="00351E81" w:rsidRDefault="007F3594">
            <w:pPr>
              <w:jc w:val="right"/>
            </w:pPr>
            <w:r>
              <w:rPr>
                <w:rFonts w:eastAsiaTheme="minorEastAsia"/>
                <w:color w:val="000000" w:themeColor="text1"/>
                <w:szCs w:val="21"/>
              </w:rPr>
              <w:t>-</w:t>
            </w:r>
          </w:p>
        </w:tc>
      </w:tr>
      <w:tr w:rsidR="00351E81" w14:paraId="7522BD5F" w14:textId="77777777">
        <w:tc>
          <w:tcPr>
            <w:tcW w:w="1290" w:type="dxa"/>
            <w:vAlign w:val="center"/>
          </w:tcPr>
          <w:p w14:paraId="1AE44829" w14:textId="77777777" w:rsidR="00351E81" w:rsidRDefault="007F3594">
            <w:pPr>
              <w:jc w:val="left"/>
            </w:pPr>
            <w:r>
              <w:rPr>
                <w:rFonts w:eastAsiaTheme="minorEastAsia"/>
                <w:color w:val="000000" w:themeColor="text1"/>
                <w:szCs w:val="21"/>
              </w:rPr>
              <w:t>过去五年</w:t>
            </w:r>
          </w:p>
        </w:tc>
        <w:tc>
          <w:tcPr>
            <w:tcW w:w="1291" w:type="dxa"/>
            <w:vAlign w:val="center"/>
          </w:tcPr>
          <w:p w14:paraId="42B11D5E" w14:textId="77777777" w:rsidR="00351E81" w:rsidRDefault="007F3594">
            <w:pPr>
              <w:jc w:val="right"/>
            </w:pPr>
            <w:r>
              <w:rPr>
                <w:rFonts w:eastAsiaTheme="minorEastAsia"/>
                <w:color w:val="000000" w:themeColor="text1"/>
                <w:szCs w:val="21"/>
              </w:rPr>
              <w:t>-</w:t>
            </w:r>
          </w:p>
        </w:tc>
        <w:tc>
          <w:tcPr>
            <w:tcW w:w="1291" w:type="dxa"/>
            <w:vAlign w:val="center"/>
          </w:tcPr>
          <w:p w14:paraId="1FC07C23" w14:textId="77777777" w:rsidR="00351E81" w:rsidRDefault="007F3594">
            <w:pPr>
              <w:jc w:val="right"/>
            </w:pPr>
            <w:r>
              <w:rPr>
                <w:rFonts w:eastAsiaTheme="minorEastAsia"/>
                <w:color w:val="000000" w:themeColor="text1"/>
                <w:szCs w:val="21"/>
              </w:rPr>
              <w:t>-</w:t>
            </w:r>
          </w:p>
        </w:tc>
        <w:tc>
          <w:tcPr>
            <w:tcW w:w="1291" w:type="dxa"/>
            <w:vAlign w:val="center"/>
          </w:tcPr>
          <w:p w14:paraId="36670E27" w14:textId="77777777" w:rsidR="00351E81" w:rsidRDefault="007F3594">
            <w:pPr>
              <w:jc w:val="right"/>
            </w:pPr>
            <w:r>
              <w:rPr>
                <w:rFonts w:eastAsiaTheme="minorEastAsia"/>
                <w:color w:val="000000" w:themeColor="text1"/>
                <w:szCs w:val="21"/>
              </w:rPr>
              <w:t>-</w:t>
            </w:r>
          </w:p>
        </w:tc>
        <w:tc>
          <w:tcPr>
            <w:tcW w:w="1291" w:type="dxa"/>
            <w:vAlign w:val="center"/>
          </w:tcPr>
          <w:p w14:paraId="2A96B3EE" w14:textId="77777777" w:rsidR="00351E81" w:rsidRDefault="007F3594">
            <w:pPr>
              <w:jc w:val="right"/>
            </w:pPr>
            <w:r>
              <w:rPr>
                <w:rFonts w:eastAsiaTheme="minorEastAsia"/>
                <w:color w:val="000000" w:themeColor="text1"/>
                <w:szCs w:val="21"/>
              </w:rPr>
              <w:t>-</w:t>
            </w:r>
          </w:p>
        </w:tc>
        <w:tc>
          <w:tcPr>
            <w:tcW w:w="1291" w:type="dxa"/>
            <w:vAlign w:val="center"/>
          </w:tcPr>
          <w:p w14:paraId="7281690E" w14:textId="77777777" w:rsidR="00351E81" w:rsidRDefault="007F3594">
            <w:pPr>
              <w:jc w:val="right"/>
            </w:pPr>
            <w:r>
              <w:rPr>
                <w:rFonts w:eastAsiaTheme="minorEastAsia"/>
                <w:color w:val="000000" w:themeColor="text1"/>
                <w:szCs w:val="21"/>
              </w:rPr>
              <w:t>-</w:t>
            </w:r>
          </w:p>
        </w:tc>
        <w:tc>
          <w:tcPr>
            <w:tcW w:w="1291" w:type="dxa"/>
            <w:vAlign w:val="center"/>
          </w:tcPr>
          <w:p w14:paraId="69A835BF" w14:textId="77777777" w:rsidR="00351E81" w:rsidRDefault="007F3594">
            <w:pPr>
              <w:jc w:val="right"/>
            </w:pPr>
            <w:r>
              <w:rPr>
                <w:rFonts w:eastAsiaTheme="minorEastAsia"/>
                <w:color w:val="000000" w:themeColor="text1"/>
                <w:szCs w:val="21"/>
              </w:rPr>
              <w:t>-</w:t>
            </w:r>
          </w:p>
        </w:tc>
      </w:tr>
      <w:tr w:rsidR="00351E81" w14:paraId="67E142A8" w14:textId="77777777">
        <w:tc>
          <w:tcPr>
            <w:tcW w:w="1290" w:type="dxa"/>
            <w:vAlign w:val="center"/>
          </w:tcPr>
          <w:p w14:paraId="50C7CF4F" w14:textId="77777777" w:rsidR="00351E81" w:rsidRDefault="007F3594">
            <w:pPr>
              <w:jc w:val="left"/>
            </w:pPr>
            <w:r>
              <w:rPr>
                <w:rFonts w:eastAsiaTheme="minorEastAsia"/>
                <w:color w:val="000000" w:themeColor="text1"/>
                <w:szCs w:val="21"/>
              </w:rPr>
              <w:t>自基金合同生效起至今</w:t>
            </w:r>
          </w:p>
        </w:tc>
        <w:tc>
          <w:tcPr>
            <w:tcW w:w="1291" w:type="dxa"/>
            <w:vAlign w:val="center"/>
          </w:tcPr>
          <w:p w14:paraId="1C68F5D3" w14:textId="77777777" w:rsidR="00351E81" w:rsidRDefault="007F3594">
            <w:pPr>
              <w:jc w:val="right"/>
            </w:pPr>
            <w:r>
              <w:rPr>
                <w:rFonts w:eastAsiaTheme="minorEastAsia"/>
                <w:color w:val="000000" w:themeColor="text1"/>
                <w:szCs w:val="21"/>
              </w:rPr>
              <w:t>4.32%</w:t>
            </w:r>
          </w:p>
        </w:tc>
        <w:tc>
          <w:tcPr>
            <w:tcW w:w="1291" w:type="dxa"/>
            <w:vAlign w:val="center"/>
          </w:tcPr>
          <w:p w14:paraId="01AB5741" w14:textId="77777777" w:rsidR="00351E81" w:rsidRDefault="007F3594">
            <w:pPr>
              <w:jc w:val="right"/>
            </w:pPr>
            <w:r>
              <w:rPr>
                <w:rFonts w:eastAsiaTheme="minorEastAsia"/>
                <w:color w:val="000000" w:themeColor="text1"/>
                <w:szCs w:val="21"/>
              </w:rPr>
              <w:t>0.11%</w:t>
            </w:r>
          </w:p>
        </w:tc>
        <w:tc>
          <w:tcPr>
            <w:tcW w:w="1291" w:type="dxa"/>
            <w:vAlign w:val="center"/>
          </w:tcPr>
          <w:p w14:paraId="253F038D" w14:textId="77777777" w:rsidR="00351E81" w:rsidRDefault="007F3594">
            <w:pPr>
              <w:jc w:val="right"/>
            </w:pPr>
            <w:r>
              <w:rPr>
                <w:rFonts w:eastAsiaTheme="minorEastAsia"/>
                <w:color w:val="000000" w:themeColor="text1"/>
                <w:szCs w:val="21"/>
              </w:rPr>
              <w:t>7.28%</w:t>
            </w:r>
          </w:p>
        </w:tc>
        <w:tc>
          <w:tcPr>
            <w:tcW w:w="1291" w:type="dxa"/>
            <w:vAlign w:val="center"/>
          </w:tcPr>
          <w:p w14:paraId="7D77EEC5" w14:textId="77777777" w:rsidR="00351E81" w:rsidRDefault="007F3594">
            <w:pPr>
              <w:jc w:val="right"/>
            </w:pPr>
            <w:r>
              <w:rPr>
                <w:rFonts w:eastAsiaTheme="minorEastAsia"/>
                <w:color w:val="000000" w:themeColor="text1"/>
                <w:szCs w:val="21"/>
              </w:rPr>
              <w:t>0.38%</w:t>
            </w:r>
          </w:p>
        </w:tc>
        <w:tc>
          <w:tcPr>
            <w:tcW w:w="1291" w:type="dxa"/>
            <w:vAlign w:val="center"/>
          </w:tcPr>
          <w:p w14:paraId="7D0FF565" w14:textId="77777777" w:rsidR="00351E81" w:rsidRDefault="007F3594">
            <w:pPr>
              <w:jc w:val="right"/>
            </w:pPr>
            <w:r>
              <w:rPr>
                <w:rFonts w:eastAsiaTheme="minorEastAsia"/>
                <w:color w:val="000000" w:themeColor="text1"/>
                <w:szCs w:val="21"/>
              </w:rPr>
              <w:t>-2.96%</w:t>
            </w:r>
          </w:p>
        </w:tc>
        <w:tc>
          <w:tcPr>
            <w:tcW w:w="1291" w:type="dxa"/>
            <w:vAlign w:val="center"/>
          </w:tcPr>
          <w:p w14:paraId="68463161" w14:textId="77777777" w:rsidR="00351E81" w:rsidRDefault="007F3594">
            <w:pPr>
              <w:jc w:val="right"/>
            </w:pPr>
            <w:r>
              <w:rPr>
                <w:rFonts w:eastAsiaTheme="minorEastAsia"/>
                <w:color w:val="000000" w:themeColor="text1"/>
                <w:szCs w:val="21"/>
              </w:rPr>
              <w:t>-0.27%</w:t>
            </w:r>
          </w:p>
        </w:tc>
      </w:tr>
    </w:tbl>
    <w:p w14:paraId="47C720DD" w14:textId="77777777" w:rsidR="0065601A" w:rsidRPr="00A3398F" w:rsidRDefault="0065601A" w:rsidP="009E705F">
      <w:pPr>
        <w:adjustRightInd w:val="0"/>
        <w:spacing w:beforeLines="50" w:before="156" w:line="360" w:lineRule="auto"/>
        <w:rPr>
          <w:rFonts w:eastAsiaTheme="minorEastAsia"/>
          <w:b/>
          <w:color w:val="000000" w:themeColor="text1"/>
          <w:kern w:val="0"/>
          <w:szCs w:val="21"/>
        </w:rPr>
      </w:pPr>
      <w:r w:rsidRPr="00A3398F">
        <w:rPr>
          <w:rFonts w:eastAsiaTheme="minorEastAsia"/>
          <w:b/>
          <w:color w:val="000000" w:themeColor="text1"/>
          <w:szCs w:val="21"/>
        </w:rPr>
        <w:t>2</w:t>
      </w:r>
      <w:r w:rsidRPr="00A3398F">
        <w:rPr>
          <w:rFonts w:eastAsiaTheme="minorEastAsia"/>
          <w:b/>
          <w:color w:val="000000" w:themeColor="text1"/>
          <w:szCs w:val="21"/>
        </w:rPr>
        <w:t>、</w:t>
      </w:r>
      <w:r w:rsidRPr="00A3398F">
        <w:rPr>
          <w:rFonts w:eastAsiaTheme="minorEastAsia"/>
          <w:b/>
          <w:color w:val="000000" w:themeColor="text1"/>
          <w:kern w:val="0"/>
          <w:szCs w:val="21"/>
        </w:rPr>
        <w:t>摩根海外稳健配置混合</w:t>
      </w:r>
      <w:r w:rsidRPr="00A3398F">
        <w:rPr>
          <w:rFonts w:eastAsiaTheme="minorEastAsia"/>
          <w:b/>
          <w:color w:val="000000" w:themeColor="text1"/>
          <w:kern w:val="0"/>
          <w:szCs w:val="21"/>
        </w:rPr>
        <w:t>(QDII-FOF)</w:t>
      </w:r>
      <w:r w:rsidRPr="00A3398F">
        <w:rPr>
          <w:rFonts w:eastAsiaTheme="minorEastAsia"/>
          <w:b/>
          <w:color w:val="000000" w:themeColor="text1"/>
          <w:kern w:val="0"/>
          <w:szCs w:val="21"/>
        </w:rPr>
        <w:t>人民币</w:t>
      </w:r>
      <w:r w:rsidRPr="00A3398F">
        <w:rPr>
          <w:rFonts w:eastAsiaTheme="minorEastAsia"/>
          <w:b/>
          <w:color w:val="000000" w:themeColor="text1"/>
          <w:kern w:val="0"/>
          <w:szCs w:val="21"/>
        </w:rPr>
        <w:t>C</w:t>
      </w:r>
      <w:r w:rsidRPr="00A3398F">
        <w:rPr>
          <w:rFonts w:eastAsiaTheme="minorEastAsia"/>
          <w:b/>
          <w:color w:val="000000" w:themeColor="text1"/>
          <w:kern w:val="0"/>
          <w:szCs w:val="21"/>
        </w:rPr>
        <w:t>：</w:t>
      </w:r>
    </w:p>
    <w:tbl>
      <w:tblPr>
        <w:tblStyle w:val="afa"/>
        <w:tblW w:w="0" w:type="auto"/>
        <w:tblInd w:w="108" w:type="dxa"/>
        <w:tblLayout w:type="fixed"/>
        <w:tblLook w:val="04A0" w:firstRow="1" w:lastRow="0" w:firstColumn="1" w:lastColumn="0" w:noHBand="0" w:noVBand="1"/>
      </w:tblPr>
      <w:tblGrid>
        <w:gridCol w:w="1290"/>
        <w:gridCol w:w="1291"/>
        <w:gridCol w:w="1291"/>
        <w:gridCol w:w="1291"/>
        <w:gridCol w:w="1291"/>
        <w:gridCol w:w="1291"/>
        <w:gridCol w:w="1291"/>
      </w:tblGrid>
      <w:tr w:rsidR="0065601A" w:rsidRPr="00A3398F" w14:paraId="6C68C457" w14:textId="77777777" w:rsidTr="00845292">
        <w:tc>
          <w:tcPr>
            <w:tcW w:w="1290" w:type="dxa"/>
            <w:vAlign w:val="center"/>
          </w:tcPr>
          <w:p w14:paraId="3D44A576" w14:textId="77777777" w:rsidR="0065601A" w:rsidRPr="00A3398F" w:rsidRDefault="0065601A" w:rsidP="00845292">
            <w:pPr>
              <w:snapToGrid w:val="0"/>
              <w:spacing w:line="288" w:lineRule="auto"/>
              <w:jc w:val="center"/>
              <w:rPr>
                <w:rFonts w:eastAsiaTheme="minorEastAsia"/>
                <w:color w:val="000000" w:themeColor="text1"/>
                <w:szCs w:val="21"/>
              </w:rPr>
            </w:pPr>
            <w:r w:rsidRPr="00A3398F">
              <w:rPr>
                <w:rFonts w:eastAsiaTheme="minorEastAsia"/>
                <w:color w:val="000000" w:themeColor="text1"/>
                <w:szCs w:val="21"/>
              </w:rPr>
              <w:t>阶段</w:t>
            </w:r>
          </w:p>
        </w:tc>
        <w:tc>
          <w:tcPr>
            <w:tcW w:w="1291" w:type="dxa"/>
            <w:vAlign w:val="center"/>
          </w:tcPr>
          <w:p w14:paraId="0D8C7E48" w14:textId="77777777" w:rsidR="0065601A" w:rsidRPr="00A3398F" w:rsidRDefault="0065601A" w:rsidP="00845292">
            <w:pPr>
              <w:snapToGrid w:val="0"/>
              <w:spacing w:line="288" w:lineRule="auto"/>
              <w:jc w:val="center"/>
              <w:rPr>
                <w:rFonts w:eastAsiaTheme="minorEastAsia"/>
                <w:color w:val="000000" w:themeColor="text1"/>
                <w:szCs w:val="21"/>
                <w:highlight w:val="green"/>
              </w:rPr>
            </w:pPr>
            <w:r w:rsidRPr="00A3398F">
              <w:rPr>
                <w:rFonts w:eastAsiaTheme="minorEastAsia"/>
                <w:color w:val="000000" w:themeColor="text1"/>
                <w:szCs w:val="21"/>
              </w:rPr>
              <w:t>净值增长率</w:t>
            </w:r>
            <w:r w:rsidRPr="00A3398F">
              <w:rPr>
                <w:rFonts w:ascii="宋体" w:hAnsi="宋体" w:cs="宋体" w:hint="eastAsia"/>
                <w:color w:val="000000" w:themeColor="text1"/>
                <w:szCs w:val="21"/>
              </w:rPr>
              <w:t>①</w:t>
            </w:r>
          </w:p>
        </w:tc>
        <w:tc>
          <w:tcPr>
            <w:tcW w:w="1291" w:type="dxa"/>
            <w:vAlign w:val="center"/>
          </w:tcPr>
          <w:p w14:paraId="61D53E89" w14:textId="77777777" w:rsidR="0065601A" w:rsidRPr="00A3398F" w:rsidRDefault="0065601A" w:rsidP="00845292">
            <w:pPr>
              <w:snapToGrid w:val="0"/>
              <w:spacing w:line="288" w:lineRule="auto"/>
              <w:jc w:val="center"/>
              <w:rPr>
                <w:rFonts w:eastAsiaTheme="minorEastAsia"/>
                <w:color w:val="000000" w:themeColor="text1"/>
                <w:szCs w:val="21"/>
                <w:highlight w:val="green"/>
              </w:rPr>
            </w:pPr>
            <w:r w:rsidRPr="00A3398F">
              <w:rPr>
                <w:rFonts w:eastAsiaTheme="minorEastAsia"/>
                <w:color w:val="000000" w:themeColor="text1"/>
                <w:szCs w:val="21"/>
              </w:rPr>
              <w:t>净值增长率标准差</w:t>
            </w:r>
            <w:r w:rsidRPr="00A3398F">
              <w:rPr>
                <w:rFonts w:ascii="宋体" w:hAnsi="宋体" w:cs="宋体" w:hint="eastAsia"/>
                <w:color w:val="000000" w:themeColor="text1"/>
                <w:szCs w:val="21"/>
              </w:rPr>
              <w:t>②</w:t>
            </w:r>
          </w:p>
        </w:tc>
        <w:tc>
          <w:tcPr>
            <w:tcW w:w="1291" w:type="dxa"/>
            <w:vAlign w:val="center"/>
          </w:tcPr>
          <w:p w14:paraId="4CCCF851" w14:textId="77777777" w:rsidR="0065601A" w:rsidRPr="00A3398F" w:rsidRDefault="0065601A" w:rsidP="00845292">
            <w:pPr>
              <w:snapToGrid w:val="0"/>
              <w:spacing w:line="288" w:lineRule="auto"/>
              <w:jc w:val="center"/>
              <w:rPr>
                <w:rFonts w:eastAsiaTheme="minorEastAsia"/>
                <w:color w:val="000000" w:themeColor="text1"/>
                <w:szCs w:val="21"/>
              </w:rPr>
            </w:pPr>
            <w:r w:rsidRPr="00A3398F">
              <w:rPr>
                <w:rFonts w:eastAsiaTheme="minorEastAsia"/>
                <w:color w:val="000000" w:themeColor="text1"/>
                <w:szCs w:val="21"/>
              </w:rPr>
              <w:t>业绩比较基准收益率</w:t>
            </w:r>
            <w:r w:rsidRPr="00A3398F">
              <w:rPr>
                <w:rFonts w:ascii="宋体" w:hAnsi="宋体" w:cs="宋体" w:hint="eastAsia"/>
                <w:color w:val="000000" w:themeColor="text1"/>
                <w:szCs w:val="21"/>
              </w:rPr>
              <w:t>③</w:t>
            </w:r>
          </w:p>
        </w:tc>
        <w:tc>
          <w:tcPr>
            <w:tcW w:w="1291" w:type="dxa"/>
            <w:vAlign w:val="center"/>
          </w:tcPr>
          <w:p w14:paraId="6E5F2080" w14:textId="77777777" w:rsidR="0065601A" w:rsidRPr="00A3398F" w:rsidRDefault="0065601A" w:rsidP="00845292">
            <w:pPr>
              <w:snapToGrid w:val="0"/>
              <w:spacing w:line="288" w:lineRule="auto"/>
              <w:jc w:val="center"/>
              <w:rPr>
                <w:rFonts w:eastAsiaTheme="minorEastAsia"/>
                <w:color w:val="000000" w:themeColor="text1"/>
                <w:szCs w:val="21"/>
              </w:rPr>
            </w:pPr>
            <w:r w:rsidRPr="00A3398F">
              <w:rPr>
                <w:rFonts w:eastAsiaTheme="minorEastAsia"/>
                <w:color w:val="000000" w:themeColor="text1"/>
                <w:szCs w:val="21"/>
              </w:rPr>
              <w:t>业绩比较基准收益率标准差</w:t>
            </w:r>
            <w:r w:rsidRPr="00A3398F">
              <w:rPr>
                <w:rFonts w:ascii="宋体" w:hAnsi="宋体" w:cs="宋体" w:hint="eastAsia"/>
                <w:color w:val="000000" w:themeColor="text1"/>
                <w:szCs w:val="21"/>
              </w:rPr>
              <w:t>④</w:t>
            </w:r>
          </w:p>
        </w:tc>
        <w:tc>
          <w:tcPr>
            <w:tcW w:w="1291" w:type="dxa"/>
            <w:vAlign w:val="center"/>
          </w:tcPr>
          <w:p w14:paraId="526ECFFA" w14:textId="77777777" w:rsidR="0065601A" w:rsidRPr="00A3398F" w:rsidRDefault="0065601A" w:rsidP="00845292">
            <w:pPr>
              <w:snapToGrid w:val="0"/>
              <w:spacing w:line="288" w:lineRule="auto"/>
              <w:jc w:val="center"/>
              <w:rPr>
                <w:rFonts w:eastAsiaTheme="minorEastAsia"/>
                <w:color w:val="000000" w:themeColor="text1"/>
                <w:szCs w:val="21"/>
              </w:rPr>
            </w:pPr>
            <w:r w:rsidRPr="00A3398F">
              <w:rPr>
                <w:rFonts w:ascii="宋体" w:hAnsi="宋体" w:cs="宋体" w:hint="eastAsia"/>
                <w:color w:val="000000" w:themeColor="text1"/>
                <w:szCs w:val="21"/>
              </w:rPr>
              <w:t>①</w:t>
            </w:r>
            <w:r w:rsidRPr="00A3398F">
              <w:rPr>
                <w:rFonts w:eastAsiaTheme="minorEastAsia"/>
                <w:color w:val="000000" w:themeColor="text1"/>
                <w:szCs w:val="21"/>
              </w:rPr>
              <w:t>－</w:t>
            </w:r>
            <w:r w:rsidRPr="00A3398F">
              <w:rPr>
                <w:rFonts w:ascii="宋体" w:hAnsi="宋体" w:cs="宋体" w:hint="eastAsia"/>
                <w:color w:val="000000" w:themeColor="text1"/>
                <w:szCs w:val="21"/>
              </w:rPr>
              <w:t>③</w:t>
            </w:r>
          </w:p>
        </w:tc>
        <w:tc>
          <w:tcPr>
            <w:tcW w:w="1291" w:type="dxa"/>
            <w:vAlign w:val="center"/>
          </w:tcPr>
          <w:p w14:paraId="002D7EDE" w14:textId="77777777" w:rsidR="0065601A" w:rsidRPr="00A3398F" w:rsidRDefault="0065601A" w:rsidP="00845292">
            <w:pPr>
              <w:snapToGrid w:val="0"/>
              <w:spacing w:line="288" w:lineRule="auto"/>
              <w:jc w:val="center"/>
              <w:rPr>
                <w:rFonts w:eastAsiaTheme="minorEastAsia"/>
                <w:color w:val="000000" w:themeColor="text1"/>
                <w:szCs w:val="21"/>
              </w:rPr>
            </w:pPr>
            <w:r w:rsidRPr="00A3398F">
              <w:rPr>
                <w:rFonts w:ascii="宋体" w:hAnsi="宋体" w:cs="宋体" w:hint="eastAsia"/>
                <w:color w:val="000000" w:themeColor="text1"/>
                <w:szCs w:val="21"/>
              </w:rPr>
              <w:t>②</w:t>
            </w:r>
            <w:r w:rsidRPr="00A3398F">
              <w:rPr>
                <w:rFonts w:eastAsiaTheme="minorEastAsia"/>
                <w:color w:val="000000" w:themeColor="text1"/>
                <w:szCs w:val="21"/>
              </w:rPr>
              <w:t>－</w:t>
            </w:r>
            <w:r w:rsidRPr="00A3398F">
              <w:rPr>
                <w:rFonts w:ascii="宋体" w:hAnsi="宋体" w:cs="宋体" w:hint="eastAsia"/>
                <w:color w:val="000000" w:themeColor="text1"/>
                <w:szCs w:val="21"/>
              </w:rPr>
              <w:t>④</w:t>
            </w:r>
          </w:p>
        </w:tc>
      </w:tr>
      <w:tr w:rsidR="00351E81" w14:paraId="1ABCE3D5" w14:textId="77777777">
        <w:tc>
          <w:tcPr>
            <w:tcW w:w="1290" w:type="dxa"/>
            <w:vAlign w:val="center"/>
          </w:tcPr>
          <w:p w14:paraId="0A413891" w14:textId="77777777" w:rsidR="00351E81" w:rsidRDefault="007F3594">
            <w:pPr>
              <w:jc w:val="left"/>
            </w:pPr>
            <w:r>
              <w:rPr>
                <w:rFonts w:eastAsiaTheme="minorEastAsia"/>
                <w:color w:val="000000" w:themeColor="text1"/>
                <w:szCs w:val="21"/>
              </w:rPr>
              <w:t>过去三个月</w:t>
            </w:r>
          </w:p>
        </w:tc>
        <w:tc>
          <w:tcPr>
            <w:tcW w:w="1291" w:type="dxa"/>
            <w:vAlign w:val="center"/>
          </w:tcPr>
          <w:p w14:paraId="0323D764" w14:textId="77777777" w:rsidR="00351E81" w:rsidRDefault="007F3594">
            <w:pPr>
              <w:jc w:val="right"/>
            </w:pPr>
            <w:r>
              <w:rPr>
                <w:rFonts w:eastAsiaTheme="minorEastAsia"/>
                <w:color w:val="000000" w:themeColor="text1"/>
                <w:szCs w:val="21"/>
              </w:rPr>
              <w:t>0.74%</w:t>
            </w:r>
          </w:p>
        </w:tc>
        <w:tc>
          <w:tcPr>
            <w:tcW w:w="1291" w:type="dxa"/>
            <w:vAlign w:val="center"/>
          </w:tcPr>
          <w:p w14:paraId="110ABA19" w14:textId="77777777" w:rsidR="00351E81" w:rsidRDefault="007F3594">
            <w:pPr>
              <w:jc w:val="right"/>
            </w:pPr>
            <w:r>
              <w:rPr>
                <w:rFonts w:eastAsiaTheme="minorEastAsia"/>
                <w:color w:val="000000" w:themeColor="text1"/>
                <w:szCs w:val="21"/>
              </w:rPr>
              <w:t>0.03%</w:t>
            </w:r>
          </w:p>
        </w:tc>
        <w:tc>
          <w:tcPr>
            <w:tcW w:w="1291" w:type="dxa"/>
            <w:vAlign w:val="center"/>
          </w:tcPr>
          <w:p w14:paraId="63920F59" w14:textId="77777777" w:rsidR="00351E81" w:rsidRDefault="007F3594">
            <w:pPr>
              <w:jc w:val="right"/>
            </w:pPr>
            <w:r>
              <w:rPr>
                <w:rFonts w:eastAsiaTheme="minorEastAsia"/>
                <w:color w:val="000000" w:themeColor="text1"/>
                <w:szCs w:val="21"/>
              </w:rPr>
              <w:t>0.14%</w:t>
            </w:r>
          </w:p>
        </w:tc>
        <w:tc>
          <w:tcPr>
            <w:tcW w:w="1291" w:type="dxa"/>
            <w:vAlign w:val="center"/>
          </w:tcPr>
          <w:p w14:paraId="7563B800" w14:textId="77777777" w:rsidR="00351E81" w:rsidRDefault="007F3594">
            <w:pPr>
              <w:jc w:val="right"/>
            </w:pPr>
            <w:r>
              <w:rPr>
                <w:rFonts w:eastAsiaTheme="minorEastAsia"/>
                <w:color w:val="000000" w:themeColor="text1"/>
                <w:szCs w:val="21"/>
              </w:rPr>
              <w:t>0.40%</w:t>
            </w:r>
          </w:p>
        </w:tc>
        <w:tc>
          <w:tcPr>
            <w:tcW w:w="1291" w:type="dxa"/>
            <w:vAlign w:val="center"/>
          </w:tcPr>
          <w:p w14:paraId="0D96BCB5" w14:textId="77777777" w:rsidR="00351E81" w:rsidRDefault="007F3594">
            <w:pPr>
              <w:jc w:val="right"/>
            </w:pPr>
            <w:r>
              <w:rPr>
                <w:rFonts w:eastAsiaTheme="minorEastAsia"/>
                <w:color w:val="000000" w:themeColor="text1"/>
                <w:szCs w:val="21"/>
              </w:rPr>
              <w:t>0.60%</w:t>
            </w:r>
          </w:p>
        </w:tc>
        <w:tc>
          <w:tcPr>
            <w:tcW w:w="1291" w:type="dxa"/>
            <w:vAlign w:val="center"/>
          </w:tcPr>
          <w:p w14:paraId="6AD22406" w14:textId="77777777" w:rsidR="00351E81" w:rsidRDefault="007F3594">
            <w:pPr>
              <w:jc w:val="right"/>
            </w:pPr>
            <w:r>
              <w:rPr>
                <w:rFonts w:eastAsiaTheme="minorEastAsia"/>
                <w:color w:val="000000" w:themeColor="text1"/>
                <w:szCs w:val="21"/>
              </w:rPr>
              <w:t>-0.37%</w:t>
            </w:r>
          </w:p>
        </w:tc>
      </w:tr>
      <w:tr w:rsidR="00351E81" w14:paraId="0D1E14C3" w14:textId="77777777">
        <w:tc>
          <w:tcPr>
            <w:tcW w:w="1290" w:type="dxa"/>
            <w:vAlign w:val="center"/>
          </w:tcPr>
          <w:p w14:paraId="5B7D1A59" w14:textId="77777777" w:rsidR="00351E81" w:rsidRDefault="007F3594">
            <w:pPr>
              <w:jc w:val="left"/>
            </w:pPr>
            <w:r>
              <w:rPr>
                <w:rFonts w:eastAsiaTheme="minorEastAsia"/>
                <w:color w:val="000000" w:themeColor="text1"/>
                <w:szCs w:val="21"/>
              </w:rPr>
              <w:t>过去六个月</w:t>
            </w:r>
          </w:p>
        </w:tc>
        <w:tc>
          <w:tcPr>
            <w:tcW w:w="1291" w:type="dxa"/>
            <w:vAlign w:val="center"/>
          </w:tcPr>
          <w:p w14:paraId="6968BC78" w14:textId="77777777" w:rsidR="00351E81" w:rsidRDefault="007F3594">
            <w:pPr>
              <w:jc w:val="right"/>
            </w:pPr>
            <w:r>
              <w:rPr>
                <w:rFonts w:eastAsiaTheme="minorEastAsia"/>
                <w:color w:val="000000" w:themeColor="text1"/>
                <w:szCs w:val="21"/>
              </w:rPr>
              <w:t>-</w:t>
            </w:r>
          </w:p>
        </w:tc>
        <w:tc>
          <w:tcPr>
            <w:tcW w:w="1291" w:type="dxa"/>
            <w:vAlign w:val="center"/>
          </w:tcPr>
          <w:p w14:paraId="72133643" w14:textId="77777777" w:rsidR="00351E81" w:rsidRDefault="007F3594">
            <w:pPr>
              <w:jc w:val="right"/>
            </w:pPr>
            <w:r>
              <w:rPr>
                <w:rFonts w:eastAsiaTheme="minorEastAsia"/>
                <w:color w:val="000000" w:themeColor="text1"/>
                <w:szCs w:val="21"/>
              </w:rPr>
              <w:t>-</w:t>
            </w:r>
          </w:p>
        </w:tc>
        <w:tc>
          <w:tcPr>
            <w:tcW w:w="1291" w:type="dxa"/>
            <w:vAlign w:val="center"/>
          </w:tcPr>
          <w:p w14:paraId="66158D0B" w14:textId="77777777" w:rsidR="00351E81" w:rsidRDefault="007F3594">
            <w:pPr>
              <w:jc w:val="right"/>
            </w:pPr>
            <w:r>
              <w:rPr>
                <w:rFonts w:eastAsiaTheme="minorEastAsia"/>
                <w:color w:val="000000" w:themeColor="text1"/>
                <w:szCs w:val="21"/>
              </w:rPr>
              <w:t>-</w:t>
            </w:r>
          </w:p>
        </w:tc>
        <w:tc>
          <w:tcPr>
            <w:tcW w:w="1291" w:type="dxa"/>
            <w:vAlign w:val="center"/>
          </w:tcPr>
          <w:p w14:paraId="63D0BDA1" w14:textId="77777777" w:rsidR="00351E81" w:rsidRDefault="007F3594">
            <w:pPr>
              <w:jc w:val="right"/>
            </w:pPr>
            <w:r>
              <w:rPr>
                <w:rFonts w:eastAsiaTheme="minorEastAsia"/>
                <w:color w:val="000000" w:themeColor="text1"/>
                <w:szCs w:val="21"/>
              </w:rPr>
              <w:t>-</w:t>
            </w:r>
          </w:p>
        </w:tc>
        <w:tc>
          <w:tcPr>
            <w:tcW w:w="1291" w:type="dxa"/>
            <w:vAlign w:val="center"/>
          </w:tcPr>
          <w:p w14:paraId="5A07B323" w14:textId="77777777" w:rsidR="00351E81" w:rsidRDefault="007F3594">
            <w:pPr>
              <w:jc w:val="right"/>
            </w:pPr>
            <w:r>
              <w:rPr>
                <w:rFonts w:eastAsiaTheme="minorEastAsia"/>
                <w:color w:val="000000" w:themeColor="text1"/>
                <w:szCs w:val="21"/>
              </w:rPr>
              <w:t>-</w:t>
            </w:r>
          </w:p>
        </w:tc>
        <w:tc>
          <w:tcPr>
            <w:tcW w:w="1291" w:type="dxa"/>
            <w:vAlign w:val="center"/>
          </w:tcPr>
          <w:p w14:paraId="747023E6" w14:textId="77777777" w:rsidR="00351E81" w:rsidRDefault="007F3594">
            <w:pPr>
              <w:jc w:val="right"/>
            </w:pPr>
            <w:r>
              <w:rPr>
                <w:rFonts w:eastAsiaTheme="minorEastAsia"/>
                <w:color w:val="000000" w:themeColor="text1"/>
                <w:szCs w:val="21"/>
              </w:rPr>
              <w:t>-</w:t>
            </w:r>
          </w:p>
        </w:tc>
      </w:tr>
      <w:tr w:rsidR="00351E81" w14:paraId="5F006095" w14:textId="77777777">
        <w:tc>
          <w:tcPr>
            <w:tcW w:w="1290" w:type="dxa"/>
            <w:vAlign w:val="center"/>
          </w:tcPr>
          <w:p w14:paraId="560F2706" w14:textId="77777777" w:rsidR="00351E81" w:rsidRDefault="007F3594">
            <w:pPr>
              <w:jc w:val="left"/>
            </w:pPr>
            <w:r>
              <w:rPr>
                <w:rFonts w:eastAsiaTheme="minorEastAsia"/>
                <w:color w:val="000000" w:themeColor="text1"/>
                <w:szCs w:val="21"/>
              </w:rPr>
              <w:t>过去一年</w:t>
            </w:r>
          </w:p>
        </w:tc>
        <w:tc>
          <w:tcPr>
            <w:tcW w:w="1291" w:type="dxa"/>
            <w:vAlign w:val="center"/>
          </w:tcPr>
          <w:p w14:paraId="1E58F523" w14:textId="77777777" w:rsidR="00351E81" w:rsidRDefault="007F3594">
            <w:pPr>
              <w:jc w:val="right"/>
            </w:pPr>
            <w:r>
              <w:rPr>
                <w:rFonts w:eastAsiaTheme="minorEastAsia"/>
                <w:color w:val="000000" w:themeColor="text1"/>
                <w:szCs w:val="21"/>
              </w:rPr>
              <w:t>-</w:t>
            </w:r>
          </w:p>
        </w:tc>
        <w:tc>
          <w:tcPr>
            <w:tcW w:w="1291" w:type="dxa"/>
            <w:vAlign w:val="center"/>
          </w:tcPr>
          <w:p w14:paraId="55C0FF07" w14:textId="77777777" w:rsidR="00351E81" w:rsidRDefault="007F3594">
            <w:pPr>
              <w:jc w:val="right"/>
            </w:pPr>
            <w:r>
              <w:rPr>
                <w:rFonts w:eastAsiaTheme="minorEastAsia"/>
                <w:color w:val="000000" w:themeColor="text1"/>
                <w:szCs w:val="21"/>
              </w:rPr>
              <w:t>-</w:t>
            </w:r>
          </w:p>
        </w:tc>
        <w:tc>
          <w:tcPr>
            <w:tcW w:w="1291" w:type="dxa"/>
            <w:vAlign w:val="center"/>
          </w:tcPr>
          <w:p w14:paraId="68049C09" w14:textId="77777777" w:rsidR="00351E81" w:rsidRDefault="007F3594">
            <w:pPr>
              <w:jc w:val="right"/>
            </w:pPr>
            <w:r>
              <w:rPr>
                <w:rFonts w:eastAsiaTheme="minorEastAsia"/>
                <w:color w:val="000000" w:themeColor="text1"/>
                <w:szCs w:val="21"/>
              </w:rPr>
              <w:t>-</w:t>
            </w:r>
          </w:p>
        </w:tc>
        <w:tc>
          <w:tcPr>
            <w:tcW w:w="1291" w:type="dxa"/>
            <w:vAlign w:val="center"/>
          </w:tcPr>
          <w:p w14:paraId="13E30613" w14:textId="77777777" w:rsidR="00351E81" w:rsidRDefault="007F3594">
            <w:pPr>
              <w:jc w:val="right"/>
            </w:pPr>
            <w:r>
              <w:rPr>
                <w:rFonts w:eastAsiaTheme="minorEastAsia"/>
                <w:color w:val="000000" w:themeColor="text1"/>
                <w:szCs w:val="21"/>
              </w:rPr>
              <w:t>-</w:t>
            </w:r>
          </w:p>
        </w:tc>
        <w:tc>
          <w:tcPr>
            <w:tcW w:w="1291" w:type="dxa"/>
            <w:vAlign w:val="center"/>
          </w:tcPr>
          <w:p w14:paraId="076CC399" w14:textId="77777777" w:rsidR="00351E81" w:rsidRDefault="007F3594">
            <w:pPr>
              <w:jc w:val="right"/>
            </w:pPr>
            <w:r>
              <w:rPr>
                <w:rFonts w:eastAsiaTheme="minorEastAsia"/>
                <w:color w:val="000000" w:themeColor="text1"/>
                <w:szCs w:val="21"/>
              </w:rPr>
              <w:t>-</w:t>
            </w:r>
          </w:p>
        </w:tc>
        <w:tc>
          <w:tcPr>
            <w:tcW w:w="1291" w:type="dxa"/>
            <w:vAlign w:val="center"/>
          </w:tcPr>
          <w:p w14:paraId="72987D00" w14:textId="77777777" w:rsidR="00351E81" w:rsidRDefault="007F3594">
            <w:pPr>
              <w:jc w:val="right"/>
            </w:pPr>
            <w:r>
              <w:rPr>
                <w:rFonts w:eastAsiaTheme="minorEastAsia"/>
                <w:color w:val="000000" w:themeColor="text1"/>
                <w:szCs w:val="21"/>
              </w:rPr>
              <w:t>-</w:t>
            </w:r>
          </w:p>
        </w:tc>
      </w:tr>
      <w:tr w:rsidR="00351E81" w14:paraId="75917A8B" w14:textId="77777777">
        <w:tc>
          <w:tcPr>
            <w:tcW w:w="1290" w:type="dxa"/>
            <w:vAlign w:val="center"/>
          </w:tcPr>
          <w:p w14:paraId="2C863070" w14:textId="77777777" w:rsidR="00351E81" w:rsidRDefault="007F3594">
            <w:pPr>
              <w:jc w:val="left"/>
            </w:pPr>
            <w:r>
              <w:rPr>
                <w:rFonts w:eastAsiaTheme="minorEastAsia"/>
                <w:color w:val="000000" w:themeColor="text1"/>
                <w:szCs w:val="21"/>
              </w:rPr>
              <w:t>过去三年</w:t>
            </w:r>
          </w:p>
        </w:tc>
        <w:tc>
          <w:tcPr>
            <w:tcW w:w="1291" w:type="dxa"/>
            <w:vAlign w:val="center"/>
          </w:tcPr>
          <w:p w14:paraId="32FCF947" w14:textId="77777777" w:rsidR="00351E81" w:rsidRDefault="007F3594">
            <w:pPr>
              <w:jc w:val="right"/>
            </w:pPr>
            <w:r>
              <w:rPr>
                <w:rFonts w:eastAsiaTheme="minorEastAsia"/>
                <w:color w:val="000000" w:themeColor="text1"/>
                <w:szCs w:val="21"/>
              </w:rPr>
              <w:t>-</w:t>
            </w:r>
          </w:p>
        </w:tc>
        <w:tc>
          <w:tcPr>
            <w:tcW w:w="1291" w:type="dxa"/>
            <w:vAlign w:val="center"/>
          </w:tcPr>
          <w:p w14:paraId="2DF3E24D" w14:textId="77777777" w:rsidR="00351E81" w:rsidRDefault="007F3594">
            <w:pPr>
              <w:jc w:val="right"/>
            </w:pPr>
            <w:r>
              <w:rPr>
                <w:rFonts w:eastAsiaTheme="minorEastAsia"/>
                <w:color w:val="000000" w:themeColor="text1"/>
                <w:szCs w:val="21"/>
              </w:rPr>
              <w:t>-</w:t>
            </w:r>
          </w:p>
        </w:tc>
        <w:tc>
          <w:tcPr>
            <w:tcW w:w="1291" w:type="dxa"/>
            <w:vAlign w:val="center"/>
          </w:tcPr>
          <w:p w14:paraId="003D5EB8" w14:textId="77777777" w:rsidR="00351E81" w:rsidRDefault="007F3594">
            <w:pPr>
              <w:jc w:val="right"/>
            </w:pPr>
            <w:r>
              <w:rPr>
                <w:rFonts w:eastAsiaTheme="minorEastAsia"/>
                <w:color w:val="000000" w:themeColor="text1"/>
                <w:szCs w:val="21"/>
              </w:rPr>
              <w:t>-</w:t>
            </w:r>
          </w:p>
        </w:tc>
        <w:tc>
          <w:tcPr>
            <w:tcW w:w="1291" w:type="dxa"/>
            <w:vAlign w:val="center"/>
          </w:tcPr>
          <w:p w14:paraId="4D677BE7" w14:textId="77777777" w:rsidR="00351E81" w:rsidRDefault="007F3594">
            <w:pPr>
              <w:jc w:val="right"/>
            </w:pPr>
            <w:r>
              <w:rPr>
                <w:rFonts w:eastAsiaTheme="minorEastAsia"/>
                <w:color w:val="000000" w:themeColor="text1"/>
                <w:szCs w:val="21"/>
              </w:rPr>
              <w:t>-</w:t>
            </w:r>
          </w:p>
        </w:tc>
        <w:tc>
          <w:tcPr>
            <w:tcW w:w="1291" w:type="dxa"/>
            <w:vAlign w:val="center"/>
          </w:tcPr>
          <w:p w14:paraId="16093C91" w14:textId="77777777" w:rsidR="00351E81" w:rsidRDefault="007F3594">
            <w:pPr>
              <w:jc w:val="right"/>
            </w:pPr>
            <w:r>
              <w:rPr>
                <w:rFonts w:eastAsiaTheme="minorEastAsia"/>
                <w:color w:val="000000" w:themeColor="text1"/>
                <w:szCs w:val="21"/>
              </w:rPr>
              <w:t>-</w:t>
            </w:r>
          </w:p>
        </w:tc>
        <w:tc>
          <w:tcPr>
            <w:tcW w:w="1291" w:type="dxa"/>
            <w:vAlign w:val="center"/>
          </w:tcPr>
          <w:p w14:paraId="7B653AE6" w14:textId="77777777" w:rsidR="00351E81" w:rsidRDefault="007F3594">
            <w:pPr>
              <w:jc w:val="right"/>
            </w:pPr>
            <w:r>
              <w:rPr>
                <w:rFonts w:eastAsiaTheme="minorEastAsia"/>
                <w:color w:val="000000" w:themeColor="text1"/>
                <w:szCs w:val="21"/>
              </w:rPr>
              <w:t>-</w:t>
            </w:r>
          </w:p>
        </w:tc>
      </w:tr>
      <w:tr w:rsidR="00351E81" w14:paraId="36AA9EC7" w14:textId="77777777">
        <w:tc>
          <w:tcPr>
            <w:tcW w:w="1290" w:type="dxa"/>
            <w:vAlign w:val="center"/>
          </w:tcPr>
          <w:p w14:paraId="69172366" w14:textId="77777777" w:rsidR="00351E81" w:rsidRDefault="007F3594">
            <w:pPr>
              <w:jc w:val="left"/>
            </w:pPr>
            <w:r>
              <w:rPr>
                <w:rFonts w:eastAsiaTheme="minorEastAsia"/>
                <w:color w:val="000000" w:themeColor="text1"/>
                <w:szCs w:val="21"/>
              </w:rPr>
              <w:t>过去五年</w:t>
            </w:r>
          </w:p>
        </w:tc>
        <w:tc>
          <w:tcPr>
            <w:tcW w:w="1291" w:type="dxa"/>
            <w:vAlign w:val="center"/>
          </w:tcPr>
          <w:p w14:paraId="37B5F877" w14:textId="77777777" w:rsidR="00351E81" w:rsidRDefault="007F3594">
            <w:pPr>
              <w:jc w:val="right"/>
            </w:pPr>
            <w:r>
              <w:rPr>
                <w:rFonts w:eastAsiaTheme="minorEastAsia"/>
                <w:color w:val="000000" w:themeColor="text1"/>
                <w:szCs w:val="21"/>
              </w:rPr>
              <w:t>-</w:t>
            </w:r>
          </w:p>
        </w:tc>
        <w:tc>
          <w:tcPr>
            <w:tcW w:w="1291" w:type="dxa"/>
            <w:vAlign w:val="center"/>
          </w:tcPr>
          <w:p w14:paraId="5B09C319" w14:textId="77777777" w:rsidR="00351E81" w:rsidRDefault="007F3594">
            <w:pPr>
              <w:jc w:val="right"/>
            </w:pPr>
            <w:r>
              <w:rPr>
                <w:rFonts w:eastAsiaTheme="minorEastAsia"/>
                <w:color w:val="000000" w:themeColor="text1"/>
                <w:szCs w:val="21"/>
              </w:rPr>
              <w:t>-</w:t>
            </w:r>
          </w:p>
        </w:tc>
        <w:tc>
          <w:tcPr>
            <w:tcW w:w="1291" w:type="dxa"/>
            <w:vAlign w:val="center"/>
          </w:tcPr>
          <w:p w14:paraId="208E7611" w14:textId="77777777" w:rsidR="00351E81" w:rsidRDefault="007F3594">
            <w:pPr>
              <w:jc w:val="right"/>
            </w:pPr>
            <w:r>
              <w:rPr>
                <w:rFonts w:eastAsiaTheme="minorEastAsia"/>
                <w:color w:val="000000" w:themeColor="text1"/>
                <w:szCs w:val="21"/>
              </w:rPr>
              <w:t>-</w:t>
            </w:r>
          </w:p>
        </w:tc>
        <w:tc>
          <w:tcPr>
            <w:tcW w:w="1291" w:type="dxa"/>
            <w:vAlign w:val="center"/>
          </w:tcPr>
          <w:p w14:paraId="145437CE" w14:textId="77777777" w:rsidR="00351E81" w:rsidRDefault="007F3594">
            <w:pPr>
              <w:jc w:val="right"/>
            </w:pPr>
            <w:r>
              <w:rPr>
                <w:rFonts w:eastAsiaTheme="minorEastAsia"/>
                <w:color w:val="000000" w:themeColor="text1"/>
                <w:szCs w:val="21"/>
              </w:rPr>
              <w:t>-</w:t>
            </w:r>
          </w:p>
        </w:tc>
        <w:tc>
          <w:tcPr>
            <w:tcW w:w="1291" w:type="dxa"/>
            <w:vAlign w:val="center"/>
          </w:tcPr>
          <w:p w14:paraId="7DED9434" w14:textId="77777777" w:rsidR="00351E81" w:rsidRDefault="007F3594">
            <w:pPr>
              <w:jc w:val="right"/>
            </w:pPr>
            <w:r>
              <w:rPr>
                <w:rFonts w:eastAsiaTheme="minorEastAsia"/>
                <w:color w:val="000000" w:themeColor="text1"/>
                <w:szCs w:val="21"/>
              </w:rPr>
              <w:t>-</w:t>
            </w:r>
          </w:p>
        </w:tc>
        <w:tc>
          <w:tcPr>
            <w:tcW w:w="1291" w:type="dxa"/>
            <w:vAlign w:val="center"/>
          </w:tcPr>
          <w:p w14:paraId="1E5B7BD7" w14:textId="77777777" w:rsidR="00351E81" w:rsidRDefault="007F3594">
            <w:pPr>
              <w:jc w:val="right"/>
            </w:pPr>
            <w:r>
              <w:rPr>
                <w:rFonts w:eastAsiaTheme="minorEastAsia"/>
                <w:color w:val="000000" w:themeColor="text1"/>
                <w:szCs w:val="21"/>
              </w:rPr>
              <w:t>-</w:t>
            </w:r>
          </w:p>
        </w:tc>
      </w:tr>
      <w:tr w:rsidR="00351E81" w14:paraId="3B72AC76" w14:textId="77777777">
        <w:tc>
          <w:tcPr>
            <w:tcW w:w="1290" w:type="dxa"/>
            <w:vAlign w:val="center"/>
          </w:tcPr>
          <w:p w14:paraId="4A9A108F" w14:textId="77777777" w:rsidR="00351E81" w:rsidRDefault="007F3594">
            <w:pPr>
              <w:jc w:val="left"/>
            </w:pPr>
            <w:r>
              <w:rPr>
                <w:rFonts w:eastAsiaTheme="minorEastAsia"/>
                <w:color w:val="000000" w:themeColor="text1"/>
                <w:szCs w:val="21"/>
              </w:rPr>
              <w:t>自基金合同生效起至今</w:t>
            </w:r>
          </w:p>
        </w:tc>
        <w:tc>
          <w:tcPr>
            <w:tcW w:w="1291" w:type="dxa"/>
            <w:vAlign w:val="center"/>
          </w:tcPr>
          <w:p w14:paraId="137A16BE" w14:textId="77777777" w:rsidR="00351E81" w:rsidRDefault="007F3594">
            <w:pPr>
              <w:jc w:val="right"/>
            </w:pPr>
            <w:r>
              <w:rPr>
                <w:rFonts w:eastAsiaTheme="minorEastAsia"/>
                <w:color w:val="000000" w:themeColor="text1"/>
                <w:szCs w:val="21"/>
              </w:rPr>
              <w:t>1.19%</w:t>
            </w:r>
          </w:p>
        </w:tc>
        <w:tc>
          <w:tcPr>
            <w:tcW w:w="1291" w:type="dxa"/>
            <w:vAlign w:val="center"/>
          </w:tcPr>
          <w:p w14:paraId="4DC733DD" w14:textId="77777777" w:rsidR="00351E81" w:rsidRDefault="007F3594">
            <w:pPr>
              <w:jc w:val="right"/>
            </w:pPr>
            <w:r>
              <w:rPr>
                <w:rFonts w:eastAsiaTheme="minorEastAsia"/>
                <w:color w:val="000000" w:themeColor="text1"/>
                <w:szCs w:val="21"/>
              </w:rPr>
              <w:t>0.04%</w:t>
            </w:r>
          </w:p>
        </w:tc>
        <w:tc>
          <w:tcPr>
            <w:tcW w:w="1291" w:type="dxa"/>
            <w:vAlign w:val="center"/>
          </w:tcPr>
          <w:p w14:paraId="6E1D9201" w14:textId="77777777" w:rsidR="00351E81" w:rsidRDefault="007F3594">
            <w:pPr>
              <w:jc w:val="right"/>
            </w:pPr>
            <w:r>
              <w:rPr>
                <w:rFonts w:eastAsiaTheme="minorEastAsia"/>
                <w:color w:val="000000" w:themeColor="text1"/>
                <w:szCs w:val="21"/>
              </w:rPr>
              <w:t>1.63%</w:t>
            </w:r>
          </w:p>
        </w:tc>
        <w:tc>
          <w:tcPr>
            <w:tcW w:w="1291" w:type="dxa"/>
            <w:vAlign w:val="center"/>
          </w:tcPr>
          <w:p w14:paraId="7F771FB4" w14:textId="77777777" w:rsidR="00351E81" w:rsidRDefault="007F3594">
            <w:pPr>
              <w:jc w:val="right"/>
            </w:pPr>
            <w:r>
              <w:rPr>
                <w:rFonts w:eastAsiaTheme="minorEastAsia"/>
                <w:color w:val="000000" w:themeColor="text1"/>
                <w:szCs w:val="21"/>
              </w:rPr>
              <w:t>0.35%</w:t>
            </w:r>
          </w:p>
        </w:tc>
        <w:tc>
          <w:tcPr>
            <w:tcW w:w="1291" w:type="dxa"/>
            <w:vAlign w:val="center"/>
          </w:tcPr>
          <w:p w14:paraId="18083999" w14:textId="77777777" w:rsidR="00351E81" w:rsidRDefault="007F3594">
            <w:pPr>
              <w:jc w:val="right"/>
            </w:pPr>
            <w:r>
              <w:rPr>
                <w:rFonts w:eastAsiaTheme="minorEastAsia"/>
                <w:color w:val="000000" w:themeColor="text1"/>
                <w:szCs w:val="21"/>
              </w:rPr>
              <w:t>-0.44%</w:t>
            </w:r>
          </w:p>
        </w:tc>
        <w:tc>
          <w:tcPr>
            <w:tcW w:w="1291" w:type="dxa"/>
            <w:vAlign w:val="center"/>
          </w:tcPr>
          <w:p w14:paraId="0E966A24" w14:textId="77777777" w:rsidR="00351E81" w:rsidRDefault="007F3594">
            <w:pPr>
              <w:jc w:val="right"/>
            </w:pPr>
            <w:r>
              <w:rPr>
                <w:rFonts w:eastAsiaTheme="minorEastAsia"/>
                <w:color w:val="000000" w:themeColor="text1"/>
                <w:szCs w:val="21"/>
              </w:rPr>
              <w:t>-0.31%</w:t>
            </w:r>
          </w:p>
        </w:tc>
      </w:tr>
    </w:tbl>
    <w:p w14:paraId="394F0C5A" w14:textId="77777777" w:rsidR="0076518F" w:rsidRPr="00A3398F" w:rsidRDefault="0076518F" w:rsidP="008B6A4A">
      <w:pPr>
        <w:autoSpaceDE w:val="0"/>
        <w:autoSpaceDN w:val="0"/>
        <w:adjustRightInd w:val="0"/>
        <w:spacing w:line="360" w:lineRule="auto"/>
        <w:jc w:val="left"/>
        <w:rPr>
          <w:rFonts w:eastAsiaTheme="minorEastAsia"/>
          <w:color w:val="000000" w:themeColor="text1"/>
          <w:kern w:val="0"/>
          <w:sz w:val="24"/>
        </w:rPr>
      </w:pPr>
    </w:p>
    <w:p w14:paraId="2899983C" w14:textId="77777777" w:rsidR="0076518F" w:rsidRPr="00A3398F" w:rsidRDefault="0076518F" w:rsidP="00EC4BA3">
      <w:pPr>
        <w:autoSpaceDE w:val="0"/>
        <w:autoSpaceDN w:val="0"/>
        <w:adjustRightInd w:val="0"/>
        <w:spacing w:line="360" w:lineRule="auto"/>
        <w:jc w:val="left"/>
        <w:rPr>
          <w:rFonts w:eastAsiaTheme="minorEastAsia"/>
          <w:b/>
          <w:color w:val="000000" w:themeColor="text1"/>
          <w:kern w:val="0"/>
          <w:sz w:val="24"/>
        </w:rPr>
      </w:pPr>
      <w:r w:rsidRPr="00A3398F">
        <w:rPr>
          <w:rFonts w:eastAsiaTheme="minorEastAsia"/>
          <w:b/>
          <w:color w:val="000000" w:themeColor="text1"/>
          <w:kern w:val="0"/>
          <w:sz w:val="24"/>
        </w:rPr>
        <w:t>3.2.2</w:t>
      </w:r>
      <w:r w:rsidRPr="00A3398F">
        <w:rPr>
          <w:rFonts w:eastAsiaTheme="minorEastAsia"/>
          <w:b/>
          <w:color w:val="000000" w:themeColor="text1"/>
          <w:kern w:val="0"/>
          <w:sz w:val="24"/>
        </w:rPr>
        <w:t xml:space="preserve">　</w:t>
      </w:r>
      <w:r w:rsidR="009779FD" w:rsidRPr="00A3398F">
        <w:rPr>
          <w:rStyle w:val="afb"/>
          <w:color w:val="000000" w:themeColor="text1"/>
          <w:sz w:val="24"/>
          <w:shd w:val="clear" w:color="auto" w:fill="FFFFFF"/>
        </w:rPr>
        <w:t>自基金合同生效以来</w:t>
      </w:r>
      <w:r w:rsidRPr="00A3398F">
        <w:rPr>
          <w:rFonts w:eastAsiaTheme="minorEastAsia"/>
          <w:b/>
          <w:color w:val="000000" w:themeColor="text1"/>
          <w:kern w:val="0"/>
          <w:sz w:val="24"/>
        </w:rPr>
        <w:t>基金累计</w:t>
      </w:r>
      <w:r w:rsidR="004339D9" w:rsidRPr="00A3398F">
        <w:rPr>
          <w:rFonts w:eastAsiaTheme="minorEastAsia"/>
          <w:b/>
          <w:color w:val="000000" w:themeColor="text1"/>
          <w:kern w:val="0"/>
          <w:sz w:val="24"/>
        </w:rPr>
        <w:t>份额</w:t>
      </w:r>
      <w:r w:rsidRPr="00A3398F">
        <w:rPr>
          <w:rFonts w:eastAsiaTheme="minorEastAsia"/>
          <w:b/>
          <w:color w:val="000000" w:themeColor="text1"/>
          <w:kern w:val="0"/>
          <w:sz w:val="24"/>
        </w:rPr>
        <w:t>净值增长率变动及其与同期业绩比较基准收益率变动的比较</w:t>
      </w:r>
    </w:p>
    <w:p w14:paraId="277210D6" w14:textId="77777777" w:rsidR="00A96FD9" w:rsidRPr="00A3398F" w:rsidRDefault="00A96FD9" w:rsidP="00EC4BA3">
      <w:pPr>
        <w:spacing w:line="360" w:lineRule="auto"/>
        <w:jc w:val="center"/>
        <w:rPr>
          <w:rFonts w:eastAsiaTheme="minorEastAsia"/>
          <w:color w:val="000000" w:themeColor="text1"/>
          <w:szCs w:val="21"/>
        </w:rPr>
      </w:pPr>
      <w:r w:rsidRPr="00A3398F">
        <w:rPr>
          <w:rFonts w:eastAsiaTheme="minorEastAsia"/>
          <w:color w:val="000000" w:themeColor="text1"/>
          <w:szCs w:val="21"/>
        </w:rPr>
        <w:t>摩根海外稳健配置混合型证券投资基金</w:t>
      </w:r>
      <w:r w:rsidRPr="00A3398F">
        <w:rPr>
          <w:rFonts w:eastAsiaTheme="minorEastAsia"/>
          <w:color w:val="000000" w:themeColor="text1"/>
          <w:szCs w:val="21"/>
        </w:rPr>
        <w:t>(QDII-FOF)</w:t>
      </w:r>
    </w:p>
    <w:p w14:paraId="5DFCAFD1" w14:textId="77777777" w:rsidR="00FB39F7" w:rsidRPr="00A3398F" w:rsidRDefault="00FB39F7" w:rsidP="00EC4BA3">
      <w:pPr>
        <w:pStyle w:val="a5"/>
        <w:snapToGrid w:val="0"/>
        <w:spacing w:line="360" w:lineRule="auto"/>
        <w:ind w:firstLine="480"/>
        <w:jc w:val="center"/>
        <w:rPr>
          <w:rFonts w:ascii="Times New Roman" w:eastAsiaTheme="minorEastAsia" w:hAnsi="Times New Roman"/>
          <w:color w:val="000000" w:themeColor="text1"/>
        </w:rPr>
      </w:pPr>
      <w:r w:rsidRPr="00A3398F">
        <w:rPr>
          <w:rFonts w:ascii="Times New Roman" w:eastAsiaTheme="minorEastAsia" w:hAnsi="Times New Roman"/>
          <w:color w:val="000000" w:themeColor="text1"/>
        </w:rPr>
        <w:lastRenderedPageBreak/>
        <w:t>累计</w:t>
      </w:r>
      <w:r w:rsidR="00C67DCB" w:rsidRPr="00A3398F">
        <w:rPr>
          <w:rFonts w:ascii="Times New Roman" w:eastAsiaTheme="minorEastAsia" w:hAnsi="Times New Roman"/>
          <w:color w:val="000000" w:themeColor="text1"/>
        </w:rPr>
        <w:t>份额</w:t>
      </w:r>
      <w:r w:rsidRPr="00A3398F">
        <w:rPr>
          <w:rFonts w:ascii="Times New Roman" w:eastAsiaTheme="minorEastAsia" w:hAnsi="Times New Roman"/>
          <w:color w:val="000000" w:themeColor="text1"/>
        </w:rPr>
        <w:t>净值增长率与业绩比较基准收益率历史走势对比图</w:t>
      </w:r>
    </w:p>
    <w:p w14:paraId="41F1C91B" w14:textId="77777777" w:rsidR="005908C0" w:rsidRPr="00A3398F" w:rsidRDefault="005908C0" w:rsidP="00EC4BA3">
      <w:pPr>
        <w:spacing w:line="360" w:lineRule="auto"/>
        <w:jc w:val="center"/>
        <w:rPr>
          <w:rFonts w:eastAsiaTheme="minorEastAsia"/>
          <w:color w:val="000000" w:themeColor="text1"/>
          <w:szCs w:val="21"/>
        </w:rPr>
      </w:pPr>
      <w:r w:rsidRPr="00A3398F">
        <w:rPr>
          <w:rFonts w:eastAsiaTheme="minorEastAsia"/>
          <w:color w:val="000000" w:themeColor="text1"/>
          <w:kern w:val="0"/>
          <w:szCs w:val="21"/>
        </w:rPr>
        <w:t>（</w:t>
      </w:r>
      <w:r w:rsidR="00623556" w:rsidRPr="00A3398F">
        <w:rPr>
          <w:rFonts w:eastAsiaTheme="minorEastAsia"/>
          <w:color w:val="000000" w:themeColor="text1"/>
          <w:kern w:val="0"/>
          <w:szCs w:val="21"/>
        </w:rPr>
        <w:t>2023</w:t>
      </w:r>
      <w:r w:rsidR="00623556" w:rsidRPr="00A3398F">
        <w:rPr>
          <w:rFonts w:eastAsiaTheme="minorEastAsia"/>
          <w:color w:val="000000" w:themeColor="text1"/>
          <w:kern w:val="0"/>
          <w:szCs w:val="21"/>
        </w:rPr>
        <w:t>年</w:t>
      </w:r>
      <w:r w:rsidR="00623556" w:rsidRPr="00A3398F">
        <w:rPr>
          <w:rFonts w:eastAsiaTheme="minorEastAsia"/>
          <w:color w:val="000000" w:themeColor="text1"/>
          <w:kern w:val="0"/>
          <w:szCs w:val="21"/>
        </w:rPr>
        <w:t>5</w:t>
      </w:r>
      <w:r w:rsidR="00623556" w:rsidRPr="00A3398F">
        <w:rPr>
          <w:rFonts w:eastAsiaTheme="minorEastAsia"/>
          <w:color w:val="000000" w:themeColor="text1"/>
          <w:kern w:val="0"/>
          <w:szCs w:val="21"/>
        </w:rPr>
        <w:t>月</w:t>
      </w:r>
      <w:r w:rsidR="00623556" w:rsidRPr="00A3398F">
        <w:rPr>
          <w:rFonts w:eastAsiaTheme="minorEastAsia"/>
          <w:color w:val="000000" w:themeColor="text1"/>
          <w:kern w:val="0"/>
          <w:szCs w:val="21"/>
        </w:rPr>
        <w:t>23</w:t>
      </w:r>
      <w:r w:rsidR="00623556" w:rsidRPr="00A3398F">
        <w:rPr>
          <w:rFonts w:eastAsiaTheme="minorEastAsia"/>
          <w:color w:val="000000" w:themeColor="text1"/>
          <w:kern w:val="0"/>
          <w:szCs w:val="21"/>
        </w:rPr>
        <w:t>日</w:t>
      </w:r>
      <w:r w:rsidRPr="00A3398F">
        <w:rPr>
          <w:rFonts w:eastAsiaTheme="minorEastAsia"/>
          <w:color w:val="000000" w:themeColor="text1"/>
          <w:kern w:val="0"/>
          <w:szCs w:val="21"/>
        </w:rPr>
        <w:t>至</w:t>
      </w:r>
      <w:r w:rsidRPr="00A3398F">
        <w:rPr>
          <w:rFonts w:eastAsiaTheme="minorEastAsia"/>
          <w:color w:val="000000" w:themeColor="text1"/>
          <w:kern w:val="0"/>
          <w:szCs w:val="21"/>
        </w:rPr>
        <w:t>2024</w:t>
      </w:r>
      <w:r w:rsidRPr="00A3398F">
        <w:rPr>
          <w:rFonts w:eastAsiaTheme="minorEastAsia"/>
          <w:color w:val="000000" w:themeColor="text1"/>
          <w:kern w:val="0"/>
          <w:szCs w:val="21"/>
        </w:rPr>
        <w:t>年</w:t>
      </w:r>
      <w:r w:rsidRPr="00A3398F">
        <w:rPr>
          <w:rFonts w:eastAsiaTheme="minorEastAsia"/>
          <w:color w:val="000000" w:themeColor="text1"/>
          <w:kern w:val="0"/>
          <w:szCs w:val="21"/>
        </w:rPr>
        <w:t>6</w:t>
      </w:r>
      <w:r w:rsidRPr="00A3398F">
        <w:rPr>
          <w:rFonts w:eastAsiaTheme="minorEastAsia"/>
          <w:color w:val="000000" w:themeColor="text1"/>
          <w:kern w:val="0"/>
          <w:szCs w:val="21"/>
        </w:rPr>
        <w:t>月</w:t>
      </w:r>
      <w:r w:rsidRPr="00A3398F">
        <w:rPr>
          <w:rFonts w:eastAsiaTheme="minorEastAsia"/>
          <w:color w:val="000000" w:themeColor="text1"/>
          <w:kern w:val="0"/>
          <w:szCs w:val="21"/>
        </w:rPr>
        <w:t>30</w:t>
      </w:r>
      <w:r w:rsidRPr="00A3398F">
        <w:rPr>
          <w:rFonts w:eastAsiaTheme="minorEastAsia"/>
          <w:color w:val="000000" w:themeColor="text1"/>
          <w:kern w:val="0"/>
          <w:szCs w:val="21"/>
        </w:rPr>
        <w:t>日）</w:t>
      </w:r>
    </w:p>
    <w:p w14:paraId="73BCE506" w14:textId="77777777" w:rsidR="0065601A" w:rsidRPr="00A3398F" w:rsidRDefault="0065601A" w:rsidP="0065601A">
      <w:pPr>
        <w:snapToGrid w:val="0"/>
        <w:spacing w:line="360" w:lineRule="auto"/>
        <w:rPr>
          <w:rFonts w:eastAsiaTheme="minorEastAsia"/>
          <w:color w:val="000000" w:themeColor="text1"/>
          <w:szCs w:val="21"/>
        </w:rPr>
      </w:pPr>
      <w:r w:rsidRPr="00A3398F">
        <w:rPr>
          <w:rFonts w:eastAsiaTheme="minorEastAsia"/>
          <w:color w:val="000000" w:themeColor="text1"/>
          <w:szCs w:val="21"/>
        </w:rPr>
        <w:t>1</w:t>
      </w:r>
      <w:r w:rsidRPr="00A3398F">
        <w:rPr>
          <w:rFonts w:eastAsiaTheme="minorEastAsia"/>
          <w:color w:val="000000" w:themeColor="text1"/>
          <w:szCs w:val="21"/>
        </w:rPr>
        <w:t>．摩根海外稳健配置混合</w:t>
      </w:r>
      <w:r w:rsidRPr="00A3398F">
        <w:rPr>
          <w:rFonts w:eastAsiaTheme="minorEastAsia"/>
          <w:color w:val="000000" w:themeColor="text1"/>
          <w:szCs w:val="21"/>
        </w:rPr>
        <w:t>(QDII-FOF)</w:t>
      </w:r>
      <w:r w:rsidRPr="00A3398F">
        <w:rPr>
          <w:rFonts w:eastAsiaTheme="minorEastAsia"/>
          <w:color w:val="000000" w:themeColor="text1"/>
          <w:szCs w:val="21"/>
        </w:rPr>
        <w:t>人民币</w:t>
      </w:r>
      <w:r w:rsidRPr="00A3398F">
        <w:rPr>
          <w:rFonts w:eastAsiaTheme="minorEastAsia"/>
          <w:color w:val="000000" w:themeColor="text1"/>
          <w:szCs w:val="21"/>
        </w:rPr>
        <w:t>A</w:t>
      </w:r>
      <w:r w:rsidRPr="00A3398F">
        <w:rPr>
          <w:rFonts w:eastAsiaTheme="minorEastAsia"/>
          <w:color w:val="000000" w:themeColor="text1"/>
          <w:szCs w:val="21"/>
        </w:rPr>
        <w:t>：</w:t>
      </w:r>
    </w:p>
    <w:p w14:paraId="30AB1DAD" w14:textId="77777777" w:rsidR="0065601A" w:rsidRPr="00A3398F" w:rsidRDefault="0065601A" w:rsidP="0065601A">
      <w:pPr>
        <w:pStyle w:val="20"/>
        <w:spacing w:line="288" w:lineRule="auto"/>
        <w:ind w:firstLineChars="0" w:firstLine="0"/>
        <w:jc w:val="center"/>
        <w:rPr>
          <w:rFonts w:ascii="Times New Roman" w:eastAsiaTheme="minorEastAsia" w:hAnsi="Times New Roman"/>
          <w:color w:val="000000" w:themeColor="text1"/>
          <w:sz w:val="21"/>
          <w:szCs w:val="21"/>
        </w:rPr>
      </w:pPr>
      <w:r w:rsidRPr="00A3398F">
        <w:rPr>
          <w:rFonts w:ascii="Times New Roman" w:eastAsiaTheme="minorEastAsia" w:hAnsi="Times New Roman"/>
          <w:noProof/>
          <w:color w:val="000000" w:themeColor="text1"/>
          <w:sz w:val="21"/>
          <w:szCs w:val="21"/>
        </w:rPr>
        <w:drawing>
          <wp:inline distT="0" distB="0" distL="0" distR="0" wp14:anchorId="740D1154" wp14:editId="345EB9FA">
            <wp:extent cx="5591175" cy="3276600"/>
            <wp:effectExtent l="0" t="0" r="0" b="0"/>
            <wp:docPr id="2" name="图片 2" descr="D:\浏览器下载\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浏览器下载\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1175" cy="3276600"/>
                    </a:xfrm>
                    <a:prstGeom prst="rect">
                      <a:avLst/>
                    </a:prstGeom>
                    <a:noFill/>
                    <a:ln>
                      <a:noFill/>
                    </a:ln>
                  </pic:spPr>
                </pic:pic>
              </a:graphicData>
            </a:graphic>
          </wp:inline>
        </w:drawing>
      </w:r>
    </w:p>
    <w:p w14:paraId="2F9E517C" w14:textId="77777777" w:rsidR="00351E81" w:rsidRDefault="007F3594">
      <w:pPr>
        <w:spacing w:line="360" w:lineRule="auto"/>
        <w:ind w:firstLineChars="200" w:firstLine="420"/>
        <w:rPr>
          <w:rFonts w:eastAsiaTheme="minorEastAsia"/>
          <w:color w:val="000000" w:themeColor="text1"/>
          <w:szCs w:val="21"/>
        </w:rPr>
      </w:pPr>
      <w:r>
        <w:rPr>
          <w:rFonts w:eastAsiaTheme="minorEastAsia"/>
          <w:color w:val="000000" w:themeColor="text1"/>
          <w:szCs w:val="21"/>
        </w:rPr>
        <w:t>注：本基金合同生效日为</w:t>
      </w:r>
      <w:r>
        <w:rPr>
          <w:rFonts w:eastAsiaTheme="minorEastAsia"/>
          <w:color w:val="000000" w:themeColor="text1"/>
          <w:szCs w:val="21"/>
        </w:rPr>
        <w:t>2023</w:t>
      </w:r>
      <w:r>
        <w:rPr>
          <w:rFonts w:eastAsiaTheme="minorEastAsia"/>
          <w:color w:val="000000" w:themeColor="text1"/>
          <w:szCs w:val="21"/>
        </w:rPr>
        <w:t>年</w:t>
      </w:r>
      <w:r>
        <w:rPr>
          <w:rFonts w:eastAsiaTheme="minorEastAsia"/>
          <w:color w:val="000000" w:themeColor="text1"/>
          <w:szCs w:val="21"/>
        </w:rPr>
        <w:t>5</w:t>
      </w:r>
      <w:r>
        <w:rPr>
          <w:rFonts w:eastAsiaTheme="minorEastAsia"/>
          <w:color w:val="000000" w:themeColor="text1"/>
          <w:szCs w:val="21"/>
        </w:rPr>
        <w:t>月</w:t>
      </w:r>
      <w:r>
        <w:rPr>
          <w:rFonts w:eastAsiaTheme="minorEastAsia"/>
          <w:color w:val="000000" w:themeColor="text1"/>
          <w:szCs w:val="21"/>
        </w:rPr>
        <w:t>23</w:t>
      </w:r>
      <w:r>
        <w:rPr>
          <w:rFonts w:eastAsiaTheme="minorEastAsia"/>
          <w:color w:val="000000" w:themeColor="text1"/>
          <w:szCs w:val="21"/>
        </w:rPr>
        <w:t>日，截至本报告期末本基金合同生效未满一年。</w:t>
      </w:r>
    </w:p>
    <w:p w14:paraId="67A8E181" w14:textId="77777777" w:rsidR="0065601A" w:rsidRPr="00A3398F" w:rsidRDefault="0065601A" w:rsidP="0065601A">
      <w:pPr>
        <w:spacing w:line="360" w:lineRule="auto"/>
        <w:ind w:firstLineChars="200" w:firstLine="420"/>
        <w:rPr>
          <w:rFonts w:eastAsiaTheme="minorEastAsia"/>
          <w:color w:val="000000" w:themeColor="text1"/>
          <w:szCs w:val="21"/>
        </w:rPr>
      </w:pPr>
      <w:r w:rsidRPr="00A3398F">
        <w:rPr>
          <w:rFonts w:eastAsiaTheme="minorEastAsia"/>
          <w:color w:val="000000" w:themeColor="text1"/>
          <w:szCs w:val="21"/>
        </w:rPr>
        <w:t>本基金建仓期为本基金合同生效日起</w:t>
      </w:r>
      <w:r w:rsidRPr="00A3398F">
        <w:rPr>
          <w:rFonts w:eastAsiaTheme="minorEastAsia"/>
          <w:color w:val="000000" w:themeColor="text1"/>
          <w:szCs w:val="21"/>
        </w:rPr>
        <w:t xml:space="preserve"> 6 </w:t>
      </w:r>
      <w:r w:rsidRPr="00A3398F">
        <w:rPr>
          <w:rFonts w:eastAsiaTheme="minorEastAsia"/>
          <w:color w:val="000000" w:themeColor="text1"/>
          <w:szCs w:val="21"/>
        </w:rPr>
        <w:t>个月，建仓期结束时资产配置比例符合本基金基金合同规定。</w:t>
      </w:r>
      <w:r w:rsidRPr="00A3398F">
        <w:rPr>
          <w:rFonts w:eastAsiaTheme="minorEastAsia"/>
          <w:color w:val="000000" w:themeColor="text1"/>
          <w:szCs w:val="21"/>
        </w:rPr>
        <w:t xml:space="preserve"> </w:t>
      </w:r>
    </w:p>
    <w:p w14:paraId="54DFFB70" w14:textId="77777777" w:rsidR="0065601A" w:rsidRPr="00A3398F" w:rsidRDefault="0065601A" w:rsidP="009E705F">
      <w:pPr>
        <w:snapToGrid w:val="0"/>
        <w:spacing w:beforeLines="100" w:before="312" w:line="360" w:lineRule="auto"/>
        <w:rPr>
          <w:rFonts w:eastAsiaTheme="minorEastAsia"/>
          <w:color w:val="000000" w:themeColor="text1"/>
          <w:szCs w:val="21"/>
        </w:rPr>
      </w:pPr>
      <w:r w:rsidRPr="00A3398F">
        <w:rPr>
          <w:rFonts w:eastAsiaTheme="minorEastAsia"/>
          <w:color w:val="000000" w:themeColor="text1"/>
          <w:szCs w:val="21"/>
        </w:rPr>
        <w:t>2</w:t>
      </w:r>
      <w:r w:rsidRPr="00A3398F">
        <w:rPr>
          <w:rFonts w:eastAsiaTheme="minorEastAsia"/>
          <w:color w:val="000000" w:themeColor="text1"/>
          <w:szCs w:val="21"/>
        </w:rPr>
        <w:t>．摩根海外稳健配置混合</w:t>
      </w:r>
      <w:r w:rsidRPr="00A3398F">
        <w:rPr>
          <w:rFonts w:eastAsiaTheme="minorEastAsia"/>
          <w:color w:val="000000" w:themeColor="text1"/>
          <w:szCs w:val="21"/>
        </w:rPr>
        <w:t>(QDII-FOF)</w:t>
      </w:r>
      <w:r w:rsidRPr="00A3398F">
        <w:rPr>
          <w:rFonts w:eastAsiaTheme="minorEastAsia"/>
          <w:color w:val="000000" w:themeColor="text1"/>
          <w:szCs w:val="21"/>
        </w:rPr>
        <w:t>人民币</w:t>
      </w:r>
      <w:r w:rsidRPr="00A3398F">
        <w:rPr>
          <w:rFonts w:eastAsiaTheme="minorEastAsia"/>
          <w:color w:val="000000" w:themeColor="text1"/>
          <w:szCs w:val="21"/>
        </w:rPr>
        <w:t>C</w:t>
      </w:r>
      <w:r w:rsidRPr="00A3398F">
        <w:rPr>
          <w:rFonts w:eastAsiaTheme="minorEastAsia"/>
          <w:color w:val="000000" w:themeColor="text1"/>
          <w:szCs w:val="21"/>
        </w:rPr>
        <w:t>：</w:t>
      </w:r>
    </w:p>
    <w:p w14:paraId="2FBDCEE8" w14:textId="77777777" w:rsidR="0065601A" w:rsidRPr="00A3398F" w:rsidRDefault="0065601A" w:rsidP="0065601A">
      <w:pPr>
        <w:pStyle w:val="20"/>
        <w:spacing w:line="288" w:lineRule="auto"/>
        <w:ind w:firstLineChars="0" w:firstLine="0"/>
        <w:jc w:val="center"/>
        <w:rPr>
          <w:rFonts w:ascii="Times New Roman" w:eastAsiaTheme="minorEastAsia" w:hAnsi="Times New Roman"/>
          <w:color w:val="000000" w:themeColor="text1"/>
          <w:sz w:val="21"/>
          <w:szCs w:val="21"/>
        </w:rPr>
      </w:pPr>
      <w:r w:rsidRPr="00A3398F">
        <w:rPr>
          <w:rFonts w:ascii="Times New Roman" w:eastAsiaTheme="minorEastAsia" w:hAnsi="Times New Roman"/>
          <w:noProof/>
          <w:color w:val="000000" w:themeColor="text1"/>
          <w:sz w:val="21"/>
          <w:szCs w:val="21"/>
        </w:rPr>
        <w:drawing>
          <wp:inline distT="0" distB="0" distL="0" distR="0" wp14:anchorId="31118C67" wp14:editId="09442A6E">
            <wp:extent cx="5591175" cy="3276600"/>
            <wp:effectExtent l="0" t="0" r="0" b="0"/>
            <wp:docPr id="3" name="图片 3" descr="D:\浏览器下载\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浏览器下载\走势图柱状图\走势图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1175" cy="3276600"/>
                    </a:xfrm>
                    <a:prstGeom prst="rect">
                      <a:avLst/>
                    </a:prstGeom>
                    <a:noFill/>
                    <a:ln>
                      <a:noFill/>
                    </a:ln>
                  </pic:spPr>
                </pic:pic>
              </a:graphicData>
            </a:graphic>
          </wp:inline>
        </w:drawing>
      </w:r>
    </w:p>
    <w:p w14:paraId="1FB75E3E" w14:textId="77777777" w:rsidR="00351E81" w:rsidRDefault="007F3594">
      <w:pPr>
        <w:spacing w:line="360" w:lineRule="auto"/>
        <w:ind w:firstLineChars="200" w:firstLine="420"/>
        <w:rPr>
          <w:rFonts w:eastAsiaTheme="minorEastAsia"/>
          <w:color w:val="000000" w:themeColor="text1"/>
          <w:szCs w:val="21"/>
        </w:rPr>
      </w:pPr>
      <w:r>
        <w:rPr>
          <w:rFonts w:eastAsiaTheme="minorEastAsia"/>
          <w:color w:val="000000" w:themeColor="text1"/>
          <w:szCs w:val="21"/>
        </w:rPr>
        <w:lastRenderedPageBreak/>
        <w:t>注：</w:t>
      </w:r>
      <w:r>
        <w:rPr>
          <w:rFonts w:eastAsiaTheme="minorEastAsia"/>
          <w:color w:val="000000" w:themeColor="text1"/>
          <w:szCs w:val="21"/>
        </w:rPr>
        <w:t>1.</w:t>
      </w:r>
      <w:r>
        <w:rPr>
          <w:rFonts w:eastAsiaTheme="minorEastAsia"/>
          <w:color w:val="000000" w:themeColor="text1"/>
          <w:szCs w:val="21"/>
        </w:rPr>
        <w:t>本基金自</w:t>
      </w:r>
      <w:r>
        <w:rPr>
          <w:rFonts w:eastAsiaTheme="minorEastAsia"/>
          <w:color w:val="000000" w:themeColor="text1"/>
          <w:szCs w:val="21"/>
        </w:rPr>
        <w:t>2024</w:t>
      </w:r>
      <w:r>
        <w:rPr>
          <w:rFonts w:eastAsiaTheme="minorEastAsia"/>
          <w:color w:val="000000" w:themeColor="text1"/>
          <w:szCs w:val="21"/>
        </w:rPr>
        <w:t>年</w:t>
      </w:r>
      <w:r>
        <w:rPr>
          <w:rFonts w:eastAsiaTheme="minorEastAsia"/>
          <w:color w:val="000000" w:themeColor="text1"/>
          <w:szCs w:val="21"/>
        </w:rPr>
        <w:t>1</w:t>
      </w:r>
      <w:r>
        <w:rPr>
          <w:rFonts w:eastAsiaTheme="minorEastAsia"/>
          <w:color w:val="000000" w:themeColor="text1"/>
          <w:szCs w:val="21"/>
        </w:rPr>
        <w:t>月</w:t>
      </w:r>
      <w:r>
        <w:rPr>
          <w:rFonts w:eastAsiaTheme="minorEastAsia"/>
          <w:color w:val="000000" w:themeColor="text1"/>
          <w:szCs w:val="21"/>
        </w:rPr>
        <w:t>5</w:t>
      </w:r>
      <w:r>
        <w:rPr>
          <w:rFonts w:eastAsiaTheme="minorEastAsia"/>
          <w:color w:val="000000" w:themeColor="text1"/>
          <w:szCs w:val="21"/>
        </w:rPr>
        <w:t>日起增加</w:t>
      </w:r>
      <w:r>
        <w:rPr>
          <w:rFonts w:eastAsiaTheme="minorEastAsia"/>
          <w:color w:val="000000" w:themeColor="text1"/>
          <w:szCs w:val="21"/>
        </w:rPr>
        <w:t>C</w:t>
      </w:r>
      <w:r>
        <w:rPr>
          <w:rFonts w:eastAsiaTheme="minorEastAsia"/>
          <w:color w:val="000000" w:themeColor="text1"/>
          <w:szCs w:val="21"/>
        </w:rPr>
        <w:t>类份额，相关数据按实际存续期计算。</w:t>
      </w:r>
    </w:p>
    <w:p w14:paraId="58A740B2" w14:textId="77777777" w:rsidR="0065601A" w:rsidRPr="00A3398F" w:rsidRDefault="0065601A" w:rsidP="0065601A">
      <w:pPr>
        <w:spacing w:line="360" w:lineRule="auto"/>
        <w:ind w:firstLineChars="200" w:firstLine="420"/>
        <w:rPr>
          <w:rFonts w:eastAsiaTheme="minorEastAsia"/>
          <w:color w:val="000000" w:themeColor="text1"/>
          <w:szCs w:val="21"/>
        </w:rPr>
      </w:pPr>
      <w:r w:rsidRPr="00A3398F">
        <w:rPr>
          <w:rFonts w:eastAsiaTheme="minorEastAsia"/>
          <w:color w:val="000000" w:themeColor="text1"/>
          <w:szCs w:val="21"/>
        </w:rPr>
        <w:t>2.</w:t>
      </w:r>
      <w:r w:rsidRPr="00A3398F">
        <w:rPr>
          <w:rFonts w:eastAsiaTheme="minorEastAsia"/>
          <w:color w:val="000000" w:themeColor="text1"/>
          <w:szCs w:val="21"/>
        </w:rPr>
        <w:t>本基金建仓期为本基金合同生效日起</w:t>
      </w:r>
      <w:r w:rsidRPr="00A3398F">
        <w:rPr>
          <w:rFonts w:eastAsiaTheme="minorEastAsia"/>
          <w:color w:val="000000" w:themeColor="text1"/>
          <w:szCs w:val="21"/>
        </w:rPr>
        <w:t xml:space="preserve"> 6 </w:t>
      </w:r>
      <w:r w:rsidRPr="00A3398F">
        <w:rPr>
          <w:rFonts w:eastAsiaTheme="minorEastAsia"/>
          <w:color w:val="000000" w:themeColor="text1"/>
          <w:szCs w:val="21"/>
        </w:rPr>
        <w:t>个月，建仓期结束时资产配置比例符合本基金基金合同规定。</w:t>
      </w:r>
      <w:r w:rsidRPr="00A3398F">
        <w:rPr>
          <w:rFonts w:eastAsiaTheme="minorEastAsia"/>
          <w:color w:val="000000" w:themeColor="text1"/>
          <w:szCs w:val="21"/>
        </w:rPr>
        <w:t xml:space="preserve"> </w:t>
      </w:r>
    </w:p>
    <w:p w14:paraId="2369D424" w14:textId="77777777" w:rsidR="00845292" w:rsidRPr="00A3398F" w:rsidRDefault="00845292" w:rsidP="0065601A">
      <w:pPr>
        <w:spacing w:line="360" w:lineRule="auto"/>
        <w:ind w:firstLineChars="200" w:firstLine="420"/>
        <w:rPr>
          <w:rFonts w:eastAsiaTheme="minorEastAsia"/>
          <w:color w:val="000000" w:themeColor="text1"/>
          <w:szCs w:val="21"/>
        </w:rPr>
      </w:pPr>
    </w:p>
    <w:p w14:paraId="2DFC3D00" w14:textId="77777777" w:rsidR="0076518F" w:rsidRPr="00A3398F" w:rsidRDefault="0076518F" w:rsidP="009E705F">
      <w:pPr>
        <w:pStyle w:val="1"/>
        <w:spacing w:beforeLines="100" w:before="312" w:afterLines="100" w:after="312" w:line="360" w:lineRule="auto"/>
        <w:jc w:val="center"/>
        <w:rPr>
          <w:rFonts w:eastAsiaTheme="minorEastAsia"/>
          <w:color w:val="000000" w:themeColor="text1"/>
          <w:kern w:val="0"/>
          <w:sz w:val="24"/>
          <w:szCs w:val="24"/>
        </w:rPr>
      </w:pPr>
      <w:r w:rsidRPr="00A3398F">
        <w:rPr>
          <w:rFonts w:eastAsiaTheme="minorEastAsia"/>
          <w:color w:val="000000" w:themeColor="text1"/>
          <w:kern w:val="0"/>
          <w:sz w:val="24"/>
          <w:szCs w:val="24"/>
        </w:rPr>
        <w:t xml:space="preserve">§4  </w:t>
      </w:r>
      <w:r w:rsidRPr="00A3398F">
        <w:rPr>
          <w:rFonts w:eastAsiaTheme="minorEastAsia"/>
          <w:color w:val="000000" w:themeColor="text1"/>
          <w:kern w:val="0"/>
          <w:sz w:val="24"/>
          <w:szCs w:val="24"/>
        </w:rPr>
        <w:t>管理人报告</w:t>
      </w:r>
    </w:p>
    <w:p w14:paraId="40BCED43" w14:textId="77777777" w:rsidR="0076518F" w:rsidRPr="00A3398F" w:rsidRDefault="0076518F" w:rsidP="00EC4BA3">
      <w:pPr>
        <w:autoSpaceDE w:val="0"/>
        <w:autoSpaceDN w:val="0"/>
        <w:adjustRightInd w:val="0"/>
        <w:spacing w:line="360" w:lineRule="auto"/>
        <w:jc w:val="left"/>
        <w:rPr>
          <w:rFonts w:eastAsiaTheme="minorEastAsia"/>
          <w:b/>
          <w:color w:val="000000" w:themeColor="text1"/>
          <w:kern w:val="0"/>
          <w:sz w:val="24"/>
        </w:rPr>
      </w:pPr>
      <w:r w:rsidRPr="00A3398F">
        <w:rPr>
          <w:rFonts w:eastAsiaTheme="minorEastAsia"/>
          <w:b/>
          <w:color w:val="000000" w:themeColor="text1"/>
          <w:kern w:val="0"/>
          <w:sz w:val="24"/>
        </w:rPr>
        <w:t xml:space="preserve">4.1 </w:t>
      </w:r>
      <w:r w:rsidRPr="00A3398F">
        <w:rPr>
          <w:rFonts w:eastAsiaTheme="minorEastAsia"/>
          <w:b/>
          <w:color w:val="000000" w:themeColor="text1"/>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850"/>
        <w:gridCol w:w="1560"/>
        <w:gridCol w:w="1559"/>
        <w:gridCol w:w="1417"/>
        <w:gridCol w:w="2694"/>
      </w:tblGrid>
      <w:tr w:rsidR="008277FF" w:rsidRPr="00A3398F" w14:paraId="66F4B2A1" w14:textId="77777777" w:rsidTr="00797DD2">
        <w:trPr>
          <w:cantSplit/>
          <w:trHeight w:val="292"/>
        </w:trPr>
        <w:tc>
          <w:tcPr>
            <w:tcW w:w="851" w:type="dxa"/>
            <w:vMerge w:val="restart"/>
            <w:vAlign w:val="center"/>
          </w:tcPr>
          <w:p w14:paraId="2AE6E906" w14:textId="77777777" w:rsidR="007D1292" w:rsidRPr="00A3398F" w:rsidRDefault="007D1292" w:rsidP="00B918B8">
            <w:pPr>
              <w:widowControl/>
              <w:spacing w:before="29" w:line="360" w:lineRule="auto"/>
              <w:ind w:left="17"/>
              <w:jc w:val="center"/>
              <w:rPr>
                <w:rFonts w:eastAsiaTheme="minorEastAsia"/>
                <w:color w:val="000000" w:themeColor="text1"/>
                <w:kern w:val="0"/>
                <w:szCs w:val="21"/>
              </w:rPr>
            </w:pPr>
            <w:r w:rsidRPr="00A3398F">
              <w:rPr>
                <w:rFonts w:eastAsiaTheme="minorEastAsia"/>
                <w:color w:val="000000" w:themeColor="text1"/>
                <w:kern w:val="0"/>
                <w:szCs w:val="21"/>
              </w:rPr>
              <w:t>姓名</w:t>
            </w:r>
          </w:p>
        </w:tc>
        <w:tc>
          <w:tcPr>
            <w:tcW w:w="850" w:type="dxa"/>
            <w:vMerge w:val="restart"/>
            <w:vAlign w:val="center"/>
          </w:tcPr>
          <w:p w14:paraId="7786622B" w14:textId="77777777" w:rsidR="007D1292" w:rsidRPr="00A3398F" w:rsidRDefault="007D1292" w:rsidP="00B918B8">
            <w:pPr>
              <w:widowControl/>
              <w:spacing w:before="29" w:line="360" w:lineRule="auto"/>
              <w:ind w:left="17"/>
              <w:jc w:val="center"/>
              <w:rPr>
                <w:rFonts w:eastAsiaTheme="minorEastAsia"/>
                <w:color w:val="000000" w:themeColor="text1"/>
                <w:kern w:val="0"/>
                <w:szCs w:val="21"/>
              </w:rPr>
            </w:pPr>
            <w:r w:rsidRPr="00A3398F">
              <w:rPr>
                <w:rFonts w:eastAsiaTheme="minorEastAsia"/>
                <w:color w:val="000000" w:themeColor="text1"/>
                <w:kern w:val="0"/>
                <w:szCs w:val="21"/>
              </w:rPr>
              <w:t>职务</w:t>
            </w:r>
          </w:p>
        </w:tc>
        <w:tc>
          <w:tcPr>
            <w:tcW w:w="3119" w:type="dxa"/>
            <w:gridSpan w:val="2"/>
            <w:vAlign w:val="center"/>
          </w:tcPr>
          <w:p w14:paraId="79710766" w14:textId="77777777" w:rsidR="007D1292" w:rsidRPr="00A3398F" w:rsidRDefault="007D1292" w:rsidP="00797DD2">
            <w:pPr>
              <w:autoSpaceDE w:val="0"/>
              <w:autoSpaceDN w:val="0"/>
              <w:adjustRightInd w:val="0"/>
              <w:spacing w:before="29" w:line="360" w:lineRule="auto"/>
              <w:ind w:left="17"/>
              <w:jc w:val="center"/>
              <w:rPr>
                <w:rFonts w:eastAsiaTheme="minorEastAsia"/>
                <w:color w:val="000000" w:themeColor="text1"/>
                <w:kern w:val="0"/>
                <w:szCs w:val="21"/>
              </w:rPr>
            </w:pPr>
            <w:r w:rsidRPr="00A3398F">
              <w:rPr>
                <w:rFonts w:eastAsiaTheme="minorEastAsia"/>
                <w:color w:val="000000" w:themeColor="text1"/>
                <w:kern w:val="0"/>
                <w:szCs w:val="21"/>
              </w:rPr>
              <w:t>任本基金的基金经理期限</w:t>
            </w:r>
          </w:p>
        </w:tc>
        <w:tc>
          <w:tcPr>
            <w:tcW w:w="1417" w:type="dxa"/>
            <w:vMerge w:val="restart"/>
            <w:vAlign w:val="center"/>
          </w:tcPr>
          <w:p w14:paraId="0035D6F5" w14:textId="77777777" w:rsidR="007D1292" w:rsidRPr="00A3398F" w:rsidRDefault="007D1292" w:rsidP="00797DD2">
            <w:pPr>
              <w:autoSpaceDE w:val="0"/>
              <w:autoSpaceDN w:val="0"/>
              <w:adjustRightInd w:val="0"/>
              <w:spacing w:before="29" w:line="360" w:lineRule="auto"/>
              <w:ind w:left="17"/>
              <w:jc w:val="center"/>
              <w:rPr>
                <w:rFonts w:eastAsiaTheme="minorEastAsia"/>
                <w:color w:val="000000" w:themeColor="text1"/>
                <w:kern w:val="0"/>
                <w:szCs w:val="21"/>
              </w:rPr>
            </w:pPr>
            <w:r w:rsidRPr="00A3398F">
              <w:rPr>
                <w:rFonts w:eastAsiaTheme="minorEastAsia"/>
                <w:color w:val="000000" w:themeColor="text1"/>
                <w:kern w:val="0"/>
                <w:szCs w:val="21"/>
              </w:rPr>
              <w:t>证券从业年限</w:t>
            </w:r>
          </w:p>
        </w:tc>
        <w:tc>
          <w:tcPr>
            <w:tcW w:w="2694" w:type="dxa"/>
            <w:vMerge w:val="restart"/>
            <w:vAlign w:val="center"/>
          </w:tcPr>
          <w:p w14:paraId="2C843512" w14:textId="77777777" w:rsidR="007D1292" w:rsidRPr="00A3398F" w:rsidRDefault="007D1292" w:rsidP="00797DD2">
            <w:pPr>
              <w:widowControl/>
              <w:spacing w:before="29" w:line="360" w:lineRule="auto"/>
              <w:ind w:left="17"/>
              <w:jc w:val="center"/>
              <w:rPr>
                <w:rFonts w:eastAsiaTheme="minorEastAsia"/>
                <w:color w:val="000000" w:themeColor="text1"/>
                <w:kern w:val="0"/>
                <w:szCs w:val="21"/>
              </w:rPr>
            </w:pPr>
            <w:r w:rsidRPr="00A3398F">
              <w:rPr>
                <w:rFonts w:eastAsiaTheme="minorEastAsia"/>
                <w:color w:val="000000" w:themeColor="text1"/>
                <w:kern w:val="0"/>
                <w:szCs w:val="21"/>
              </w:rPr>
              <w:t>说明</w:t>
            </w:r>
          </w:p>
        </w:tc>
      </w:tr>
      <w:tr w:rsidR="008277FF" w:rsidRPr="00A3398F" w14:paraId="3399ED79" w14:textId="77777777" w:rsidTr="00797DD2">
        <w:trPr>
          <w:cantSplit/>
        </w:trPr>
        <w:tc>
          <w:tcPr>
            <w:tcW w:w="851" w:type="dxa"/>
            <w:vMerge/>
            <w:vAlign w:val="center"/>
          </w:tcPr>
          <w:p w14:paraId="5475B077" w14:textId="77777777" w:rsidR="007D1292" w:rsidRPr="00A3398F" w:rsidRDefault="007D1292" w:rsidP="00B918B8">
            <w:pPr>
              <w:widowControl/>
              <w:spacing w:line="360" w:lineRule="auto"/>
              <w:jc w:val="left"/>
              <w:rPr>
                <w:rFonts w:eastAsiaTheme="minorEastAsia"/>
                <w:color w:val="000000" w:themeColor="text1"/>
                <w:kern w:val="0"/>
                <w:szCs w:val="21"/>
              </w:rPr>
            </w:pPr>
          </w:p>
        </w:tc>
        <w:tc>
          <w:tcPr>
            <w:tcW w:w="850" w:type="dxa"/>
            <w:vMerge/>
            <w:vAlign w:val="center"/>
          </w:tcPr>
          <w:p w14:paraId="41FFA73D" w14:textId="77777777" w:rsidR="007D1292" w:rsidRPr="00A3398F" w:rsidRDefault="007D1292" w:rsidP="00B918B8">
            <w:pPr>
              <w:widowControl/>
              <w:spacing w:line="360" w:lineRule="auto"/>
              <w:jc w:val="left"/>
              <w:rPr>
                <w:rFonts w:eastAsiaTheme="minorEastAsia"/>
                <w:color w:val="000000" w:themeColor="text1"/>
                <w:kern w:val="0"/>
                <w:szCs w:val="21"/>
              </w:rPr>
            </w:pPr>
          </w:p>
        </w:tc>
        <w:tc>
          <w:tcPr>
            <w:tcW w:w="1560" w:type="dxa"/>
            <w:vAlign w:val="center"/>
          </w:tcPr>
          <w:p w14:paraId="07BF991E" w14:textId="77777777" w:rsidR="007D1292" w:rsidRPr="00A3398F" w:rsidRDefault="007D1292" w:rsidP="00797DD2">
            <w:pPr>
              <w:autoSpaceDE w:val="0"/>
              <w:autoSpaceDN w:val="0"/>
              <w:adjustRightInd w:val="0"/>
              <w:spacing w:before="29" w:line="360" w:lineRule="auto"/>
              <w:ind w:left="17"/>
              <w:jc w:val="center"/>
              <w:rPr>
                <w:rFonts w:eastAsiaTheme="minorEastAsia"/>
                <w:color w:val="000000" w:themeColor="text1"/>
                <w:kern w:val="0"/>
                <w:szCs w:val="21"/>
              </w:rPr>
            </w:pPr>
            <w:r w:rsidRPr="00A3398F">
              <w:rPr>
                <w:rFonts w:eastAsiaTheme="minorEastAsia"/>
                <w:color w:val="000000" w:themeColor="text1"/>
                <w:kern w:val="0"/>
                <w:szCs w:val="21"/>
              </w:rPr>
              <w:t>任职日期</w:t>
            </w:r>
          </w:p>
        </w:tc>
        <w:tc>
          <w:tcPr>
            <w:tcW w:w="1559" w:type="dxa"/>
            <w:vAlign w:val="center"/>
          </w:tcPr>
          <w:p w14:paraId="5C61D216" w14:textId="77777777" w:rsidR="007D1292" w:rsidRPr="00A3398F" w:rsidRDefault="007D1292" w:rsidP="00797DD2">
            <w:pPr>
              <w:autoSpaceDE w:val="0"/>
              <w:autoSpaceDN w:val="0"/>
              <w:adjustRightInd w:val="0"/>
              <w:spacing w:before="29" w:line="360" w:lineRule="auto"/>
              <w:ind w:left="17"/>
              <w:jc w:val="center"/>
              <w:rPr>
                <w:rFonts w:eastAsiaTheme="minorEastAsia"/>
                <w:color w:val="000000" w:themeColor="text1"/>
                <w:kern w:val="0"/>
                <w:szCs w:val="21"/>
              </w:rPr>
            </w:pPr>
            <w:r w:rsidRPr="00A3398F">
              <w:rPr>
                <w:rFonts w:eastAsiaTheme="minorEastAsia"/>
                <w:color w:val="000000" w:themeColor="text1"/>
                <w:kern w:val="0"/>
                <w:szCs w:val="21"/>
              </w:rPr>
              <w:t>离任日期</w:t>
            </w:r>
          </w:p>
        </w:tc>
        <w:tc>
          <w:tcPr>
            <w:tcW w:w="1417" w:type="dxa"/>
            <w:vMerge/>
            <w:vAlign w:val="center"/>
          </w:tcPr>
          <w:p w14:paraId="2FC58D0E" w14:textId="77777777" w:rsidR="007D1292" w:rsidRPr="00A3398F" w:rsidRDefault="007D1292" w:rsidP="00797DD2">
            <w:pPr>
              <w:widowControl/>
              <w:spacing w:line="360" w:lineRule="auto"/>
              <w:jc w:val="center"/>
              <w:rPr>
                <w:rFonts w:eastAsiaTheme="minorEastAsia"/>
                <w:color w:val="000000" w:themeColor="text1"/>
                <w:kern w:val="0"/>
                <w:szCs w:val="21"/>
              </w:rPr>
            </w:pPr>
          </w:p>
        </w:tc>
        <w:tc>
          <w:tcPr>
            <w:tcW w:w="2694" w:type="dxa"/>
            <w:vMerge/>
            <w:vAlign w:val="center"/>
          </w:tcPr>
          <w:p w14:paraId="48C11D9D" w14:textId="77777777" w:rsidR="007D1292" w:rsidRPr="00A3398F" w:rsidRDefault="007D1292" w:rsidP="00797DD2">
            <w:pPr>
              <w:widowControl/>
              <w:spacing w:line="360" w:lineRule="auto"/>
              <w:jc w:val="center"/>
              <w:rPr>
                <w:rFonts w:eastAsiaTheme="minorEastAsia"/>
                <w:color w:val="000000" w:themeColor="text1"/>
                <w:kern w:val="0"/>
                <w:szCs w:val="21"/>
              </w:rPr>
            </w:pPr>
          </w:p>
        </w:tc>
      </w:tr>
      <w:tr w:rsidR="00351E81" w14:paraId="65F352FA" w14:textId="77777777">
        <w:tc>
          <w:tcPr>
            <w:tcW w:w="851" w:type="dxa"/>
            <w:vAlign w:val="center"/>
          </w:tcPr>
          <w:p w14:paraId="333801D7" w14:textId="77777777" w:rsidR="00351E81" w:rsidRDefault="007F3594">
            <w:pPr>
              <w:jc w:val="center"/>
            </w:pPr>
            <w:r>
              <w:rPr>
                <w:rFonts w:eastAsiaTheme="minorEastAsia"/>
                <w:color w:val="000000" w:themeColor="text1"/>
                <w:szCs w:val="21"/>
              </w:rPr>
              <w:t>张军</w:t>
            </w:r>
          </w:p>
        </w:tc>
        <w:tc>
          <w:tcPr>
            <w:tcW w:w="850" w:type="dxa"/>
            <w:vAlign w:val="center"/>
          </w:tcPr>
          <w:p w14:paraId="06AB6881" w14:textId="77777777" w:rsidR="00351E81" w:rsidRDefault="007F3594">
            <w:pPr>
              <w:jc w:val="center"/>
            </w:pPr>
            <w:r>
              <w:rPr>
                <w:rFonts w:eastAsiaTheme="minorEastAsia"/>
                <w:color w:val="000000" w:themeColor="text1"/>
                <w:szCs w:val="21"/>
              </w:rPr>
              <w:t>本基金基金经理</w:t>
            </w:r>
          </w:p>
        </w:tc>
        <w:tc>
          <w:tcPr>
            <w:tcW w:w="1560" w:type="dxa"/>
            <w:vAlign w:val="center"/>
          </w:tcPr>
          <w:p w14:paraId="78D4D6B4" w14:textId="77777777" w:rsidR="00351E81" w:rsidRDefault="007F3594">
            <w:pPr>
              <w:jc w:val="center"/>
            </w:pPr>
            <w:r>
              <w:rPr>
                <w:rFonts w:eastAsiaTheme="minorEastAsia"/>
                <w:color w:val="000000" w:themeColor="text1"/>
                <w:szCs w:val="21"/>
              </w:rPr>
              <w:t>2023-05-23</w:t>
            </w:r>
          </w:p>
        </w:tc>
        <w:tc>
          <w:tcPr>
            <w:tcW w:w="1559" w:type="dxa"/>
            <w:vAlign w:val="center"/>
          </w:tcPr>
          <w:p w14:paraId="183DC04A" w14:textId="77777777" w:rsidR="00351E81" w:rsidRDefault="007F3594">
            <w:pPr>
              <w:jc w:val="center"/>
            </w:pPr>
            <w:r>
              <w:rPr>
                <w:rFonts w:eastAsiaTheme="minorEastAsia"/>
                <w:color w:val="000000" w:themeColor="text1"/>
                <w:szCs w:val="21"/>
              </w:rPr>
              <w:t>-</w:t>
            </w:r>
          </w:p>
        </w:tc>
        <w:tc>
          <w:tcPr>
            <w:tcW w:w="1417" w:type="dxa"/>
            <w:vAlign w:val="center"/>
          </w:tcPr>
          <w:p w14:paraId="140684F7" w14:textId="77777777" w:rsidR="00351E81" w:rsidRDefault="007F3594">
            <w:pPr>
              <w:jc w:val="center"/>
            </w:pPr>
            <w:r>
              <w:rPr>
                <w:rFonts w:eastAsiaTheme="minorEastAsia"/>
                <w:color w:val="000000" w:themeColor="text1"/>
                <w:szCs w:val="21"/>
              </w:rPr>
              <w:t>20</w:t>
            </w:r>
            <w:r>
              <w:rPr>
                <w:rFonts w:eastAsiaTheme="minorEastAsia"/>
                <w:color w:val="000000" w:themeColor="text1"/>
                <w:szCs w:val="21"/>
              </w:rPr>
              <w:t>年（金融领域从业经验</w:t>
            </w:r>
            <w:r>
              <w:rPr>
                <w:rFonts w:eastAsiaTheme="minorEastAsia"/>
                <w:color w:val="000000" w:themeColor="text1"/>
                <w:szCs w:val="21"/>
              </w:rPr>
              <w:t>31</w:t>
            </w:r>
            <w:r>
              <w:rPr>
                <w:rFonts w:eastAsiaTheme="minorEastAsia"/>
                <w:color w:val="000000" w:themeColor="text1"/>
                <w:szCs w:val="21"/>
              </w:rPr>
              <w:t>年）</w:t>
            </w:r>
          </w:p>
        </w:tc>
        <w:tc>
          <w:tcPr>
            <w:tcW w:w="2694" w:type="dxa"/>
            <w:vAlign w:val="center"/>
          </w:tcPr>
          <w:p w14:paraId="5927C667" w14:textId="77777777" w:rsidR="00351E81" w:rsidRDefault="007F3594">
            <w:pPr>
              <w:jc w:val="left"/>
            </w:pPr>
            <w:r>
              <w:rPr>
                <w:rFonts w:eastAsiaTheme="minorEastAsia"/>
                <w:color w:val="000000" w:themeColor="text1"/>
                <w:szCs w:val="21"/>
              </w:rPr>
              <w:t>张军先生曾任上海国际信托有限公司国际业务部经理、交易部经理。</w:t>
            </w:r>
            <w:r>
              <w:rPr>
                <w:rFonts w:eastAsiaTheme="minorEastAsia"/>
                <w:color w:val="000000" w:themeColor="text1"/>
                <w:szCs w:val="21"/>
              </w:rPr>
              <w:t>2004</w:t>
            </w:r>
            <w:r>
              <w:rPr>
                <w:rFonts w:eastAsiaTheme="minorEastAsia"/>
                <w:color w:val="000000" w:themeColor="text1"/>
                <w:szCs w:val="21"/>
              </w:rPr>
              <w:t>年</w:t>
            </w:r>
            <w:r>
              <w:rPr>
                <w:rFonts w:eastAsiaTheme="minorEastAsia"/>
                <w:color w:val="000000" w:themeColor="text1"/>
                <w:szCs w:val="21"/>
              </w:rPr>
              <w:t>6</w:t>
            </w:r>
            <w:r>
              <w:rPr>
                <w:rFonts w:eastAsiaTheme="minorEastAsia"/>
                <w:color w:val="000000" w:themeColor="text1"/>
                <w:szCs w:val="21"/>
              </w:rPr>
              <w:t>月起加入摩根基金管理（中国）有限公司（原上投摩根基金管理有限公司），先后担任交易部总监、基金经理、投资绩效评估总监、国际投资部总监、组合基金投资部总监，现任高级基金经理。</w:t>
            </w:r>
          </w:p>
        </w:tc>
      </w:tr>
    </w:tbl>
    <w:p w14:paraId="42C340CC" w14:textId="77777777" w:rsidR="00351E81" w:rsidRDefault="007F3594">
      <w:pPr>
        <w:autoSpaceDE w:val="0"/>
        <w:autoSpaceDN w:val="0"/>
        <w:adjustRightInd w:val="0"/>
        <w:spacing w:line="360" w:lineRule="auto"/>
        <w:jc w:val="left"/>
        <w:rPr>
          <w:rFonts w:eastAsiaTheme="minorEastAsia"/>
          <w:color w:val="000000" w:themeColor="text1"/>
          <w:szCs w:val="21"/>
        </w:rPr>
      </w:pPr>
      <w:r>
        <w:rPr>
          <w:rFonts w:eastAsiaTheme="minorEastAsia"/>
          <w:color w:val="000000" w:themeColor="text1"/>
          <w:szCs w:val="21"/>
        </w:rPr>
        <w:t>注：</w:t>
      </w:r>
      <w:r>
        <w:rPr>
          <w:rFonts w:eastAsiaTheme="minorEastAsia"/>
          <w:color w:val="000000" w:themeColor="text1"/>
          <w:szCs w:val="21"/>
        </w:rPr>
        <w:t xml:space="preserve">1. </w:t>
      </w:r>
      <w:r>
        <w:rPr>
          <w:rFonts w:eastAsiaTheme="minorEastAsia"/>
          <w:color w:val="000000" w:themeColor="text1"/>
          <w:szCs w:val="21"/>
        </w:rPr>
        <w:t>任职日期和离任日期均指根据公司决定确定的聘任日期和解聘日期；</w:t>
      </w:r>
    </w:p>
    <w:p w14:paraId="5799B53D" w14:textId="77777777" w:rsidR="00351E81" w:rsidRDefault="007F3594">
      <w:pPr>
        <w:autoSpaceDE w:val="0"/>
        <w:autoSpaceDN w:val="0"/>
        <w:adjustRightInd w:val="0"/>
        <w:spacing w:line="360" w:lineRule="auto"/>
        <w:jc w:val="left"/>
        <w:rPr>
          <w:rFonts w:eastAsiaTheme="minorEastAsia"/>
          <w:color w:val="000000" w:themeColor="text1"/>
          <w:szCs w:val="21"/>
        </w:rPr>
      </w:pPr>
      <w:r>
        <w:rPr>
          <w:rFonts w:eastAsiaTheme="minorEastAsia"/>
          <w:color w:val="000000" w:themeColor="text1"/>
          <w:szCs w:val="21"/>
        </w:rPr>
        <w:t xml:space="preserve">2. </w:t>
      </w:r>
      <w:r>
        <w:rPr>
          <w:rFonts w:eastAsiaTheme="minorEastAsia"/>
          <w:color w:val="000000" w:themeColor="text1"/>
          <w:szCs w:val="21"/>
        </w:rPr>
        <w:t>张军先生为本基金首任基金经理，其任职日期为本基金基金合同生效之日；</w:t>
      </w:r>
    </w:p>
    <w:p w14:paraId="3ECACAEA" w14:textId="77777777" w:rsidR="00A47E47" w:rsidRPr="00A3398F" w:rsidRDefault="00A47E47" w:rsidP="002236BC">
      <w:pPr>
        <w:autoSpaceDE w:val="0"/>
        <w:autoSpaceDN w:val="0"/>
        <w:adjustRightInd w:val="0"/>
        <w:spacing w:line="360" w:lineRule="auto"/>
        <w:jc w:val="left"/>
        <w:rPr>
          <w:rFonts w:eastAsiaTheme="minorEastAsia"/>
          <w:color w:val="000000" w:themeColor="text1"/>
          <w:szCs w:val="21"/>
        </w:rPr>
      </w:pPr>
      <w:r w:rsidRPr="00A3398F">
        <w:rPr>
          <w:rFonts w:eastAsiaTheme="minorEastAsia"/>
          <w:color w:val="000000" w:themeColor="text1"/>
          <w:szCs w:val="21"/>
        </w:rPr>
        <w:t xml:space="preserve">3. </w:t>
      </w:r>
      <w:r w:rsidRPr="00A3398F">
        <w:rPr>
          <w:rFonts w:eastAsiaTheme="minorEastAsia"/>
          <w:color w:val="000000" w:themeColor="text1"/>
          <w:szCs w:val="21"/>
        </w:rPr>
        <w:t>证券从业的含义遵从行业协会《证券业从业人员资格管理办法》的相关规定。</w:t>
      </w:r>
    </w:p>
    <w:p w14:paraId="04D7401D" w14:textId="77777777" w:rsidR="00EE1749" w:rsidRPr="00A3398F" w:rsidRDefault="00EE1749" w:rsidP="00EE1749">
      <w:pPr>
        <w:autoSpaceDE w:val="0"/>
        <w:autoSpaceDN w:val="0"/>
        <w:adjustRightInd w:val="0"/>
        <w:spacing w:line="360" w:lineRule="auto"/>
        <w:jc w:val="left"/>
        <w:rPr>
          <w:rFonts w:eastAsia="Times New Roman"/>
          <w:b/>
          <w:color w:val="000000"/>
          <w:kern w:val="0"/>
          <w:sz w:val="24"/>
          <w:szCs w:val="21"/>
        </w:rPr>
      </w:pPr>
      <w:bookmarkStart w:id="1" w:name="_Hlk44921484"/>
      <w:bookmarkStart w:id="2" w:name="_Hlk52383584"/>
      <w:r w:rsidRPr="00A3398F">
        <w:rPr>
          <w:b/>
          <w:color w:val="000000"/>
          <w:kern w:val="0"/>
          <w:sz w:val="24"/>
        </w:rPr>
        <w:t>4</w:t>
      </w:r>
      <w:r w:rsidRPr="00A3398F">
        <w:rPr>
          <w:rFonts w:eastAsia="Times New Roman"/>
          <w:b/>
          <w:color w:val="000000"/>
          <w:kern w:val="0"/>
          <w:sz w:val="24"/>
        </w:rPr>
        <w:t>.</w:t>
      </w:r>
      <w:r w:rsidRPr="00A3398F">
        <w:rPr>
          <w:b/>
          <w:color w:val="000000"/>
          <w:kern w:val="0"/>
          <w:sz w:val="24"/>
        </w:rPr>
        <w:t xml:space="preserve">1.1 </w:t>
      </w:r>
      <w:r w:rsidRPr="00A3398F">
        <w:rPr>
          <w:b/>
          <w:color w:val="000000"/>
          <w:kern w:val="0"/>
          <w:sz w:val="24"/>
        </w:rPr>
        <w:t>期末兼任私募资产管理计划投资经理的基金经理同时管理的产品情况</w:t>
      </w:r>
      <w:bookmarkEnd w:id="1"/>
    </w:p>
    <w:tbl>
      <w:tblPr>
        <w:tblW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3"/>
        <w:gridCol w:w="2090"/>
        <w:gridCol w:w="2396"/>
        <w:gridCol w:w="1818"/>
        <w:gridCol w:w="1351"/>
      </w:tblGrid>
      <w:tr w:rsidR="00EE1749" w:rsidRPr="00A3398F" w14:paraId="0CCEF2D6" w14:textId="77777777" w:rsidTr="00EE1749">
        <w:tc>
          <w:tcPr>
            <w:tcW w:w="959" w:type="dxa"/>
            <w:tcBorders>
              <w:top w:val="single" w:sz="4" w:space="0" w:color="auto"/>
              <w:left w:val="single" w:sz="4" w:space="0" w:color="auto"/>
              <w:bottom w:val="single" w:sz="4" w:space="0" w:color="auto"/>
              <w:right w:val="single" w:sz="4" w:space="0" w:color="auto"/>
            </w:tcBorders>
            <w:vAlign w:val="center"/>
            <w:hideMark/>
          </w:tcPr>
          <w:p w14:paraId="50C3487D" w14:textId="77777777" w:rsidR="00EE1749" w:rsidRPr="00A3398F" w:rsidRDefault="00EE1749">
            <w:pPr>
              <w:spacing w:line="288" w:lineRule="auto"/>
              <w:jc w:val="left"/>
              <w:rPr>
                <w:rFonts w:eastAsiaTheme="minorEastAsia"/>
                <w:color w:val="000000"/>
                <w:szCs w:val="21"/>
              </w:rPr>
            </w:pPr>
            <w:r w:rsidRPr="00A3398F">
              <w:rPr>
                <w:rFonts w:eastAsiaTheme="minorEastAsia"/>
                <w:color w:val="000000"/>
                <w:szCs w:val="21"/>
              </w:rPr>
              <w:t>姓名</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EC0C6D6" w14:textId="77777777" w:rsidR="00EE1749" w:rsidRPr="00A3398F" w:rsidRDefault="00EE1749">
            <w:pPr>
              <w:spacing w:line="288" w:lineRule="auto"/>
              <w:jc w:val="left"/>
              <w:rPr>
                <w:rFonts w:eastAsiaTheme="minorEastAsia"/>
                <w:color w:val="000000"/>
                <w:szCs w:val="21"/>
              </w:rPr>
            </w:pPr>
            <w:r w:rsidRPr="00A3398F">
              <w:rPr>
                <w:rFonts w:eastAsiaTheme="minorEastAsia"/>
                <w:color w:val="000000"/>
                <w:szCs w:val="21"/>
              </w:rPr>
              <w:t>产品类型</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499015E" w14:textId="77777777" w:rsidR="00EE1749" w:rsidRPr="00A3398F" w:rsidRDefault="00EE1749">
            <w:pPr>
              <w:spacing w:line="288" w:lineRule="auto"/>
              <w:jc w:val="left"/>
              <w:rPr>
                <w:rFonts w:eastAsiaTheme="minorEastAsia"/>
                <w:color w:val="000000"/>
                <w:szCs w:val="21"/>
              </w:rPr>
            </w:pPr>
            <w:r w:rsidRPr="00A3398F">
              <w:rPr>
                <w:rFonts w:eastAsiaTheme="minorEastAsia"/>
                <w:color w:val="000000"/>
                <w:szCs w:val="21"/>
              </w:rPr>
              <w:t>产品数量（只）</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CD65648" w14:textId="77777777" w:rsidR="00EE1749" w:rsidRPr="00A3398F" w:rsidRDefault="00EE1749">
            <w:pPr>
              <w:spacing w:line="288" w:lineRule="auto"/>
              <w:jc w:val="left"/>
              <w:rPr>
                <w:rFonts w:eastAsiaTheme="minorEastAsia"/>
                <w:color w:val="000000"/>
                <w:szCs w:val="21"/>
              </w:rPr>
            </w:pPr>
            <w:r w:rsidRPr="00A3398F">
              <w:rPr>
                <w:rFonts w:eastAsiaTheme="minorEastAsia"/>
                <w:color w:val="000000"/>
                <w:szCs w:val="21"/>
              </w:rPr>
              <w:t>资产净值</w:t>
            </w:r>
            <w:r w:rsidRPr="00A3398F">
              <w:rPr>
                <w:rFonts w:eastAsiaTheme="minorEastAsia"/>
                <w:color w:val="000000"/>
                <w:szCs w:val="21"/>
              </w:rPr>
              <w:t>(</w:t>
            </w:r>
            <w:r w:rsidRPr="00A3398F">
              <w:rPr>
                <w:rFonts w:eastAsiaTheme="minorEastAsia"/>
                <w:color w:val="000000"/>
                <w:szCs w:val="21"/>
              </w:rPr>
              <w:t>元</w:t>
            </w:r>
            <w:r w:rsidRPr="00A3398F">
              <w:rPr>
                <w:rFonts w:eastAsiaTheme="minorEastAsia"/>
                <w:color w:val="000000"/>
                <w:szCs w:val="21"/>
              </w:rPr>
              <w:t>)</w:t>
            </w:r>
          </w:p>
        </w:tc>
        <w:tc>
          <w:tcPr>
            <w:tcW w:w="1381" w:type="dxa"/>
            <w:tcBorders>
              <w:top w:val="single" w:sz="4" w:space="0" w:color="auto"/>
              <w:left w:val="single" w:sz="4" w:space="0" w:color="auto"/>
              <w:bottom w:val="single" w:sz="4" w:space="0" w:color="auto"/>
              <w:right w:val="single" w:sz="4" w:space="0" w:color="auto"/>
            </w:tcBorders>
            <w:vAlign w:val="center"/>
            <w:hideMark/>
          </w:tcPr>
          <w:p w14:paraId="35B8C79F" w14:textId="77777777" w:rsidR="00EE1749" w:rsidRPr="00A3398F" w:rsidRDefault="00EE1749">
            <w:pPr>
              <w:spacing w:line="288" w:lineRule="auto"/>
              <w:jc w:val="left"/>
              <w:rPr>
                <w:rFonts w:eastAsiaTheme="minorEastAsia"/>
                <w:color w:val="000000"/>
                <w:szCs w:val="21"/>
              </w:rPr>
            </w:pPr>
            <w:r w:rsidRPr="00A3398F">
              <w:rPr>
                <w:rFonts w:eastAsiaTheme="minorEastAsia"/>
                <w:color w:val="000000"/>
                <w:szCs w:val="21"/>
              </w:rPr>
              <w:t>任职时间</w:t>
            </w:r>
          </w:p>
        </w:tc>
      </w:tr>
      <w:tr w:rsidR="00EE1749" w:rsidRPr="00A3398F" w14:paraId="70CAA364" w14:textId="77777777" w:rsidTr="00EE1749">
        <w:tc>
          <w:tcPr>
            <w:tcW w:w="959" w:type="dxa"/>
            <w:vMerge w:val="restart"/>
            <w:tcBorders>
              <w:top w:val="single" w:sz="4" w:space="0" w:color="auto"/>
              <w:left w:val="single" w:sz="4" w:space="0" w:color="auto"/>
              <w:bottom w:val="single" w:sz="4" w:space="0" w:color="auto"/>
              <w:right w:val="single" w:sz="4" w:space="0" w:color="auto"/>
            </w:tcBorders>
            <w:hideMark/>
          </w:tcPr>
          <w:p w14:paraId="7A46A792" w14:textId="77777777" w:rsidR="00EE1749" w:rsidRPr="00A3398F" w:rsidRDefault="00EE1749">
            <w:pPr>
              <w:spacing w:line="288" w:lineRule="auto"/>
              <w:jc w:val="left"/>
              <w:rPr>
                <w:rFonts w:eastAsiaTheme="minorEastAsia"/>
                <w:color w:val="000000"/>
                <w:szCs w:val="21"/>
              </w:rPr>
            </w:pPr>
            <w:r w:rsidRPr="00A3398F">
              <w:rPr>
                <w:rFonts w:eastAsiaTheme="minorEastAsia"/>
                <w:color w:val="000000"/>
                <w:szCs w:val="21"/>
              </w:rPr>
              <w:t>张军</w:t>
            </w:r>
          </w:p>
        </w:tc>
        <w:tc>
          <w:tcPr>
            <w:tcW w:w="2410" w:type="dxa"/>
            <w:tcBorders>
              <w:top w:val="single" w:sz="4" w:space="0" w:color="auto"/>
              <w:left w:val="single" w:sz="4" w:space="0" w:color="auto"/>
              <w:bottom w:val="single" w:sz="4" w:space="0" w:color="auto"/>
              <w:right w:val="single" w:sz="4" w:space="0" w:color="auto"/>
            </w:tcBorders>
            <w:hideMark/>
          </w:tcPr>
          <w:p w14:paraId="03979636" w14:textId="77777777" w:rsidR="00EE1749" w:rsidRPr="00A3398F" w:rsidRDefault="00EE1749">
            <w:pPr>
              <w:spacing w:line="288" w:lineRule="auto"/>
              <w:jc w:val="left"/>
              <w:rPr>
                <w:rFonts w:eastAsiaTheme="minorEastAsia"/>
                <w:color w:val="000000"/>
                <w:szCs w:val="21"/>
              </w:rPr>
            </w:pPr>
            <w:r w:rsidRPr="00A3398F">
              <w:rPr>
                <w:rFonts w:eastAsiaTheme="minorEastAsia"/>
                <w:color w:val="000000"/>
                <w:szCs w:val="21"/>
              </w:rPr>
              <w:t>公募基金</w:t>
            </w:r>
          </w:p>
        </w:tc>
        <w:tc>
          <w:tcPr>
            <w:tcW w:w="2693" w:type="dxa"/>
            <w:tcBorders>
              <w:top w:val="single" w:sz="4" w:space="0" w:color="auto"/>
              <w:left w:val="single" w:sz="4" w:space="0" w:color="auto"/>
              <w:bottom w:val="single" w:sz="4" w:space="0" w:color="auto"/>
              <w:right w:val="single" w:sz="4" w:space="0" w:color="auto"/>
            </w:tcBorders>
            <w:hideMark/>
          </w:tcPr>
          <w:p w14:paraId="696A46FE" w14:textId="77777777" w:rsidR="00EE1749" w:rsidRPr="00A3398F" w:rsidRDefault="00EE1749">
            <w:pPr>
              <w:spacing w:line="288" w:lineRule="auto"/>
              <w:jc w:val="left"/>
              <w:rPr>
                <w:rFonts w:eastAsiaTheme="minorEastAsia"/>
                <w:color w:val="000000"/>
                <w:szCs w:val="21"/>
              </w:rPr>
            </w:pPr>
            <w:r w:rsidRPr="00A3398F">
              <w:rPr>
                <w:rFonts w:eastAsiaTheme="minorEastAsia"/>
                <w:color w:val="000000"/>
                <w:szCs w:val="21"/>
              </w:rPr>
              <w:t>9</w:t>
            </w:r>
          </w:p>
        </w:tc>
        <w:tc>
          <w:tcPr>
            <w:tcW w:w="1843" w:type="dxa"/>
            <w:tcBorders>
              <w:top w:val="single" w:sz="4" w:space="0" w:color="auto"/>
              <w:left w:val="single" w:sz="4" w:space="0" w:color="auto"/>
              <w:bottom w:val="single" w:sz="4" w:space="0" w:color="auto"/>
              <w:right w:val="single" w:sz="4" w:space="0" w:color="auto"/>
            </w:tcBorders>
            <w:hideMark/>
          </w:tcPr>
          <w:p w14:paraId="2D327303" w14:textId="77777777" w:rsidR="00EE1749" w:rsidRPr="00A3398F" w:rsidRDefault="00EE1749">
            <w:pPr>
              <w:spacing w:line="288" w:lineRule="auto"/>
              <w:jc w:val="left"/>
              <w:rPr>
                <w:rFonts w:eastAsiaTheme="minorEastAsia"/>
                <w:color w:val="000000"/>
                <w:szCs w:val="21"/>
              </w:rPr>
            </w:pPr>
            <w:r w:rsidRPr="00A3398F">
              <w:rPr>
                <w:rFonts w:eastAsiaTheme="minorEastAsia"/>
                <w:color w:val="000000"/>
                <w:szCs w:val="21"/>
              </w:rPr>
              <w:t>9,007,066,137.55</w:t>
            </w:r>
          </w:p>
        </w:tc>
        <w:tc>
          <w:tcPr>
            <w:tcW w:w="1381" w:type="dxa"/>
            <w:tcBorders>
              <w:top w:val="single" w:sz="4" w:space="0" w:color="auto"/>
              <w:left w:val="single" w:sz="4" w:space="0" w:color="auto"/>
              <w:bottom w:val="single" w:sz="4" w:space="0" w:color="auto"/>
              <w:right w:val="single" w:sz="4" w:space="0" w:color="auto"/>
            </w:tcBorders>
            <w:hideMark/>
          </w:tcPr>
          <w:p w14:paraId="037313C8" w14:textId="77777777" w:rsidR="00EE1749" w:rsidRPr="00A3398F" w:rsidRDefault="00EE1749">
            <w:pPr>
              <w:spacing w:line="288" w:lineRule="auto"/>
              <w:jc w:val="left"/>
              <w:rPr>
                <w:rFonts w:eastAsiaTheme="minorEastAsia"/>
                <w:color w:val="000000"/>
                <w:szCs w:val="21"/>
              </w:rPr>
            </w:pPr>
            <w:r w:rsidRPr="00A3398F">
              <w:rPr>
                <w:rFonts w:eastAsiaTheme="minorEastAsia"/>
                <w:color w:val="000000"/>
                <w:szCs w:val="21"/>
              </w:rPr>
              <w:t>2008-03-08</w:t>
            </w:r>
          </w:p>
        </w:tc>
      </w:tr>
      <w:tr w:rsidR="00EE1749" w:rsidRPr="00A3398F" w14:paraId="2B0B9F53" w14:textId="77777777" w:rsidTr="00EE1749">
        <w:tc>
          <w:tcPr>
            <w:tcW w:w="9286" w:type="dxa"/>
            <w:vMerge/>
            <w:tcBorders>
              <w:top w:val="single" w:sz="4" w:space="0" w:color="auto"/>
              <w:left w:val="single" w:sz="4" w:space="0" w:color="auto"/>
              <w:bottom w:val="single" w:sz="4" w:space="0" w:color="auto"/>
              <w:right w:val="single" w:sz="4" w:space="0" w:color="auto"/>
            </w:tcBorders>
            <w:vAlign w:val="center"/>
            <w:hideMark/>
          </w:tcPr>
          <w:p w14:paraId="28EB14F6" w14:textId="77777777" w:rsidR="00EE1749" w:rsidRPr="00A3398F" w:rsidRDefault="00EE1749">
            <w:pPr>
              <w:widowControl/>
              <w:jc w:val="left"/>
              <w:rPr>
                <w:rFonts w:eastAsiaTheme="minorEastAsia"/>
                <w:color w:val="000000"/>
                <w:szCs w:val="21"/>
              </w:rPr>
            </w:pPr>
          </w:p>
        </w:tc>
        <w:tc>
          <w:tcPr>
            <w:tcW w:w="2410" w:type="dxa"/>
            <w:tcBorders>
              <w:top w:val="single" w:sz="4" w:space="0" w:color="auto"/>
              <w:left w:val="single" w:sz="4" w:space="0" w:color="auto"/>
              <w:bottom w:val="single" w:sz="4" w:space="0" w:color="auto"/>
              <w:right w:val="single" w:sz="4" w:space="0" w:color="auto"/>
            </w:tcBorders>
            <w:hideMark/>
          </w:tcPr>
          <w:p w14:paraId="5D8FEEEB" w14:textId="77777777" w:rsidR="00EE1749" w:rsidRPr="00A3398F" w:rsidRDefault="00EE1749">
            <w:pPr>
              <w:spacing w:line="288" w:lineRule="auto"/>
              <w:jc w:val="left"/>
              <w:rPr>
                <w:rFonts w:eastAsiaTheme="minorEastAsia"/>
                <w:color w:val="000000"/>
                <w:szCs w:val="21"/>
              </w:rPr>
            </w:pPr>
            <w:r w:rsidRPr="00A3398F">
              <w:rPr>
                <w:rFonts w:eastAsiaTheme="minorEastAsia"/>
                <w:color w:val="000000"/>
                <w:szCs w:val="21"/>
              </w:rPr>
              <w:t>私募资产管理计划</w:t>
            </w:r>
          </w:p>
        </w:tc>
        <w:tc>
          <w:tcPr>
            <w:tcW w:w="2693" w:type="dxa"/>
            <w:tcBorders>
              <w:top w:val="single" w:sz="4" w:space="0" w:color="auto"/>
              <w:left w:val="single" w:sz="4" w:space="0" w:color="auto"/>
              <w:bottom w:val="single" w:sz="4" w:space="0" w:color="auto"/>
              <w:right w:val="single" w:sz="4" w:space="0" w:color="auto"/>
            </w:tcBorders>
            <w:hideMark/>
          </w:tcPr>
          <w:p w14:paraId="75CD8722" w14:textId="77777777" w:rsidR="00EE1749" w:rsidRPr="00A3398F" w:rsidRDefault="00EE1749">
            <w:pPr>
              <w:spacing w:line="288" w:lineRule="auto"/>
              <w:jc w:val="left"/>
              <w:rPr>
                <w:rFonts w:eastAsiaTheme="minorEastAsia"/>
                <w:color w:val="000000"/>
                <w:szCs w:val="21"/>
              </w:rPr>
            </w:pPr>
            <w:r w:rsidRPr="00A3398F">
              <w:rPr>
                <w:rFonts w:eastAsiaTheme="minorEastAsia"/>
                <w:color w:val="000000"/>
                <w:szCs w:val="21"/>
              </w:rPr>
              <w:t>1</w:t>
            </w:r>
          </w:p>
        </w:tc>
        <w:tc>
          <w:tcPr>
            <w:tcW w:w="1843" w:type="dxa"/>
            <w:tcBorders>
              <w:top w:val="single" w:sz="4" w:space="0" w:color="auto"/>
              <w:left w:val="single" w:sz="4" w:space="0" w:color="auto"/>
              <w:bottom w:val="single" w:sz="4" w:space="0" w:color="auto"/>
              <w:right w:val="single" w:sz="4" w:space="0" w:color="auto"/>
            </w:tcBorders>
            <w:hideMark/>
          </w:tcPr>
          <w:p w14:paraId="68C6146B" w14:textId="77777777" w:rsidR="00EE1749" w:rsidRPr="00A3398F" w:rsidRDefault="00EE1749">
            <w:pPr>
              <w:spacing w:line="288" w:lineRule="auto"/>
              <w:jc w:val="left"/>
              <w:rPr>
                <w:rFonts w:eastAsiaTheme="minorEastAsia"/>
                <w:color w:val="000000"/>
                <w:szCs w:val="21"/>
              </w:rPr>
            </w:pPr>
            <w:r w:rsidRPr="00A3398F">
              <w:rPr>
                <w:rFonts w:eastAsiaTheme="minorEastAsia"/>
                <w:color w:val="000000"/>
                <w:szCs w:val="21"/>
              </w:rPr>
              <w:t>26,610,604.74</w:t>
            </w:r>
          </w:p>
        </w:tc>
        <w:tc>
          <w:tcPr>
            <w:tcW w:w="1381" w:type="dxa"/>
            <w:tcBorders>
              <w:top w:val="single" w:sz="4" w:space="0" w:color="auto"/>
              <w:left w:val="single" w:sz="4" w:space="0" w:color="auto"/>
              <w:bottom w:val="single" w:sz="4" w:space="0" w:color="auto"/>
              <w:right w:val="single" w:sz="4" w:space="0" w:color="auto"/>
            </w:tcBorders>
            <w:hideMark/>
          </w:tcPr>
          <w:p w14:paraId="120A2A76" w14:textId="77777777" w:rsidR="00EE1749" w:rsidRPr="00A3398F" w:rsidRDefault="00EE1749">
            <w:pPr>
              <w:spacing w:line="288" w:lineRule="auto"/>
              <w:jc w:val="left"/>
              <w:rPr>
                <w:rFonts w:eastAsiaTheme="minorEastAsia"/>
                <w:color w:val="000000"/>
                <w:szCs w:val="21"/>
              </w:rPr>
            </w:pPr>
            <w:r w:rsidRPr="00A3398F">
              <w:rPr>
                <w:rFonts w:eastAsiaTheme="minorEastAsia"/>
                <w:color w:val="000000"/>
                <w:szCs w:val="21"/>
              </w:rPr>
              <w:t>2021-07-09</w:t>
            </w:r>
          </w:p>
        </w:tc>
      </w:tr>
      <w:tr w:rsidR="00EE1749" w:rsidRPr="00A3398F" w14:paraId="2765AAA4" w14:textId="77777777" w:rsidTr="00EE1749">
        <w:tc>
          <w:tcPr>
            <w:tcW w:w="9286" w:type="dxa"/>
            <w:vMerge/>
            <w:tcBorders>
              <w:top w:val="single" w:sz="4" w:space="0" w:color="auto"/>
              <w:left w:val="single" w:sz="4" w:space="0" w:color="auto"/>
              <w:bottom w:val="single" w:sz="4" w:space="0" w:color="auto"/>
              <w:right w:val="single" w:sz="4" w:space="0" w:color="auto"/>
            </w:tcBorders>
            <w:vAlign w:val="center"/>
            <w:hideMark/>
          </w:tcPr>
          <w:p w14:paraId="77EBFE4D" w14:textId="77777777" w:rsidR="00EE1749" w:rsidRPr="00A3398F" w:rsidRDefault="00EE1749">
            <w:pPr>
              <w:widowControl/>
              <w:jc w:val="left"/>
              <w:rPr>
                <w:rFonts w:eastAsiaTheme="minorEastAsia"/>
                <w:color w:val="000000"/>
                <w:szCs w:val="21"/>
              </w:rPr>
            </w:pPr>
          </w:p>
        </w:tc>
        <w:tc>
          <w:tcPr>
            <w:tcW w:w="2410" w:type="dxa"/>
            <w:tcBorders>
              <w:top w:val="single" w:sz="4" w:space="0" w:color="auto"/>
              <w:left w:val="single" w:sz="4" w:space="0" w:color="auto"/>
              <w:bottom w:val="single" w:sz="4" w:space="0" w:color="auto"/>
              <w:right w:val="single" w:sz="4" w:space="0" w:color="auto"/>
            </w:tcBorders>
            <w:hideMark/>
          </w:tcPr>
          <w:p w14:paraId="3387D74B" w14:textId="77777777" w:rsidR="00EE1749" w:rsidRPr="00A3398F" w:rsidRDefault="00EE1749">
            <w:pPr>
              <w:spacing w:line="288" w:lineRule="auto"/>
              <w:jc w:val="left"/>
              <w:rPr>
                <w:rFonts w:eastAsiaTheme="minorEastAsia"/>
                <w:color w:val="000000"/>
                <w:szCs w:val="21"/>
              </w:rPr>
            </w:pPr>
            <w:r w:rsidRPr="00A3398F">
              <w:rPr>
                <w:rFonts w:eastAsiaTheme="minorEastAsia"/>
                <w:color w:val="000000"/>
                <w:szCs w:val="21"/>
              </w:rPr>
              <w:t>其他组合</w:t>
            </w:r>
          </w:p>
        </w:tc>
        <w:tc>
          <w:tcPr>
            <w:tcW w:w="2693" w:type="dxa"/>
            <w:tcBorders>
              <w:top w:val="single" w:sz="4" w:space="0" w:color="auto"/>
              <w:left w:val="single" w:sz="4" w:space="0" w:color="auto"/>
              <w:bottom w:val="single" w:sz="4" w:space="0" w:color="auto"/>
              <w:right w:val="single" w:sz="4" w:space="0" w:color="auto"/>
            </w:tcBorders>
            <w:hideMark/>
          </w:tcPr>
          <w:p w14:paraId="7D5B33E1" w14:textId="77777777" w:rsidR="00EE1749" w:rsidRPr="00A3398F" w:rsidRDefault="00EE1749">
            <w:pPr>
              <w:spacing w:line="288" w:lineRule="auto"/>
              <w:jc w:val="left"/>
              <w:rPr>
                <w:rFonts w:eastAsiaTheme="minorEastAsia"/>
                <w:color w:val="000000"/>
                <w:szCs w:val="21"/>
              </w:rPr>
            </w:pPr>
            <w:r w:rsidRPr="00A3398F">
              <w:rPr>
                <w:rFonts w:eastAsiaTheme="minorEastAsia"/>
                <w:color w:val="000000"/>
                <w:szCs w:val="21"/>
              </w:rPr>
              <w:t>-</w:t>
            </w:r>
          </w:p>
        </w:tc>
        <w:tc>
          <w:tcPr>
            <w:tcW w:w="1843" w:type="dxa"/>
            <w:tcBorders>
              <w:top w:val="single" w:sz="4" w:space="0" w:color="auto"/>
              <w:left w:val="single" w:sz="4" w:space="0" w:color="auto"/>
              <w:bottom w:val="single" w:sz="4" w:space="0" w:color="auto"/>
              <w:right w:val="single" w:sz="4" w:space="0" w:color="auto"/>
            </w:tcBorders>
            <w:hideMark/>
          </w:tcPr>
          <w:p w14:paraId="2EE24490" w14:textId="77777777" w:rsidR="00EE1749" w:rsidRPr="00A3398F" w:rsidRDefault="00EE1749">
            <w:pPr>
              <w:spacing w:line="288" w:lineRule="auto"/>
              <w:jc w:val="left"/>
              <w:rPr>
                <w:rFonts w:eastAsiaTheme="minorEastAsia"/>
                <w:color w:val="000000"/>
                <w:szCs w:val="21"/>
              </w:rPr>
            </w:pPr>
            <w:r w:rsidRPr="00A3398F">
              <w:rPr>
                <w:rFonts w:eastAsiaTheme="minorEastAsia"/>
                <w:color w:val="000000"/>
                <w:szCs w:val="21"/>
              </w:rPr>
              <w:t>-</w:t>
            </w:r>
          </w:p>
        </w:tc>
        <w:tc>
          <w:tcPr>
            <w:tcW w:w="1381" w:type="dxa"/>
            <w:tcBorders>
              <w:top w:val="single" w:sz="4" w:space="0" w:color="auto"/>
              <w:left w:val="single" w:sz="4" w:space="0" w:color="auto"/>
              <w:bottom w:val="single" w:sz="4" w:space="0" w:color="auto"/>
              <w:right w:val="single" w:sz="4" w:space="0" w:color="auto"/>
            </w:tcBorders>
            <w:hideMark/>
          </w:tcPr>
          <w:p w14:paraId="396D0BAC" w14:textId="77777777" w:rsidR="00EE1749" w:rsidRPr="00A3398F" w:rsidRDefault="00EE1749">
            <w:pPr>
              <w:spacing w:line="288" w:lineRule="auto"/>
              <w:jc w:val="left"/>
              <w:rPr>
                <w:rFonts w:eastAsiaTheme="minorEastAsia"/>
                <w:color w:val="000000"/>
                <w:szCs w:val="21"/>
              </w:rPr>
            </w:pPr>
            <w:r w:rsidRPr="00A3398F">
              <w:rPr>
                <w:rFonts w:eastAsiaTheme="minorEastAsia"/>
                <w:color w:val="000000"/>
                <w:szCs w:val="21"/>
              </w:rPr>
              <w:t>-</w:t>
            </w:r>
          </w:p>
        </w:tc>
      </w:tr>
      <w:tr w:rsidR="00EE1749" w:rsidRPr="00A3398F" w14:paraId="58005B1B" w14:textId="77777777" w:rsidTr="00EE1749">
        <w:tc>
          <w:tcPr>
            <w:tcW w:w="9286" w:type="dxa"/>
            <w:vMerge/>
            <w:tcBorders>
              <w:top w:val="single" w:sz="4" w:space="0" w:color="auto"/>
              <w:left w:val="single" w:sz="4" w:space="0" w:color="auto"/>
              <w:bottom w:val="single" w:sz="4" w:space="0" w:color="auto"/>
              <w:right w:val="single" w:sz="4" w:space="0" w:color="auto"/>
            </w:tcBorders>
            <w:vAlign w:val="center"/>
            <w:hideMark/>
          </w:tcPr>
          <w:p w14:paraId="0250114D" w14:textId="77777777" w:rsidR="00EE1749" w:rsidRPr="00A3398F" w:rsidRDefault="00EE1749">
            <w:pPr>
              <w:widowControl/>
              <w:jc w:val="left"/>
              <w:rPr>
                <w:rFonts w:eastAsiaTheme="minorEastAsia"/>
                <w:color w:val="000000"/>
                <w:szCs w:val="21"/>
              </w:rPr>
            </w:pPr>
          </w:p>
        </w:tc>
        <w:tc>
          <w:tcPr>
            <w:tcW w:w="2410" w:type="dxa"/>
            <w:tcBorders>
              <w:top w:val="single" w:sz="4" w:space="0" w:color="auto"/>
              <w:left w:val="single" w:sz="4" w:space="0" w:color="auto"/>
              <w:bottom w:val="single" w:sz="4" w:space="0" w:color="auto"/>
              <w:right w:val="single" w:sz="4" w:space="0" w:color="auto"/>
            </w:tcBorders>
            <w:hideMark/>
          </w:tcPr>
          <w:p w14:paraId="54B46188" w14:textId="77777777" w:rsidR="00EE1749" w:rsidRPr="00A3398F" w:rsidRDefault="00EE1749">
            <w:pPr>
              <w:spacing w:line="288" w:lineRule="auto"/>
              <w:jc w:val="left"/>
              <w:rPr>
                <w:rFonts w:eastAsiaTheme="minorEastAsia"/>
                <w:color w:val="000000"/>
                <w:szCs w:val="21"/>
              </w:rPr>
            </w:pPr>
            <w:r w:rsidRPr="00A3398F">
              <w:rPr>
                <w:rFonts w:eastAsiaTheme="minorEastAsia"/>
                <w:color w:val="000000"/>
                <w:szCs w:val="21"/>
              </w:rPr>
              <w:t>合计</w:t>
            </w:r>
          </w:p>
        </w:tc>
        <w:tc>
          <w:tcPr>
            <w:tcW w:w="2693" w:type="dxa"/>
            <w:tcBorders>
              <w:top w:val="single" w:sz="4" w:space="0" w:color="auto"/>
              <w:left w:val="single" w:sz="4" w:space="0" w:color="auto"/>
              <w:bottom w:val="single" w:sz="4" w:space="0" w:color="auto"/>
              <w:right w:val="single" w:sz="4" w:space="0" w:color="auto"/>
            </w:tcBorders>
            <w:hideMark/>
          </w:tcPr>
          <w:p w14:paraId="270E7ED8" w14:textId="77777777" w:rsidR="00EE1749" w:rsidRPr="00A3398F" w:rsidRDefault="00EE1749">
            <w:pPr>
              <w:spacing w:line="288" w:lineRule="auto"/>
              <w:jc w:val="left"/>
              <w:rPr>
                <w:rFonts w:eastAsiaTheme="minorEastAsia"/>
                <w:color w:val="000000"/>
                <w:szCs w:val="21"/>
              </w:rPr>
            </w:pPr>
            <w:r w:rsidRPr="00A3398F">
              <w:rPr>
                <w:rFonts w:eastAsiaTheme="minorEastAsia"/>
                <w:color w:val="000000"/>
                <w:szCs w:val="21"/>
              </w:rPr>
              <w:t>10</w:t>
            </w:r>
          </w:p>
        </w:tc>
        <w:tc>
          <w:tcPr>
            <w:tcW w:w="1843" w:type="dxa"/>
            <w:tcBorders>
              <w:top w:val="single" w:sz="4" w:space="0" w:color="auto"/>
              <w:left w:val="single" w:sz="4" w:space="0" w:color="auto"/>
              <w:bottom w:val="single" w:sz="4" w:space="0" w:color="auto"/>
              <w:right w:val="single" w:sz="4" w:space="0" w:color="auto"/>
            </w:tcBorders>
            <w:hideMark/>
          </w:tcPr>
          <w:p w14:paraId="7224E62E" w14:textId="77777777" w:rsidR="00EE1749" w:rsidRPr="00A3398F" w:rsidRDefault="00EE1749">
            <w:pPr>
              <w:spacing w:line="288" w:lineRule="auto"/>
              <w:jc w:val="left"/>
              <w:rPr>
                <w:rFonts w:eastAsiaTheme="minorEastAsia"/>
                <w:color w:val="000000"/>
                <w:szCs w:val="21"/>
              </w:rPr>
            </w:pPr>
            <w:r w:rsidRPr="00A3398F">
              <w:rPr>
                <w:rFonts w:eastAsiaTheme="minorEastAsia"/>
                <w:color w:val="000000"/>
                <w:szCs w:val="21"/>
              </w:rPr>
              <w:t>9,033,676,742.29</w:t>
            </w:r>
          </w:p>
        </w:tc>
        <w:tc>
          <w:tcPr>
            <w:tcW w:w="1381" w:type="dxa"/>
            <w:tcBorders>
              <w:top w:val="single" w:sz="4" w:space="0" w:color="auto"/>
              <w:left w:val="single" w:sz="4" w:space="0" w:color="auto"/>
              <w:bottom w:val="single" w:sz="4" w:space="0" w:color="auto"/>
              <w:right w:val="single" w:sz="4" w:space="0" w:color="auto"/>
            </w:tcBorders>
          </w:tcPr>
          <w:p w14:paraId="0C9F5804" w14:textId="77777777" w:rsidR="00EE1749" w:rsidRPr="00A3398F" w:rsidRDefault="00EE1749">
            <w:pPr>
              <w:spacing w:line="288" w:lineRule="auto"/>
              <w:jc w:val="left"/>
              <w:rPr>
                <w:rFonts w:eastAsiaTheme="minorEastAsia"/>
                <w:color w:val="000000"/>
                <w:szCs w:val="21"/>
              </w:rPr>
            </w:pPr>
          </w:p>
        </w:tc>
      </w:tr>
      <w:bookmarkEnd w:id="2"/>
    </w:tbl>
    <w:p w14:paraId="20B409DB" w14:textId="77777777" w:rsidR="0076518F" w:rsidRPr="00A3398F" w:rsidRDefault="0076518F" w:rsidP="008B6A4A">
      <w:pPr>
        <w:autoSpaceDE w:val="0"/>
        <w:autoSpaceDN w:val="0"/>
        <w:adjustRightInd w:val="0"/>
        <w:spacing w:line="360" w:lineRule="auto"/>
        <w:jc w:val="left"/>
        <w:rPr>
          <w:rFonts w:eastAsiaTheme="minorEastAsia"/>
          <w:color w:val="000000" w:themeColor="text1"/>
          <w:kern w:val="0"/>
          <w:sz w:val="24"/>
        </w:rPr>
      </w:pPr>
    </w:p>
    <w:p w14:paraId="35EAD161" w14:textId="77777777" w:rsidR="0076518F" w:rsidRPr="00A3398F" w:rsidRDefault="0076518F" w:rsidP="00EC4BA3">
      <w:pPr>
        <w:autoSpaceDE w:val="0"/>
        <w:autoSpaceDN w:val="0"/>
        <w:adjustRightInd w:val="0"/>
        <w:spacing w:line="360" w:lineRule="auto"/>
        <w:jc w:val="left"/>
        <w:rPr>
          <w:rFonts w:eastAsiaTheme="minorEastAsia"/>
          <w:b/>
          <w:color w:val="000000" w:themeColor="text1"/>
          <w:kern w:val="0"/>
          <w:sz w:val="24"/>
        </w:rPr>
      </w:pPr>
      <w:r w:rsidRPr="00A3398F">
        <w:rPr>
          <w:rFonts w:eastAsiaTheme="minorEastAsia"/>
          <w:b/>
          <w:color w:val="000000" w:themeColor="text1"/>
          <w:kern w:val="0"/>
          <w:sz w:val="24"/>
        </w:rPr>
        <w:t>4.</w:t>
      </w:r>
      <w:r w:rsidR="00F077D2" w:rsidRPr="00A3398F">
        <w:rPr>
          <w:rFonts w:eastAsiaTheme="minorEastAsia"/>
          <w:b/>
          <w:color w:val="000000" w:themeColor="text1"/>
          <w:kern w:val="0"/>
          <w:sz w:val="24"/>
        </w:rPr>
        <w:t>2</w:t>
      </w:r>
      <w:r w:rsidR="00A32FDA" w:rsidRPr="00A3398F">
        <w:rPr>
          <w:rFonts w:eastAsiaTheme="minorEastAsia"/>
          <w:b/>
          <w:color w:val="000000" w:themeColor="text1"/>
          <w:kern w:val="0"/>
          <w:sz w:val="24"/>
        </w:rPr>
        <w:t xml:space="preserve"> </w:t>
      </w:r>
      <w:r w:rsidRPr="00A3398F">
        <w:rPr>
          <w:rFonts w:eastAsiaTheme="minorEastAsia"/>
          <w:b/>
          <w:color w:val="000000" w:themeColor="text1"/>
          <w:kern w:val="0"/>
          <w:sz w:val="24"/>
        </w:rPr>
        <w:t>境外投资顾问为本基金提供投资建议的主要成员简介</w:t>
      </w:r>
    </w:p>
    <w:tbl>
      <w:tblPr>
        <w:tblStyle w:val="afa"/>
        <w:tblW w:w="0" w:type="auto"/>
        <w:tblInd w:w="15" w:type="dxa"/>
        <w:tblLook w:val="04A0" w:firstRow="1" w:lastRow="0" w:firstColumn="1" w:lastColumn="0" w:noHBand="0" w:noVBand="1"/>
      </w:tblPr>
      <w:tblGrid>
        <w:gridCol w:w="1131"/>
        <w:gridCol w:w="1505"/>
        <w:gridCol w:w="684"/>
        <w:gridCol w:w="5193"/>
      </w:tblGrid>
      <w:tr w:rsidR="008277FF" w:rsidRPr="00A3398F" w14:paraId="065B382C" w14:textId="77777777" w:rsidTr="00797DD2">
        <w:tc>
          <w:tcPr>
            <w:tcW w:w="2129" w:type="dxa"/>
            <w:vAlign w:val="center"/>
          </w:tcPr>
          <w:p w14:paraId="0C6F4045" w14:textId="77777777" w:rsidR="004061D9" w:rsidRPr="00A3398F" w:rsidRDefault="004061D9" w:rsidP="00797DD2">
            <w:pPr>
              <w:autoSpaceDE w:val="0"/>
              <w:autoSpaceDN w:val="0"/>
              <w:adjustRightInd w:val="0"/>
              <w:spacing w:before="29" w:line="360" w:lineRule="auto"/>
              <w:ind w:left="15"/>
              <w:jc w:val="center"/>
              <w:rPr>
                <w:rFonts w:eastAsiaTheme="minorEastAsia"/>
                <w:color w:val="000000" w:themeColor="text1"/>
                <w:kern w:val="0"/>
                <w:szCs w:val="21"/>
              </w:rPr>
            </w:pPr>
            <w:r w:rsidRPr="00A3398F">
              <w:rPr>
                <w:rFonts w:eastAsiaTheme="minorEastAsia"/>
                <w:color w:val="000000" w:themeColor="text1"/>
                <w:kern w:val="0"/>
                <w:szCs w:val="21"/>
              </w:rPr>
              <w:t>姓名</w:t>
            </w:r>
          </w:p>
        </w:tc>
        <w:tc>
          <w:tcPr>
            <w:tcW w:w="2128" w:type="dxa"/>
            <w:vAlign w:val="center"/>
          </w:tcPr>
          <w:p w14:paraId="23015C3A" w14:textId="77777777" w:rsidR="004061D9" w:rsidRPr="00A3398F" w:rsidRDefault="004061D9" w:rsidP="00797DD2">
            <w:pPr>
              <w:autoSpaceDE w:val="0"/>
              <w:autoSpaceDN w:val="0"/>
              <w:adjustRightInd w:val="0"/>
              <w:spacing w:before="29" w:line="360" w:lineRule="auto"/>
              <w:ind w:left="15"/>
              <w:jc w:val="center"/>
              <w:rPr>
                <w:rFonts w:eastAsiaTheme="minorEastAsia"/>
                <w:color w:val="000000" w:themeColor="text1"/>
                <w:kern w:val="0"/>
                <w:szCs w:val="21"/>
              </w:rPr>
            </w:pPr>
            <w:r w:rsidRPr="00A3398F">
              <w:rPr>
                <w:rFonts w:eastAsiaTheme="minorEastAsia"/>
                <w:color w:val="000000" w:themeColor="text1"/>
                <w:kern w:val="0"/>
                <w:szCs w:val="21"/>
              </w:rPr>
              <w:t>在境外投资顾问所任职务</w:t>
            </w:r>
          </w:p>
        </w:tc>
        <w:tc>
          <w:tcPr>
            <w:tcW w:w="2128" w:type="dxa"/>
            <w:vAlign w:val="center"/>
          </w:tcPr>
          <w:p w14:paraId="063BE9A7" w14:textId="77777777" w:rsidR="004061D9" w:rsidRPr="00A3398F" w:rsidRDefault="004061D9" w:rsidP="00797DD2">
            <w:pPr>
              <w:autoSpaceDE w:val="0"/>
              <w:autoSpaceDN w:val="0"/>
              <w:adjustRightInd w:val="0"/>
              <w:spacing w:before="29" w:line="360" w:lineRule="auto"/>
              <w:ind w:left="15"/>
              <w:jc w:val="center"/>
              <w:rPr>
                <w:rFonts w:eastAsiaTheme="minorEastAsia"/>
                <w:color w:val="000000" w:themeColor="text1"/>
                <w:kern w:val="0"/>
                <w:szCs w:val="21"/>
              </w:rPr>
            </w:pPr>
            <w:r w:rsidRPr="00A3398F">
              <w:rPr>
                <w:rFonts w:eastAsiaTheme="minorEastAsia"/>
                <w:color w:val="000000" w:themeColor="text1"/>
                <w:kern w:val="0"/>
                <w:szCs w:val="21"/>
              </w:rPr>
              <w:t>证券从业</w:t>
            </w:r>
            <w:r w:rsidRPr="00A3398F">
              <w:rPr>
                <w:rFonts w:eastAsiaTheme="minorEastAsia"/>
                <w:color w:val="000000" w:themeColor="text1"/>
                <w:kern w:val="0"/>
                <w:szCs w:val="21"/>
              </w:rPr>
              <w:lastRenderedPageBreak/>
              <w:t>年限</w:t>
            </w:r>
          </w:p>
        </w:tc>
        <w:tc>
          <w:tcPr>
            <w:tcW w:w="2128" w:type="dxa"/>
            <w:vAlign w:val="center"/>
          </w:tcPr>
          <w:p w14:paraId="437F5135" w14:textId="77777777" w:rsidR="004061D9" w:rsidRPr="00A3398F" w:rsidRDefault="004061D9" w:rsidP="00797DD2">
            <w:pPr>
              <w:autoSpaceDE w:val="0"/>
              <w:autoSpaceDN w:val="0"/>
              <w:adjustRightInd w:val="0"/>
              <w:spacing w:before="29" w:line="360" w:lineRule="auto"/>
              <w:ind w:left="15"/>
              <w:jc w:val="center"/>
              <w:rPr>
                <w:rFonts w:eastAsiaTheme="minorEastAsia"/>
                <w:color w:val="000000" w:themeColor="text1"/>
                <w:kern w:val="0"/>
                <w:szCs w:val="21"/>
              </w:rPr>
            </w:pPr>
            <w:r w:rsidRPr="00A3398F">
              <w:rPr>
                <w:rFonts w:eastAsiaTheme="minorEastAsia"/>
                <w:color w:val="000000" w:themeColor="text1"/>
                <w:kern w:val="0"/>
                <w:szCs w:val="21"/>
              </w:rPr>
              <w:lastRenderedPageBreak/>
              <w:t>说明</w:t>
            </w:r>
          </w:p>
        </w:tc>
      </w:tr>
      <w:tr w:rsidR="00351E81" w14:paraId="1CBACD0B" w14:textId="77777777">
        <w:tc>
          <w:tcPr>
            <w:tcW w:w="0" w:type="auto"/>
            <w:vAlign w:val="center"/>
          </w:tcPr>
          <w:p w14:paraId="7486A242" w14:textId="77777777" w:rsidR="00351E81" w:rsidRDefault="007F3594">
            <w:pPr>
              <w:jc w:val="center"/>
            </w:pPr>
            <w:r>
              <w:rPr>
                <w:rFonts w:eastAsiaTheme="minorEastAsia"/>
                <w:color w:val="000000" w:themeColor="text1"/>
                <w:szCs w:val="21"/>
              </w:rPr>
              <w:t>Leon Goldfeld</w:t>
            </w:r>
          </w:p>
        </w:tc>
        <w:tc>
          <w:tcPr>
            <w:tcW w:w="0" w:type="auto"/>
            <w:vAlign w:val="center"/>
          </w:tcPr>
          <w:p w14:paraId="6C0BB99B" w14:textId="77777777" w:rsidR="00351E81" w:rsidRDefault="007F3594">
            <w:pPr>
              <w:jc w:val="center"/>
            </w:pPr>
            <w:r>
              <w:rPr>
                <w:rFonts w:eastAsiaTheme="minorEastAsia"/>
                <w:color w:val="000000" w:themeColor="text1"/>
                <w:szCs w:val="21"/>
              </w:rPr>
              <w:t>摩根资产管理</w:t>
            </w:r>
            <w:r>
              <w:rPr>
                <w:rFonts w:eastAsiaTheme="minorEastAsia"/>
                <w:color w:val="000000" w:themeColor="text1"/>
                <w:szCs w:val="21"/>
              </w:rPr>
              <w:t>(</w:t>
            </w:r>
            <w:r>
              <w:rPr>
                <w:rFonts w:eastAsiaTheme="minorEastAsia"/>
                <w:color w:val="000000" w:themeColor="text1"/>
                <w:szCs w:val="21"/>
              </w:rPr>
              <w:t>亚太</w:t>
            </w:r>
            <w:r>
              <w:rPr>
                <w:rFonts w:eastAsiaTheme="minorEastAsia"/>
                <w:color w:val="000000" w:themeColor="text1"/>
                <w:szCs w:val="21"/>
              </w:rPr>
              <w:t>)</w:t>
            </w:r>
            <w:r>
              <w:rPr>
                <w:rFonts w:eastAsiaTheme="minorEastAsia"/>
                <w:color w:val="000000" w:themeColor="text1"/>
                <w:szCs w:val="21"/>
              </w:rPr>
              <w:t>董事总经理，多资产解决方案部资深投资组合经理</w:t>
            </w:r>
          </w:p>
        </w:tc>
        <w:tc>
          <w:tcPr>
            <w:tcW w:w="0" w:type="auto"/>
            <w:vAlign w:val="center"/>
          </w:tcPr>
          <w:p w14:paraId="18DC646D" w14:textId="77777777" w:rsidR="00351E81" w:rsidRDefault="007F3594">
            <w:pPr>
              <w:jc w:val="center"/>
            </w:pPr>
            <w:r>
              <w:rPr>
                <w:rFonts w:eastAsiaTheme="minorEastAsia"/>
                <w:color w:val="000000" w:themeColor="text1"/>
                <w:szCs w:val="21"/>
              </w:rPr>
              <w:t>36</w:t>
            </w:r>
            <w:r>
              <w:rPr>
                <w:rFonts w:eastAsiaTheme="minorEastAsia"/>
                <w:color w:val="000000" w:themeColor="text1"/>
                <w:szCs w:val="21"/>
              </w:rPr>
              <w:t>年</w:t>
            </w:r>
          </w:p>
        </w:tc>
        <w:tc>
          <w:tcPr>
            <w:tcW w:w="0" w:type="auto"/>
            <w:vAlign w:val="center"/>
          </w:tcPr>
          <w:p w14:paraId="5A05597A" w14:textId="77777777" w:rsidR="00351E81" w:rsidRDefault="007F3594">
            <w:pPr>
              <w:jc w:val="left"/>
            </w:pPr>
            <w:r>
              <w:rPr>
                <w:rFonts w:eastAsiaTheme="minorEastAsia"/>
                <w:color w:val="000000" w:themeColor="text1"/>
                <w:szCs w:val="21"/>
              </w:rPr>
              <w:t xml:space="preserve">Leon Goldfeld </w:t>
            </w:r>
            <w:r>
              <w:rPr>
                <w:rFonts w:eastAsiaTheme="minorEastAsia"/>
                <w:color w:val="000000" w:themeColor="text1"/>
                <w:szCs w:val="21"/>
              </w:rPr>
              <w:t>（高礼行），董事总经理，摩根资产管理多资产解决方案部资深投资组合经理，常驻香港。加入摩根资产管理前，</w:t>
            </w:r>
            <w:r>
              <w:rPr>
                <w:rFonts w:eastAsiaTheme="minorEastAsia"/>
                <w:color w:val="000000" w:themeColor="text1"/>
                <w:szCs w:val="21"/>
              </w:rPr>
              <w:t>Leon</w:t>
            </w:r>
            <w:r>
              <w:rPr>
                <w:rFonts w:eastAsiaTheme="minorEastAsia"/>
                <w:color w:val="000000" w:themeColor="text1"/>
                <w:szCs w:val="21"/>
              </w:rPr>
              <w:t>曾任东方汇理（香港）副首席投资官及亚洲多资产投资部总监，高盛私人财富管理公司投资策略部董事总经理，汇丰全球资产管理（香港）首席投资官，以及安盛投资管理香港地区首席投资官。</w:t>
            </w:r>
          </w:p>
          <w:p w14:paraId="1A4679C9" w14:textId="77777777" w:rsidR="00351E81" w:rsidRDefault="007F3594">
            <w:pPr>
              <w:jc w:val="left"/>
            </w:pPr>
            <w:r>
              <w:rPr>
                <w:rFonts w:eastAsiaTheme="minorEastAsia"/>
                <w:color w:val="000000" w:themeColor="text1"/>
                <w:szCs w:val="21"/>
              </w:rPr>
              <w:t>Leon</w:t>
            </w:r>
            <w:r>
              <w:rPr>
                <w:rFonts w:eastAsiaTheme="minorEastAsia"/>
                <w:color w:val="000000" w:themeColor="text1"/>
                <w:szCs w:val="21"/>
              </w:rPr>
              <w:t>拥有墨尔本莫纳什大学计算机科学、会计与经济学专业的学士学位，并为一名特许金融分析师。</w:t>
            </w:r>
          </w:p>
        </w:tc>
      </w:tr>
    </w:tbl>
    <w:p w14:paraId="4558DB3D" w14:textId="77777777" w:rsidR="00FB47E0" w:rsidRPr="00A3398F" w:rsidRDefault="00FB47E0" w:rsidP="008B6A4A">
      <w:pPr>
        <w:autoSpaceDE w:val="0"/>
        <w:autoSpaceDN w:val="0"/>
        <w:adjustRightInd w:val="0"/>
        <w:spacing w:line="360" w:lineRule="auto"/>
        <w:jc w:val="left"/>
        <w:rPr>
          <w:rFonts w:eastAsiaTheme="minorEastAsia"/>
          <w:color w:val="000000" w:themeColor="text1"/>
          <w:kern w:val="0"/>
          <w:sz w:val="24"/>
        </w:rPr>
      </w:pPr>
    </w:p>
    <w:p w14:paraId="7CDF8E7F" w14:textId="77777777" w:rsidR="0076518F" w:rsidRPr="00A3398F" w:rsidRDefault="0076518F" w:rsidP="00A70E23">
      <w:pPr>
        <w:autoSpaceDE w:val="0"/>
        <w:autoSpaceDN w:val="0"/>
        <w:adjustRightInd w:val="0"/>
        <w:spacing w:line="360" w:lineRule="auto"/>
        <w:jc w:val="left"/>
        <w:rPr>
          <w:rFonts w:eastAsiaTheme="minorEastAsia"/>
          <w:b/>
          <w:color w:val="000000" w:themeColor="text1"/>
          <w:kern w:val="0"/>
          <w:sz w:val="24"/>
        </w:rPr>
      </w:pPr>
      <w:r w:rsidRPr="00A3398F">
        <w:rPr>
          <w:rFonts w:eastAsiaTheme="minorEastAsia"/>
          <w:b/>
          <w:color w:val="000000" w:themeColor="text1"/>
          <w:kern w:val="0"/>
          <w:sz w:val="24"/>
        </w:rPr>
        <w:t>4.</w:t>
      </w:r>
      <w:r w:rsidR="00A32FDA" w:rsidRPr="00A3398F">
        <w:rPr>
          <w:rFonts w:eastAsiaTheme="minorEastAsia"/>
          <w:b/>
          <w:color w:val="000000" w:themeColor="text1"/>
          <w:kern w:val="0"/>
          <w:sz w:val="24"/>
        </w:rPr>
        <w:t>3</w:t>
      </w:r>
      <w:r w:rsidR="003508B0" w:rsidRPr="00A3398F">
        <w:rPr>
          <w:b/>
          <w:color w:val="000000"/>
          <w:sz w:val="24"/>
          <w:shd w:val="clear" w:color="auto" w:fill="FFFFFF"/>
        </w:rPr>
        <w:t>管理人对报告期内本基金运作遵规守信情况的说明</w:t>
      </w:r>
    </w:p>
    <w:p w14:paraId="276A8816" w14:textId="77777777" w:rsidR="00363E15" w:rsidRPr="00A3398F" w:rsidRDefault="00363E15" w:rsidP="00797DD2">
      <w:pPr>
        <w:spacing w:line="360" w:lineRule="auto"/>
        <w:ind w:firstLineChars="200" w:firstLine="420"/>
        <w:rPr>
          <w:rFonts w:eastAsiaTheme="minorEastAsia"/>
          <w:color w:val="000000" w:themeColor="text1"/>
          <w:szCs w:val="21"/>
        </w:rPr>
      </w:pPr>
      <w:r w:rsidRPr="00A3398F">
        <w:rPr>
          <w:rFonts w:eastAsiaTheme="minorEastAsia"/>
          <w:color w:val="000000" w:themeColor="text1"/>
          <w:szCs w:val="21"/>
        </w:rPr>
        <w:t>在本报告期内，基金管理人不存在损害基金份额持有人利益的行为，勤勉尽责地为基金份额持有人谋求利益。基金管理人遵守了《证券投资基金法》及其他有关法律法规、本基金基金合同的规定。除以下情况外，基金经理对个股和投资组合的比例遵循了投资决策委员会的授权限制，基金投资比例符合基金合同和法律法规的要求：本基金曾出现个别由于市场原因等基金管理人之外的因素引起的投资组合的投资指标被动偏离相关比例要求的情形，但已在规定时间内调整完毕。</w:t>
      </w:r>
    </w:p>
    <w:p w14:paraId="3CF387D6" w14:textId="77777777" w:rsidR="0076518F" w:rsidRPr="00A3398F" w:rsidRDefault="0076518F" w:rsidP="00A70E23">
      <w:pPr>
        <w:autoSpaceDE w:val="0"/>
        <w:autoSpaceDN w:val="0"/>
        <w:adjustRightInd w:val="0"/>
        <w:spacing w:line="360" w:lineRule="auto"/>
        <w:jc w:val="left"/>
        <w:rPr>
          <w:rFonts w:eastAsiaTheme="minorEastAsia"/>
          <w:color w:val="000000" w:themeColor="text1"/>
          <w:kern w:val="0"/>
          <w:sz w:val="24"/>
        </w:rPr>
      </w:pPr>
    </w:p>
    <w:p w14:paraId="65AF0065" w14:textId="77777777" w:rsidR="0076518F" w:rsidRPr="00A3398F" w:rsidRDefault="0076518F" w:rsidP="00A70E23">
      <w:pPr>
        <w:autoSpaceDE w:val="0"/>
        <w:autoSpaceDN w:val="0"/>
        <w:adjustRightInd w:val="0"/>
        <w:spacing w:line="360" w:lineRule="auto"/>
        <w:jc w:val="left"/>
        <w:rPr>
          <w:rFonts w:eastAsiaTheme="minorEastAsia"/>
          <w:b/>
          <w:color w:val="000000" w:themeColor="text1"/>
          <w:kern w:val="0"/>
          <w:sz w:val="24"/>
        </w:rPr>
      </w:pPr>
      <w:r w:rsidRPr="00A3398F">
        <w:rPr>
          <w:rFonts w:eastAsiaTheme="minorEastAsia"/>
          <w:b/>
          <w:color w:val="000000" w:themeColor="text1"/>
          <w:kern w:val="0"/>
          <w:sz w:val="24"/>
        </w:rPr>
        <w:t>4.</w:t>
      </w:r>
      <w:r w:rsidR="00A32FDA" w:rsidRPr="00A3398F">
        <w:rPr>
          <w:rFonts w:eastAsiaTheme="minorEastAsia"/>
          <w:b/>
          <w:color w:val="000000" w:themeColor="text1"/>
          <w:kern w:val="0"/>
          <w:sz w:val="24"/>
        </w:rPr>
        <w:t>4</w:t>
      </w:r>
      <w:r w:rsidRPr="00A3398F">
        <w:rPr>
          <w:rFonts w:eastAsiaTheme="minorEastAsia"/>
          <w:b/>
          <w:color w:val="000000" w:themeColor="text1"/>
          <w:kern w:val="0"/>
          <w:sz w:val="24"/>
        </w:rPr>
        <w:t xml:space="preserve"> </w:t>
      </w:r>
      <w:r w:rsidRPr="00A3398F">
        <w:rPr>
          <w:rFonts w:eastAsiaTheme="minorEastAsia"/>
          <w:b/>
          <w:color w:val="000000" w:themeColor="text1"/>
          <w:kern w:val="0"/>
          <w:sz w:val="24"/>
        </w:rPr>
        <w:t>公平交易专项说明</w:t>
      </w:r>
    </w:p>
    <w:p w14:paraId="05AF12DD" w14:textId="77777777" w:rsidR="00AB42E2" w:rsidRPr="00A3398F" w:rsidRDefault="00AB42E2" w:rsidP="00A70E23">
      <w:pPr>
        <w:spacing w:line="360" w:lineRule="auto"/>
        <w:rPr>
          <w:rFonts w:eastAsiaTheme="minorEastAsia"/>
          <w:color w:val="000000" w:themeColor="text1"/>
          <w:sz w:val="24"/>
        </w:rPr>
      </w:pPr>
      <w:r w:rsidRPr="00A3398F">
        <w:rPr>
          <w:rFonts w:eastAsiaTheme="minorEastAsia"/>
          <w:color w:val="000000" w:themeColor="text1"/>
          <w:sz w:val="24"/>
        </w:rPr>
        <w:t>4.</w:t>
      </w:r>
      <w:r w:rsidR="00A32FDA" w:rsidRPr="00A3398F">
        <w:rPr>
          <w:rFonts w:eastAsiaTheme="minorEastAsia"/>
          <w:color w:val="000000" w:themeColor="text1"/>
          <w:sz w:val="24"/>
        </w:rPr>
        <w:t>4.1</w:t>
      </w:r>
      <w:r w:rsidRPr="00A3398F">
        <w:rPr>
          <w:rFonts w:eastAsiaTheme="minorEastAsia"/>
          <w:color w:val="000000" w:themeColor="text1"/>
          <w:sz w:val="24"/>
        </w:rPr>
        <w:t>公平交易制度的执行情况</w:t>
      </w:r>
    </w:p>
    <w:p w14:paraId="2873588A" w14:textId="77777777" w:rsidR="00351E81" w:rsidRDefault="007F3594">
      <w:pPr>
        <w:spacing w:line="360" w:lineRule="auto"/>
        <w:ind w:firstLineChars="200" w:firstLine="420"/>
        <w:rPr>
          <w:rFonts w:eastAsiaTheme="minorEastAsia"/>
          <w:color w:val="000000" w:themeColor="text1"/>
          <w:szCs w:val="21"/>
        </w:rPr>
      </w:pPr>
      <w:r>
        <w:rPr>
          <w:rFonts w:eastAsiaTheme="minorEastAsia"/>
          <w:color w:val="000000" w:themeColor="text1"/>
          <w:szCs w:val="21"/>
        </w:rPr>
        <w:t>报告期内，本公司继续贯彻落实《证券投资基金管理公司公平交易制度指导意见》等相关法律法规和公司内部公平交易流程的各项要求，严格规范境内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w:t>
      </w:r>
    </w:p>
    <w:p w14:paraId="6C187F12" w14:textId="77777777" w:rsidR="00351E81" w:rsidRDefault="007F3594">
      <w:pPr>
        <w:spacing w:line="360" w:lineRule="auto"/>
        <w:ind w:firstLineChars="200" w:firstLine="420"/>
        <w:rPr>
          <w:rFonts w:eastAsiaTheme="minorEastAsia"/>
          <w:color w:val="000000" w:themeColor="text1"/>
          <w:szCs w:val="21"/>
        </w:rPr>
      </w:pPr>
      <w:r>
        <w:rPr>
          <w:rFonts w:eastAsiaTheme="minorEastAsia"/>
          <w:color w:val="000000" w:themeColor="text1"/>
          <w:szCs w:val="21"/>
        </w:rPr>
        <w:t>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w:t>
      </w:r>
    </w:p>
    <w:p w14:paraId="02CFC6AF" w14:textId="77777777" w:rsidR="00AB42E2" w:rsidRPr="00A3398F" w:rsidRDefault="001F3C28" w:rsidP="00797DD2">
      <w:pPr>
        <w:spacing w:line="360" w:lineRule="auto"/>
        <w:ind w:firstLineChars="200" w:firstLine="420"/>
        <w:rPr>
          <w:rFonts w:eastAsiaTheme="minorEastAsia"/>
          <w:color w:val="000000" w:themeColor="text1"/>
          <w:szCs w:val="21"/>
        </w:rPr>
      </w:pPr>
      <w:r w:rsidRPr="00A3398F">
        <w:rPr>
          <w:rFonts w:eastAsiaTheme="minorEastAsia"/>
          <w:color w:val="000000" w:themeColor="text1"/>
          <w:szCs w:val="21"/>
        </w:rPr>
        <w:t>报告期内，通过对不同投资组合之间的收益率差异比较、对同向交易和反向交易的交易时机和交易价差监控分析，未发现整体公平交易执行出现异常的情况。</w:t>
      </w:r>
    </w:p>
    <w:p w14:paraId="7805E5D6" w14:textId="77777777" w:rsidR="00AB42E2" w:rsidRPr="00A3398F" w:rsidRDefault="00AB42E2" w:rsidP="00A70E23">
      <w:pPr>
        <w:spacing w:line="360" w:lineRule="auto"/>
        <w:rPr>
          <w:rFonts w:eastAsiaTheme="minorEastAsia"/>
          <w:color w:val="000000" w:themeColor="text1"/>
          <w:sz w:val="24"/>
        </w:rPr>
      </w:pPr>
      <w:r w:rsidRPr="00A3398F">
        <w:rPr>
          <w:rFonts w:eastAsiaTheme="minorEastAsia"/>
          <w:color w:val="000000" w:themeColor="text1"/>
          <w:sz w:val="24"/>
        </w:rPr>
        <w:lastRenderedPageBreak/>
        <w:t>4.</w:t>
      </w:r>
      <w:r w:rsidR="00A32FDA" w:rsidRPr="00A3398F">
        <w:rPr>
          <w:rFonts w:eastAsiaTheme="minorEastAsia"/>
          <w:color w:val="000000" w:themeColor="text1"/>
          <w:sz w:val="24"/>
        </w:rPr>
        <w:t>4</w:t>
      </w:r>
      <w:r w:rsidRPr="00A3398F">
        <w:rPr>
          <w:rFonts w:eastAsiaTheme="minorEastAsia"/>
          <w:color w:val="000000" w:themeColor="text1"/>
          <w:sz w:val="24"/>
        </w:rPr>
        <w:t>.</w:t>
      </w:r>
      <w:r w:rsidR="00A32FDA" w:rsidRPr="00A3398F">
        <w:rPr>
          <w:rFonts w:eastAsiaTheme="minorEastAsia"/>
          <w:color w:val="000000" w:themeColor="text1"/>
          <w:sz w:val="24"/>
        </w:rPr>
        <w:t>2</w:t>
      </w:r>
      <w:r w:rsidRPr="00A3398F">
        <w:rPr>
          <w:rFonts w:eastAsiaTheme="minorEastAsia"/>
          <w:color w:val="000000" w:themeColor="text1"/>
          <w:sz w:val="24"/>
        </w:rPr>
        <w:t>异常交易行为的专项说明</w:t>
      </w:r>
    </w:p>
    <w:p w14:paraId="154F40C7" w14:textId="77777777" w:rsidR="00351E81" w:rsidRDefault="007F3594">
      <w:pPr>
        <w:spacing w:line="360" w:lineRule="auto"/>
        <w:ind w:firstLineChars="200" w:firstLine="420"/>
        <w:rPr>
          <w:rFonts w:eastAsiaTheme="minorEastAsia"/>
          <w:color w:val="000000" w:themeColor="text1"/>
          <w:szCs w:val="21"/>
        </w:rPr>
      </w:pPr>
      <w:r>
        <w:rPr>
          <w:rFonts w:eastAsiaTheme="minorEastAsia"/>
          <w:color w:val="000000" w:themeColor="text1"/>
          <w:szCs w:val="21"/>
        </w:rPr>
        <w:t>报告期内，通过对交易价格、交易时间、交易方向等的分析，未发现有可能导致不公平交易和利益输送的异常交易行为。</w:t>
      </w:r>
    </w:p>
    <w:p w14:paraId="1C74CA6B" w14:textId="77777777" w:rsidR="001F3C28" w:rsidRPr="00A3398F" w:rsidRDefault="001F3C28" w:rsidP="00797DD2">
      <w:pPr>
        <w:spacing w:line="360" w:lineRule="auto"/>
        <w:ind w:firstLineChars="200" w:firstLine="420"/>
        <w:rPr>
          <w:rFonts w:eastAsiaTheme="minorEastAsia"/>
          <w:color w:val="000000" w:themeColor="text1"/>
          <w:szCs w:val="21"/>
        </w:rPr>
      </w:pPr>
      <w:r w:rsidRPr="00A3398F">
        <w:rPr>
          <w:rFonts w:eastAsiaTheme="minorEastAsia"/>
          <w:color w:val="000000" w:themeColor="text1"/>
          <w:szCs w:val="21"/>
        </w:rPr>
        <w:t>所有投资组合参与的交易所公开竞价同日反向交易成交较少的单边交易量超过该证券当日成交量的</w:t>
      </w:r>
      <w:r w:rsidRPr="00A3398F">
        <w:rPr>
          <w:rFonts w:eastAsiaTheme="minorEastAsia"/>
          <w:color w:val="000000" w:themeColor="text1"/>
          <w:szCs w:val="21"/>
        </w:rPr>
        <w:t>5%</w:t>
      </w:r>
      <w:r w:rsidRPr="00A3398F">
        <w:rPr>
          <w:rFonts w:eastAsiaTheme="minorEastAsia"/>
          <w:color w:val="000000" w:themeColor="text1"/>
          <w:szCs w:val="21"/>
        </w:rPr>
        <w:t>的情形：无。</w:t>
      </w:r>
    </w:p>
    <w:p w14:paraId="47862038" w14:textId="77777777" w:rsidR="0076518F" w:rsidRPr="00A3398F" w:rsidRDefault="0076518F" w:rsidP="00A70E23">
      <w:pPr>
        <w:autoSpaceDE w:val="0"/>
        <w:autoSpaceDN w:val="0"/>
        <w:adjustRightInd w:val="0"/>
        <w:spacing w:line="360" w:lineRule="auto"/>
        <w:jc w:val="left"/>
        <w:rPr>
          <w:rFonts w:eastAsiaTheme="minorEastAsia"/>
          <w:color w:val="000000" w:themeColor="text1"/>
          <w:kern w:val="0"/>
          <w:sz w:val="24"/>
        </w:rPr>
      </w:pPr>
    </w:p>
    <w:p w14:paraId="7F8EEAC4" w14:textId="77777777" w:rsidR="00EF4716" w:rsidRPr="00A3398F" w:rsidRDefault="00EF4716" w:rsidP="00EF4716">
      <w:pPr>
        <w:autoSpaceDE w:val="0"/>
        <w:autoSpaceDN w:val="0"/>
        <w:adjustRightInd w:val="0"/>
        <w:spacing w:line="360" w:lineRule="auto"/>
        <w:jc w:val="left"/>
        <w:rPr>
          <w:rFonts w:eastAsiaTheme="minorEastAsia"/>
          <w:b/>
          <w:color w:val="000000" w:themeColor="text1"/>
          <w:kern w:val="0"/>
          <w:sz w:val="24"/>
        </w:rPr>
      </w:pPr>
      <w:r w:rsidRPr="00A3398F">
        <w:rPr>
          <w:rFonts w:eastAsiaTheme="minorEastAsia"/>
          <w:b/>
          <w:color w:val="000000" w:themeColor="text1"/>
          <w:kern w:val="0"/>
          <w:sz w:val="24"/>
        </w:rPr>
        <w:t xml:space="preserve">4.5 </w:t>
      </w:r>
      <w:r w:rsidRPr="00A3398F">
        <w:rPr>
          <w:rFonts w:eastAsiaTheme="minorEastAsia"/>
          <w:b/>
          <w:color w:val="000000" w:themeColor="text1"/>
          <w:kern w:val="0"/>
          <w:sz w:val="24"/>
        </w:rPr>
        <w:t>报告期内基金的投资策略和业绩表现说明</w:t>
      </w:r>
    </w:p>
    <w:p w14:paraId="28D16D05" w14:textId="77777777" w:rsidR="00351E81" w:rsidRDefault="007F3594">
      <w:pPr>
        <w:spacing w:line="360" w:lineRule="auto"/>
        <w:ind w:firstLineChars="200" w:firstLine="420"/>
        <w:rPr>
          <w:rFonts w:eastAsiaTheme="minorEastAsia"/>
          <w:color w:val="000000" w:themeColor="text1"/>
          <w:szCs w:val="21"/>
        </w:rPr>
      </w:pPr>
      <w:r>
        <w:rPr>
          <w:rFonts w:eastAsiaTheme="minorEastAsia"/>
          <w:color w:val="000000" w:themeColor="text1"/>
          <w:szCs w:val="21"/>
        </w:rPr>
        <w:t>本基金在报告期内继续持有短久期高流动性美元债券资产。</w:t>
      </w:r>
    </w:p>
    <w:p w14:paraId="05503090" w14:textId="77777777" w:rsidR="00351E81" w:rsidRDefault="007F3594">
      <w:pPr>
        <w:spacing w:line="360" w:lineRule="auto"/>
        <w:ind w:firstLineChars="200" w:firstLine="420"/>
        <w:rPr>
          <w:rFonts w:eastAsiaTheme="minorEastAsia"/>
          <w:color w:val="000000" w:themeColor="text1"/>
          <w:szCs w:val="21"/>
        </w:rPr>
      </w:pPr>
      <w:r>
        <w:rPr>
          <w:rFonts w:eastAsiaTheme="minorEastAsia"/>
          <w:color w:val="000000" w:themeColor="text1"/>
          <w:szCs w:val="21"/>
        </w:rPr>
        <w:t>美国经济具有弹性，加上通胀压力尚未完全消散，表明美联储降息的时间点可能会推迟。因此，鉴于降息的时间表后延，包括美国国债在内的主要债券市场价格回落。本基金由于持有的短久期高流动性美元债券资产，对中长期利率波动不敏感，基金净值维持较低波动下的稳健上涨。</w:t>
      </w:r>
    </w:p>
    <w:p w14:paraId="7063AC52" w14:textId="77777777" w:rsidR="00351E81" w:rsidRDefault="007F3594">
      <w:pPr>
        <w:spacing w:line="360" w:lineRule="auto"/>
        <w:ind w:firstLineChars="200" w:firstLine="420"/>
        <w:rPr>
          <w:rFonts w:eastAsiaTheme="minorEastAsia"/>
          <w:color w:val="000000" w:themeColor="text1"/>
          <w:szCs w:val="21"/>
        </w:rPr>
      </w:pPr>
      <w:r>
        <w:rPr>
          <w:rFonts w:eastAsiaTheme="minorEastAsia"/>
          <w:color w:val="000000" w:themeColor="text1"/>
          <w:szCs w:val="21"/>
        </w:rPr>
        <w:t>在去年年底的时候，市场对美联储降息的次数和幅度预期过于乐观，远超美联储点阵图的指引。</w:t>
      </w:r>
      <w:r>
        <w:rPr>
          <w:rFonts w:eastAsiaTheme="minorEastAsia"/>
          <w:color w:val="000000" w:themeColor="text1"/>
          <w:szCs w:val="21"/>
        </w:rPr>
        <w:t>2024</w:t>
      </w:r>
      <w:r>
        <w:rPr>
          <w:rFonts w:eastAsiaTheme="minorEastAsia"/>
          <w:color w:val="000000" w:themeColor="text1"/>
          <w:szCs w:val="21"/>
        </w:rPr>
        <w:t>年伊始，市场对于美联储的利率政策预期开始回归谨慎。目前市场的一致预期较美联储官员点阵图显示的未来政策利率下调的展望还要保守。</w:t>
      </w:r>
    </w:p>
    <w:p w14:paraId="3AD6C5D8" w14:textId="77777777" w:rsidR="00351E81" w:rsidRDefault="007F3594">
      <w:pPr>
        <w:spacing w:line="360" w:lineRule="auto"/>
        <w:ind w:firstLineChars="200" w:firstLine="420"/>
        <w:rPr>
          <w:rFonts w:eastAsiaTheme="minorEastAsia"/>
          <w:color w:val="000000" w:themeColor="text1"/>
          <w:szCs w:val="21"/>
        </w:rPr>
      </w:pPr>
      <w:r>
        <w:rPr>
          <w:rFonts w:eastAsiaTheme="minorEastAsia"/>
          <w:color w:val="000000" w:themeColor="text1"/>
          <w:szCs w:val="21"/>
        </w:rPr>
        <w:t>展望后市，美国通胀下降的趋势没有改变，美联储在今年降息的宽松政策预期仍然是市场的主流观点。我们预期美联储在</w:t>
      </w:r>
      <w:r>
        <w:rPr>
          <w:rFonts w:eastAsiaTheme="minorEastAsia"/>
          <w:color w:val="000000" w:themeColor="text1"/>
          <w:szCs w:val="21"/>
        </w:rPr>
        <w:t>9</w:t>
      </w:r>
      <w:r>
        <w:rPr>
          <w:rFonts w:eastAsiaTheme="minorEastAsia"/>
          <w:color w:val="000000" w:themeColor="text1"/>
          <w:szCs w:val="21"/>
        </w:rPr>
        <w:t>月可能开始降息，美国经济软着陆的可能性越来越高，而非经济硬着陆或不着陆的情景。在美联储真正决定降息之前，市场或将呈现震荡波动。今年是国际大选年，包括美国在内的多个国家进行大选，因此对于地缘政治超出预期从而影响资产价格的情况，要保持密切关注，并且在投资理念上需要保持风险意识，表现在资产配置上需要保持灵活性和低波动稳健配置。</w:t>
      </w:r>
    </w:p>
    <w:p w14:paraId="5C70B347" w14:textId="77777777" w:rsidR="00351E81" w:rsidRDefault="00351E81">
      <w:pPr>
        <w:spacing w:line="360" w:lineRule="auto"/>
        <w:ind w:firstLineChars="200" w:firstLine="420"/>
        <w:rPr>
          <w:rFonts w:eastAsiaTheme="minorEastAsia"/>
          <w:color w:val="000000" w:themeColor="text1"/>
          <w:szCs w:val="21"/>
        </w:rPr>
      </w:pPr>
    </w:p>
    <w:p w14:paraId="6A9A9364" w14:textId="77777777" w:rsidR="00351E81" w:rsidRDefault="007F3594">
      <w:pPr>
        <w:spacing w:line="360" w:lineRule="auto"/>
        <w:ind w:firstLineChars="200" w:firstLine="420"/>
        <w:rPr>
          <w:rFonts w:eastAsiaTheme="minorEastAsia"/>
          <w:color w:val="000000" w:themeColor="text1"/>
          <w:szCs w:val="21"/>
        </w:rPr>
      </w:pPr>
      <w:r>
        <w:rPr>
          <w:rFonts w:eastAsiaTheme="minorEastAsia"/>
          <w:color w:val="000000" w:themeColor="text1"/>
          <w:szCs w:val="21"/>
        </w:rPr>
        <w:t>本报告期本基金</w:t>
      </w:r>
      <w:r>
        <w:rPr>
          <w:rFonts w:eastAsiaTheme="minorEastAsia"/>
          <w:color w:val="000000" w:themeColor="text1"/>
          <w:szCs w:val="21"/>
        </w:rPr>
        <w:t>A</w:t>
      </w:r>
      <w:r>
        <w:rPr>
          <w:rFonts w:eastAsiaTheme="minorEastAsia"/>
          <w:color w:val="000000" w:themeColor="text1"/>
          <w:szCs w:val="21"/>
        </w:rPr>
        <w:t>份额净值增长率为</w:t>
      </w:r>
      <w:r>
        <w:rPr>
          <w:rFonts w:eastAsiaTheme="minorEastAsia"/>
          <w:color w:val="000000" w:themeColor="text1"/>
          <w:szCs w:val="21"/>
        </w:rPr>
        <w:t>:0.84%</w:t>
      </w:r>
      <w:r>
        <w:rPr>
          <w:rFonts w:eastAsiaTheme="minorEastAsia"/>
          <w:color w:val="000000" w:themeColor="text1"/>
          <w:szCs w:val="21"/>
        </w:rPr>
        <w:t>，同期业绩比较基准收益率为</w:t>
      </w:r>
      <w:r>
        <w:rPr>
          <w:rFonts w:eastAsiaTheme="minorEastAsia"/>
          <w:color w:val="000000" w:themeColor="text1"/>
          <w:szCs w:val="21"/>
        </w:rPr>
        <w:t>:0.14%;</w:t>
      </w:r>
    </w:p>
    <w:p w14:paraId="4715530C" w14:textId="77777777" w:rsidR="00EF4716" w:rsidRPr="00A3398F" w:rsidRDefault="00EF4716" w:rsidP="00EF4716">
      <w:pPr>
        <w:spacing w:line="360" w:lineRule="auto"/>
        <w:ind w:firstLineChars="200" w:firstLine="420"/>
        <w:rPr>
          <w:rFonts w:eastAsiaTheme="minorEastAsia"/>
          <w:color w:val="000000" w:themeColor="text1"/>
          <w:szCs w:val="21"/>
        </w:rPr>
      </w:pPr>
      <w:r w:rsidRPr="00A3398F">
        <w:rPr>
          <w:rFonts w:eastAsiaTheme="minorEastAsia"/>
          <w:color w:val="000000" w:themeColor="text1"/>
          <w:szCs w:val="21"/>
        </w:rPr>
        <w:t>本报告期本基金</w:t>
      </w:r>
      <w:r w:rsidRPr="00A3398F">
        <w:rPr>
          <w:rFonts w:eastAsiaTheme="minorEastAsia"/>
          <w:color w:val="000000" w:themeColor="text1"/>
          <w:szCs w:val="21"/>
        </w:rPr>
        <w:t>C</w:t>
      </w:r>
      <w:r w:rsidRPr="00A3398F">
        <w:rPr>
          <w:rFonts w:eastAsiaTheme="minorEastAsia"/>
          <w:color w:val="000000" w:themeColor="text1"/>
          <w:szCs w:val="21"/>
        </w:rPr>
        <w:t>份额净值增长率为</w:t>
      </w:r>
      <w:r w:rsidRPr="00A3398F">
        <w:rPr>
          <w:rFonts w:eastAsiaTheme="minorEastAsia"/>
          <w:color w:val="000000" w:themeColor="text1"/>
          <w:szCs w:val="21"/>
        </w:rPr>
        <w:t>:0.74%</w:t>
      </w:r>
      <w:r w:rsidRPr="00A3398F">
        <w:rPr>
          <w:rFonts w:eastAsiaTheme="minorEastAsia"/>
          <w:color w:val="000000" w:themeColor="text1"/>
          <w:szCs w:val="21"/>
        </w:rPr>
        <w:t>，同期业绩比较基准收益率为</w:t>
      </w:r>
      <w:r w:rsidRPr="00A3398F">
        <w:rPr>
          <w:rFonts w:eastAsiaTheme="minorEastAsia"/>
          <w:color w:val="000000" w:themeColor="text1"/>
          <w:szCs w:val="21"/>
        </w:rPr>
        <w:t>:0.14%</w:t>
      </w:r>
      <w:r w:rsidRPr="00A3398F">
        <w:rPr>
          <w:rFonts w:eastAsiaTheme="minorEastAsia"/>
          <w:color w:val="000000" w:themeColor="text1"/>
          <w:szCs w:val="21"/>
        </w:rPr>
        <w:t>。</w:t>
      </w:r>
    </w:p>
    <w:p w14:paraId="181FC688" w14:textId="77777777" w:rsidR="00C736BB" w:rsidRPr="00A3398F" w:rsidRDefault="00C736BB" w:rsidP="00A70E23">
      <w:pPr>
        <w:spacing w:line="360" w:lineRule="auto"/>
        <w:ind w:firstLineChars="200" w:firstLine="480"/>
        <w:rPr>
          <w:rFonts w:eastAsiaTheme="minorEastAsia"/>
          <w:color w:val="000000" w:themeColor="text1"/>
          <w:sz w:val="24"/>
        </w:rPr>
      </w:pPr>
    </w:p>
    <w:p w14:paraId="16101AB6" w14:textId="77777777" w:rsidR="00D9766F" w:rsidRPr="00A3398F" w:rsidRDefault="00D9766F" w:rsidP="00D9766F">
      <w:pPr>
        <w:spacing w:line="360" w:lineRule="auto"/>
        <w:rPr>
          <w:rFonts w:eastAsiaTheme="minorEastAsia"/>
          <w:color w:val="000000" w:themeColor="text1"/>
          <w:sz w:val="24"/>
        </w:rPr>
      </w:pPr>
      <w:r w:rsidRPr="00A3398F">
        <w:rPr>
          <w:rFonts w:eastAsiaTheme="minorEastAsia"/>
          <w:b/>
          <w:color w:val="000000" w:themeColor="text1"/>
          <w:kern w:val="0"/>
          <w:sz w:val="24"/>
        </w:rPr>
        <w:t>4.6</w:t>
      </w:r>
      <w:r w:rsidRPr="00A3398F">
        <w:rPr>
          <w:rFonts w:eastAsiaTheme="minorEastAsia"/>
          <w:b/>
          <w:color w:val="000000" w:themeColor="text1"/>
          <w:kern w:val="0"/>
          <w:sz w:val="24"/>
        </w:rPr>
        <w:t>报告期内基金持有人数或基金资产净值预警说明</w:t>
      </w:r>
    </w:p>
    <w:p w14:paraId="02DD80A7" w14:textId="77777777" w:rsidR="00D9766F" w:rsidRPr="00A3398F" w:rsidRDefault="00D9766F" w:rsidP="00D9766F">
      <w:pPr>
        <w:spacing w:line="360" w:lineRule="auto"/>
        <w:ind w:firstLineChars="200" w:firstLine="420"/>
        <w:rPr>
          <w:rFonts w:eastAsiaTheme="minorEastAsia"/>
          <w:color w:val="000000" w:themeColor="text1"/>
          <w:szCs w:val="21"/>
        </w:rPr>
      </w:pPr>
      <w:r w:rsidRPr="00A3398F">
        <w:rPr>
          <w:rFonts w:eastAsiaTheme="minorEastAsia"/>
          <w:color w:val="000000" w:themeColor="text1"/>
          <w:kern w:val="0"/>
          <w:szCs w:val="21"/>
        </w:rPr>
        <w:t>无。</w:t>
      </w:r>
    </w:p>
    <w:p w14:paraId="069D338E" w14:textId="77777777" w:rsidR="0076518F" w:rsidRPr="00A3398F" w:rsidRDefault="0076518F" w:rsidP="009E705F">
      <w:pPr>
        <w:pStyle w:val="1"/>
        <w:spacing w:beforeLines="100" w:before="312" w:afterLines="100" w:after="312" w:line="360" w:lineRule="auto"/>
        <w:jc w:val="center"/>
        <w:rPr>
          <w:rFonts w:eastAsiaTheme="minorEastAsia"/>
          <w:color w:val="000000" w:themeColor="text1"/>
          <w:kern w:val="0"/>
          <w:sz w:val="24"/>
          <w:szCs w:val="24"/>
        </w:rPr>
      </w:pPr>
      <w:r w:rsidRPr="00A3398F">
        <w:rPr>
          <w:rFonts w:eastAsiaTheme="minorEastAsia"/>
          <w:color w:val="000000" w:themeColor="text1"/>
          <w:kern w:val="0"/>
          <w:sz w:val="24"/>
          <w:szCs w:val="24"/>
        </w:rPr>
        <w:lastRenderedPageBreak/>
        <w:t xml:space="preserve">§5  </w:t>
      </w:r>
      <w:r w:rsidRPr="00A3398F">
        <w:rPr>
          <w:rFonts w:eastAsiaTheme="minorEastAsia"/>
          <w:color w:val="000000" w:themeColor="text1"/>
          <w:kern w:val="0"/>
          <w:sz w:val="24"/>
          <w:szCs w:val="24"/>
        </w:rPr>
        <w:t>投资组合报告</w:t>
      </w:r>
    </w:p>
    <w:p w14:paraId="57CF7A7F" w14:textId="77777777" w:rsidR="0076518F" w:rsidRPr="00A3398F" w:rsidRDefault="0076518F" w:rsidP="00EC4BA3">
      <w:pPr>
        <w:autoSpaceDE w:val="0"/>
        <w:autoSpaceDN w:val="0"/>
        <w:adjustRightInd w:val="0"/>
        <w:spacing w:line="360" w:lineRule="auto"/>
        <w:jc w:val="left"/>
        <w:rPr>
          <w:rFonts w:eastAsiaTheme="minorEastAsia"/>
          <w:b/>
          <w:color w:val="000000" w:themeColor="text1"/>
          <w:kern w:val="0"/>
          <w:sz w:val="24"/>
        </w:rPr>
      </w:pPr>
      <w:r w:rsidRPr="00A3398F">
        <w:rPr>
          <w:rFonts w:eastAsiaTheme="minorEastAsia"/>
          <w:b/>
          <w:color w:val="000000" w:themeColor="text1"/>
          <w:kern w:val="0"/>
          <w:sz w:val="24"/>
        </w:rPr>
        <w:t xml:space="preserve">5.1 </w:t>
      </w:r>
      <w:r w:rsidRPr="00A3398F">
        <w:rPr>
          <w:rFonts w:eastAsiaTheme="minorEastAsia"/>
          <w:b/>
          <w:color w:val="000000" w:themeColor="text1"/>
          <w:kern w:val="0"/>
          <w:sz w:val="24"/>
        </w:rPr>
        <w:t>报告期末基金资产组合情况</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253"/>
        <w:gridCol w:w="2835"/>
        <w:gridCol w:w="1559"/>
      </w:tblGrid>
      <w:tr w:rsidR="008277FF" w:rsidRPr="00A3398F" w14:paraId="1354458E" w14:textId="77777777" w:rsidTr="00592EFF">
        <w:tc>
          <w:tcPr>
            <w:tcW w:w="851" w:type="dxa"/>
            <w:shd w:val="clear" w:color="auto" w:fill="auto"/>
            <w:vAlign w:val="center"/>
          </w:tcPr>
          <w:p w14:paraId="4D9B358A" w14:textId="77777777" w:rsidR="00363E15" w:rsidRPr="00A3398F" w:rsidRDefault="00363E15" w:rsidP="00B918B8">
            <w:pPr>
              <w:spacing w:before="29" w:line="360" w:lineRule="auto"/>
              <w:ind w:left="17"/>
              <w:jc w:val="center"/>
              <w:rPr>
                <w:rFonts w:eastAsiaTheme="minorEastAsia"/>
                <w:color w:val="000000" w:themeColor="text1"/>
                <w:szCs w:val="21"/>
              </w:rPr>
            </w:pPr>
            <w:r w:rsidRPr="00A3398F">
              <w:rPr>
                <w:rFonts w:eastAsiaTheme="minorEastAsia"/>
                <w:color w:val="000000" w:themeColor="text1"/>
                <w:szCs w:val="21"/>
              </w:rPr>
              <w:t>序号</w:t>
            </w:r>
          </w:p>
        </w:tc>
        <w:tc>
          <w:tcPr>
            <w:tcW w:w="4253" w:type="dxa"/>
            <w:shd w:val="clear" w:color="auto" w:fill="auto"/>
            <w:vAlign w:val="center"/>
          </w:tcPr>
          <w:p w14:paraId="5661D0C3" w14:textId="77777777" w:rsidR="00363E15" w:rsidRPr="00A3398F" w:rsidRDefault="00363E15" w:rsidP="00B918B8">
            <w:pPr>
              <w:spacing w:before="29" w:line="360" w:lineRule="auto"/>
              <w:ind w:left="17"/>
              <w:jc w:val="center"/>
              <w:rPr>
                <w:rFonts w:eastAsiaTheme="minorEastAsia"/>
                <w:color w:val="000000" w:themeColor="text1"/>
                <w:szCs w:val="21"/>
              </w:rPr>
            </w:pPr>
            <w:r w:rsidRPr="00A3398F">
              <w:rPr>
                <w:rFonts w:eastAsiaTheme="minorEastAsia"/>
                <w:color w:val="000000" w:themeColor="text1"/>
                <w:szCs w:val="21"/>
              </w:rPr>
              <w:t>项目</w:t>
            </w:r>
          </w:p>
        </w:tc>
        <w:tc>
          <w:tcPr>
            <w:tcW w:w="2835" w:type="dxa"/>
            <w:shd w:val="clear" w:color="auto" w:fill="auto"/>
            <w:vAlign w:val="center"/>
          </w:tcPr>
          <w:p w14:paraId="0192BCAF" w14:textId="77777777" w:rsidR="00363E15" w:rsidRPr="00A3398F" w:rsidRDefault="00363E15" w:rsidP="00B918B8">
            <w:pPr>
              <w:spacing w:before="29" w:line="360" w:lineRule="auto"/>
              <w:ind w:left="17"/>
              <w:jc w:val="center"/>
              <w:rPr>
                <w:rFonts w:eastAsiaTheme="minorEastAsia"/>
                <w:color w:val="000000" w:themeColor="text1"/>
                <w:szCs w:val="21"/>
              </w:rPr>
            </w:pPr>
            <w:r w:rsidRPr="00A3398F">
              <w:rPr>
                <w:rFonts w:eastAsiaTheme="minorEastAsia"/>
                <w:color w:val="000000" w:themeColor="text1"/>
                <w:szCs w:val="21"/>
              </w:rPr>
              <w:t>金额</w:t>
            </w:r>
            <w:r w:rsidRPr="00A3398F">
              <w:rPr>
                <w:rFonts w:eastAsiaTheme="minorEastAsia"/>
                <w:color w:val="000000" w:themeColor="text1"/>
                <w:szCs w:val="21"/>
              </w:rPr>
              <w:t>(</w:t>
            </w:r>
            <w:r w:rsidR="002655D4" w:rsidRPr="00A3398F">
              <w:rPr>
                <w:rFonts w:eastAsiaTheme="minorEastAsia"/>
                <w:color w:val="000000" w:themeColor="text1"/>
                <w:szCs w:val="21"/>
              </w:rPr>
              <w:t>人民币</w:t>
            </w:r>
            <w:r w:rsidRPr="00A3398F">
              <w:rPr>
                <w:rFonts w:eastAsiaTheme="minorEastAsia"/>
                <w:color w:val="000000" w:themeColor="text1"/>
                <w:szCs w:val="21"/>
              </w:rPr>
              <w:t>元</w:t>
            </w:r>
            <w:r w:rsidRPr="00A3398F">
              <w:rPr>
                <w:rFonts w:eastAsiaTheme="minorEastAsia"/>
                <w:color w:val="000000" w:themeColor="text1"/>
                <w:szCs w:val="21"/>
              </w:rPr>
              <w:t>)</w:t>
            </w:r>
          </w:p>
        </w:tc>
        <w:tc>
          <w:tcPr>
            <w:tcW w:w="1559" w:type="dxa"/>
            <w:shd w:val="clear" w:color="auto" w:fill="auto"/>
            <w:vAlign w:val="center"/>
          </w:tcPr>
          <w:p w14:paraId="755D3201" w14:textId="77777777" w:rsidR="00363E15" w:rsidRPr="00A3398F" w:rsidRDefault="00363E15" w:rsidP="00B918B8">
            <w:pPr>
              <w:spacing w:before="29" w:line="360" w:lineRule="auto"/>
              <w:ind w:left="17"/>
              <w:jc w:val="center"/>
              <w:rPr>
                <w:rFonts w:eastAsiaTheme="minorEastAsia"/>
                <w:color w:val="000000" w:themeColor="text1"/>
                <w:szCs w:val="21"/>
              </w:rPr>
            </w:pPr>
            <w:r w:rsidRPr="00A3398F">
              <w:rPr>
                <w:rFonts w:eastAsiaTheme="minorEastAsia"/>
                <w:color w:val="000000" w:themeColor="text1"/>
                <w:szCs w:val="21"/>
              </w:rPr>
              <w:t>占基金总资产的比例</w:t>
            </w:r>
            <w:r w:rsidRPr="00A3398F">
              <w:rPr>
                <w:rFonts w:eastAsiaTheme="minorEastAsia"/>
                <w:color w:val="000000" w:themeColor="text1"/>
                <w:szCs w:val="21"/>
              </w:rPr>
              <w:t>(%)</w:t>
            </w:r>
          </w:p>
        </w:tc>
      </w:tr>
      <w:tr w:rsidR="008277FF" w:rsidRPr="00A3398F" w14:paraId="2B2C2AD3" w14:textId="77777777" w:rsidTr="00877D98">
        <w:tc>
          <w:tcPr>
            <w:tcW w:w="851" w:type="dxa"/>
            <w:shd w:val="clear" w:color="auto" w:fill="auto"/>
            <w:vAlign w:val="center"/>
          </w:tcPr>
          <w:p w14:paraId="22FD1AE6" w14:textId="77777777" w:rsidR="00363E15" w:rsidRPr="00A3398F" w:rsidRDefault="00363E15" w:rsidP="00B918B8">
            <w:pPr>
              <w:spacing w:before="29" w:line="360" w:lineRule="auto"/>
              <w:ind w:left="17"/>
              <w:jc w:val="center"/>
              <w:rPr>
                <w:rFonts w:eastAsiaTheme="minorEastAsia"/>
                <w:color w:val="000000" w:themeColor="text1"/>
                <w:szCs w:val="21"/>
              </w:rPr>
            </w:pPr>
            <w:r w:rsidRPr="00A3398F">
              <w:rPr>
                <w:rFonts w:eastAsiaTheme="minorEastAsia"/>
                <w:color w:val="000000" w:themeColor="text1"/>
                <w:szCs w:val="21"/>
              </w:rPr>
              <w:t>1</w:t>
            </w:r>
          </w:p>
        </w:tc>
        <w:tc>
          <w:tcPr>
            <w:tcW w:w="4253" w:type="dxa"/>
            <w:shd w:val="clear" w:color="auto" w:fill="auto"/>
            <w:vAlign w:val="center"/>
          </w:tcPr>
          <w:p w14:paraId="62FDB9E0" w14:textId="77777777" w:rsidR="00363E15" w:rsidRPr="00A3398F" w:rsidRDefault="00363E15" w:rsidP="00877D98">
            <w:pPr>
              <w:spacing w:before="29" w:line="360" w:lineRule="auto"/>
              <w:ind w:left="17"/>
              <w:rPr>
                <w:rFonts w:eastAsiaTheme="minorEastAsia"/>
                <w:color w:val="000000" w:themeColor="text1"/>
                <w:szCs w:val="21"/>
              </w:rPr>
            </w:pPr>
            <w:r w:rsidRPr="00A3398F">
              <w:rPr>
                <w:rFonts w:eastAsiaTheme="minorEastAsia"/>
                <w:color w:val="000000" w:themeColor="text1"/>
                <w:szCs w:val="21"/>
              </w:rPr>
              <w:t>权益投资</w:t>
            </w:r>
          </w:p>
        </w:tc>
        <w:tc>
          <w:tcPr>
            <w:tcW w:w="2835" w:type="dxa"/>
            <w:shd w:val="clear" w:color="auto" w:fill="auto"/>
            <w:vAlign w:val="center"/>
          </w:tcPr>
          <w:p w14:paraId="3AD0BBCA" w14:textId="77777777" w:rsidR="00363E15" w:rsidRPr="00A3398F" w:rsidRDefault="00363E15" w:rsidP="00BF1DD5">
            <w:pPr>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w:t>
            </w:r>
          </w:p>
        </w:tc>
        <w:tc>
          <w:tcPr>
            <w:tcW w:w="1559" w:type="dxa"/>
            <w:shd w:val="clear" w:color="auto" w:fill="auto"/>
            <w:vAlign w:val="center"/>
          </w:tcPr>
          <w:p w14:paraId="74C1000F" w14:textId="77777777" w:rsidR="00363E15" w:rsidRPr="00A3398F" w:rsidRDefault="00363E15" w:rsidP="00BF1DD5">
            <w:pPr>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w:t>
            </w:r>
          </w:p>
        </w:tc>
      </w:tr>
      <w:tr w:rsidR="008277FF" w:rsidRPr="00A3398F" w14:paraId="6627B5FD" w14:textId="77777777" w:rsidTr="00877D98">
        <w:tc>
          <w:tcPr>
            <w:tcW w:w="851" w:type="dxa"/>
            <w:shd w:val="clear" w:color="auto" w:fill="auto"/>
            <w:vAlign w:val="center"/>
          </w:tcPr>
          <w:p w14:paraId="58739F5E" w14:textId="77777777" w:rsidR="00363E15" w:rsidRPr="00A3398F" w:rsidRDefault="00363E15" w:rsidP="00B918B8">
            <w:pPr>
              <w:spacing w:before="29" w:line="360" w:lineRule="auto"/>
              <w:ind w:left="17"/>
              <w:jc w:val="center"/>
              <w:rPr>
                <w:rFonts w:eastAsiaTheme="minorEastAsia"/>
                <w:color w:val="000000" w:themeColor="text1"/>
                <w:szCs w:val="21"/>
              </w:rPr>
            </w:pPr>
          </w:p>
        </w:tc>
        <w:tc>
          <w:tcPr>
            <w:tcW w:w="4253" w:type="dxa"/>
            <w:shd w:val="clear" w:color="auto" w:fill="auto"/>
            <w:vAlign w:val="center"/>
          </w:tcPr>
          <w:p w14:paraId="66B5B442" w14:textId="77777777" w:rsidR="00363E15" w:rsidRPr="00A3398F" w:rsidRDefault="00363E15" w:rsidP="00877D98">
            <w:pPr>
              <w:spacing w:before="29" w:line="360" w:lineRule="auto"/>
              <w:ind w:left="17"/>
              <w:rPr>
                <w:rFonts w:eastAsiaTheme="minorEastAsia"/>
                <w:color w:val="000000" w:themeColor="text1"/>
                <w:szCs w:val="21"/>
              </w:rPr>
            </w:pPr>
            <w:r w:rsidRPr="00A3398F">
              <w:rPr>
                <w:rFonts w:eastAsiaTheme="minorEastAsia"/>
                <w:color w:val="000000" w:themeColor="text1"/>
                <w:szCs w:val="21"/>
              </w:rPr>
              <w:t>其中：</w:t>
            </w:r>
            <w:r w:rsidR="00E462F4" w:rsidRPr="00A3398F">
              <w:rPr>
                <w:rFonts w:eastAsiaTheme="minorEastAsia"/>
                <w:color w:val="000000" w:themeColor="text1"/>
                <w:szCs w:val="21"/>
              </w:rPr>
              <w:t>普通股</w:t>
            </w:r>
          </w:p>
        </w:tc>
        <w:tc>
          <w:tcPr>
            <w:tcW w:w="2835" w:type="dxa"/>
            <w:shd w:val="clear" w:color="auto" w:fill="auto"/>
            <w:vAlign w:val="center"/>
          </w:tcPr>
          <w:p w14:paraId="63D14362" w14:textId="77777777" w:rsidR="00363E15" w:rsidRPr="00A3398F" w:rsidRDefault="00363E15" w:rsidP="00BF1DD5">
            <w:pPr>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w:t>
            </w:r>
          </w:p>
        </w:tc>
        <w:tc>
          <w:tcPr>
            <w:tcW w:w="1559" w:type="dxa"/>
            <w:shd w:val="clear" w:color="auto" w:fill="auto"/>
            <w:vAlign w:val="center"/>
          </w:tcPr>
          <w:p w14:paraId="6E12E6A8" w14:textId="77777777" w:rsidR="00363E15" w:rsidRPr="00A3398F" w:rsidRDefault="00363E15" w:rsidP="00BF1DD5">
            <w:pPr>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w:t>
            </w:r>
          </w:p>
        </w:tc>
      </w:tr>
      <w:tr w:rsidR="008277FF" w:rsidRPr="00A3398F" w14:paraId="5716E778" w14:textId="77777777" w:rsidTr="00877D98">
        <w:tc>
          <w:tcPr>
            <w:tcW w:w="851" w:type="dxa"/>
            <w:shd w:val="clear" w:color="auto" w:fill="auto"/>
            <w:vAlign w:val="center"/>
          </w:tcPr>
          <w:p w14:paraId="1C7D8799" w14:textId="77777777" w:rsidR="00E462F4" w:rsidRPr="00A3398F" w:rsidRDefault="00E462F4" w:rsidP="00877D98">
            <w:pPr>
              <w:spacing w:before="29" w:line="360" w:lineRule="auto"/>
              <w:ind w:left="17"/>
              <w:jc w:val="center"/>
              <w:rPr>
                <w:rFonts w:eastAsiaTheme="minorEastAsia"/>
                <w:color w:val="000000" w:themeColor="text1"/>
                <w:szCs w:val="21"/>
              </w:rPr>
            </w:pPr>
          </w:p>
        </w:tc>
        <w:tc>
          <w:tcPr>
            <w:tcW w:w="4253" w:type="dxa"/>
            <w:shd w:val="clear" w:color="auto" w:fill="auto"/>
            <w:vAlign w:val="center"/>
          </w:tcPr>
          <w:p w14:paraId="16C7C683" w14:textId="77777777" w:rsidR="00E462F4" w:rsidRPr="00A3398F" w:rsidRDefault="00E462F4" w:rsidP="00877D98">
            <w:pPr>
              <w:spacing w:before="29" w:line="360" w:lineRule="auto"/>
              <w:ind w:left="17" w:firstLineChars="300" w:firstLine="630"/>
              <w:rPr>
                <w:rFonts w:eastAsiaTheme="minorEastAsia"/>
                <w:color w:val="000000" w:themeColor="text1"/>
                <w:szCs w:val="21"/>
              </w:rPr>
            </w:pPr>
            <w:r w:rsidRPr="00A3398F">
              <w:rPr>
                <w:rFonts w:eastAsiaTheme="minorEastAsia"/>
                <w:color w:val="000000" w:themeColor="text1"/>
                <w:szCs w:val="21"/>
              </w:rPr>
              <w:t>存托凭证</w:t>
            </w:r>
          </w:p>
        </w:tc>
        <w:tc>
          <w:tcPr>
            <w:tcW w:w="2835" w:type="dxa"/>
            <w:shd w:val="clear" w:color="auto" w:fill="auto"/>
            <w:vAlign w:val="center"/>
          </w:tcPr>
          <w:p w14:paraId="09173F79" w14:textId="77777777" w:rsidR="00E462F4" w:rsidRPr="00A3398F" w:rsidRDefault="00E462F4" w:rsidP="00BF1DD5">
            <w:pPr>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w:t>
            </w:r>
          </w:p>
        </w:tc>
        <w:tc>
          <w:tcPr>
            <w:tcW w:w="1559" w:type="dxa"/>
            <w:shd w:val="clear" w:color="auto" w:fill="auto"/>
            <w:vAlign w:val="center"/>
          </w:tcPr>
          <w:p w14:paraId="5BEABB0E" w14:textId="77777777" w:rsidR="00E462F4" w:rsidRPr="00A3398F" w:rsidRDefault="00E462F4" w:rsidP="00BF1DD5">
            <w:pPr>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w:t>
            </w:r>
          </w:p>
        </w:tc>
      </w:tr>
      <w:tr w:rsidR="008277FF" w:rsidRPr="00A3398F" w14:paraId="751A807D" w14:textId="77777777" w:rsidTr="00877D98">
        <w:tc>
          <w:tcPr>
            <w:tcW w:w="851" w:type="dxa"/>
            <w:shd w:val="clear" w:color="auto" w:fill="auto"/>
            <w:vAlign w:val="center"/>
          </w:tcPr>
          <w:p w14:paraId="24BAC934" w14:textId="77777777" w:rsidR="00CE4499" w:rsidRPr="00A3398F" w:rsidRDefault="00CE4499" w:rsidP="00877D98">
            <w:pPr>
              <w:spacing w:before="29" w:line="360" w:lineRule="auto"/>
              <w:ind w:left="17"/>
              <w:jc w:val="center"/>
              <w:rPr>
                <w:rFonts w:eastAsiaTheme="minorEastAsia"/>
                <w:color w:val="000000" w:themeColor="text1"/>
                <w:szCs w:val="21"/>
              </w:rPr>
            </w:pPr>
          </w:p>
        </w:tc>
        <w:tc>
          <w:tcPr>
            <w:tcW w:w="4253" w:type="dxa"/>
            <w:shd w:val="clear" w:color="auto" w:fill="auto"/>
            <w:vAlign w:val="center"/>
          </w:tcPr>
          <w:p w14:paraId="2CC584DE" w14:textId="77777777" w:rsidR="00CE4499" w:rsidRPr="00A3398F" w:rsidRDefault="00CE4499" w:rsidP="00877D98">
            <w:pPr>
              <w:spacing w:before="29" w:line="360" w:lineRule="auto"/>
              <w:ind w:left="17" w:firstLineChars="300" w:firstLine="630"/>
              <w:rPr>
                <w:rFonts w:eastAsiaTheme="minorEastAsia"/>
                <w:color w:val="000000" w:themeColor="text1"/>
                <w:szCs w:val="21"/>
              </w:rPr>
            </w:pPr>
            <w:r w:rsidRPr="00A3398F">
              <w:rPr>
                <w:rFonts w:eastAsiaTheme="minorEastAsia"/>
                <w:color w:val="000000" w:themeColor="text1"/>
                <w:szCs w:val="21"/>
              </w:rPr>
              <w:t>优先股</w:t>
            </w:r>
          </w:p>
        </w:tc>
        <w:tc>
          <w:tcPr>
            <w:tcW w:w="2835" w:type="dxa"/>
            <w:shd w:val="clear" w:color="auto" w:fill="auto"/>
            <w:vAlign w:val="center"/>
          </w:tcPr>
          <w:p w14:paraId="3086FC3C" w14:textId="77777777" w:rsidR="00CE4499" w:rsidRPr="00A3398F" w:rsidRDefault="00CE4499" w:rsidP="00BF1DD5">
            <w:pPr>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w:t>
            </w:r>
          </w:p>
        </w:tc>
        <w:tc>
          <w:tcPr>
            <w:tcW w:w="1559" w:type="dxa"/>
            <w:shd w:val="clear" w:color="auto" w:fill="auto"/>
            <w:vAlign w:val="center"/>
          </w:tcPr>
          <w:p w14:paraId="45875D7E" w14:textId="77777777" w:rsidR="00CE4499" w:rsidRPr="00A3398F" w:rsidRDefault="00CE4499" w:rsidP="00BF1DD5">
            <w:pPr>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w:t>
            </w:r>
          </w:p>
        </w:tc>
      </w:tr>
      <w:tr w:rsidR="008277FF" w:rsidRPr="00A3398F" w14:paraId="3555F6B4" w14:textId="77777777" w:rsidTr="00877D98">
        <w:tc>
          <w:tcPr>
            <w:tcW w:w="851" w:type="dxa"/>
            <w:shd w:val="clear" w:color="auto" w:fill="auto"/>
            <w:vAlign w:val="center"/>
          </w:tcPr>
          <w:p w14:paraId="14C033D3" w14:textId="77777777" w:rsidR="00CE4499" w:rsidRPr="00A3398F" w:rsidRDefault="00CE4499" w:rsidP="00877D98">
            <w:pPr>
              <w:spacing w:before="29" w:line="360" w:lineRule="auto"/>
              <w:ind w:left="17"/>
              <w:jc w:val="center"/>
              <w:rPr>
                <w:rFonts w:eastAsiaTheme="minorEastAsia"/>
                <w:color w:val="000000" w:themeColor="text1"/>
                <w:szCs w:val="21"/>
              </w:rPr>
            </w:pPr>
          </w:p>
        </w:tc>
        <w:tc>
          <w:tcPr>
            <w:tcW w:w="4253" w:type="dxa"/>
            <w:shd w:val="clear" w:color="auto" w:fill="auto"/>
            <w:vAlign w:val="center"/>
          </w:tcPr>
          <w:p w14:paraId="2C90D53C" w14:textId="77777777" w:rsidR="00CE4499" w:rsidRPr="00A3398F" w:rsidRDefault="00CE4499" w:rsidP="00877D98">
            <w:pPr>
              <w:spacing w:before="29" w:line="360" w:lineRule="auto"/>
              <w:ind w:left="17" w:firstLineChars="300" w:firstLine="630"/>
              <w:rPr>
                <w:rFonts w:eastAsiaTheme="minorEastAsia"/>
                <w:color w:val="000000" w:themeColor="text1"/>
                <w:szCs w:val="21"/>
              </w:rPr>
            </w:pPr>
            <w:r w:rsidRPr="00A3398F">
              <w:rPr>
                <w:rFonts w:eastAsiaTheme="minorEastAsia"/>
                <w:color w:val="000000" w:themeColor="text1"/>
                <w:szCs w:val="21"/>
              </w:rPr>
              <w:t>房地产信托</w:t>
            </w:r>
          </w:p>
        </w:tc>
        <w:tc>
          <w:tcPr>
            <w:tcW w:w="2835" w:type="dxa"/>
            <w:shd w:val="clear" w:color="auto" w:fill="auto"/>
            <w:vAlign w:val="center"/>
          </w:tcPr>
          <w:p w14:paraId="4B511F62" w14:textId="77777777" w:rsidR="00CE4499" w:rsidRPr="00A3398F" w:rsidRDefault="00CE4499" w:rsidP="00BF1DD5">
            <w:pPr>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w:t>
            </w:r>
          </w:p>
        </w:tc>
        <w:tc>
          <w:tcPr>
            <w:tcW w:w="1559" w:type="dxa"/>
            <w:shd w:val="clear" w:color="auto" w:fill="auto"/>
            <w:vAlign w:val="center"/>
          </w:tcPr>
          <w:p w14:paraId="022DE279" w14:textId="77777777" w:rsidR="00CE4499" w:rsidRPr="00A3398F" w:rsidRDefault="00CE4499" w:rsidP="00BF1DD5">
            <w:pPr>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w:t>
            </w:r>
          </w:p>
        </w:tc>
      </w:tr>
      <w:tr w:rsidR="008277FF" w:rsidRPr="00A3398F" w14:paraId="2975AAF1" w14:textId="77777777" w:rsidTr="00877D98">
        <w:tc>
          <w:tcPr>
            <w:tcW w:w="851" w:type="dxa"/>
            <w:shd w:val="clear" w:color="auto" w:fill="auto"/>
            <w:vAlign w:val="center"/>
          </w:tcPr>
          <w:p w14:paraId="3DE61A74" w14:textId="77777777" w:rsidR="00E462F4" w:rsidRPr="00A3398F" w:rsidRDefault="00E462F4" w:rsidP="00877D98">
            <w:pPr>
              <w:adjustRightInd w:val="0"/>
              <w:snapToGrid w:val="0"/>
              <w:spacing w:line="400" w:lineRule="exact"/>
              <w:jc w:val="center"/>
              <w:rPr>
                <w:rFonts w:eastAsiaTheme="minorEastAsia"/>
                <w:color w:val="000000" w:themeColor="text1"/>
                <w:szCs w:val="21"/>
              </w:rPr>
            </w:pPr>
            <w:r w:rsidRPr="00A3398F">
              <w:rPr>
                <w:rFonts w:eastAsiaTheme="minorEastAsia"/>
                <w:color w:val="000000" w:themeColor="text1"/>
                <w:szCs w:val="21"/>
              </w:rPr>
              <w:t>2</w:t>
            </w:r>
          </w:p>
        </w:tc>
        <w:tc>
          <w:tcPr>
            <w:tcW w:w="4253" w:type="dxa"/>
            <w:shd w:val="clear" w:color="auto" w:fill="auto"/>
            <w:vAlign w:val="center"/>
          </w:tcPr>
          <w:p w14:paraId="3F91B46D" w14:textId="77777777" w:rsidR="00E462F4" w:rsidRPr="00A3398F" w:rsidRDefault="00E462F4" w:rsidP="00877D98">
            <w:pPr>
              <w:adjustRightInd w:val="0"/>
              <w:snapToGrid w:val="0"/>
              <w:spacing w:line="400" w:lineRule="exact"/>
              <w:rPr>
                <w:rFonts w:eastAsiaTheme="minorEastAsia"/>
                <w:color w:val="000000" w:themeColor="text1"/>
                <w:szCs w:val="21"/>
              </w:rPr>
            </w:pPr>
            <w:r w:rsidRPr="00A3398F">
              <w:rPr>
                <w:rFonts w:eastAsiaTheme="minorEastAsia"/>
                <w:color w:val="000000" w:themeColor="text1"/>
                <w:szCs w:val="21"/>
              </w:rPr>
              <w:t>基金投资</w:t>
            </w:r>
          </w:p>
        </w:tc>
        <w:tc>
          <w:tcPr>
            <w:tcW w:w="2835" w:type="dxa"/>
            <w:shd w:val="clear" w:color="auto" w:fill="auto"/>
            <w:vAlign w:val="center"/>
          </w:tcPr>
          <w:p w14:paraId="53C37CBC" w14:textId="77777777" w:rsidR="00E462F4" w:rsidRPr="00A3398F" w:rsidRDefault="006C4E16" w:rsidP="00BF1DD5">
            <w:pPr>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1,239,101,076.46</w:t>
            </w:r>
          </w:p>
        </w:tc>
        <w:tc>
          <w:tcPr>
            <w:tcW w:w="1559" w:type="dxa"/>
            <w:shd w:val="clear" w:color="auto" w:fill="auto"/>
            <w:vAlign w:val="center"/>
          </w:tcPr>
          <w:p w14:paraId="0D95088C" w14:textId="77777777" w:rsidR="00E462F4" w:rsidRPr="00A3398F" w:rsidRDefault="006C4E16" w:rsidP="00BF1DD5">
            <w:pPr>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79.25</w:t>
            </w:r>
          </w:p>
        </w:tc>
      </w:tr>
      <w:tr w:rsidR="008277FF" w:rsidRPr="00A3398F" w14:paraId="63ED356E" w14:textId="77777777" w:rsidTr="00877D98">
        <w:tc>
          <w:tcPr>
            <w:tcW w:w="851" w:type="dxa"/>
            <w:shd w:val="clear" w:color="auto" w:fill="auto"/>
            <w:vAlign w:val="center"/>
          </w:tcPr>
          <w:p w14:paraId="222BAF5A" w14:textId="77777777" w:rsidR="00E462F4" w:rsidRPr="00A3398F" w:rsidRDefault="00E462F4" w:rsidP="00B918B8">
            <w:pPr>
              <w:spacing w:before="29" w:line="360" w:lineRule="auto"/>
              <w:ind w:left="17"/>
              <w:jc w:val="center"/>
              <w:rPr>
                <w:rFonts w:eastAsiaTheme="minorEastAsia"/>
                <w:color w:val="000000" w:themeColor="text1"/>
                <w:szCs w:val="21"/>
              </w:rPr>
            </w:pPr>
            <w:r w:rsidRPr="00A3398F">
              <w:rPr>
                <w:rFonts w:eastAsiaTheme="minorEastAsia"/>
                <w:color w:val="000000" w:themeColor="text1"/>
                <w:szCs w:val="21"/>
              </w:rPr>
              <w:t>3</w:t>
            </w:r>
          </w:p>
        </w:tc>
        <w:tc>
          <w:tcPr>
            <w:tcW w:w="4253" w:type="dxa"/>
            <w:shd w:val="clear" w:color="auto" w:fill="auto"/>
            <w:vAlign w:val="center"/>
          </w:tcPr>
          <w:p w14:paraId="00F2D455" w14:textId="77777777" w:rsidR="00E462F4" w:rsidRPr="00A3398F" w:rsidRDefault="00E462F4" w:rsidP="00877D98">
            <w:pPr>
              <w:spacing w:before="29" w:line="360" w:lineRule="auto"/>
              <w:ind w:left="17"/>
              <w:rPr>
                <w:rFonts w:eastAsiaTheme="minorEastAsia"/>
                <w:color w:val="000000" w:themeColor="text1"/>
                <w:szCs w:val="21"/>
              </w:rPr>
            </w:pPr>
            <w:r w:rsidRPr="00A3398F">
              <w:rPr>
                <w:rFonts w:eastAsiaTheme="minorEastAsia"/>
                <w:color w:val="000000" w:themeColor="text1"/>
                <w:szCs w:val="21"/>
              </w:rPr>
              <w:t>固定收益投资</w:t>
            </w:r>
          </w:p>
        </w:tc>
        <w:tc>
          <w:tcPr>
            <w:tcW w:w="2835" w:type="dxa"/>
            <w:shd w:val="clear" w:color="auto" w:fill="auto"/>
            <w:vAlign w:val="center"/>
          </w:tcPr>
          <w:p w14:paraId="7EC88309" w14:textId="77777777" w:rsidR="00E462F4" w:rsidRPr="00A3398F" w:rsidRDefault="00E462F4" w:rsidP="00BF1DD5">
            <w:pPr>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50,170,931.51</w:t>
            </w:r>
          </w:p>
        </w:tc>
        <w:tc>
          <w:tcPr>
            <w:tcW w:w="1559" w:type="dxa"/>
            <w:shd w:val="clear" w:color="auto" w:fill="auto"/>
            <w:vAlign w:val="center"/>
          </w:tcPr>
          <w:p w14:paraId="6D57FF62" w14:textId="77777777" w:rsidR="00E462F4" w:rsidRPr="00A3398F" w:rsidRDefault="00E462F4" w:rsidP="00BF1DD5">
            <w:pPr>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3.21</w:t>
            </w:r>
          </w:p>
        </w:tc>
      </w:tr>
      <w:tr w:rsidR="008277FF" w:rsidRPr="00A3398F" w14:paraId="68F229B4" w14:textId="77777777" w:rsidTr="00877D98">
        <w:tc>
          <w:tcPr>
            <w:tcW w:w="851" w:type="dxa"/>
            <w:shd w:val="clear" w:color="auto" w:fill="auto"/>
            <w:vAlign w:val="center"/>
          </w:tcPr>
          <w:p w14:paraId="1E27AD48" w14:textId="77777777" w:rsidR="00E462F4" w:rsidRPr="00A3398F" w:rsidRDefault="00E462F4" w:rsidP="00B918B8">
            <w:pPr>
              <w:spacing w:before="29" w:line="360" w:lineRule="auto"/>
              <w:ind w:left="17"/>
              <w:jc w:val="center"/>
              <w:rPr>
                <w:rFonts w:eastAsiaTheme="minorEastAsia"/>
                <w:color w:val="000000" w:themeColor="text1"/>
                <w:szCs w:val="21"/>
              </w:rPr>
            </w:pPr>
          </w:p>
        </w:tc>
        <w:tc>
          <w:tcPr>
            <w:tcW w:w="4253" w:type="dxa"/>
            <w:shd w:val="clear" w:color="auto" w:fill="auto"/>
            <w:vAlign w:val="center"/>
          </w:tcPr>
          <w:p w14:paraId="732F6158" w14:textId="77777777" w:rsidR="00E462F4" w:rsidRPr="00A3398F" w:rsidRDefault="00E462F4" w:rsidP="00877D98">
            <w:pPr>
              <w:spacing w:before="29" w:line="360" w:lineRule="auto"/>
              <w:ind w:left="17"/>
              <w:rPr>
                <w:rFonts w:eastAsiaTheme="minorEastAsia"/>
                <w:color w:val="000000" w:themeColor="text1"/>
                <w:szCs w:val="21"/>
              </w:rPr>
            </w:pPr>
            <w:r w:rsidRPr="00A3398F">
              <w:rPr>
                <w:rFonts w:eastAsiaTheme="minorEastAsia"/>
                <w:color w:val="000000" w:themeColor="text1"/>
                <w:szCs w:val="21"/>
              </w:rPr>
              <w:t>其中：债券</w:t>
            </w:r>
          </w:p>
        </w:tc>
        <w:tc>
          <w:tcPr>
            <w:tcW w:w="2835" w:type="dxa"/>
            <w:shd w:val="clear" w:color="auto" w:fill="auto"/>
            <w:vAlign w:val="center"/>
          </w:tcPr>
          <w:p w14:paraId="7BB66407" w14:textId="77777777" w:rsidR="00E462F4" w:rsidRPr="00A3398F" w:rsidRDefault="00E462F4" w:rsidP="00BF1DD5">
            <w:pPr>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50,170,931.51</w:t>
            </w:r>
          </w:p>
        </w:tc>
        <w:tc>
          <w:tcPr>
            <w:tcW w:w="1559" w:type="dxa"/>
            <w:shd w:val="clear" w:color="auto" w:fill="auto"/>
            <w:vAlign w:val="center"/>
          </w:tcPr>
          <w:p w14:paraId="1F285283" w14:textId="77777777" w:rsidR="00E462F4" w:rsidRPr="00A3398F" w:rsidRDefault="00E462F4" w:rsidP="00BF1DD5">
            <w:pPr>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3.21</w:t>
            </w:r>
          </w:p>
        </w:tc>
      </w:tr>
      <w:tr w:rsidR="008277FF" w:rsidRPr="00A3398F" w14:paraId="6B9A5075" w14:textId="77777777" w:rsidTr="00877D98">
        <w:tc>
          <w:tcPr>
            <w:tcW w:w="851" w:type="dxa"/>
            <w:shd w:val="clear" w:color="auto" w:fill="auto"/>
            <w:vAlign w:val="center"/>
          </w:tcPr>
          <w:p w14:paraId="2D36CE7C" w14:textId="77777777" w:rsidR="00E462F4" w:rsidRPr="00A3398F" w:rsidRDefault="00E462F4" w:rsidP="00B918B8">
            <w:pPr>
              <w:spacing w:before="29" w:line="360" w:lineRule="auto"/>
              <w:ind w:left="17"/>
              <w:jc w:val="center"/>
              <w:rPr>
                <w:rFonts w:eastAsiaTheme="minorEastAsia"/>
                <w:color w:val="000000" w:themeColor="text1"/>
                <w:szCs w:val="21"/>
              </w:rPr>
            </w:pPr>
          </w:p>
        </w:tc>
        <w:tc>
          <w:tcPr>
            <w:tcW w:w="4253" w:type="dxa"/>
            <w:shd w:val="clear" w:color="auto" w:fill="auto"/>
            <w:vAlign w:val="center"/>
          </w:tcPr>
          <w:p w14:paraId="2A9C3AB3" w14:textId="77777777" w:rsidR="00E462F4" w:rsidRPr="00A3398F" w:rsidRDefault="00E462F4" w:rsidP="00877D98">
            <w:pPr>
              <w:autoSpaceDE w:val="0"/>
              <w:autoSpaceDN w:val="0"/>
              <w:adjustRightInd w:val="0"/>
              <w:spacing w:before="29" w:line="360" w:lineRule="auto"/>
              <w:ind w:left="17" w:firstLineChars="300" w:firstLine="630"/>
              <w:rPr>
                <w:rFonts w:eastAsiaTheme="minorEastAsia"/>
                <w:color w:val="000000" w:themeColor="text1"/>
                <w:szCs w:val="21"/>
              </w:rPr>
            </w:pPr>
            <w:r w:rsidRPr="00A3398F">
              <w:rPr>
                <w:rFonts w:eastAsiaTheme="minorEastAsia"/>
                <w:color w:val="000000" w:themeColor="text1"/>
                <w:szCs w:val="21"/>
              </w:rPr>
              <w:t>资产支持证券</w:t>
            </w:r>
          </w:p>
        </w:tc>
        <w:tc>
          <w:tcPr>
            <w:tcW w:w="2835" w:type="dxa"/>
            <w:shd w:val="clear" w:color="auto" w:fill="auto"/>
            <w:vAlign w:val="center"/>
          </w:tcPr>
          <w:p w14:paraId="46849BBA" w14:textId="77777777" w:rsidR="00E462F4" w:rsidRPr="00A3398F" w:rsidRDefault="00E462F4" w:rsidP="00BF1DD5">
            <w:pPr>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w:t>
            </w:r>
          </w:p>
        </w:tc>
        <w:tc>
          <w:tcPr>
            <w:tcW w:w="1559" w:type="dxa"/>
            <w:shd w:val="clear" w:color="auto" w:fill="auto"/>
            <w:vAlign w:val="center"/>
          </w:tcPr>
          <w:p w14:paraId="6856F8F9" w14:textId="77777777" w:rsidR="00E462F4" w:rsidRPr="00A3398F" w:rsidRDefault="00E462F4" w:rsidP="00BF1DD5">
            <w:pPr>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w:t>
            </w:r>
          </w:p>
        </w:tc>
      </w:tr>
      <w:tr w:rsidR="008277FF" w:rsidRPr="00A3398F" w14:paraId="164EDAE3" w14:textId="77777777" w:rsidTr="00877D98">
        <w:tc>
          <w:tcPr>
            <w:tcW w:w="851" w:type="dxa"/>
            <w:shd w:val="clear" w:color="auto" w:fill="auto"/>
            <w:vAlign w:val="center"/>
          </w:tcPr>
          <w:p w14:paraId="1A0D76D7" w14:textId="77777777" w:rsidR="00E462F4" w:rsidRPr="00A3398F" w:rsidRDefault="00E462F4" w:rsidP="00B918B8">
            <w:pPr>
              <w:spacing w:before="29" w:line="360" w:lineRule="auto"/>
              <w:ind w:left="17"/>
              <w:jc w:val="center"/>
              <w:rPr>
                <w:rFonts w:eastAsiaTheme="minorEastAsia"/>
                <w:color w:val="000000" w:themeColor="text1"/>
                <w:szCs w:val="21"/>
              </w:rPr>
            </w:pPr>
            <w:r w:rsidRPr="00A3398F">
              <w:rPr>
                <w:rFonts w:eastAsiaTheme="minorEastAsia"/>
                <w:color w:val="000000" w:themeColor="text1"/>
                <w:szCs w:val="21"/>
              </w:rPr>
              <w:t>4</w:t>
            </w:r>
          </w:p>
        </w:tc>
        <w:tc>
          <w:tcPr>
            <w:tcW w:w="4253" w:type="dxa"/>
            <w:shd w:val="clear" w:color="auto" w:fill="auto"/>
            <w:vAlign w:val="center"/>
          </w:tcPr>
          <w:p w14:paraId="1194E3F6" w14:textId="77777777" w:rsidR="00E462F4" w:rsidRPr="00A3398F" w:rsidRDefault="00E462F4" w:rsidP="00877D98">
            <w:pPr>
              <w:spacing w:before="29" w:line="360" w:lineRule="auto"/>
              <w:ind w:left="17"/>
              <w:rPr>
                <w:rFonts w:eastAsiaTheme="minorEastAsia"/>
                <w:color w:val="000000" w:themeColor="text1"/>
                <w:szCs w:val="21"/>
              </w:rPr>
            </w:pPr>
            <w:r w:rsidRPr="00A3398F">
              <w:rPr>
                <w:rFonts w:eastAsiaTheme="minorEastAsia"/>
                <w:color w:val="000000" w:themeColor="text1"/>
                <w:szCs w:val="21"/>
              </w:rPr>
              <w:t>金融衍生品投资</w:t>
            </w:r>
          </w:p>
        </w:tc>
        <w:tc>
          <w:tcPr>
            <w:tcW w:w="2835" w:type="dxa"/>
            <w:shd w:val="clear" w:color="auto" w:fill="auto"/>
            <w:vAlign w:val="center"/>
          </w:tcPr>
          <w:p w14:paraId="17F9FD48" w14:textId="77777777" w:rsidR="00E462F4" w:rsidRPr="00A3398F" w:rsidRDefault="00E462F4" w:rsidP="00BF1DD5">
            <w:pPr>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w:t>
            </w:r>
          </w:p>
        </w:tc>
        <w:tc>
          <w:tcPr>
            <w:tcW w:w="1559" w:type="dxa"/>
            <w:shd w:val="clear" w:color="auto" w:fill="auto"/>
            <w:vAlign w:val="center"/>
          </w:tcPr>
          <w:p w14:paraId="6C766D60" w14:textId="77777777" w:rsidR="00E462F4" w:rsidRPr="00A3398F" w:rsidRDefault="00E462F4" w:rsidP="00BF1DD5">
            <w:pPr>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w:t>
            </w:r>
          </w:p>
        </w:tc>
      </w:tr>
      <w:tr w:rsidR="008277FF" w:rsidRPr="00A3398F" w14:paraId="263C3BF8" w14:textId="77777777" w:rsidTr="00877D98">
        <w:tc>
          <w:tcPr>
            <w:tcW w:w="851" w:type="dxa"/>
            <w:shd w:val="clear" w:color="auto" w:fill="auto"/>
            <w:vAlign w:val="center"/>
          </w:tcPr>
          <w:p w14:paraId="6A2FF63A" w14:textId="77777777" w:rsidR="00E462F4" w:rsidRPr="00A3398F" w:rsidRDefault="00E462F4" w:rsidP="00B918B8">
            <w:pPr>
              <w:spacing w:before="29" w:line="360" w:lineRule="auto"/>
              <w:ind w:left="17"/>
              <w:jc w:val="center"/>
              <w:rPr>
                <w:rFonts w:eastAsiaTheme="minorEastAsia"/>
                <w:color w:val="000000" w:themeColor="text1"/>
                <w:szCs w:val="21"/>
              </w:rPr>
            </w:pPr>
          </w:p>
        </w:tc>
        <w:tc>
          <w:tcPr>
            <w:tcW w:w="4253" w:type="dxa"/>
            <w:shd w:val="clear" w:color="auto" w:fill="auto"/>
            <w:vAlign w:val="center"/>
          </w:tcPr>
          <w:p w14:paraId="4D05FF03" w14:textId="77777777" w:rsidR="00E462F4" w:rsidRPr="00A3398F" w:rsidRDefault="00E462F4" w:rsidP="00877D98">
            <w:pPr>
              <w:adjustRightInd w:val="0"/>
              <w:snapToGrid w:val="0"/>
              <w:spacing w:line="400" w:lineRule="exact"/>
              <w:rPr>
                <w:rFonts w:eastAsiaTheme="minorEastAsia"/>
                <w:color w:val="000000" w:themeColor="text1"/>
                <w:szCs w:val="21"/>
              </w:rPr>
            </w:pPr>
            <w:r w:rsidRPr="00A3398F">
              <w:rPr>
                <w:rFonts w:eastAsiaTheme="minorEastAsia"/>
                <w:color w:val="000000" w:themeColor="text1"/>
                <w:szCs w:val="21"/>
              </w:rPr>
              <w:t>其中：远期</w:t>
            </w:r>
          </w:p>
        </w:tc>
        <w:tc>
          <w:tcPr>
            <w:tcW w:w="2835" w:type="dxa"/>
            <w:shd w:val="clear" w:color="auto" w:fill="auto"/>
            <w:vAlign w:val="center"/>
          </w:tcPr>
          <w:p w14:paraId="7A14FE29" w14:textId="77777777" w:rsidR="00E462F4" w:rsidRPr="00A3398F" w:rsidRDefault="00664F49" w:rsidP="00BF1DD5">
            <w:pPr>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w:t>
            </w:r>
          </w:p>
        </w:tc>
        <w:tc>
          <w:tcPr>
            <w:tcW w:w="1559" w:type="dxa"/>
            <w:shd w:val="clear" w:color="auto" w:fill="auto"/>
            <w:vAlign w:val="center"/>
          </w:tcPr>
          <w:p w14:paraId="12677690" w14:textId="77777777" w:rsidR="00E462F4" w:rsidRPr="00A3398F" w:rsidRDefault="00664F49" w:rsidP="00BF1DD5">
            <w:pPr>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w:t>
            </w:r>
          </w:p>
        </w:tc>
      </w:tr>
      <w:tr w:rsidR="008277FF" w:rsidRPr="00A3398F" w14:paraId="0C9B0F37" w14:textId="77777777" w:rsidTr="00877D98">
        <w:tc>
          <w:tcPr>
            <w:tcW w:w="851" w:type="dxa"/>
            <w:shd w:val="clear" w:color="auto" w:fill="auto"/>
            <w:vAlign w:val="center"/>
          </w:tcPr>
          <w:p w14:paraId="6FD561C6" w14:textId="77777777" w:rsidR="00E462F4" w:rsidRPr="00A3398F" w:rsidRDefault="00E462F4" w:rsidP="00B918B8">
            <w:pPr>
              <w:spacing w:before="29" w:line="360" w:lineRule="auto"/>
              <w:ind w:left="17"/>
              <w:jc w:val="center"/>
              <w:rPr>
                <w:rFonts w:eastAsiaTheme="minorEastAsia"/>
                <w:color w:val="000000" w:themeColor="text1"/>
                <w:szCs w:val="21"/>
              </w:rPr>
            </w:pPr>
          </w:p>
        </w:tc>
        <w:tc>
          <w:tcPr>
            <w:tcW w:w="4253" w:type="dxa"/>
            <w:shd w:val="clear" w:color="auto" w:fill="auto"/>
            <w:vAlign w:val="center"/>
          </w:tcPr>
          <w:p w14:paraId="6814CA1C" w14:textId="77777777" w:rsidR="00E462F4" w:rsidRPr="00A3398F" w:rsidDel="00455464" w:rsidRDefault="00E462F4" w:rsidP="00877D98">
            <w:pPr>
              <w:adjustRightInd w:val="0"/>
              <w:snapToGrid w:val="0"/>
              <w:spacing w:line="400" w:lineRule="exact"/>
              <w:ind w:firstLineChars="300" w:firstLine="630"/>
              <w:rPr>
                <w:rFonts w:eastAsiaTheme="minorEastAsia"/>
                <w:color w:val="000000" w:themeColor="text1"/>
                <w:szCs w:val="21"/>
              </w:rPr>
            </w:pPr>
            <w:r w:rsidRPr="00A3398F">
              <w:rPr>
                <w:rFonts w:eastAsiaTheme="minorEastAsia"/>
                <w:color w:val="000000" w:themeColor="text1"/>
                <w:szCs w:val="21"/>
              </w:rPr>
              <w:t>期货</w:t>
            </w:r>
          </w:p>
        </w:tc>
        <w:tc>
          <w:tcPr>
            <w:tcW w:w="2835" w:type="dxa"/>
            <w:shd w:val="clear" w:color="auto" w:fill="auto"/>
            <w:vAlign w:val="center"/>
          </w:tcPr>
          <w:p w14:paraId="009A84A5" w14:textId="77777777" w:rsidR="00E462F4" w:rsidRPr="00A3398F" w:rsidRDefault="00664F49" w:rsidP="00BF1DD5">
            <w:pPr>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w:t>
            </w:r>
          </w:p>
        </w:tc>
        <w:tc>
          <w:tcPr>
            <w:tcW w:w="1559" w:type="dxa"/>
            <w:shd w:val="clear" w:color="auto" w:fill="auto"/>
            <w:vAlign w:val="center"/>
          </w:tcPr>
          <w:p w14:paraId="42DF53B5" w14:textId="77777777" w:rsidR="00E462F4" w:rsidRPr="00A3398F" w:rsidRDefault="00664F49" w:rsidP="00BF1DD5">
            <w:pPr>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w:t>
            </w:r>
          </w:p>
        </w:tc>
      </w:tr>
      <w:tr w:rsidR="008277FF" w:rsidRPr="00A3398F" w14:paraId="0DACD6E4" w14:textId="77777777" w:rsidTr="00877D98">
        <w:tc>
          <w:tcPr>
            <w:tcW w:w="851" w:type="dxa"/>
            <w:shd w:val="clear" w:color="auto" w:fill="auto"/>
            <w:vAlign w:val="center"/>
          </w:tcPr>
          <w:p w14:paraId="33A3625C" w14:textId="77777777" w:rsidR="00E462F4" w:rsidRPr="00A3398F" w:rsidRDefault="00E462F4" w:rsidP="00B918B8">
            <w:pPr>
              <w:spacing w:before="29" w:line="360" w:lineRule="auto"/>
              <w:ind w:left="17"/>
              <w:jc w:val="center"/>
              <w:rPr>
                <w:rFonts w:eastAsiaTheme="minorEastAsia"/>
                <w:color w:val="000000" w:themeColor="text1"/>
                <w:szCs w:val="21"/>
              </w:rPr>
            </w:pPr>
          </w:p>
        </w:tc>
        <w:tc>
          <w:tcPr>
            <w:tcW w:w="4253" w:type="dxa"/>
            <w:shd w:val="clear" w:color="auto" w:fill="auto"/>
            <w:vAlign w:val="center"/>
          </w:tcPr>
          <w:p w14:paraId="1E0131CD" w14:textId="77777777" w:rsidR="00E462F4" w:rsidRPr="00A3398F" w:rsidRDefault="00E462F4" w:rsidP="00877D98">
            <w:pPr>
              <w:adjustRightInd w:val="0"/>
              <w:snapToGrid w:val="0"/>
              <w:spacing w:line="400" w:lineRule="exact"/>
              <w:ind w:firstLineChars="300" w:firstLine="630"/>
              <w:rPr>
                <w:rFonts w:eastAsiaTheme="minorEastAsia"/>
                <w:color w:val="000000" w:themeColor="text1"/>
                <w:szCs w:val="21"/>
              </w:rPr>
            </w:pPr>
            <w:r w:rsidRPr="00A3398F">
              <w:rPr>
                <w:rFonts w:eastAsiaTheme="minorEastAsia"/>
                <w:color w:val="000000" w:themeColor="text1"/>
                <w:szCs w:val="21"/>
              </w:rPr>
              <w:t>期权</w:t>
            </w:r>
          </w:p>
        </w:tc>
        <w:tc>
          <w:tcPr>
            <w:tcW w:w="2835" w:type="dxa"/>
            <w:shd w:val="clear" w:color="auto" w:fill="auto"/>
            <w:vAlign w:val="center"/>
          </w:tcPr>
          <w:p w14:paraId="2EE038CD" w14:textId="77777777" w:rsidR="00E462F4" w:rsidRPr="00A3398F" w:rsidRDefault="00664F49" w:rsidP="00BF1DD5">
            <w:pPr>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w:t>
            </w:r>
          </w:p>
        </w:tc>
        <w:tc>
          <w:tcPr>
            <w:tcW w:w="1559" w:type="dxa"/>
            <w:shd w:val="clear" w:color="auto" w:fill="auto"/>
            <w:vAlign w:val="center"/>
          </w:tcPr>
          <w:p w14:paraId="6AEFD435" w14:textId="77777777" w:rsidR="00E462F4" w:rsidRPr="00A3398F" w:rsidRDefault="00664F49" w:rsidP="00BF1DD5">
            <w:pPr>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w:t>
            </w:r>
          </w:p>
        </w:tc>
      </w:tr>
      <w:tr w:rsidR="008277FF" w:rsidRPr="00A3398F" w14:paraId="38EC33BC" w14:textId="77777777" w:rsidTr="00877D98">
        <w:tc>
          <w:tcPr>
            <w:tcW w:w="851" w:type="dxa"/>
            <w:shd w:val="clear" w:color="auto" w:fill="auto"/>
            <w:vAlign w:val="center"/>
          </w:tcPr>
          <w:p w14:paraId="3ABC9004" w14:textId="77777777" w:rsidR="00E462F4" w:rsidRPr="00A3398F" w:rsidRDefault="00E462F4" w:rsidP="00877D98">
            <w:pPr>
              <w:spacing w:before="29" w:line="360" w:lineRule="auto"/>
              <w:ind w:left="17"/>
              <w:jc w:val="center"/>
              <w:rPr>
                <w:rFonts w:eastAsiaTheme="minorEastAsia"/>
                <w:color w:val="000000" w:themeColor="text1"/>
                <w:szCs w:val="21"/>
              </w:rPr>
            </w:pPr>
          </w:p>
        </w:tc>
        <w:tc>
          <w:tcPr>
            <w:tcW w:w="4253" w:type="dxa"/>
            <w:shd w:val="clear" w:color="auto" w:fill="auto"/>
            <w:vAlign w:val="center"/>
          </w:tcPr>
          <w:p w14:paraId="6EEDC337" w14:textId="77777777" w:rsidR="00E462F4" w:rsidRPr="00A3398F" w:rsidRDefault="00E462F4" w:rsidP="00877D98">
            <w:pPr>
              <w:adjustRightInd w:val="0"/>
              <w:snapToGrid w:val="0"/>
              <w:spacing w:line="400" w:lineRule="exact"/>
              <w:ind w:firstLineChars="298" w:firstLine="626"/>
              <w:rPr>
                <w:rFonts w:eastAsiaTheme="minorEastAsia"/>
                <w:color w:val="000000" w:themeColor="text1"/>
                <w:szCs w:val="21"/>
              </w:rPr>
            </w:pPr>
            <w:r w:rsidRPr="00A3398F">
              <w:rPr>
                <w:rFonts w:eastAsiaTheme="minorEastAsia"/>
                <w:color w:val="000000" w:themeColor="text1"/>
                <w:szCs w:val="21"/>
              </w:rPr>
              <w:t>权证</w:t>
            </w:r>
          </w:p>
        </w:tc>
        <w:tc>
          <w:tcPr>
            <w:tcW w:w="2835" w:type="dxa"/>
            <w:shd w:val="clear" w:color="auto" w:fill="auto"/>
            <w:vAlign w:val="center"/>
          </w:tcPr>
          <w:p w14:paraId="3267060C" w14:textId="77777777" w:rsidR="00E462F4" w:rsidRPr="00A3398F" w:rsidRDefault="00664F49" w:rsidP="00877D98">
            <w:pPr>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w:t>
            </w:r>
          </w:p>
        </w:tc>
        <w:tc>
          <w:tcPr>
            <w:tcW w:w="1559" w:type="dxa"/>
            <w:shd w:val="clear" w:color="auto" w:fill="auto"/>
            <w:vAlign w:val="center"/>
          </w:tcPr>
          <w:p w14:paraId="355FD7F2" w14:textId="77777777" w:rsidR="00E462F4" w:rsidRPr="00A3398F" w:rsidRDefault="00664F49" w:rsidP="00877D98">
            <w:pPr>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w:t>
            </w:r>
          </w:p>
        </w:tc>
      </w:tr>
      <w:tr w:rsidR="008277FF" w:rsidRPr="00A3398F" w14:paraId="2B24B8F3" w14:textId="77777777" w:rsidTr="00877D98">
        <w:tc>
          <w:tcPr>
            <w:tcW w:w="851" w:type="dxa"/>
            <w:shd w:val="clear" w:color="auto" w:fill="auto"/>
            <w:vAlign w:val="center"/>
          </w:tcPr>
          <w:p w14:paraId="58897E73" w14:textId="77777777" w:rsidR="00E462F4" w:rsidRPr="00A3398F" w:rsidRDefault="00E462F4" w:rsidP="00877D98">
            <w:pPr>
              <w:spacing w:before="29" w:line="360" w:lineRule="auto"/>
              <w:ind w:left="17"/>
              <w:jc w:val="center"/>
              <w:rPr>
                <w:rFonts w:eastAsiaTheme="minorEastAsia"/>
                <w:color w:val="000000" w:themeColor="text1"/>
                <w:szCs w:val="21"/>
              </w:rPr>
            </w:pPr>
            <w:r w:rsidRPr="00A3398F">
              <w:rPr>
                <w:rFonts w:eastAsiaTheme="minorEastAsia"/>
                <w:color w:val="000000" w:themeColor="text1"/>
                <w:szCs w:val="21"/>
              </w:rPr>
              <w:t>5</w:t>
            </w:r>
          </w:p>
        </w:tc>
        <w:tc>
          <w:tcPr>
            <w:tcW w:w="4253" w:type="dxa"/>
            <w:shd w:val="clear" w:color="auto" w:fill="auto"/>
            <w:vAlign w:val="center"/>
          </w:tcPr>
          <w:p w14:paraId="2DC4E2BC" w14:textId="77777777" w:rsidR="00E462F4" w:rsidRPr="00A3398F" w:rsidRDefault="00E462F4" w:rsidP="00877D98">
            <w:pPr>
              <w:spacing w:before="29" w:line="360" w:lineRule="auto"/>
              <w:ind w:left="17"/>
              <w:rPr>
                <w:rFonts w:eastAsiaTheme="minorEastAsia"/>
                <w:color w:val="000000" w:themeColor="text1"/>
                <w:szCs w:val="21"/>
              </w:rPr>
            </w:pPr>
            <w:r w:rsidRPr="00A3398F">
              <w:rPr>
                <w:rFonts w:eastAsiaTheme="minorEastAsia"/>
                <w:color w:val="000000" w:themeColor="text1"/>
                <w:szCs w:val="21"/>
              </w:rPr>
              <w:t>买入返售金融资产</w:t>
            </w:r>
          </w:p>
        </w:tc>
        <w:tc>
          <w:tcPr>
            <w:tcW w:w="2835" w:type="dxa"/>
            <w:shd w:val="clear" w:color="auto" w:fill="auto"/>
            <w:vAlign w:val="center"/>
          </w:tcPr>
          <w:p w14:paraId="753B21C8" w14:textId="77777777" w:rsidR="00E462F4" w:rsidRPr="00A3398F" w:rsidRDefault="00E462F4" w:rsidP="00877D98">
            <w:pPr>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190,050,261.64</w:t>
            </w:r>
          </w:p>
        </w:tc>
        <w:tc>
          <w:tcPr>
            <w:tcW w:w="1559" w:type="dxa"/>
            <w:shd w:val="clear" w:color="auto" w:fill="auto"/>
            <w:vAlign w:val="center"/>
          </w:tcPr>
          <w:p w14:paraId="788BED8A" w14:textId="77777777" w:rsidR="00E462F4" w:rsidRPr="00A3398F" w:rsidRDefault="00E462F4" w:rsidP="00877D98">
            <w:pPr>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12.16</w:t>
            </w:r>
          </w:p>
        </w:tc>
      </w:tr>
      <w:tr w:rsidR="008277FF" w:rsidRPr="00A3398F" w14:paraId="5D2E50F4" w14:textId="77777777" w:rsidTr="00877D98">
        <w:tc>
          <w:tcPr>
            <w:tcW w:w="851" w:type="dxa"/>
            <w:shd w:val="clear" w:color="auto" w:fill="auto"/>
            <w:vAlign w:val="center"/>
          </w:tcPr>
          <w:p w14:paraId="3AD818D2" w14:textId="77777777" w:rsidR="00E462F4" w:rsidRPr="00A3398F" w:rsidRDefault="00E462F4" w:rsidP="00877D98">
            <w:pPr>
              <w:spacing w:before="29" w:line="360" w:lineRule="auto"/>
              <w:ind w:left="17"/>
              <w:jc w:val="center"/>
              <w:rPr>
                <w:rFonts w:eastAsiaTheme="minorEastAsia"/>
                <w:color w:val="000000" w:themeColor="text1"/>
                <w:szCs w:val="21"/>
              </w:rPr>
            </w:pPr>
          </w:p>
        </w:tc>
        <w:tc>
          <w:tcPr>
            <w:tcW w:w="4253" w:type="dxa"/>
            <w:shd w:val="clear" w:color="auto" w:fill="auto"/>
            <w:vAlign w:val="center"/>
          </w:tcPr>
          <w:p w14:paraId="0F3D0244" w14:textId="77777777" w:rsidR="00E462F4" w:rsidRPr="00A3398F" w:rsidRDefault="00E462F4" w:rsidP="00877D98">
            <w:pPr>
              <w:spacing w:before="29" w:line="360" w:lineRule="auto"/>
              <w:ind w:left="17"/>
              <w:rPr>
                <w:rFonts w:eastAsiaTheme="minorEastAsia"/>
                <w:color w:val="000000" w:themeColor="text1"/>
                <w:szCs w:val="21"/>
              </w:rPr>
            </w:pPr>
            <w:r w:rsidRPr="00A3398F">
              <w:rPr>
                <w:rFonts w:eastAsiaTheme="minorEastAsia"/>
                <w:color w:val="000000" w:themeColor="text1"/>
                <w:szCs w:val="21"/>
              </w:rPr>
              <w:t>其中：买断式回购的买入返售金融资产</w:t>
            </w:r>
          </w:p>
        </w:tc>
        <w:tc>
          <w:tcPr>
            <w:tcW w:w="2835" w:type="dxa"/>
            <w:shd w:val="clear" w:color="auto" w:fill="auto"/>
            <w:vAlign w:val="center"/>
          </w:tcPr>
          <w:p w14:paraId="328C933E" w14:textId="77777777" w:rsidR="00E462F4" w:rsidRPr="00A3398F" w:rsidRDefault="00E462F4" w:rsidP="00BF1DD5">
            <w:pPr>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w:t>
            </w:r>
          </w:p>
        </w:tc>
        <w:tc>
          <w:tcPr>
            <w:tcW w:w="1559" w:type="dxa"/>
            <w:shd w:val="clear" w:color="auto" w:fill="auto"/>
            <w:vAlign w:val="center"/>
          </w:tcPr>
          <w:p w14:paraId="55F96F43" w14:textId="77777777" w:rsidR="00E462F4" w:rsidRPr="00A3398F" w:rsidRDefault="00E462F4" w:rsidP="00BF1DD5">
            <w:pPr>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w:t>
            </w:r>
          </w:p>
        </w:tc>
      </w:tr>
      <w:tr w:rsidR="008277FF" w:rsidRPr="00A3398F" w14:paraId="0A58BA69" w14:textId="77777777" w:rsidTr="00877D98">
        <w:tc>
          <w:tcPr>
            <w:tcW w:w="851" w:type="dxa"/>
            <w:shd w:val="clear" w:color="auto" w:fill="auto"/>
            <w:vAlign w:val="center"/>
          </w:tcPr>
          <w:p w14:paraId="54E484E5" w14:textId="77777777" w:rsidR="00E462F4" w:rsidRPr="00A3398F" w:rsidRDefault="00E462F4" w:rsidP="00877D98">
            <w:pPr>
              <w:adjustRightInd w:val="0"/>
              <w:snapToGrid w:val="0"/>
              <w:spacing w:line="400" w:lineRule="exact"/>
              <w:jc w:val="center"/>
              <w:rPr>
                <w:rFonts w:eastAsiaTheme="minorEastAsia"/>
                <w:color w:val="000000" w:themeColor="text1"/>
                <w:szCs w:val="21"/>
              </w:rPr>
            </w:pPr>
            <w:r w:rsidRPr="00A3398F">
              <w:rPr>
                <w:rFonts w:eastAsiaTheme="minorEastAsia"/>
                <w:color w:val="000000" w:themeColor="text1"/>
                <w:szCs w:val="21"/>
              </w:rPr>
              <w:t>6</w:t>
            </w:r>
          </w:p>
        </w:tc>
        <w:tc>
          <w:tcPr>
            <w:tcW w:w="4253" w:type="dxa"/>
            <w:shd w:val="clear" w:color="auto" w:fill="auto"/>
            <w:vAlign w:val="center"/>
          </w:tcPr>
          <w:p w14:paraId="5DCB2061" w14:textId="77777777" w:rsidR="00E462F4" w:rsidRPr="00A3398F" w:rsidRDefault="00E462F4" w:rsidP="00877D98">
            <w:pPr>
              <w:adjustRightInd w:val="0"/>
              <w:snapToGrid w:val="0"/>
              <w:spacing w:line="400" w:lineRule="exact"/>
              <w:rPr>
                <w:rFonts w:eastAsiaTheme="minorEastAsia"/>
                <w:color w:val="000000" w:themeColor="text1"/>
                <w:szCs w:val="21"/>
              </w:rPr>
            </w:pPr>
            <w:r w:rsidRPr="00A3398F">
              <w:rPr>
                <w:rFonts w:eastAsiaTheme="minorEastAsia"/>
                <w:color w:val="000000" w:themeColor="text1"/>
                <w:szCs w:val="21"/>
              </w:rPr>
              <w:t>货币市场工具</w:t>
            </w:r>
          </w:p>
        </w:tc>
        <w:tc>
          <w:tcPr>
            <w:tcW w:w="2835" w:type="dxa"/>
            <w:shd w:val="clear" w:color="auto" w:fill="auto"/>
            <w:vAlign w:val="center"/>
          </w:tcPr>
          <w:p w14:paraId="54A60540" w14:textId="77777777" w:rsidR="00E462F4" w:rsidRPr="00A3398F" w:rsidRDefault="00CE7FC6" w:rsidP="00BF1DD5">
            <w:pPr>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w:t>
            </w:r>
          </w:p>
        </w:tc>
        <w:tc>
          <w:tcPr>
            <w:tcW w:w="1559" w:type="dxa"/>
            <w:shd w:val="clear" w:color="auto" w:fill="auto"/>
            <w:vAlign w:val="center"/>
          </w:tcPr>
          <w:p w14:paraId="00244431" w14:textId="77777777" w:rsidR="00E462F4" w:rsidRPr="00A3398F" w:rsidRDefault="00CE7FC6" w:rsidP="00BF1DD5">
            <w:pPr>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w:t>
            </w:r>
          </w:p>
        </w:tc>
      </w:tr>
      <w:tr w:rsidR="008277FF" w:rsidRPr="00A3398F" w14:paraId="6E1B29B4" w14:textId="77777777" w:rsidTr="00877D98">
        <w:tc>
          <w:tcPr>
            <w:tcW w:w="851" w:type="dxa"/>
            <w:shd w:val="clear" w:color="auto" w:fill="auto"/>
            <w:vAlign w:val="center"/>
          </w:tcPr>
          <w:p w14:paraId="08F400E0" w14:textId="77777777" w:rsidR="00E462F4" w:rsidRPr="00A3398F" w:rsidRDefault="00E462F4" w:rsidP="00877D98">
            <w:pPr>
              <w:spacing w:before="29" w:line="360" w:lineRule="auto"/>
              <w:ind w:left="17"/>
              <w:jc w:val="center"/>
              <w:rPr>
                <w:rFonts w:eastAsiaTheme="minorEastAsia"/>
                <w:color w:val="000000" w:themeColor="text1"/>
                <w:szCs w:val="21"/>
              </w:rPr>
            </w:pPr>
            <w:r w:rsidRPr="00A3398F">
              <w:rPr>
                <w:rFonts w:eastAsiaTheme="minorEastAsia"/>
                <w:color w:val="000000" w:themeColor="text1"/>
                <w:szCs w:val="21"/>
              </w:rPr>
              <w:t>7</w:t>
            </w:r>
          </w:p>
        </w:tc>
        <w:tc>
          <w:tcPr>
            <w:tcW w:w="4253" w:type="dxa"/>
            <w:shd w:val="clear" w:color="auto" w:fill="auto"/>
            <w:vAlign w:val="center"/>
          </w:tcPr>
          <w:p w14:paraId="13D2521B" w14:textId="77777777" w:rsidR="00E462F4" w:rsidRPr="00A3398F" w:rsidRDefault="00E462F4" w:rsidP="00877D98">
            <w:pPr>
              <w:spacing w:before="29" w:line="360" w:lineRule="auto"/>
              <w:ind w:left="17"/>
              <w:rPr>
                <w:rFonts w:eastAsiaTheme="minorEastAsia"/>
                <w:color w:val="000000" w:themeColor="text1"/>
                <w:szCs w:val="21"/>
              </w:rPr>
            </w:pPr>
            <w:r w:rsidRPr="00A3398F">
              <w:rPr>
                <w:rFonts w:eastAsiaTheme="minorEastAsia"/>
                <w:color w:val="000000" w:themeColor="text1"/>
                <w:szCs w:val="21"/>
              </w:rPr>
              <w:t>银行存款和结算备付金合计</w:t>
            </w:r>
          </w:p>
        </w:tc>
        <w:tc>
          <w:tcPr>
            <w:tcW w:w="2835" w:type="dxa"/>
            <w:shd w:val="clear" w:color="auto" w:fill="auto"/>
            <w:vAlign w:val="center"/>
          </w:tcPr>
          <w:p w14:paraId="06A49DFF" w14:textId="77777777" w:rsidR="00E462F4" w:rsidRPr="00A3398F" w:rsidRDefault="00E462F4" w:rsidP="00BF1DD5">
            <w:pPr>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68,391,714.73</w:t>
            </w:r>
          </w:p>
        </w:tc>
        <w:tc>
          <w:tcPr>
            <w:tcW w:w="1559" w:type="dxa"/>
            <w:shd w:val="clear" w:color="auto" w:fill="auto"/>
            <w:vAlign w:val="center"/>
          </w:tcPr>
          <w:p w14:paraId="744DF775" w14:textId="77777777" w:rsidR="00E462F4" w:rsidRPr="00A3398F" w:rsidRDefault="00E462F4" w:rsidP="00BF1DD5">
            <w:pPr>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4.37</w:t>
            </w:r>
          </w:p>
        </w:tc>
      </w:tr>
      <w:tr w:rsidR="008277FF" w:rsidRPr="00A3398F" w14:paraId="2D0DEEFB" w14:textId="77777777" w:rsidTr="00797DD2">
        <w:tc>
          <w:tcPr>
            <w:tcW w:w="851" w:type="dxa"/>
            <w:shd w:val="clear" w:color="auto" w:fill="auto"/>
            <w:vAlign w:val="center"/>
          </w:tcPr>
          <w:p w14:paraId="231BD54E" w14:textId="77777777" w:rsidR="00E462F4" w:rsidRPr="00A3398F" w:rsidRDefault="00E462F4" w:rsidP="00466B17">
            <w:pPr>
              <w:spacing w:before="29" w:line="360" w:lineRule="auto"/>
              <w:ind w:left="17"/>
              <w:jc w:val="center"/>
              <w:rPr>
                <w:rFonts w:eastAsiaTheme="minorEastAsia"/>
                <w:color w:val="000000" w:themeColor="text1"/>
                <w:szCs w:val="21"/>
              </w:rPr>
            </w:pPr>
            <w:r w:rsidRPr="00A3398F">
              <w:rPr>
                <w:rFonts w:eastAsiaTheme="minorEastAsia"/>
                <w:color w:val="000000" w:themeColor="text1"/>
                <w:szCs w:val="21"/>
              </w:rPr>
              <w:t>8</w:t>
            </w:r>
          </w:p>
        </w:tc>
        <w:tc>
          <w:tcPr>
            <w:tcW w:w="4253" w:type="dxa"/>
            <w:shd w:val="clear" w:color="auto" w:fill="auto"/>
            <w:vAlign w:val="center"/>
          </w:tcPr>
          <w:p w14:paraId="7DD2CF00" w14:textId="77777777" w:rsidR="00E462F4" w:rsidRPr="00A3398F" w:rsidRDefault="00E462F4" w:rsidP="00797DD2">
            <w:pPr>
              <w:rPr>
                <w:rFonts w:eastAsiaTheme="minorEastAsia"/>
                <w:color w:val="000000" w:themeColor="text1"/>
                <w:szCs w:val="21"/>
              </w:rPr>
            </w:pPr>
            <w:r w:rsidRPr="00A3398F">
              <w:rPr>
                <w:rFonts w:eastAsiaTheme="minorEastAsia"/>
                <w:color w:val="000000" w:themeColor="text1"/>
                <w:szCs w:val="21"/>
              </w:rPr>
              <w:t>其他各项资产</w:t>
            </w:r>
          </w:p>
        </w:tc>
        <w:tc>
          <w:tcPr>
            <w:tcW w:w="2835" w:type="dxa"/>
            <w:shd w:val="clear" w:color="auto" w:fill="auto"/>
            <w:vAlign w:val="center"/>
          </w:tcPr>
          <w:p w14:paraId="1B5C1FA6" w14:textId="77777777" w:rsidR="00E462F4" w:rsidRPr="00A3398F" w:rsidRDefault="00E462F4" w:rsidP="00BF1DD5">
            <w:pPr>
              <w:jc w:val="right"/>
              <w:rPr>
                <w:rFonts w:eastAsiaTheme="minorEastAsia"/>
                <w:color w:val="000000" w:themeColor="text1"/>
                <w:szCs w:val="21"/>
              </w:rPr>
            </w:pPr>
            <w:r w:rsidRPr="00A3398F">
              <w:rPr>
                <w:rFonts w:eastAsiaTheme="minorEastAsia"/>
                <w:color w:val="000000" w:themeColor="text1"/>
                <w:szCs w:val="21"/>
              </w:rPr>
              <w:t>15,796,042.96</w:t>
            </w:r>
          </w:p>
        </w:tc>
        <w:tc>
          <w:tcPr>
            <w:tcW w:w="1559" w:type="dxa"/>
            <w:shd w:val="clear" w:color="auto" w:fill="auto"/>
            <w:vAlign w:val="center"/>
          </w:tcPr>
          <w:p w14:paraId="3836E578" w14:textId="77777777" w:rsidR="00E462F4" w:rsidRPr="00A3398F" w:rsidRDefault="00E462F4" w:rsidP="00BF1DD5">
            <w:pPr>
              <w:jc w:val="right"/>
              <w:rPr>
                <w:rFonts w:eastAsiaTheme="minorEastAsia"/>
                <w:color w:val="000000" w:themeColor="text1"/>
                <w:szCs w:val="21"/>
              </w:rPr>
            </w:pPr>
            <w:r w:rsidRPr="00A3398F">
              <w:rPr>
                <w:rFonts w:eastAsiaTheme="minorEastAsia"/>
                <w:color w:val="000000" w:themeColor="text1"/>
                <w:szCs w:val="21"/>
              </w:rPr>
              <w:t>1.01</w:t>
            </w:r>
          </w:p>
        </w:tc>
      </w:tr>
      <w:tr w:rsidR="008277FF" w:rsidRPr="00A3398F" w14:paraId="697BA00C" w14:textId="77777777" w:rsidTr="00797DD2">
        <w:tc>
          <w:tcPr>
            <w:tcW w:w="851" w:type="dxa"/>
            <w:shd w:val="clear" w:color="auto" w:fill="auto"/>
            <w:vAlign w:val="center"/>
          </w:tcPr>
          <w:p w14:paraId="0A95EA7B" w14:textId="77777777" w:rsidR="00E462F4" w:rsidRPr="00A3398F" w:rsidRDefault="00E462F4" w:rsidP="00466B17">
            <w:pPr>
              <w:spacing w:before="29" w:line="360" w:lineRule="auto"/>
              <w:ind w:left="17"/>
              <w:jc w:val="center"/>
              <w:rPr>
                <w:rFonts w:eastAsiaTheme="minorEastAsia"/>
                <w:color w:val="000000" w:themeColor="text1"/>
                <w:szCs w:val="21"/>
              </w:rPr>
            </w:pPr>
            <w:r w:rsidRPr="00A3398F">
              <w:rPr>
                <w:rFonts w:eastAsiaTheme="minorEastAsia"/>
                <w:color w:val="000000" w:themeColor="text1"/>
                <w:szCs w:val="21"/>
              </w:rPr>
              <w:t>9</w:t>
            </w:r>
          </w:p>
        </w:tc>
        <w:tc>
          <w:tcPr>
            <w:tcW w:w="4253" w:type="dxa"/>
            <w:shd w:val="clear" w:color="auto" w:fill="auto"/>
            <w:vAlign w:val="center"/>
          </w:tcPr>
          <w:p w14:paraId="34511540" w14:textId="77777777" w:rsidR="00E462F4" w:rsidRPr="00A3398F" w:rsidRDefault="00E462F4" w:rsidP="00797DD2">
            <w:pPr>
              <w:rPr>
                <w:rFonts w:eastAsiaTheme="minorEastAsia"/>
                <w:color w:val="000000" w:themeColor="text1"/>
                <w:szCs w:val="21"/>
              </w:rPr>
            </w:pPr>
            <w:r w:rsidRPr="00A3398F">
              <w:rPr>
                <w:rFonts w:eastAsiaTheme="minorEastAsia"/>
                <w:color w:val="000000" w:themeColor="text1"/>
                <w:szCs w:val="21"/>
              </w:rPr>
              <w:t>合计</w:t>
            </w:r>
          </w:p>
        </w:tc>
        <w:tc>
          <w:tcPr>
            <w:tcW w:w="2835" w:type="dxa"/>
            <w:shd w:val="clear" w:color="auto" w:fill="auto"/>
            <w:vAlign w:val="center"/>
          </w:tcPr>
          <w:p w14:paraId="25A9044E" w14:textId="77777777" w:rsidR="00E462F4" w:rsidRPr="00A3398F" w:rsidRDefault="00E462F4" w:rsidP="00BF1DD5">
            <w:pPr>
              <w:jc w:val="right"/>
              <w:rPr>
                <w:rFonts w:eastAsiaTheme="minorEastAsia"/>
                <w:color w:val="000000" w:themeColor="text1"/>
                <w:szCs w:val="21"/>
              </w:rPr>
            </w:pPr>
            <w:r w:rsidRPr="00A3398F">
              <w:rPr>
                <w:rFonts w:eastAsiaTheme="minorEastAsia"/>
                <w:color w:val="000000" w:themeColor="text1"/>
                <w:szCs w:val="21"/>
              </w:rPr>
              <w:t>1,563,510,027.30</w:t>
            </w:r>
          </w:p>
        </w:tc>
        <w:tc>
          <w:tcPr>
            <w:tcW w:w="1559" w:type="dxa"/>
            <w:shd w:val="clear" w:color="auto" w:fill="auto"/>
            <w:vAlign w:val="center"/>
          </w:tcPr>
          <w:p w14:paraId="6016E5D2" w14:textId="77777777" w:rsidR="00E462F4" w:rsidRPr="00A3398F" w:rsidRDefault="00E462F4" w:rsidP="00BF1DD5">
            <w:pPr>
              <w:jc w:val="right"/>
              <w:rPr>
                <w:rFonts w:eastAsiaTheme="minorEastAsia"/>
                <w:color w:val="000000" w:themeColor="text1"/>
                <w:szCs w:val="21"/>
              </w:rPr>
            </w:pPr>
            <w:r w:rsidRPr="00A3398F">
              <w:rPr>
                <w:rFonts w:eastAsiaTheme="minorEastAsia"/>
                <w:color w:val="000000" w:themeColor="text1"/>
                <w:szCs w:val="21"/>
              </w:rPr>
              <w:t>100.00</w:t>
            </w:r>
          </w:p>
        </w:tc>
      </w:tr>
    </w:tbl>
    <w:p w14:paraId="46B7E8BE" w14:textId="77777777" w:rsidR="00F512C0" w:rsidRPr="00A3398F" w:rsidRDefault="00F512C0" w:rsidP="00363E15">
      <w:pPr>
        <w:autoSpaceDE w:val="0"/>
        <w:autoSpaceDN w:val="0"/>
        <w:adjustRightInd w:val="0"/>
        <w:spacing w:line="360" w:lineRule="auto"/>
        <w:jc w:val="left"/>
        <w:rPr>
          <w:rFonts w:eastAsiaTheme="minorEastAsia"/>
          <w:color w:val="000000" w:themeColor="text1"/>
          <w:szCs w:val="21"/>
        </w:rPr>
      </w:pPr>
    </w:p>
    <w:p w14:paraId="18688895" w14:textId="77777777" w:rsidR="0076518F" w:rsidRPr="00A3398F" w:rsidRDefault="00A82C02" w:rsidP="00EC4BA3">
      <w:pPr>
        <w:autoSpaceDE w:val="0"/>
        <w:autoSpaceDN w:val="0"/>
        <w:adjustRightInd w:val="0"/>
        <w:spacing w:line="360" w:lineRule="auto"/>
        <w:jc w:val="left"/>
        <w:rPr>
          <w:rFonts w:eastAsiaTheme="minorEastAsia"/>
          <w:b/>
          <w:color w:val="000000" w:themeColor="text1"/>
          <w:kern w:val="0"/>
          <w:sz w:val="24"/>
        </w:rPr>
      </w:pPr>
      <w:r w:rsidRPr="00A3398F">
        <w:rPr>
          <w:rFonts w:eastAsiaTheme="minorEastAsia"/>
          <w:b/>
          <w:color w:val="000000" w:themeColor="text1"/>
          <w:kern w:val="0"/>
          <w:sz w:val="24"/>
        </w:rPr>
        <w:t>5.</w:t>
      </w:r>
      <w:r w:rsidR="002A0FA2" w:rsidRPr="00A3398F">
        <w:rPr>
          <w:rFonts w:eastAsiaTheme="minorEastAsia"/>
          <w:b/>
          <w:color w:val="000000" w:themeColor="text1"/>
          <w:kern w:val="0"/>
          <w:sz w:val="24"/>
        </w:rPr>
        <w:t>2</w:t>
      </w:r>
      <w:r w:rsidRPr="00A3398F">
        <w:rPr>
          <w:rFonts w:eastAsiaTheme="minorEastAsia"/>
          <w:b/>
          <w:color w:val="000000" w:themeColor="text1"/>
          <w:kern w:val="0"/>
          <w:sz w:val="24"/>
        </w:rPr>
        <w:t xml:space="preserve"> </w:t>
      </w:r>
      <w:r w:rsidR="0076518F" w:rsidRPr="00A3398F">
        <w:rPr>
          <w:rFonts w:eastAsiaTheme="minorEastAsia"/>
          <w:b/>
          <w:color w:val="000000" w:themeColor="text1"/>
          <w:kern w:val="0"/>
          <w:sz w:val="24"/>
        </w:rPr>
        <w:t>报告期末在各个国家（地区）证券市场的股票及存托凭证投资分布</w:t>
      </w:r>
    </w:p>
    <w:p w14:paraId="4D6049B9" w14:textId="5C9DCF5B" w:rsidR="00363E15" w:rsidRPr="00A3398F" w:rsidRDefault="00363E15" w:rsidP="00363E15">
      <w:pPr>
        <w:autoSpaceDE w:val="0"/>
        <w:autoSpaceDN w:val="0"/>
        <w:adjustRightInd w:val="0"/>
        <w:spacing w:line="360" w:lineRule="auto"/>
        <w:jc w:val="left"/>
        <w:rPr>
          <w:rFonts w:eastAsiaTheme="minorEastAsia"/>
          <w:color w:val="000000" w:themeColor="text1"/>
          <w:szCs w:val="21"/>
        </w:rPr>
      </w:pPr>
      <w:r w:rsidRPr="00A3398F">
        <w:rPr>
          <w:rFonts w:eastAsiaTheme="minorEastAsia"/>
          <w:color w:val="000000" w:themeColor="text1"/>
          <w:szCs w:val="21"/>
        </w:rPr>
        <w:t>本基金本报告期末未持有股票及存托凭证。</w:t>
      </w:r>
    </w:p>
    <w:p w14:paraId="01F90DEF" w14:textId="77777777" w:rsidR="0076518F" w:rsidRPr="00A3398F" w:rsidRDefault="0076518F" w:rsidP="008B6A4A">
      <w:pPr>
        <w:autoSpaceDE w:val="0"/>
        <w:autoSpaceDN w:val="0"/>
        <w:adjustRightInd w:val="0"/>
        <w:spacing w:line="360" w:lineRule="auto"/>
        <w:jc w:val="left"/>
        <w:rPr>
          <w:rFonts w:eastAsiaTheme="minorEastAsia"/>
          <w:color w:val="000000" w:themeColor="text1"/>
          <w:kern w:val="0"/>
          <w:sz w:val="24"/>
        </w:rPr>
      </w:pPr>
    </w:p>
    <w:p w14:paraId="4A98477D" w14:textId="77777777" w:rsidR="00C37E98" w:rsidRPr="00A3398F" w:rsidRDefault="008C71EB" w:rsidP="00EC4BA3">
      <w:pPr>
        <w:autoSpaceDE w:val="0"/>
        <w:autoSpaceDN w:val="0"/>
        <w:adjustRightInd w:val="0"/>
        <w:spacing w:line="360" w:lineRule="auto"/>
        <w:jc w:val="left"/>
        <w:rPr>
          <w:rFonts w:eastAsiaTheme="minorEastAsia"/>
          <w:b/>
          <w:color w:val="000000" w:themeColor="text1"/>
          <w:kern w:val="0"/>
          <w:sz w:val="24"/>
        </w:rPr>
      </w:pPr>
      <w:r w:rsidRPr="00A3398F">
        <w:rPr>
          <w:rFonts w:eastAsiaTheme="minorEastAsia"/>
          <w:b/>
          <w:color w:val="000000" w:themeColor="text1"/>
          <w:kern w:val="0"/>
          <w:sz w:val="24"/>
        </w:rPr>
        <w:t>5.</w:t>
      </w:r>
      <w:r w:rsidR="002A0FA2" w:rsidRPr="00A3398F">
        <w:rPr>
          <w:rFonts w:eastAsiaTheme="minorEastAsia"/>
          <w:b/>
          <w:color w:val="000000" w:themeColor="text1"/>
          <w:kern w:val="0"/>
          <w:sz w:val="24"/>
        </w:rPr>
        <w:t>3</w:t>
      </w:r>
      <w:r w:rsidR="0076518F" w:rsidRPr="00A3398F">
        <w:rPr>
          <w:rFonts w:eastAsiaTheme="minorEastAsia"/>
          <w:b/>
          <w:color w:val="000000" w:themeColor="text1"/>
          <w:kern w:val="0"/>
          <w:sz w:val="24"/>
        </w:rPr>
        <w:t xml:space="preserve"> </w:t>
      </w:r>
      <w:r w:rsidR="0076518F" w:rsidRPr="00A3398F">
        <w:rPr>
          <w:rFonts w:eastAsiaTheme="minorEastAsia"/>
          <w:b/>
          <w:color w:val="000000" w:themeColor="text1"/>
          <w:kern w:val="0"/>
          <w:sz w:val="24"/>
        </w:rPr>
        <w:t>报告期末按行业分类的股票及存托凭证投资组合</w:t>
      </w:r>
    </w:p>
    <w:p w14:paraId="4EFB730F" w14:textId="77777777" w:rsidR="005B6AC7" w:rsidRPr="00A3398F" w:rsidRDefault="000A521D" w:rsidP="008B6A4A">
      <w:pPr>
        <w:autoSpaceDE w:val="0"/>
        <w:autoSpaceDN w:val="0"/>
        <w:adjustRightInd w:val="0"/>
        <w:spacing w:line="360" w:lineRule="auto"/>
        <w:jc w:val="left"/>
        <w:rPr>
          <w:rFonts w:eastAsiaTheme="minorEastAsia"/>
          <w:color w:val="000000" w:themeColor="text1"/>
          <w:szCs w:val="21"/>
        </w:rPr>
      </w:pPr>
      <w:r w:rsidRPr="00A3398F">
        <w:rPr>
          <w:rFonts w:eastAsiaTheme="minorEastAsia"/>
          <w:color w:val="000000" w:themeColor="text1"/>
          <w:szCs w:val="21"/>
        </w:rPr>
        <w:t>本基金本报告期末未持有股票及存托凭证。</w:t>
      </w:r>
    </w:p>
    <w:p w14:paraId="1F79DF77" w14:textId="77777777" w:rsidR="000A521D" w:rsidRDefault="000A521D" w:rsidP="008B6A4A">
      <w:pPr>
        <w:autoSpaceDE w:val="0"/>
        <w:autoSpaceDN w:val="0"/>
        <w:adjustRightInd w:val="0"/>
        <w:spacing w:line="360" w:lineRule="auto"/>
        <w:jc w:val="left"/>
        <w:rPr>
          <w:rFonts w:eastAsiaTheme="minorEastAsia"/>
          <w:color w:val="000000" w:themeColor="text1"/>
          <w:sz w:val="24"/>
        </w:rPr>
      </w:pPr>
    </w:p>
    <w:p w14:paraId="217EA9FB" w14:textId="77777777" w:rsidR="0076518F" w:rsidRPr="00A3398F" w:rsidRDefault="008C71EB" w:rsidP="00EC4BA3">
      <w:pPr>
        <w:autoSpaceDE w:val="0"/>
        <w:autoSpaceDN w:val="0"/>
        <w:adjustRightInd w:val="0"/>
        <w:spacing w:line="360" w:lineRule="auto"/>
        <w:jc w:val="left"/>
        <w:rPr>
          <w:rFonts w:eastAsiaTheme="minorEastAsia"/>
          <w:b/>
          <w:kern w:val="0"/>
          <w:sz w:val="24"/>
        </w:rPr>
      </w:pPr>
      <w:r w:rsidRPr="00A3398F">
        <w:rPr>
          <w:rFonts w:eastAsiaTheme="minorEastAsia"/>
          <w:b/>
          <w:kern w:val="0"/>
          <w:sz w:val="24"/>
        </w:rPr>
        <w:t>5.</w:t>
      </w:r>
      <w:r w:rsidR="002A0FA2" w:rsidRPr="00A3398F">
        <w:rPr>
          <w:rFonts w:eastAsiaTheme="minorEastAsia"/>
          <w:b/>
          <w:kern w:val="0"/>
          <w:sz w:val="24"/>
        </w:rPr>
        <w:t>4</w:t>
      </w:r>
      <w:r w:rsidR="0076518F" w:rsidRPr="00A3398F">
        <w:rPr>
          <w:rFonts w:eastAsiaTheme="minorEastAsia"/>
          <w:b/>
          <w:kern w:val="0"/>
          <w:sz w:val="24"/>
        </w:rPr>
        <w:t xml:space="preserve"> </w:t>
      </w:r>
      <w:r w:rsidR="0076518F" w:rsidRPr="00A3398F">
        <w:rPr>
          <w:rFonts w:eastAsiaTheme="minorEastAsia"/>
          <w:b/>
          <w:kern w:val="0"/>
          <w:sz w:val="24"/>
        </w:rPr>
        <w:t>报告期末按公允价值占基金资产净值比例大小排序的前十名股票及存托凭证投资明细</w:t>
      </w:r>
    </w:p>
    <w:p w14:paraId="134BBC2E" w14:textId="77777777" w:rsidR="00B62914" w:rsidRPr="00A3398F" w:rsidRDefault="00E73C41" w:rsidP="002236BC">
      <w:pPr>
        <w:autoSpaceDE w:val="0"/>
        <w:autoSpaceDN w:val="0"/>
        <w:adjustRightInd w:val="0"/>
        <w:spacing w:line="360" w:lineRule="auto"/>
        <w:jc w:val="left"/>
        <w:rPr>
          <w:rFonts w:eastAsiaTheme="minorEastAsia"/>
          <w:szCs w:val="21"/>
        </w:rPr>
      </w:pPr>
      <w:r w:rsidRPr="00A3398F">
        <w:rPr>
          <w:rFonts w:eastAsiaTheme="minorEastAsia"/>
          <w:szCs w:val="21"/>
        </w:rPr>
        <w:t>本基金本报告期末未持有股票及存托凭证。</w:t>
      </w:r>
    </w:p>
    <w:p w14:paraId="5B7EFAD0" w14:textId="77777777" w:rsidR="00A3398F" w:rsidRPr="00A3398F" w:rsidRDefault="00A3398F" w:rsidP="00CD25DA">
      <w:pPr>
        <w:autoSpaceDE w:val="0"/>
        <w:autoSpaceDN w:val="0"/>
        <w:adjustRightInd w:val="0"/>
        <w:spacing w:before="29" w:line="360" w:lineRule="auto"/>
        <w:jc w:val="left"/>
        <w:rPr>
          <w:rFonts w:eastAsiaTheme="minorEastAsia"/>
          <w:color w:val="000000" w:themeColor="text1"/>
          <w:sz w:val="24"/>
        </w:rPr>
      </w:pPr>
    </w:p>
    <w:p w14:paraId="3168F00E" w14:textId="77777777" w:rsidR="0076518F" w:rsidRPr="00A3398F" w:rsidRDefault="008C71EB" w:rsidP="00EC4BA3">
      <w:pPr>
        <w:autoSpaceDE w:val="0"/>
        <w:autoSpaceDN w:val="0"/>
        <w:adjustRightInd w:val="0"/>
        <w:spacing w:line="360" w:lineRule="auto"/>
        <w:jc w:val="left"/>
        <w:rPr>
          <w:rFonts w:eastAsiaTheme="minorEastAsia"/>
          <w:b/>
          <w:color w:val="000000" w:themeColor="text1"/>
          <w:kern w:val="0"/>
          <w:sz w:val="24"/>
        </w:rPr>
      </w:pPr>
      <w:r w:rsidRPr="00A3398F">
        <w:rPr>
          <w:rFonts w:eastAsiaTheme="minorEastAsia"/>
          <w:b/>
          <w:color w:val="000000" w:themeColor="text1"/>
          <w:kern w:val="0"/>
          <w:sz w:val="24"/>
        </w:rPr>
        <w:t>5.</w:t>
      </w:r>
      <w:r w:rsidR="002A0FA2" w:rsidRPr="00A3398F">
        <w:rPr>
          <w:rFonts w:eastAsiaTheme="minorEastAsia"/>
          <w:b/>
          <w:color w:val="000000" w:themeColor="text1"/>
          <w:kern w:val="0"/>
          <w:sz w:val="24"/>
        </w:rPr>
        <w:t>5</w:t>
      </w:r>
      <w:r w:rsidR="0076518F" w:rsidRPr="00A3398F">
        <w:rPr>
          <w:rFonts w:eastAsiaTheme="minorEastAsia"/>
          <w:b/>
          <w:color w:val="000000" w:themeColor="text1"/>
          <w:kern w:val="0"/>
          <w:sz w:val="24"/>
        </w:rPr>
        <w:t xml:space="preserve"> </w:t>
      </w:r>
      <w:r w:rsidR="0076518F" w:rsidRPr="00A3398F">
        <w:rPr>
          <w:rFonts w:eastAsiaTheme="minorEastAsia"/>
          <w:b/>
          <w:color w:val="000000" w:themeColor="text1"/>
          <w:kern w:val="0"/>
          <w:sz w:val="24"/>
        </w:rPr>
        <w:t>报告期末按债券信用等级分类的债券投资组合</w:t>
      </w:r>
    </w:p>
    <w:tbl>
      <w:tblPr>
        <w:tblStyle w:val="afa"/>
        <w:tblW w:w="0" w:type="auto"/>
        <w:tblInd w:w="15" w:type="dxa"/>
        <w:tblLook w:val="04A0" w:firstRow="1" w:lastRow="0" w:firstColumn="1" w:lastColumn="0" w:noHBand="0" w:noVBand="1"/>
      </w:tblPr>
      <w:tblGrid>
        <w:gridCol w:w="2837"/>
        <w:gridCol w:w="2838"/>
        <w:gridCol w:w="2838"/>
      </w:tblGrid>
      <w:tr w:rsidR="008277FF" w:rsidRPr="00A3398F" w14:paraId="72AB6342" w14:textId="77777777" w:rsidTr="00797DD2">
        <w:tc>
          <w:tcPr>
            <w:tcW w:w="2837" w:type="dxa"/>
            <w:vAlign w:val="center"/>
          </w:tcPr>
          <w:p w14:paraId="21CE118B" w14:textId="77777777" w:rsidR="00E73C41" w:rsidRPr="00A3398F" w:rsidRDefault="00E73C41" w:rsidP="00797DD2">
            <w:pPr>
              <w:autoSpaceDE w:val="0"/>
              <w:autoSpaceDN w:val="0"/>
              <w:adjustRightInd w:val="0"/>
              <w:spacing w:before="29" w:line="360" w:lineRule="auto"/>
              <w:ind w:left="15"/>
              <w:jc w:val="center"/>
              <w:rPr>
                <w:rFonts w:eastAsiaTheme="minorEastAsia"/>
                <w:color w:val="000000" w:themeColor="text1"/>
                <w:kern w:val="0"/>
                <w:szCs w:val="21"/>
              </w:rPr>
            </w:pPr>
            <w:r w:rsidRPr="00A3398F">
              <w:rPr>
                <w:rFonts w:eastAsiaTheme="minorEastAsia"/>
                <w:color w:val="000000" w:themeColor="text1"/>
                <w:kern w:val="0"/>
                <w:szCs w:val="21"/>
              </w:rPr>
              <w:t>债券信用等级</w:t>
            </w:r>
          </w:p>
        </w:tc>
        <w:tc>
          <w:tcPr>
            <w:tcW w:w="2838" w:type="dxa"/>
            <w:vAlign w:val="center"/>
          </w:tcPr>
          <w:p w14:paraId="7983CDC5" w14:textId="77777777" w:rsidR="00E73C41" w:rsidRPr="00A3398F" w:rsidRDefault="00E73C41" w:rsidP="00797DD2">
            <w:pPr>
              <w:autoSpaceDE w:val="0"/>
              <w:autoSpaceDN w:val="0"/>
              <w:adjustRightInd w:val="0"/>
              <w:spacing w:before="29" w:line="360" w:lineRule="auto"/>
              <w:ind w:left="15"/>
              <w:jc w:val="center"/>
              <w:rPr>
                <w:rFonts w:eastAsiaTheme="minorEastAsia"/>
                <w:color w:val="000000" w:themeColor="text1"/>
                <w:kern w:val="0"/>
                <w:szCs w:val="21"/>
              </w:rPr>
            </w:pPr>
            <w:r w:rsidRPr="00A3398F">
              <w:rPr>
                <w:rFonts w:eastAsiaTheme="minorEastAsia"/>
                <w:color w:val="000000" w:themeColor="text1"/>
                <w:kern w:val="0"/>
                <w:szCs w:val="21"/>
              </w:rPr>
              <w:t>公允价值</w:t>
            </w:r>
            <w:r w:rsidRPr="00A3398F">
              <w:rPr>
                <w:rFonts w:eastAsiaTheme="minorEastAsia"/>
                <w:color w:val="000000" w:themeColor="text1"/>
                <w:kern w:val="0"/>
                <w:szCs w:val="21"/>
              </w:rPr>
              <w:t>(</w:t>
            </w:r>
            <w:r w:rsidRPr="00A3398F">
              <w:rPr>
                <w:rFonts w:eastAsiaTheme="minorEastAsia"/>
                <w:color w:val="000000" w:themeColor="text1"/>
                <w:kern w:val="0"/>
                <w:szCs w:val="21"/>
              </w:rPr>
              <w:t>人民币元</w:t>
            </w:r>
            <w:r w:rsidRPr="00A3398F">
              <w:rPr>
                <w:rFonts w:eastAsiaTheme="minorEastAsia"/>
                <w:color w:val="000000" w:themeColor="text1"/>
                <w:kern w:val="0"/>
                <w:szCs w:val="21"/>
              </w:rPr>
              <w:t>)</w:t>
            </w:r>
          </w:p>
        </w:tc>
        <w:tc>
          <w:tcPr>
            <w:tcW w:w="2838" w:type="dxa"/>
            <w:vAlign w:val="center"/>
          </w:tcPr>
          <w:p w14:paraId="5079FB52" w14:textId="77777777" w:rsidR="00E73C41" w:rsidRPr="00A3398F" w:rsidRDefault="00E73C41" w:rsidP="00797DD2">
            <w:pPr>
              <w:autoSpaceDE w:val="0"/>
              <w:autoSpaceDN w:val="0"/>
              <w:adjustRightInd w:val="0"/>
              <w:spacing w:before="29" w:line="360" w:lineRule="auto"/>
              <w:ind w:left="15"/>
              <w:jc w:val="center"/>
              <w:rPr>
                <w:rFonts w:eastAsiaTheme="minorEastAsia"/>
                <w:color w:val="000000" w:themeColor="text1"/>
                <w:kern w:val="0"/>
                <w:szCs w:val="21"/>
              </w:rPr>
            </w:pPr>
            <w:r w:rsidRPr="00A3398F">
              <w:rPr>
                <w:rFonts w:eastAsiaTheme="minorEastAsia"/>
                <w:color w:val="000000" w:themeColor="text1"/>
                <w:kern w:val="0"/>
                <w:szCs w:val="21"/>
              </w:rPr>
              <w:t>占基金资产净值比例（％）</w:t>
            </w:r>
          </w:p>
        </w:tc>
      </w:tr>
      <w:tr w:rsidR="00351E81" w14:paraId="288C4F0F" w14:textId="77777777">
        <w:tc>
          <w:tcPr>
            <w:tcW w:w="0" w:type="auto"/>
            <w:vAlign w:val="center"/>
          </w:tcPr>
          <w:p w14:paraId="340BDF73" w14:textId="77777777" w:rsidR="00351E81" w:rsidRDefault="007F3594">
            <w:pPr>
              <w:jc w:val="left"/>
            </w:pPr>
            <w:r>
              <w:rPr>
                <w:rFonts w:eastAsiaTheme="minorEastAsia"/>
                <w:color w:val="000000" w:themeColor="text1"/>
                <w:szCs w:val="21"/>
              </w:rPr>
              <w:t>AAA</w:t>
            </w:r>
          </w:p>
        </w:tc>
        <w:tc>
          <w:tcPr>
            <w:tcW w:w="0" w:type="auto"/>
            <w:vAlign w:val="center"/>
          </w:tcPr>
          <w:p w14:paraId="46881E03" w14:textId="77777777" w:rsidR="00351E81" w:rsidRDefault="007F3594">
            <w:pPr>
              <w:jc w:val="right"/>
            </w:pPr>
            <w:r>
              <w:rPr>
                <w:rFonts w:eastAsiaTheme="minorEastAsia"/>
                <w:color w:val="000000" w:themeColor="text1"/>
                <w:szCs w:val="21"/>
              </w:rPr>
              <w:t>-</w:t>
            </w:r>
          </w:p>
        </w:tc>
        <w:tc>
          <w:tcPr>
            <w:tcW w:w="0" w:type="auto"/>
            <w:vAlign w:val="center"/>
          </w:tcPr>
          <w:p w14:paraId="6EF42DC2" w14:textId="77777777" w:rsidR="00351E81" w:rsidRDefault="007F3594">
            <w:pPr>
              <w:jc w:val="right"/>
            </w:pPr>
            <w:r>
              <w:rPr>
                <w:rFonts w:eastAsiaTheme="minorEastAsia"/>
                <w:color w:val="000000" w:themeColor="text1"/>
                <w:szCs w:val="21"/>
              </w:rPr>
              <w:t>-</w:t>
            </w:r>
          </w:p>
        </w:tc>
      </w:tr>
      <w:tr w:rsidR="00351E81" w14:paraId="76562AFF" w14:textId="77777777">
        <w:tc>
          <w:tcPr>
            <w:tcW w:w="0" w:type="auto"/>
            <w:vAlign w:val="center"/>
          </w:tcPr>
          <w:p w14:paraId="29C1B55D" w14:textId="77777777" w:rsidR="00351E81" w:rsidRDefault="007F3594">
            <w:pPr>
              <w:jc w:val="left"/>
            </w:pPr>
            <w:r>
              <w:rPr>
                <w:rFonts w:eastAsiaTheme="minorEastAsia"/>
                <w:color w:val="000000" w:themeColor="text1"/>
                <w:szCs w:val="21"/>
              </w:rPr>
              <w:t>AA-</w:t>
            </w:r>
            <w:r>
              <w:rPr>
                <w:rFonts w:eastAsiaTheme="minorEastAsia"/>
                <w:color w:val="000000" w:themeColor="text1"/>
                <w:szCs w:val="21"/>
              </w:rPr>
              <w:t>至</w:t>
            </w:r>
            <w:r>
              <w:rPr>
                <w:rFonts w:eastAsiaTheme="minorEastAsia"/>
                <w:color w:val="000000" w:themeColor="text1"/>
                <w:szCs w:val="21"/>
              </w:rPr>
              <w:t>AA+</w:t>
            </w:r>
          </w:p>
        </w:tc>
        <w:tc>
          <w:tcPr>
            <w:tcW w:w="0" w:type="auto"/>
            <w:vAlign w:val="center"/>
          </w:tcPr>
          <w:p w14:paraId="07576C22" w14:textId="77777777" w:rsidR="00351E81" w:rsidRDefault="007F3594">
            <w:pPr>
              <w:jc w:val="right"/>
            </w:pPr>
            <w:r>
              <w:rPr>
                <w:rFonts w:eastAsiaTheme="minorEastAsia"/>
                <w:color w:val="000000" w:themeColor="text1"/>
                <w:szCs w:val="21"/>
              </w:rPr>
              <w:t>-</w:t>
            </w:r>
          </w:p>
        </w:tc>
        <w:tc>
          <w:tcPr>
            <w:tcW w:w="0" w:type="auto"/>
            <w:vAlign w:val="center"/>
          </w:tcPr>
          <w:p w14:paraId="3FDC026F" w14:textId="77777777" w:rsidR="00351E81" w:rsidRDefault="007F3594">
            <w:pPr>
              <w:jc w:val="right"/>
            </w:pPr>
            <w:r>
              <w:rPr>
                <w:rFonts w:eastAsiaTheme="minorEastAsia"/>
                <w:color w:val="000000" w:themeColor="text1"/>
                <w:szCs w:val="21"/>
              </w:rPr>
              <w:t>-</w:t>
            </w:r>
          </w:p>
        </w:tc>
      </w:tr>
      <w:tr w:rsidR="00351E81" w14:paraId="496A7CE6" w14:textId="77777777">
        <w:tc>
          <w:tcPr>
            <w:tcW w:w="0" w:type="auto"/>
            <w:vAlign w:val="center"/>
          </w:tcPr>
          <w:p w14:paraId="62BC6E33" w14:textId="77777777" w:rsidR="00351E81" w:rsidRDefault="007F3594">
            <w:pPr>
              <w:jc w:val="left"/>
            </w:pPr>
            <w:r>
              <w:rPr>
                <w:rFonts w:eastAsiaTheme="minorEastAsia"/>
                <w:color w:val="000000" w:themeColor="text1"/>
                <w:szCs w:val="21"/>
              </w:rPr>
              <w:t>A-</w:t>
            </w:r>
            <w:r>
              <w:rPr>
                <w:rFonts w:eastAsiaTheme="minorEastAsia"/>
                <w:color w:val="000000" w:themeColor="text1"/>
                <w:szCs w:val="21"/>
              </w:rPr>
              <w:t>至</w:t>
            </w:r>
            <w:r>
              <w:rPr>
                <w:rFonts w:eastAsiaTheme="minorEastAsia"/>
                <w:color w:val="000000" w:themeColor="text1"/>
                <w:szCs w:val="21"/>
              </w:rPr>
              <w:t>A+</w:t>
            </w:r>
          </w:p>
        </w:tc>
        <w:tc>
          <w:tcPr>
            <w:tcW w:w="0" w:type="auto"/>
            <w:vAlign w:val="center"/>
          </w:tcPr>
          <w:p w14:paraId="71DC7437" w14:textId="77777777" w:rsidR="00351E81" w:rsidRDefault="007F3594">
            <w:pPr>
              <w:jc w:val="right"/>
            </w:pPr>
            <w:r>
              <w:rPr>
                <w:rFonts w:eastAsiaTheme="minorEastAsia"/>
                <w:color w:val="000000" w:themeColor="text1"/>
                <w:szCs w:val="21"/>
              </w:rPr>
              <w:t>50,170,931.51</w:t>
            </w:r>
          </w:p>
        </w:tc>
        <w:tc>
          <w:tcPr>
            <w:tcW w:w="0" w:type="auto"/>
            <w:vAlign w:val="center"/>
          </w:tcPr>
          <w:p w14:paraId="31634C15" w14:textId="77777777" w:rsidR="00351E81" w:rsidRDefault="007F3594">
            <w:pPr>
              <w:jc w:val="right"/>
            </w:pPr>
            <w:r>
              <w:rPr>
                <w:rFonts w:eastAsiaTheme="minorEastAsia"/>
                <w:color w:val="000000" w:themeColor="text1"/>
                <w:szCs w:val="21"/>
              </w:rPr>
              <w:t>3.28</w:t>
            </w:r>
          </w:p>
        </w:tc>
      </w:tr>
      <w:tr w:rsidR="00351E81" w14:paraId="4F93451E" w14:textId="77777777">
        <w:tc>
          <w:tcPr>
            <w:tcW w:w="0" w:type="auto"/>
            <w:vAlign w:val="center"/>
          </w:tcPr>
          <w:p w14:paraId="15465109" w14:textId="77777777" w:rsidR="00351E81" w:rsidRDefault="007F3594">
            <w:pPr>
              <w:jc w:val="left"/>
            </w:pPr>
            <w:r>
              <w:rPr>
                <w:rFonts w:eastAsiaTheme="minorEastAsia"/>
                <w:color w:val="000000" w:themeColor="text1"/>
                <w:szCs w:val="21"/>
              </w:rPr>
              <w:t>BBB-</w:t>
            </w:r>
            <w:r>
              <w:rPr>
                <w:rFonts w:eastAsiaTheme="minorEastAsia"/>
                <w:color w:val="000000" w:themeColor="text1"/>
                <w:szCs w:val="21"/>
              </w:rPr>
              <w:t>至</w:t>
            </w:r>
            <w:r>
              <w:rPr>
                <w:rFonts w:eastAsiaTheme="minorEastAsia"/>
                <w:color w:val="000000" w:themeColor="text1"/>
                <w:szCs w:val="21"/>
              </w:rPr>
              <w:t>BBB+</w:t>
            </w:r>
          </w:p>
        </w:tc>
        <w:tc>
          <w:tcPr>
            <w:tcW w:w="0" w:type="auto"/>
            <w:vAlign w:val="center"/>
          </w:tcPr>
          <w:p w14:paraId="459F72B4" w14:textId="77777777" w:rsidR="00351E81" w:rsidRDefault="007F3594">
            <w:pPr>
              <w:jc w:val="right"/>
            </w:pPr>
            <w:r>
              <w:rPr>
                <w:rFonts w:eastAsiaTheme="minorEastAsia"/>
                <w:color w:val="000000" w:themeColor="text1"/>
                <w:szCs w:val="21"/>
              </w:rPr>
              <w:t>-</w:t>
            </w:r>
          </w:p>
        </w:tc>
        <w:tc>
          <w:tcPr>
            <w:tcW w:w="0" w:type="auto"/>
            <w:vAlign w:val="center"/>
          </w:tcPr>
          <w:p w14:paraId="11003238" w14:textId="77777777" w:rsidR="00351E81" w:rsidRDefault="007F3594">
            <w:pPr>
              <w:jc w:val="right"/>
            </w:pPr>
            <w:r>
              <w:rPr>
                <w:rFonts w:eastAsiaTheme="minorEastAsia"/>
                <w:color w:val="000000" w:themeColor="text1"/>
                <w:szCs w:val="21"/>
              </w:rPr>
              <w:t>-</w:t>
            </w:r>
          </w:p>
        </w:tc>
      </w:tr>
      <w:tr w:rsidR="00351E81" w14:paraId="4DED8D61" w14:textId="77777777">
        <w:tc>
          <w:tcPr>
            <w:tcW w:w="0" w:type="auto"/>
            <w:vAlign w:val="center"/>
          </w:tcPr>
          <w:p w14:paraId="5FCF6145" w14:textId="77777777" w:rsidR="00351E81" w:rsidRDefault="007F3594">
            <w:pPr>
              <w:jc w:val="left"/>
            </w:pPr>
            <w:r>
              <w:rPr>
                <w:rFonts w:eastAsiaTheme="minorEastAsia"/>
                <w:color w:val="000000" w:themeColor="text1"/>
                <w:szCs w:val="21"/>
              </w:rPr>
              <w:t>BB-</w:t>
            </w:r>
            <w:r>
              <w:rPr>
                <w:rFonts w:eastAsiaTheme="minorEastAsia"/>
                <w:color w:val="000000" w:themeColor="text1"/>
                <w:szCs w:val="21"/>
              </w:rPr>
              <w:t>至</w:t>
            </w:r>
            <w:r>
              <w:rPr>
                <w:rFonts w:eastAsiaTheme="minorEastAsia"/>
                <w:color w:val="000000" w:themeColor="text1"/>
                <w:szCs w:val="21"/>
              </w:rPr>
              <w:t>BB+</w:t>
            </w:r>
          </w:p>
        </w:tc>
        <w:tc>
          <w:tcPr>
            <w:tcW w:w="0" w:type="auto"/>
            <w:vAlign w:val="center"/>
          </w:tcPr>
          <w:p w14:paraId="31D377F2" w14:textId="77777777" w:rsidR="00351E81" w:rsidRDefault="007F3594">
            <w:pPr>
              <w:jc w:val="right"/>
            </w:pPr>
            <w:r>
              <w:rPr>
                <w:rFonts w:eastAsiaTheme="minorEastAsia"/>
                <w:color w:val="000000" w:themeColor="text1"/>
                <w:szCs w:val="21"/>
              </w:rPr>
              <w:t>-</w:t>
            </w:r>
          </w:p>
        </w:tc>
        <w:tc>
          <w:tcPr>
            <w:tcW w:w="0" w:type="auto"/>
            <w:vAlign w:val="center"/>
          </w:tcPr>
          <w:p w14:paraId="18AD5DA0" w14:textId="77777777" w:rsidR="00351E81" w:rsidRDefault="007F3594">
            <w:pPr>
              <w:jc w:val="right"/>
            </w:pPr>
            <w:r>
              <w:rPr>
                <w:rFonts w:eastAsiaTheme="minorEastAsia"/>
                <w:color w:val="000000" w:themeColor="text1"/>
                <w:szCs w:val="21"/>
              </w:rPr>
              <w:t>-</w:t>
            </w:r>
          </w:p>
        </w:tc>
      </w:tr>
    </w:tbl>
    <w:p w14:paraId="2D559C4E" w14:textId="77777777" w:rsidR="00521EDE" w:rsidRPr="00A3398F" w:rsidRDefault="00521EDE" w:rsidP="00521EDE">
      <w:pPr>
        <w:autoSpaceDE w:val="0"/>
        <w:autoSpaceDN w:val="0"/>
        <w:adjustRightInd w:val="0"/>
        <w:spacing w:line="360" w:lineRule="auto"/>
        <w:jc w:val="left"/>
        <w:rPr>
          <w:rFonts w:eastAsiaTheme="minorEastAsia"/>
          <w:color w:val="000000" w:themeColor="text1"/>
          <w:szCs w:val="21"/>
        </w:rPr>
      </w:pPr>
      <w:r w:rsidRPr="00A3398F">
        <w:rPr>
          <w:rFonts w:eastAsiaTheme="minorEastAsia"/>
          <w:color w:val="000000" w:themeColor="text1"/>
          <w:szCs w:val="21"/>
        </w:rPr>
        <w:t>注：本基金债券投资组合主要采用标准普尔、惠誉等国际权威评级机构提供的债券信用评级信息。</w:t>
      </w:r>
    </w:p>
    <w:p w14:paraId="485A1C8D" w14:textId="77777777" w:rsidR="0076518F" w:rsidRPr="00A3398F" w:rsidRDefault="0076518F" w:rsidP="008B6A4A">
      <w:pPr>
        <w:autoSpaceDE w:val="0"/>
        <w:autoSpaceDN w:val="0"/>
        <w:adjustRightInd w:val="0"/>
        <w:spacing w:line="360" w:lineRule="auto"/>
        <w:jc w:val="left"/>
        <w:rPr>
          <w:rFonts w:eastAsiaTheme="minorEastAsia"/>
          <w:color w:val="000000" w:themeColor="text1"/>
          <w:kern w:val="0"/>
          <w:sz w:val="24"/>
        </w:rPr>
      </w:pPr>
    </w:p>
    <w:p w14:paraId="44061A40" w14:textId="77777777" w:rsidR="0076518F" w:rsidRPr="00A3398F" w:rsidRDefault="008C71EB" w:rsidP="00EC4BA3">
      <w:pPr>
        <w:autoSpaceDE w:val="0"/>
        <w:autoSpaceDN w:val="0"/>
        <w:adjustRightInd w:val="0"/>
        <w:spacing w:line="360" w:lineRule="auto"/>
        <w:jc w:val="left"/>
        <w:rPr>
          <w:rFonts w:eastAsiaTheme="minorEastAsia"/>
          <w:b/>
          <w:color w:val="000000" w:themeColor="text1"/>
          <w:kern w:val="0"/>
          <w:sz w:val="24"/>
        </w:rPr>
      </w:pPr>
      <w:r w:rsidRPr="00A3398F">
        <w:rPr>
          <w:rFonts w:eastAsiaTheme="minorEastAsia"/>
          <w:b/>
          <w:color w:val="000000" w:themeColor="text1"/>
          <w:kern w:val="0"/>
          <w:sz w:val="24"/>
        </w:rPr>
        <w:t>5.</w:t>
      </w:r>
      <w:r w:rsidR="002A0FA2" w:rsidRPr="00A3398F">
        <w:rPr>
          <w:rFonts w:eastAsiaTheme="minorEastAsia"/>
          <w:b/>
          <w:color w:val="000000" w:themeColor="text1"/>
          <w:kern w:val="0"/>
          <w:sz w:val="24"/>
        </w:rPr>
        <w:t>6</w:t>
      </w:r>
      <w:r w:rsidRPr="00A3398F">
        <w:rPr>
          <w:rFonts w:eastAsiaTheme="minorEastAsia"/>
          <w:b/>
          <w:color w:val="000000" w:themeColor="text1"/>
          <w:kern w:val="0"/>
          <w:sz w:val="24"/>
        </w:rPr>
        <w:t xml:space="preserve"> </w:t>
      </w:r>
      <w:r w:rsidR="0076518F" w:rsidRPr="00A3398F">
        <w:rPr>
          <w:rFonts w:eastAsiaTheme="minorEastAsia"/>
          <w:b/>
          <w:color w:val="000000" w:themeColor="text1"/>
          <w:kern w:val="0"/>
          <w:sz w:val="24"/>
        </w:rPr>
        <w:t>报告期末按公允价值占基金资产净值比例大小排名的前五名债券投资明细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2"/>
        <w:gridCol w:w="1310"/>
        <w:gridCol w:w="1282"/>
        <w:gridCol w:w="1426"/>
        <w:gridCol w:w="1646"/>
        <w:gridCol w:w="1612"/>
      </w:tblGrid>
      <w:tr w:rsidR="008277FF" w:rsidRPr="00A3398F" w14:paraId="4906CFDE" w14:textId="77777777" w:rsidTr="00B918B8">
        <w:tc>
          <w:tcPr>
            <w:tcW w:w="1252" w:type="dxa"/>
            <w:shd w:val="clear" w:color="auto" w:fill="auto"/>
            <w:vAlign w:val="center"/>
          </w:tcPr>
          <w:p w14:paraId="3929D89A" w14:textId="77777777" w:rsidR="00521EDE" w:rsidRPr="00A3398F" w:rsidRDefault="00521EDE" w:rsidP="00B918B8">
            <w:pPr>
              <w:spacing w:before="29" w:line="360" w:lineRule="auto"/>
              <w:ind w:left="17"/>
              <w:jc w:val="center"/>
              <w:rPr>
                <w:rFonts w:eastAsiaTheme="minorEastAsia"/>
                <w:color w:val="000000" w:themeColor="text1"/>
                <w:szCs w:val="21"/>
              </w:rPr>
            </w:pPr>
            <w:r w:rsidRPr="00A3398F">
              <w:rPr>
                <w:rFonts w:eastAsiaTheme="minorEastAsia"/>
                <w:color w:val="000000" w:themeColor="text1"/>
                <w:szCs w:val="21"/>
              </w:rPr>
              <w:t>序号</w:t>
            </w:r>
          </w:p>
        </w:tc>
        <w:tc>
          <w:tcPr>
            <w:tcW w:w="1310" w:type="dxa"/>
            <w:shd w:val="clear" w:color="auto" w:fill="auto"/>
            <w:vAlign w:val="center"/>
          </w:tcPr>
          <w:p w14:paraId="15674D23" w14:textId="77777777" w:rsidR="00521EDE" w:rsidRPr="00A3398F" w:rsidRDefault="00521EDE" w:rsidP="00B918B8">
            <w:pPr>
              <w:spacing w:before="29" w:line="360" w:lineRule="auto"/>
              <w:ind w:left="17"/>
              <w:jc w:val="center"/>
              <w:rPr>
                <w:rFonts w:eastAsiaTheme="minorEastAsia"/>
                <w:color w:val="000000" w:themeColor="text1"/>
                <w:szCs w:val="21"/>
              </w:rPr>
            </w:pPr>
            <w:r w:rsidRPr="00A3398F">
              <w:rPr>
                <w:rFonts w:eastAsiaTheme="minorEastAsia"/>
                <w:color w:val="000000" w:themeColor="text1"/>
                <w:szCs w:val="21"/>
              </w:rPr>
              <w:t>债券代码</w:t>
            </w:r>
          </w:p>
        </w:tc>
        <w:tc>
          <w:tcPr>
            <w:tcW w:w="1282" w:type="dxa"/>
            <w:shd w:val="clear" w:color="auto" w:fill="auto"/>
            <w:vAlign w:val="center"/>
          </w:tcPr>
          <w:p w14:paraId="3706EC3E" w14:textId="77777777" w:rsidR="00521EDE" w:rsidRPr="00A3398F" w:rsidRDefault="00521EDE" w:rsidP="00B918B8">
            <w:pPr>
              <w:spacing w:before="29" w:line="360" w:lineRule="auto"/>
              <w:ind w:left="17"/>
              <w:jc w:val="center"/>
              <w:rPr>
                <w:rFonts w:eastAsiaTheme="minorEastAsia"/>
                <w:color w:val="000000" w:themeColor="text1"/>
                <w:szCs w:val="21"/>
              </w:rPr>
            </w:pPr>
            <w:r w:rsidRPr="00A3398F">
              <w:rPr>
                <w:rFonts w:eastAsiaTheme="minorEastAsia"/>
                <w:color w:val="000000" w:themeColor="text1"/>
                <w:szCs w:val="21"/>
              </w:rPr>
              <w:t>债券名称</w:t>
            </w:r>
          </w:p>
        </w:tc>
        <w:tc>
          <w:tcPr>
            <w:tcW w:w="1426" w:type="dxa"/>
            <w:shd w:val="clear" w:color="auto" w:fill="auto"/>
            <w:vAlign w:val="center"/>
          </w:tcPr>
          <w:p w14:paraId="1FA1C6AA" w14:textId="77777777" w:rsidR="00521EDE" w:rsidRPr="00A3398F" w:rsidRDefault="00521EDE" w:rsidP="00B918B8">
            <w:pPr>
              <w:spacing w:before="29" w:line="360" w:lineRule="auto"/>
              <w:ind w:left="17"/>
              <w:jc w:val="center"/>
              <w:rPr>
                <w:rFonts w:eastAsiaTheme="minorEastAsia"/>
                <w:color w:val="000000" w:themeColor="text1"/>
                <w:szCs w:val="21"/>
              </w:rPr>
            </w:pPr>
            <w:r w:rsidRPr="00A3398F">
              <w:rPr>
                <w:rFonts w:eastAsiaTheme="minorEastAsia"/>
                <w:color w:val="000000" w:themeColor="text1"/>
                <w:szCs w:val="21"/>
              </w:rPr>
              <w:t>数量</w:t>
            </w:r>
            <w:r w:rsidRPr="00A3398F">
              <w:rPr>
                <w:rFonts w:eastAsiaTheme="minorEastAsia"/>
                <w:color w:val="000000" w:themeColor="text1"/>
                <w:szCs w:val="21"/>
              </w:rPr>
              <w:t>(</w:t>
            </w:r>
            <w:r w:rsidRPr="00A3398F">
              <w:rPr>
                <w:rFonts w:eastAsiaTheme="minorEastAsia"/>
                <w:color w:val="000000" w:themeColor="text1"/>
                <w:szCs w:val="21"/>
              </w:rPr>
              <w:t>张</w:t>
            </w:r>
            <w:r w:rsidRPr="00A3398F">
              <w:rPr>
                <w:rFonts w:eastAsiaTheme="minorEastAsia"/>
                <w:color w:val="000000" w:themeColor="text1"/>
                <w:szCs w:val="21"/>
              </w:rPr>
              <w:t>)</w:t>
            </w:r>
          </w:p>
        </w:tc>
        <w:tc>
          <w:tcPr>
            <w:tcW w:w="1646" w:type="dxa"/>
            <w:shd w:val="clear" w:color="auto" w:fill="auto"/>
            <w:vAlign w:val="center"/>
          </w:tcPr>
          <w:p w14:paraId="1C4F2DD1" w14:textId="77777777" w:rsidR="00521EDE" w:rsidRPr="00A3398F" w:rsidRDefault="00521EDE" w:rsidP="00B918B8">
            <w:pPr>
              <w:spacing w:before="29" w:line="360" w:lineRule="auto"/>
              <w:ind w:left="17"/>
              <w:jc w:val="center"/>
              <w:rPr>
                <w:rFonts w:eastAsiaTheme="minorEastAsia"/>
                <w:color w:val="000000" w:themeColor="text1"/>
                <w:szCs w:val="21"/>
              </w:rPr>
            </w:pPr>
            <w:r w:rsidRPr="00A3398F">
              <w:rPr>
                <w:rFonts w:eastAsiaTheme="minorEastAsia"/>
                <w:color w:val="000000" w:themeColor="text1"/>
                <w:szCs w:val="21"/>
              </w:rPr>
              <w:t>公允价值</w:t>
            </w:r>
            <w:r w:rsidRPr="00A3398F">
              <w:rPr>
                <w:rFonts w:eastAsiaTheme="minorEastAsia"/>
                <w:color w:val="000000" w:themeColor="text1"/>
                <w:szCs w:val="21"/>
              </w:rPr>
              <w:t>(</w:t>
            </w:r>
            <w:r w:rsidRPr="00A3398F">
              <w:rPr>
                <w:rFonts w:eastAsiaTheme="minorEastAsia"/>
                <w:color w:val="000000" w:themeColor="text1"/>
                <w:szCs w:val="21"/>
              </w:rPr>
              <w:t>元</w:t>
            </w:r>
            <w:r w:rsidRPr="00A3398F">
              <w:rPr>
                <w:rFonts w:eastAsiaTheme="minorEastAsia"/>
                <w:color w:val="000000" w:themeColor="text1"/>
                <w:szCs w:val="21"/>
              </w:rPr>
              <w:t>)</w:t>
            </w:r>
          </w:p>
        </w:tc>
        <w:tc>
          <w:tcPr>
            <w:tcW w:w="1612" w:type="dxa"/>
            <w:shd w:val="clear" w:color="auto" w:fill="auto"/>
            <w:vAlign w:val="center"/>
          </w:tcPr>
          <w:p w14:paraId="249D7E66" w14:textId="77777777" w:rsidR="00521EDE" w:rsidRPr="00A3398F" w:rsidRDefault="00521EDE" w:rsidP="00B918B8">
            <w:pPr>
              <w:spacing w:before="29" w:line="360" w:lineRule="auto"/>
              <w:ind w:left="17"/>
              <w:jc w:val="center"/>
              <w:rPr>
                <w:rFonts w:eastAsiaTheme="minorEastAsia"/>
                <w:color w:val="000000" w:themeColor="text1"/>
                <w:szCs w:val="21"/>
              </w:rPr>
            </w:pPr>
            <w:r w:rsidRPr="00A3398F">
              <w:rPr>
                <w:rFonts w:eastAsiaTheme="minorEastAsia"/>
                <w:color w:val="000000" w:themeColor="text1"/>
                <w:szCs w:val="21"/>
              </w:rPr>
              <w:t>占基金资产净值比例</w:t>
            </w:r>
            <w:r w:rsidRPr="00A3398F">
              <w:rPr>
                <w:rFonts w:eastAsiaTheme="minorEastAsia"/>
                <w:color w:val="000000" w:themeColor="text1"/>
                <w:szCs w:val="21"/>
              </w:rPr>
              <w:t>(</w:t>
            </w:r>
            <w:r w:rsidRPr="00A3398F">
              <w:rPr>
                <w:rFonts w:eastAsiaTheme="minorEastAsia"/>
                <w:color w:val="000000" w:themeColor="text1"/>
                <w:szCs w:val="21"/>
              </w:rPr>
              <w:t>％</w:t>
            </w:r>
            <w:r w:rsidRPr="00A3398F">
              <w:rPr>
                <w:rFonts w:eastAsiaTheme="minorEastAsia"/>
                <w:color w:val="000000" w:themeColor="text1"/>
                <w:szCs w:val="21"/>
              </w:rPr>
              <w:t>)</w:t>
            </w:r>
          </w:p>
        </w:tc>
      </w:tr>
      <w:tr w:rsidR="00351E81" w14:paraId="2A6C56E0" w14:textId="77777777">
        <w:tc>
          <w:tcPr>
            <w:tcW w:w="1252" w:type="dxa"/>
            <w:vAlign w:val="center"/>
          </w:tcPr>
          <w:p w14:paraId="2561560F" w14:textId="77777777" w:rsidR="00351E81" w:rsidRDefault="007F3594">
            <w:pPr>
              <w:jc w:val="center"/>
            </w:pPr>
            <w:r>
              <w:rPr>
                <w:rFonts w:eastAsiaTheme="minorEastAsia"/>
                <w:color w:val="000000" w:themeColor="text1"/>
                <w:szCs w:val="21"/>
              </w:rPr>
              <w:t>1</w:t>
            </w:r>
          </w:p>
        </w:tc>
        <w:tc>
          <w:tcPr>
            <w:tcW w:w="1310" w:type="dxa"/>
            <w:vAlign w:val="center"/>
          </w:tcPr>
          <w:p w14:paraId="222F5232" w14:textId="77777777" w:rsidR="00351E81" w:rsidRDefault="007F3594">
            <w:pPr>
              <w:jc w:val="center"/>
            </w:pPr>
            <w:r>
              <w:rPr>
                <w:rFonts w:eastAsiaTheme="minorEastAsia"/>
                <w:color w:val="000000" w:themeColor="text1"/>
                <w:szCs w:val="21"/>
              </w:rPr>
              <w:t>019740</w:t>
            </w:r>
          </w:p>
        </w:tc>
        <w:tc>
          <w:tcPr>
            <w:tcW w:w="1282" w:type="dxa"/>
            <w:vAlign w:val="center"/>
          </w:tcPr>
          <w:p w14:paraId="0C710C5A" w14:textId="77777777" w:rsidR="00351E81" w:rsidRDefault="007F3594">
            <w:pPr>
              <w:jc w:val="center"/>
            </w:pPr>
            <w:r>
              <w:rPr>
                <w:rFonts w:eastAsiaTheme="minorEastAsia"/>
                <w:color w:val="000000" w:themeColor="text1"/>
                <w:szCs w:val="21"/>
              </w:rPr>
              <w:t>24</w:t>
            </w:r>
            <w:r>
              <w:rPr>
                <w:rFonts w:eastAsiaTheme="minorEastAsia"/>
                <w:color w:val="000000" w:themeColor="text1"/>
                <w:szCs w:val="21"/>
              </w:rPr>
              <w:t>国债</w:t>
            </w:r>
            <w:r>
              <w:rPr>
                <w:rFonts w:eastAsiaTheme="minorEastAsia"/>
                <w:color w:val="000000" w:themeColor="text1"/>
                <w:szCs w:val="21"/>
              </w:rPr>
              <w:t>09</w:t>
            </w:r>
          </w:p>
        </w:tc>
        <w:tc>
          <w:tcPr>
            <w:tcW w:w="1426" w:type="dxa"/>
            <w:vAlign w:val="center"/>
          </w:tcPr>
          <w:p w14:paraId="67F39768" w14:textId="77777777" w:rsidR="00351E81" w:rsidRDefault="007F3594">
            <w:pPr>
              <w:jc w:val="right"/>
            </w:pPr>
            <w:r>
              <w:rPr>
                <w:rFonts w:eastAsiaTheme="minorEastAsia"/>
                <w:color w:val="000000" w:themeColor="text1"/>
                <w:szCs w:val="21"/>
              </w:rPr>
              <w:t>500,000</w:t>
            </w:r>
          </w:p>
        </w:tc>
        <w:tc>
          <w:tcPr>
            <w:tcW w:w="1646" w:type="dxa"/>
            <w:vAlign w:val="center"/>
          </w:tcPr>
          <w:p w14:paraId="07047243" w14:textId="77777777" w:rsidR="00351E81" w:rsidRDefault="007F3594">
            <w:pPr>
              <w:jc w:val="right"/>
            </w:pPr>
            <w:r>
              <w:rPr>
                <w:rFonts w:eastAsiaTheme="minorEastAsia"/>
                <w:color w:val="000000" w:themeColor="text1"/>
                <w:szCs w:val="21"/>
              </w:rPr>
              <w:t>50,170,931.51</w:t>
            </w:r>
          </w:p>
        </w:tc>
        <w:tc>
          <w:tcPr>
            <w:tcW w:w="1612" w:type="dxa"/>
            <w:vAlign w:val="center"/>
          </w:tcPr>
          <w:p w14:paraId="50A02305" w14:textId="77777777" w:rsidR="00351E81" w:rsidRDefault="007F3594">
            <w:pPr>
              <w:jc w:val="right"/>
            </w:pPr>
            <w:r>
              <w:rPr>
                <w:rFonts w:eastAsiaTheme="minorEastAsia"/>
                <w:color w:val="000000" w:themeColor="text1"/>
                <w:szCs w:val="21"/>
              </w:rPr>
              <w:t>3.28</w:t>
            </w:r>
          </w:p>
        </w:tc>
      </w:tr>
    </w:tbl>
    <w:p w14:paraId="194DA3F9" w14:textId="77777777" w:rsidR="0076518F" w:rsidRPr="00A3398F" w:rsidRDefault="0076518F" w:rsidP="008B6A4A">
      <w:pPr>
        <w:autoSpaceDE w:val="0"/>
        <w:autoSpaceDN w:val="0"/>
        <w:adjustRightInd w:val="0"/>
        <w:spacing w:line="360" w:lineRule="auto"/>
        <w:jc w:val="left"/>
        <w:rPr>
          <w:rFonts w:eastAsiaTheme="minorEastAsia"/>
          <w:color w:val="000000" w:themeColor="text1"/>
          <w:kern w:val="0"/>
          <w:sz w:val="24"/>
        </w:rPr>
      </w:pPr>
    </w:p>
    <w:p w14:paraId="52983DB4" w14:textId="77777777" w:rsidR="0076518F" w:rsidRPr="00A3398F" w:rsidRDefault="008C71EB" w:rsidP="00EC4BA3">
      <w:pPr>
        <w:autoSpaceDE w:val="0"/>
        <w:autoSpaceDN w:val="0"/>
        <w:adjustRightInd w:val="0"/>
        <w:spacing w:line="360" w:lineRule="auto"/>
        <w:jc w:val="left"/>
        <w:rPr>
          <w:rFonts w:eastAsiaTheme="minorEastAsia"/>
          <w:b/>
          <w:color w:val="000000" w:themeColor="text1"/>
          <w:kern w:val="0"/>
          <w:sz w:val="24"/>
        </w:rPr>
      </w:pPr>
      <w:r w:rsidRPr="00A3398F">
        <w:rPr>
          <w:rFonts w:eastAsiaTheme="minorEastAsia"/>
          <w:b/>
          <w:color w:val="000000" w:themeColor="text1"/>
          <w:kern w:val="0"/>
          <w:sz w:val="24"/>
        </w:rPr>
        <w:t>5.</w:t>
      </w:r>
      <w:r w:rsidR="002A0FA2" w:rsidRPr="00A3398F">
        <w:rPr>
          <w:rFonts w:eastAsiaTheme="minorEastAsia"/>
          <w:b/>
          <w:color w:val="000000" w:themeColor="text1"/>
          <w:kern w:val="0"/>
          <w:sz w:val="24"/>
        </w:rPr>
        <w:t>7</w:t>
      </w:r>
      <w:r w:rsidRPr="00A3398F">
        <w:rPr>
          <w:rFonts w:eastAsiaTheme="minorEastAsia"/>
          <w:b/>
          <w:color w:val="000000" w:themeColor="text1"/>
          <w:kern w:val="0"/>
          <w:sz w:val="24"/>
        </w:rPr>
        <w:t xml:space="preserve"> </w:t>
      </w:r>
      <w:r w:rsidR="0076518F" w:rsidRPr="00A3398F">
        <w:rPr>
          <w:rFonts w:eastAsiaTheme="minorEastAsia"/>
          <w:b/>
          <w:color w:val="000000" w:themeColor="text1"/>
          <w:kern w:val="0"/>
          <w:sz w:val="24"/>
        </w:rPr>
        <w:t>报告期末按公允价值占基金资产净值比例大小排名的前十名资产支持证券投资明细</w:t>
      </w:r>
    </w:p>
    <w:p w14:paraId="35840FB6" w14:textId="77777777" w:rsidR="00521EDE" w:rsidRPr="00A3398F" w:rsidRDefault="00521EDE" w:rsidP="002236BC">
      <w:pPr>
        <w:autoSpaceDE w:val="0"/>
        <w:autoSpaceDN w:val="0"/>
        <w:adjustRightInd w:val="0"/>
        <w:spacing w:line="360" w:lineRule="auto"/>
        <w:jc w:val="left"/>
        <w:rPr>
          <w:rFonts w:eastAsiaTheme="minorEastAsia"/>
          <w:color w:val="000000" w:themeColor="text1"/>
          <w:szCs w:val="21"/>
        </w:rPr>
      </w:pPr>
      <w:r w:rsidRPr="00A3398F">
        <w:rPr>
          <w:rFonts w:eastAsiaTheme="minorEastAsia"/>
          <w:color w:val="000000" w:themeColor="text1"/>
          <w:szCs w:val="21"/>
        </w:rPr>
        <w:t>本基金本报告期末未持有资产支持证券。</w:t>
      </w:r>
    </w:p>
    <w:p w14:paraId="265B937C" w14:textId="77777777" w:rsidR="005B6AC7" w:rsidRPr="00A3398F" w:rsidRDefault="005B6AC7" w:rsidP="00521EDE">
      <w:pPr>
        <w:autoSpaceDE w:val="0"/>
        <w:autoSpaceDN w:val="0"/>
        <w:adjustRightInd w:val="0"/>
        <w:spacing w:before="29" w:line="360" w:lineRule="auto"/>
        <w:ind w:left="15"/>
        <w:jc w:val="left"/>
        <w:rPr>
          <w:rFonts w:eastAsiaTheme="minorEastAsia"/>
          <w:b/>
          <w:color w:val="000000" w:themeColor="text1"/>
          <w:kern w:val="0"/>
          <w:sz w:val="24"/>
        </w:rPr>
      </w:pPr>
    </w:p>
    <w:p w14:paraId="2235B1C6" w14:textId="77777777" w:rsidR="0076518F" w:rsidRPr="00A3398F" w:rsidRDefault="008C71EB" w:rsidP="00EC4BA3">
      <w:pPr>
        <w:autoSpaceDE w:val="0"/>
        <w:autoSpaceDN w:val="0"/>
        <w:adjustRightInd w:val="0"/>
        <w:spacing w:line="360" w:lineRule="auto"/>
        <w:jc w:val="left"/>
        <w:rPr>
          <w:rFonts w:eastAsiaTheme="minorEastAsia"/>
          <w:b/>
          <w:color w:val="000000" w:themeColor="text1"/>
          <w:kern w:val="0"/>
          <w:sz w:val="24"/>
        </w:rPr>
      </w:pPr>
      <w:r w:rsidRPr="00A3398F">
        <w:rPr>
          <w:rFonts w:eastAsiaTheme="minorEastAsia"/>
          <w:b/>
          <w:color w:val="000000" w:themeColor="text1"/>
          <w:kern w:val="0"/>
          <w:sz w:val="24"/>
        </w:rPr>
        <w:t>5.8</w:t>
      </w:r>
      <w:r w:rsidR="0076518F" w:rsidRPr="00A3398F">
        <w:rPr>
          <w:rFonts w:eastAsiaTheme="minorEastAsia"/>
          <w:b/>
          <w:color w:val="000000" w:themeColor="text1"/>
          <w:kern w:val="0"/>
          <w:sz w:val="24"/>
        </w:rPr>
        <w:t xml:space="preserve"> </w:t>
      </w:r>
      <w:r w:rsidR="0076518F" w:rsidRPr="00A3398F">
        <w:rPr>
          <w:rFonts w:eastAsiaTheme="minorEastAsia"/>
          <w:b/>
          <w:color w:val="000000" w:themeColor="text1"/>
          <w:kern w:val="0"/>
          <w:sz w:val="24"/>
        </w:rPr>
        <w:t>报告期末按公允价值占基金资产净值比例大小排名的前五名金融衍生品投资明细</w:t>
      </w:r>
    </w:p>
    <w:p w14:paraId="00F1B57A" w14:textId="77777777" w:rsidR="00521EDE" w:rsidRPr="00A3398F" w:rsidRDefault="00521EDE" w:rsidP="00521EDE">
      <w:pPr>
        <w:autoSpaceDE w:val="0"/>
        <w:autoSpaceDN w:val="0"/>
        <w:adjustRightInd w:val="0"/>
        <w:spacing w:line="360" w:lineRule="auto"/>
        <w:jc w:val="left"/>
        <w:rPr>
          <w:rFonts w:eastAsiaTheme="minorEastAsia"/>
          <w:color w:val="000000" w:themeColor="text1"/>
          <w:szCs w:val="21"/>
        </w:rPr>
      </w:pPr>
      <w:r w:rsidRPr="00A3398F">
        <w:rPr>
          <w:rFonts w:eastAsiaTheme="minorEastAsia"/>
          <w:color w:val="000000" w:themeColor="text1"/>
          <w:szCs w:val="21"/>
        </w:rPr>
        <w:t>本基金本报告期末未持有金融衍生品。</w:t>
      </w:r>
    </w:p>
    <w:p w14:paraId="53CBB3CE" w14:textId="77777777" w:rsidR="0076518F" w:rsidRPr="00A3398F" w:rsidRDefault="0076518F" w:rsidP="008B6A4A">
      <w:pPr>
        <w:autoSpaceDE w:val="0"/>
        <w:autoSpaceDN w:val="0"/>
        <w:adjustRightInd w:val="0"/>
        <w:spacing w:line="360" w:lineRule="auto"/>
        <w:jc w:val="left"/>
        <w:rPr>
          <w:rFonts w:eastAsiaTheme="minorEastAsia"/>
          <w:color w:val="000000" w:themeColor="text1"/>
          <w:kern w:val="0"/>
          <w:sz w:val="24"/>
        </w:rPr>
      </w:pPr>
    </w:p>
    <w:p w14:paraId="48BDBF4D" w14:textId="77777777" w:rsidR="0076518F" w:rsidRPr="00A3398F" w:rsidRDefault="00B22A61" w:rsidP="00EC4BA3">
      <w:pPr>
        <w:autoSpaceDE w:val="0"/>
        <w:autoSpaceDN w:val="0"/>
        <w:adjustRightInd w:val="0"/>
        <w:spacing w:line="360" w:lineRule="auto"/>
        <w:jc w:val="left"/>
        <w:rPr>
          <w:rFonts w:eastAsiaTheme="minorEastAsia"/>
          <w:b/>
          <w:color w:val="000000" w:themeColor="text1"/>
          <w:kern w:val="0"/>
          <w:sz w:val="24"/>
        </w:rPr>
      </w:pPr>
      <w:r w:rsidRPr="00A3398F">
        <w:rPr>
          <w:rFonts w:eastAsiaTheme="minorEastAsia"/>
          <w:b/>
          <w:color w:val="000000" w:themeColor="text1"/>
          <w:kern w:val="0"/>
          <w:sz w:val="24"/>
        </w:rPr>
        <w:lastRenderedPageBreak/>
        <w:t>5.9</w:t>
      </w:r>
      <w:r w:rsidR="0076518F" w:rsidRPr="00A3398F">
        <w:rPr>
          <w:rFonts w:eastAsiaTheme="minorEastAsia"/>
          <w:b/>
          <w:color w:val="000000" w:themeColor="text1"/>
          <w:kern w:val="0"/>
          <w:sz w:val="24"/>
        </w:rPr>
        <w:t>报告期末按公允价值占基金资产净值比例大小排序的前十名基金投资明细</w:t>
      </w:r>
    </w:p>
    <w:tbl>
      <w:tblPr>
        <w:tblStyle w:val="afa"/>
        <w:tblW w:w="0" w:type="auto"/>
        <w:tblInd w:w="15" w:type="dxa"/>
        <w:tblLook w:val="04A0" w:firstRow="1" w:lastRow="0" w:firstColumn="1" w:lastColumn="0" w:noHBand="0" w:noVBand="1"/>
      </w:tblPr>
      <w:tblGrid>
        <w:gridCol w:w="598"/>
        <w:gridCol w:w="2026"/>
        <w:gridCol w:w="598"/>
        <w:gridCol w:w="655"/>
        <w:gridCol w:w="2303"/>
        <w:gridCol w:w="1529"/>
        <w:gridCol w:w="804"/>
      </w:tblGrid>
      <w:tr w:rsidR="008277FF" w:rsidRPr="00A3398F" w14:paraId="429DD435" w14:textId="77777777" w:rsidTr="00797DD2">
        <w:tc>
          <w:tcPr>
            <w:tcW w:w="1215" w:type="dxa"/>
            <w:vAlign w:val="center"/>
          </w:tcPr>
          <w:p w14:paraId="3260CDA2" w14:textId="77777777" w:rsidR="00017739" w:rsidRPr="00A3398F" w:rsidRDefault="00017739" w:rsidP="00797DD2">
            <w:pPr>
              <w:spacing w:line="360" w:lineRule="auto"/>
              <w:jc w:val="center"/>
              <w:rPr>
                <w:rFonts w:eastAsiaTheme="minorEastAsia"/>
                <w:color w:val="000000" w:themeColor="text1"/>
                <w:szCs w:val="21"/>
              </w:rPr>
            </w:pPr>
            <w:r w:rsidRPr="00A3398F">
              <w:rPr>
                <w:rFonts w:eastAsiaTheme="minorEastAsia"/>
                <w:color w:val="000000" w:themeColor="text1"/>
                <w:szCs w:val="21"/>
              </w:rPr>
              <w:t>序号</w:t>
            </w:r>
          </w:p>
        </w:tc>
        <w:tc>
          <w:tcPr>
            <w:tcW w:w="1216" w:type="dxa"/>
            <w:vAlign w:val="center"/>
          </w:tcPr>
          <w:p w14:paraId="46BD7F77" w14:textId="77777777" w:rsidR="00017739" w:rsidRPr="00A3398F" w:rsidRDefault="00017739" w:rsidP="00797DD2">
            <w:pPr>
              <w:spacing w:line="360" w:lineRule="auto"/>
              <w:rPr>
                <w:rFonts w:eastAsiaTheme="minorEastAsia"/>
                <w:color w:val="000000" w:themeColor="text1"/>
                <w:szCs w:val="21"/>
              </w:rPr>
            </w:pPr>
            <w:r w:rsidRPr="00A3398F">
              <w:rPr>
                <w:rFonts w:eastAsiaTheme="minorEastAsia"/>
                <w:color w:val="000000" w:themeColor="text1"/>
                <w:szCs w:val="21"/>
              </w:rPr>
              <w:t>基金名称</w:t>
            </w:r>
          </w:p>
        </w:tc>
        <w:tc>
          <w:tcPr>
            <w:tcW w:w="1216" w:type="dxa"/>
            <w:vAlign w:val="center"/>
          </w:tcPr>
          <w:p w14:paraId="6ECFDA3C" w14:textId="77777777" w:rsidR="00017739" w:rsidRPr="00A3398F" w:rsidRDefault="00017739" w:rsidP="00797DD2">
            <w:pPr>
              <w:spacing w:line="360" w:lineRule="auto"/>
              <w:rPr>
                <w:rFonts w:eastAsiaTheme="minorEastAsia"/>
                <w:color w:val="000000" w:themeColor="text1"/>
                <w:szCs w:val="21"/>
              </w:rPr>
            </w:pPr>
            <w:r w:rsidRPr="00A3398F">
              <w:rPr>
                <w:rFonts w:eastAsiaTheme="minorEastAsia"/>
                <w:color w:val="000000" w:themeColor="text1"/>
                <w:szCs w:val="21"/>
              </w:rPr>
              <w:t>基金类型</w:t>
            </w:r>
          </w:p>
        </w:tc>
        <w:tc>
          <w:tcPr>
            <w:tcW w:w="1216" w:type="dxa"/>
            <w:vAlign w:val="center"/>
          </w:tcPr>
          <w:p w14:paraId="36F4201E" w14:textId="77777777" w:rsidR="00017739" w:rsidRPr="00A3398F" w:rsidRDefault="00017739" w:rsidP="00797DD2">
            <w:pPr>
              <w:spacing w:line="360" w:lineRule="auto"/>
              <w:jc w:val="center"/>
              <w:rPr>
                <w:rFonts w:eastAsiaTheme="minorEastAsia"/>
                <w:color w:val="000000" w:themeColor="text1"/>
                <w:szCs w:val="21"/>
              </w:rPr>
            </w:pPr>
            <w:r w:rsidRPr="00A3398F">
              <w:rPr>
                <w:rFonts w:eastAsiaTheme="minorEastAsia"/>
                <w:color w:val="000000" w:themeColor="text1"/>
                <w:szCs w:val="21"/>
              </w:rPr>
              <w:t>运作方式</w:t>
            </w:r>
          </w:p>
        </w:tc>
        <w:tc>
          <w:tcPr>
            <w:tcW w:w="1216" w:type="dxa"/>
            <w:vAlign w:val="center"/>
          </w:tcPr>
          <w:p w14:paraId="4E80DD2A" w14:textId="77777777" w:rsidR="00017739" w:rsidRPr="00A3398F" w:rsidRDefault="00017739" w:rsidP="00797DD2">
            <w:pPr>
              <w:spacing w:line="360" w:lineRule="auto"/>
              <w:jc w:val="center"/>
              <w:rPr>
                <w:rFonts w:eastAsiaTheme="minorEastAsia"/>
                <w:color w:val="000000" w:themeColor="text1"/>
                <w:szCs w:val="21"/>
              </w:rPr>
            </w:pPr>
            <w:r w:rsidRPr="00A3398F">
              <w:rPr>
                <w:rFonts w:eastAsiaTheme="minorEastAsia"/>
                <w:color w:val="000000" w:themeColor="text1"/>
                <w:szCs w:val="21"/>
              </w:rPr>
              <w:t>管理人</w:t>
            </w:r>
          </w:p>
        </w:tc>
        <w:tc>
          <w:tcPr>
            <w:tcW w:w="1217" w:type="dxa"/>
            <w:vAlign w:val="center"/>
          </w:tcPr>
          <w:p w14:paraId="40B16BED" w14:textId="77777777" w:rsidR="00017739" w:rsidRPr="00A3398F" w:rsidRDefault="00017739" w:rsidP="00797DD2">
            <w:pPr>
              <w:spacing w:line="360" w:lineRule="auto"/>
              <w:jc w:val="center"/>
              <w:rPr>
                <w:rFonts w:eastAsiaTheme="minorEastAsia"/>
                <w:color w:val="000000" w:themeColor="text1"/>
                <w:szCs w:val="21"/>
              </w:rPr>
            </w:pPr>
            <w:r w:rsidRPr="00A3398F">
              <w:rPr>
                <w:rFonts w:eastAsiaTheme="minorEastAsia"/>
                <w:color w:val="000000" w:themeColor="text1"/>
                <w:szCs w:val="21"/>
              </w:rPr>
              <w:t>公允价值</w:t>
            </w:r>
          </w:p>
          <w:p w14:paraId="71862A80" w14:textId="77777777" w:rsidR="00017739" w:rsidRPr="00A3398F" w:rsidRDefault="00017739" w:rsidP="00797DD2">
            <w:pPr>
              <w:spacing w:line="360" w:lineRule="auto"/>
              <w:jc w:val="center"/>
              <w:rPr>
                <w:rFonts w:eastAsiaTheme="minorEastAsia"/>
                <w:color w:val="000000" w:themeColor="text1"/>
                <w:szCs w:val="21"/>
              </w:rPr>
            </w:pPr>
            <w:r w:rsidRPr="00A3398F">
              <w:rPr>
                <w:rFonts w:eastAsiaTheme="minorEastAsia"/>
                <w:color w:val="000000" w:themeColor="text1"/>
                <w:szCs w:val="21"/>
              </w:rPr>
              <w:t>（人民币元）</w:t>
            </w:r>
          </w:p>
        </w:tc>
        <w:tc>
          <w:tcPr>
            <w:tcW w:w="1217" w:type="dxa"/>
            <w:vAlign w:val="center"/>
          </w:tcPr>
          <w:p w14:paraId="431974AC" w14:textId="77777777" w:rsidR="00017739" w:rsidRPr="00A3398F" w:rsidRDefault="00017739" w:rsidP="00797DD2">
            <w:pPr>
              <w:spacing w:line="360" w:lineRule="auto"/>
              <w:jc w:val="center"/>
              <w:rPr>
                <w:rFonts w:eastAsiaTheme="minorEastAsia"/>
                <w:color w:val="000000" w:themeColor="text1"/>
                <w:szCs w:val="21"/>
              </w:rPr>
            </w:pPr>
            <w:r w:rsidRPr="00A3398F">
              <w:rPr>
                <w:rFonts w:eastAsiaTheme="minorEastAsia"/>
                <w:color w:val="000000" w:themeColor="text1"/>
                <w:szCs w:val="21"/>
              </w:rPr>
              <w:t>占基金资产净值比例</w:t>
            </w:r>
            <w:r w:rsidRPr="00A3398F">
              <w:rPr>
                <w:rFonts w:eastAsiaTheme="minorEastAsia"/>
                <w:color w:val="000000" w:themeColor="text1"/>
                <w:szCs w:val="21"/>
              </w:rPr>
              <w:t>(%)</w:t>
            </w:r>
          </w:p>
        </w:tc>
      </w:tr>
      <w:tr w:rsidR="00351E81" w14:paraId="483F65B2" w14:textId="77777777">
        <w:tc>
          <w:tcPr>
            <w:tcW w:w="0" w:type="auto"/>
            <w:vAlign w:val="center"/>
          </w:tcPr>
          <w:p w14:paraId="3BE2DA68" w14:textId="77777777" w:rsidR="00351E81" w:rsidRDefault="007F3594">
            <w:pPr>
              <w:jc w:val="center"/>
            </w:pPr>
            <w:r>
              <w:rPr>
                <w:rFonts w:eastAsiaTheme="minorEastAsia"/>
                <w:color w:val="000000" w:themeColor="text1"/>
                <w:szCs w:val="21"/>
              </w:rPr>
              <w:t>1</w:t>
            </w:r>
          </w:p>
        </w:tc>
        <w:tc>
          <w:tcPr>
            <w:tcW w:w="0" w:type="auto"/>
            <w:vAlign w:val="center"/>
          </w:tcPr>
          <w:p w14:paraId="08E1A9DE" w14:textId="77777777" w:rsidR="00351E81" w:rsidRDefault="007F3594">
            <w:pPr>
              <w:jc w:val="center"/>
            </w:pPr>
            <w:r>
              <w:rPr>
                <w:rFonts w:eastAsiaTheme="minorEastAsia"/>
                <w:color w:val="000000" w:themeColor="text1"/>
                <w:szCs w:val="21"/>
              </w:rPr>
              <w:t>JPM BETA US TRE BD 0-3 USD A ETF</w:t>
            </w:r>
          </w:p>
        </w:tc>
        <w:tc>
          <w:tcPr>
            <w:tcW w:w="0" w:type="auto"/>
            <w:vAlign w:val="center"/>
          </w:tcPr>
          <w:p w14:paraId="543E5435" w14:textId="77777777" w:rsidR="00351E81" w:rsidRDefault="007F3594">
            <w:pPr>
              <w:jc w:val="center"/>
            </w:pPr>
            <w:r>
              <w:rPr>
                <w:rFonts w:eastAsiaTheme="minorEastAsia"/>
                <w:color w:val="000000" w:themeColor="text1"/>
                <w:szCs w:val="21"/>
              </w:rPr>
              <w:t>债券型</w:t>
            </w:r>
          </w:p>
        </w:tc>
        <w:tc>
          <w:tcPr>
            <w:tcW w:w="0" w:type="auto"/>
            <w:vAlign w:val="center"/>
          </w:tcPr>
          <w:p w14:paraId="763155AF" w14:textId="77777777" w:rsidR="00351E81" w:rsidRDefault="007F3594">
            <w:pPr>
              <w:jc w:val="center"/>
            </w:pPr>
            <w:r>
              <w:rPr>
                <w:rFonts w:eastAsiaTheme="minorEastAsia"/>
                <w:color w:val="000000" w:themeColor="text1"/>
                <w:szCs w:val="21"/>
              </w:rPr>
              <w:t>交易型开放式</w:t>
            </w:r>
          </w:p>
        </w:tc>
        <w:tc>
          <w:tcPr>
            <w:tcW w:w="0" w:type="auto"/>
            <w:vAlign w:val="center"/>
          </w:tcPr>
          <w:p w14:paraId="5DB11202" w14:textId="77777777" w:rsidR="00351E81" w:rsidRDefault="007F3594">
            <w:pPr>
              <w:jc w:val="center"/>
            </w:pPr>
            <w:r>
              <w:rPr>
                <w:rFonts w:eastAsiaTheme="minorEastAsia"/>
                <w:color w:val="000000" w:themeColor="text1"/>
                <w:szCs w:val="21"/>
              </w:rPr>
              <w:t>JPMorgan ETFs(Ireland)ICAV</w:t>
            </w:r>
          </w:p>
        </w:tc>
        <w:tc>
          <w:tcPr>
            <w:tcW w:w="0" w:type="auto"/>
            <w:vAlign w:val="center"/>
          </w:tcPr>
          <w:p w14:paraId="6D0CC53E" w14:textId="77777777" w:rsidR="00351E81" w:rsidRDefault="007F3594">
            <w:pPr>
              <w:jc w:val="right"/>
            </w:pPr>
            <w:r>
              <w:rPr>
                <w:rFonts w:eastAsiaTheme="minorEastAsia"/>
                <w:color w:val="000000" w:themeColor="text1"/>
                <w:szCs w:val="21"/>
              </w:rPr>
              <w:t>299,686,023.59</w:t>
            </w:r>
          </w:p>
        </w:tc>
        <w:tc>
          <w:tcPr>
            <w:tcW w:w="0" w:type="auto"/>
            <w:vAlign w:val="center"/>
          </w:tcPr>
          <w:p w14:paraId="1DF7D8A8" w14:textId="77777777" w:rsidR="00351E81" w:rsidRDefault="007F3594">
            <w:pPr>
              <w:jc w:val="right"/>
            </w:pPr>
            <w:r>
              <w:rPr>
                <w:rFonts w:eastAsiaTheme="minorEastAsia"/>
                <w:color w:val="000000" w:themeColor="text1"/>
                <w:szCs w:val="21"/>
              </w:rPr>
              <w:t>19.57</w:t>
            </w:r>
          </w:p>
        </w:tc>
      </w:tr>
      <w:tr w:rsidR="00351E81" w14:paraId="139F1A9A" w14:textId="77777777">
        <w:tc>
          <w:tcPr>
            <w:tcW w:w="0" w:type="auto"/>
            <w:vAlign w:val="center"/>
          </w:tcPr>
          <w:p w14:paraId="432D2E23" w14:textId="77777777" w:rsidR="00351E81" w:rsidRDefault="007F3594">
            <w:pPr>
              <w:jc w:val="center"/>
            </w:pPr>
            <w:r>
              <w:rPr>
                <w:rFonts w:eastAsiaTheme="minorEastAsia"/>
                <w:color w:val="000000" w:themeColor="text1"/>
                <w:szCs w:val="21"/>
              </w:rPr>
              <w:t>2</w:t>
            </w:r>
          </w:p>
        </w:tc>
        <w:tc>
          <w:tcPr>
            <w:tcW w:w="0" w:type="auto"/>
            <w:vAlign w:val="center"/>
          </w:tcPr>
          <w:p w14:paraId="374FD1B4" w14:textId="77777777" w:rsidR="00351E81" w:rsidRDefault="007F3594">
            <w:pPr>
              <w:jc w:val="center"/>
            </w:pPr>
            <w:r>
              <w:rPr>
                <w:rFonts w:eastAsiaTheme="minorEastAsia"/>
                <w:color w:val="000000" w:themeColor="text1"/>
                <w:szCs w:val="21"/>
              </w:rPr>
              <w:t>JPM BETA USTRES 0-1 USD UCITS LN</w:t>
            </w:r>
          </w:p>
        </w:tc>
        <w:tc>
          <w:tcPr>
            <w:tcW w:w="0" w:type="auto"/>
            <w:vAlign w:val="center"/>
          </w:tcPr>
          <w:p w14:paraId="0C2CA9D4" w14:textId="77777777" w:rsidR="00351E81" w:rsidRDefault="007F3594">
            <w:pPr>
              <w:jc w:val="center"/>
            </w:pPr>
            <w:r>
              <w:rPr>
                <w:rFonts w:eastAsiaTheme="minorEastAsia"/>
                <w:color w:val="000000" w:themeColor="text1"/>
                <w:szCs w:val="21"/>
              </w:rPr>
              <w:t>债券型</w:t>
            </w:r>
          </w:p>
        </w:tc>
        <w:tc>
          <w:tcPr>
            <w:tcW w:w="0" w:type="auto"/>
            <w:vAlign w:val="center"/>
          </w:tcPr>
          <w:p w14:paraId="287BEFC7" w14:textId="77777777" w:rsidR="00351E81" w:rsidRDefault="007F3594">
            <w:pPr>
              <w:jc w:val="center"/>
            </w:pPr>
            <w:r>
              <w:rPr>
                <w:rFonts w:eastAsiaTheme="minorEastAsia"/>
                <w:color w:val="000000" w:themeColor="text1"/>
                <w:szCs w:val="21"/>
              </w:rPr>
              <w:t>交易型开放式</w:t>
            </w:r>
          </w:p>
        </w:tc>
        <w:tc>
          <w:tcPr>
            <w:tcW w:w="0" w:type="auto"/>
            <w:vAlign w:val="center"/>
          </w:tcPr>
          <w:p w14:paraId="35AA5CE4" w14:textId="77777777" w:rsidR="00351E81" w:rsidRDefault="007F3594">
            <w:pPr>
              <w:jc w:val="center"/>
            </w:pPr>
            <w:r>
              <w:rPr>
                <w:rFonts w:eastAsiaTheme="minorEastAsia"/>
                <w:color w:val="000000" w:themeColor="text1"/>
                <w:szCs w:val="21"/>
              </w:rPr>
              <w:t>JPMorgan ETFs(Ireland)ICAV</w:t>
            </w:r>
          </w:p>
        </w:tc>
        <w:tc>
          <w:tcPr>
            <w:tcW w:w="0" w:type="auto"/>
            <w:vAlign w:val="center"/>
          </w:tcPr>
          <w:p w14:paraId="63BA6820" w14:textId="77777777" w:rsidR="00351E81" w:rsidRDefault="007F3594">
            <w:pPr>
              <w:jc w:val="right"/>
            </w:pPr>
            <w:r>
              <w:rPr>
                <w:rFonts w:eastAsiaTheme="minorEastAsia"/>
                <w:color w:val="000000" w:themeColor="text1"/>
                <w:szCs w:val="21"/>
              </w:rPr>
              <w:t>299,666,440.21</w:t>
            </w:r>
          </w:p>
        </w:tc>
        <w:tc>
          <w:tcPr>
            <w:tcW w:w="0" w:type="auto"/>
            <w:vAlign w:val="center"/>
          </w:tcPr>
          <w:p w14:paraId="0139708A" w14:textId="77777777" w:rsidR="00351E81" w:rsidRDefault="007F3594">
            <w:pPr>
              <w:jc w:val="right"/>
            </w:pPr>
            <w:r>
              <w:rPr>
                <w:rFonts w:eastAsiaTheme="minorEastAsia"/>
                <w:color w:val="000000" w:themeColor="text1"/>
                <w:szCs w:val="21"/>
              </w:rPr>
              <w:t>19.57</w:t>
            </w:r>
          </w:p>
        </w:tc>
      </w:tr>
      <w:tr w:rsidR="00351E81" w14:paraId="5D9454A6" w14:textId="77777777">
        <w:tc>
          <w:tcPr>
            <w:tcW w:w="0" w:type="auto"/>
            <w:vAlign w:val="center"/>
          </w:tcPr>
          <w:p w14:paraId="59CC4FD3" w14:textId="77777777" w:rsidR="00351E81" w:rsidRDefault="007F3594">
            <w:pPr>
              <w:jc w:val="center"/>
            </w:pPr>
            <w:r>
              <w:rPr>
                <w:rFonts w:eastAsiaTheme="minorEastAsia"/>
                <w:color w:val="000000" w:themeColor="text1"/>
                <w:szCs w:val="21"/>
              </w:rPr>
              <w:t>3</w:t>
            </w:r>
          </w:p>
        </w:tc>
        <w:tc>
          <w:tcPr>
            <w:tcW w:w="0" w:type="auto"/>
            <w:vAlign w:val="center"/>
          </w:tcPr>
          <w:p w14:paraId="0E1F3ABE" w14:textId="77777777" w:rsidR="00351E81" w:rsidRDefault="007F3594">
            <w:pPr>
              <w:jc w:val="center"/>
            </w:pPr>
            <w:r>
              <w:rPr>
                <w:rFonts w:eastAsiaTheme="minorEastAsia"/>
                <w:color w:val="000000" w:themeColor="text1"/>
                <w:szCs w:val="21"/>
              </w:rPr>
              <w:t>JPM USD ULTSHT INC UCITS ETF LN</w:t>
            </w:r>
          </w:p>
        </w:tc>
        <w:tc>
          <w:tcPr>
            <w:tcW w:w="0" w:type="auto"/>
            <w:vAlign w:val="center"/>
          </w:tcPr>
          <w:p w14:paraId="5F1D482A" w14:textId="77777777" w:rsidR="00351E81" w:rsidRDefault="007F3594">
            <w:pPr>
              <w:jc w:val="center"/>
            </w:pPr>
            <w:r>
              <w:rPr>
                <w:rFonts w:eastAsiaTheme="minorEastAsia"/>
                <w:color w:val="000000" w:themeColor="text1"/>
                <w:szCs w:val="21"/>
              </w:rPr>
              <w:t>债券型</w:t>
            </w:r>
          </w:p>
        </w:tc>
        <w:tc>
          <w:tcPr>
            <w:tcW w:w="0" w:type="auto"/>
            <w:vAlign w:val="center"/>
          </w:tcPr>
          <w:p w14:paraId="0166557E" w14:textId="77777777" w:rsidR="00351E81" w:rsidRDefault="007F3594">
            <w:pPr>
              <w:jc w:val="center"/>
            </w:pPr>
            <w:r>
              <w:rPr>
                <w:rFonts w:eastAsiaTheme="minorEastAsia"/>
                <w:color w:val="000000" w:themeColor="text1"/>
                <w:szCs w:val="21"/>
              </w:rPr>
              <w:t>交易型开放式</w:t>
            </w:r>
          </w:p>
        </w:tc>
        <w:tc>
          <w:tcPr>
            <w:tcW w:w="0" w:type="auto"/>
            <w:vAlign w:val="center"/>
          </w:tcPr>
          <w:p w14:paraId="4DEA7B45" w14:textId="77777777" w:rsidR="00351E81" w:rsidRDefault="007F3594">
            <w:pPr>
              <w:jc w:val="center"/>
            </w:pPr>
            <w:r>
              <w:rPr>
                <w:rFonts w:eastAsiaTheme="minorEastAsia"/>
                <w:color w:val="000000" w:themeColor="text1"/>
                <w:szCs w:val="21"/>
              </w:rPr>
              <w:t>JPMorgan ETFs(Ireland)ICAV</w:t>
            </w:r>
          </w:p>
        </w:tc>
        <w:tc>
          <w:tcPr>
            <w:tcW w:w="0" w:type="auto"/>
            <w:vAlign w:val="center"/>
          </w:tcPr>
          <w:p w14:paraId="3787DE42" w14:textId="77777777" w:rsidR="00351E81" w:rsidRDefault="007F3594">
            <w:pPr>
              <w:jc w:val="right"/>
            </w:pPr>
            <w:r>
              <w:rPr>
                <w:rFonts w:eastAsiaTheme="minorEastAsia"/>
                <w:color w:val="000000" w:themeColor="text1"/>
                <w:szCs w:val="21"/>
              </w:rPr>
              <w:t>299,517,575.40</w:t>
            </w:r>
          </w:p>
        </w:tc>
        <w:tc>
          <w:tcPr>
            <w:tcW w:w="0" w:type="auto"/>
            <w:vAlign w:val="center"/>
          </w:tcPr>
          <w:p w14:paraId="72666742" w14:textId="77777777" w:rsidR="00351E81" w:rsidRDefault="007F3594">
            <w:pPr>
              <w:jc w:val="right"/>
            </w:pPr>
            <w:r>
              <w:rPr>
                <w:rFonts w:eastAsiaTheme="minorEastAsia"/>
                <w:color w:val="000000" w:themeColor="text1"/>
                <w:szCs w:val="21"/>
              </w:rPr>
              <w:t>19.56</w:t>
            </w:r>
          </w:p>
        </w:tc>
      </w:tr>
      <w:tr w:rsidR="00351E81" w14:paraId="769AE798" w14:textId="77777777">
        <w:tc>
          <w:tcPr>
            <w:tcW w:w="0" w:type="auto"/>
            <w:vAlign w:val="center"/>
          </w:tcPr>
          <w:p w14:paraId="1E803FF2" w14:textId="77777777" w:rsidR="00351E81" w:rsidRDefault="007F3594">
            <w:pPr>
              <w:jc w:val="center"/>
            </w:pPr>
            <w:r>
              <w:rPr>
                <w:rFonts w:eastAsiaTheme="minorEastAsia"/>
                <w:color w:val="000000" w:themeColor="text1"/>
                <w:szCs w:val="21"/>
              </w:rPr>
              <w:t>4</w:t>
            </w:r>
          </w:p>
        </w:tc>
        <w:tc>
          <w:tcPr>
            <w:tcW w:w="0" w:type="auto"/>
            <w:vAlign w:val="center"/>
          </w:tcPr>
          <w:p w14:paraId="3921E003" w14:textId="77777777" w:rsidR="00351E81" w:rsidRDefault="007F3594">
            <w:pPr>
              <w:jc w:val="center"/>
            </w:pPr>
            <w:r>
              <w:rPr>
                <w:rFonts w:eastAsiaTheme="minorEastAsia"/>
                <w:color w:val="000000" w:themeColor="text1"/>
                <w:szCs w:val="21"/>
              </w:rPr>
              <w:t>JPM MGD RESERVES-I ACC USD</w:t>
            </w:r>
          </w:p>
        </w:tc>
        <w:tc>
          <w:tcPr>
            <w:tcW w:w="0" w:type="auto"/>
            <w:vAlign w:val="center"/>
          </w:tcPr>
          <w:p w14:paraId="639B964C" w14:textId="77777777" w:rsidR="00351E81" w:rsidRDefault="007F3594">
            <w:pPr>
              <w:jc w:val="center"/>
            </w:pPr>
            <w:r>
              <w:rPr>
                <w:rFonts w:eastAsiaTheme="minorEastAsia"/>
                <w:color w:val="000000" w:themeColor="text1"/>
                <w:szCs w:val="21"/>
              </w:rPr>
              <w:t>债券型</w:t>
            </w:r>
          </w:p>
        </w:tc>
        <w:tc>
          <w:tcPr>
            <w:tcW w:w="0" w:type="auto"/>
            <w:vAlign w:val="center"/>
          </w:tcPr>
          <w:p w14:paraId="62E1DF30" w14:textId="77777777" w:rsidR="00351E81" w:rsidRDefault="007F3594">
            <w:pPr>
              <w:jc w:val="center"/>
            </w:pPr>
            <w:r>
              <w:rPr>
                <w:rFonts w:eastAsiaTheme="minorEastAsia"/>
                <w:color w:val="000000" w:themeColor="text1"/>
                <w:szCs w:val="21"/>
              </w:rPr>
              <w:t>开放式</w:t>
            </w:r>
          </w:p>
        </w:tc>
        <w:tc>
          <w:tcPr>
            <w:tcW w:w="0" w:type="auto"/>
            <w:vAlign w:val="center"/>
          </w:tcPr>
          <w:p w14:paraId="0E3C1EC4" w14:textId="77777777" w:rsidR="00351E81" w:rsidRDefault="007F3594">
            <w:pPr>
              <w:jc w:val="center"/>
            </w:pPr>
            <w:r>
              <w:rPr>
                <w:rFonts w:eastAsiaTheme="minorEastAsia"/>
                <w:color w:val="000000" w:themeColor="text1"/>
                <w:szCs w:val="21"/>
              </w:rPr>
              <w:t>JPMorgan Asset Management Europe Sarl</w:t>
            </w:r>
          </w:p>
        </w:tc>
        <w:tc>
          <w:tcPr>
            <w:tcW w:w="0" w:type="auto"/>
            <w:vAlign w:val="center"/>
          </w:tcPr>
          <w:p w14:paraId="3374EF04" w14:textId="77777777" w:rsidR="00351E81" w:rsidRDefault="007F3594">
            <w:pPr>
              <w:jc w:val="right"/>
            </w:pPr>
            <w:r>
              <w:rPr>
                <w:rFonts w:eastAsiaTheme="minorEastAsia"/>
                <w:color w:val="000000" w:themeColor="text1"/>
                <w:szCs w:val="21"/>
              </w:rPr>
              <w:t>296,244,167.03</w:t>
            </w:r>
          </w:p>
        </w:tc>
        <w:tc>
          <w:tcPr>
            <w:tcW w:w="0" w:type="auto"/>
            <w:vAlign w:val="center"/>
          </w:tcPr>
          <w:p w14:paraId="28022D91" w14:textId="77777777" w:rsidR="00351E81" w:rsidRDefault="007F3594">
            <w:pPr>
              <w:jc w:val="right"/>
            </w:pPr>
            <w:r>
              <w:rPr>
                <w:rFonts w:eastAsiaTheme="minorEastAsia"/>
                <w:color w:val="000000" w:themeColor="text1"/>
                <w:szCs w:val="21"/>
              </w:rPr>
              <w:t>19.35</w:t>
            </w:r>
          </w:p>
        </w:tc>
      </w:tr>
      <w:tr w:rsidR="00351E81" w14:paraId="432F5A91" w14:textId="77777777">
        <w:tc>
          <w:tcPr>
            <w:tcW w:w="0" w:type="auto"/>
            <w:vAlign w:val="center"/>
          </w:tcPr>
          <w:p w14:paraId="2FB39CD8" w14:textId="77777777" w:rsidR="00351E81" w:rsidRDefault="007F3594">
            <w:pPr>
              <w:jc w:val="center"/>
            </w:pPr>
            <w:r>
              <w:rPr>
                <w:rFonts w:eastAsiaTheme="minorEastAsia"/>
                <w:color w:val="000000" w:themeColor="text1"/>
                <w:szCs w:val="21"/>
              </w:rPr>
              <w:t>5</w:t>
            </w:r>
          </w:p>
        </w:tc>
        <w:tc>
          <w:tcPr>
            <w:tcW w:w="0" w:type="auto"/>
            <w:vAlign w:val="center"/>
          </w:tcPr>
          <w:p w14:paraId="1894D03B" w14:textId="77777777" w:rsidR="00351E81" w:rsidRDefault="007F3594">
            <w:pPr>
              <w:jc w:val="center"/>
            </w:pPr>
            <w:r>
              <w:rPr>
                <w:rFonts w:eastAsiaTheme="minorEastAsia"/>
                <w:color w:val="000000" w:themeColor="text1"/>
                <w:szCs w:val="21"/>
              </w:rPr>
              <w:t>JPM USD MONEY MKT VNAV A(ACC)USD</w:t>
            </w:r>
          </w:p>
        </w:tc>
        <w:tc>
          <w:tcPr>
            <w:tcW w:w="0" w:type="auto"/>
            <w:vAlign w:val="center"/>
          </w:tcPr>
          <w:p w14:paraId="20051F08" w14:textId="77777777" w:rsidR="00351E81" w:rsidRDefault="007F3594">
            <w:pPr>
              <w:jc w:val="center"/>
            </w:pPr>
            <w:r>
              <w:rPr>
                <w:rFonts w:eastAsiaTheme="minorEastAsia"/>
                <w:color w:val="000000" w:themeColor="text1"/>
                <w:szCs w:val="21"/>
              </w:rPr>
              <w:t>货币型</w:t>
            </w:r>
          </w:p>
        </w:tc>
        <w:tc>
          <w:tcPr>
            <w:tcW w:w="0" w:type="auto"/>
            <w:vAlign w:val="center"/>
          </w:tcPr>
          <w:p w14:paraId="7F844733" w14:textId="77777777" w:rsidR="00351E81" w:rsidRDefault="007F3594">
            <w:pPr>
              <w:jc w:val="center"/>
            </w:pPr>
            <w:r>
              <w:rPr>
                <w:rFonts w:eastAsiaTheme="minorEastAsia"/>
                <w:color w:val="000000" w:themeColor="text1"/>
                <w:szCs w:val="21"/>
              </w:rPr>
              <w:t>开放式</w:t>
            </w:r>
          </w:p>
        </w:tc>
        <w:tc>
          <w:tcPr>
            <w:tcW w:w="0" w:type="auto"/>
            <w:vAlign w:val="center"/>
          </w:tcPr>
          <w:p w14:paraId="10AC72CE" w14:textId="77777777" w:rsidR="00351E81" w:rsidRDefault="007F3594">
            <w:pPr>
              <w:jc w:val="center"/>
            </w:pPr>
            <w:r>
              <w:rPr>
                <w:rFonts w:eastAsiaTheme="minorEastAsia"/>
                <w:color w:val="000000" w:themeColor="text1"/>
                <w:szCs w:val="21"/>
              </w:rPr>
              <w:t>JPMorgan Asset Management Europe Sarl</w:t>
            </w:r>
          </w:p>
        </w:tc>
        <w:tc>
          <w:tcPr>
            <w:tcW w:w="0" w:type="auto"/>
            <w:vAlign w:val="center"/>
          </w:tcPr>
          <w:p w14:paraId="42BD054E" w14:textId="77777777" w:rsidR="00351E81" w:rsidRDefault="007F3594">
            <w:pPr>
              <w:jc w:val="right"/>
            </w:pPr>
            <w:r>
              <w:rPr>
                <w:rFonts w:eastAsiaTheme="minorEastAsia"/>
                <w:color w:val="000000" w:themeColor="text1"/>
                <w:szCs w:val="21"/>
              </w:rPr>
              <w:t>25,262,838.26</w:t>
            </w:r>
          </w:p>
        </w:tc>
        <w:tc>
          <w:tcPr>
            <w:tcW w:w="0" w:type="auto"/>
            <w:vAlign w:val="center"/>
          </w:tcPr>
          <w:p w14:paraId="68814B37" w14:textId="77777777" w:rsidR="00351E81" w:rsidRDefault="007F3594">
            <w:pPr>
              <w:jc w:val="right"/>
            </w:pPr>
            <w:r>
              <w:rPr>
                <w:rFonts w:eastAsiaTheme="minorEastAsia"/>
                <w:color w:val="000000" w:themeColor="text1"/>
                <w:szCs w:val="21"/>
              </w:rPr>
              <w:t>1.65</w:t>
            </w:r>
          </w:p>
        </w:tc>
      </w:tr>
      <w:tr w:rsidR="00351E81" w14:paraId="0C7A1F21" w14:textId="77777777">
        <w:tc>
          <w:tcPr>
            <w:tcW w:w="0" w:type="auto"/>
            <w:vAlign w:val="center"/>
          </w:tcPr>
          <w:p w14:paraId="0AB24180" w14:textId="77777777" w:rsidR="00351E81" w:rsidRDefault="007F3594">
            <w:pPr>
              <w:jc w:val="center"/>
            </w:pPr>
            <w:r>
              <w:rPr>
                <w:rFonts w:eastAsiaTheme="minorEastAsia"/>
                <w:color w:val="000000" w:themeColor="text1"/>
                <w:szCs w:val="21"/>
              </w:rPr>
              <w:t>6</w:t>
            </w:r>
          </w:p>
        </w:tc>
        <w:tc>
          <w:tcPr>
            <w:tcW w:w="0" w:type="auto"/>
            <w:vAlign w:val="center"/>
          </w:tcPr>
          <w:p w14:paraId="73877049" w14:textId="77777777" w:rsidR="00351E81" w:rsidRDefault="007F3594">
            <w:pPr>
              <w:jc w:val="center"/>
            </w:pPr>
            <w:r>
              <w:rPr>
                <w:rFonts w:eastAsiaTheme="minorEastAsia"/>
                <w:color w:val="000000" w:themeColor="text1"/>
                <w:szCs w:val="21"/>
              </w:rPr>
              <w:t>JPM APAC MNGD RESV FD C(ACC)-USD</w:t>
            </w:r>
          </w:p>
        </w:tc>
        <w:tc>
          <w:tcPr>
            <w:tcW w:w="0" w:type="auto"/>
            <w:vAlign w:val="center"/>
          </w:tcPr>
          <w:p w14:paraId="2DEBA7D7" w14:textId="77777777" w:rsidR="00351E81" w:rsidRDefault="007F3594">
            <w:pPr>
              <w:jc w:val="center"/>
            </w:pPr>
            <w:r>
              <w:rPr>
                <w:rFonts w:eastAsiaTheme="minorEastAsia"/>
                <w:color w:val="000000" w:themeColor="text1"/>
                <w:szCs w:val="21"/>
              </w:rPr>
              <w:t>债券型</w:t>
            </w:r>
          </w:p>
        </w:tc>
        <w:tc>
          <w:tcPr>
            <w:tcW w:w="0" w:type="auto"/>
            <w:vAlign w:val="center"/>
          </w:tcPr>
          <w:p w14:paraId="4492BEBE" w14:textId="77777777" w:rsidR="00351E81" w:rsidRDefault="007F3594">
            <w:pPr>
              <w:jc w:val="center"/>
            </w:pPr>
            <w:r>
              <w:rPr>
                <w:rFonts w:eastAsiaTheme="minorEastAsia"/>
                <w:color w:val="000000" w:themeColor="text1"/>
                <w:szCs w:val="21"/>
              </w:rPr>
              <w:t>开放式</w:t>
            </w:r>
          </w:p>
        </w:tc>
        <w:tc>
          <w:tcPr>
            <w:tcW w:w="0" w:type="auto"/>
            <w:vAlign w:val="center"/>
          </w:tcPr>
          <w:p w14:paraId="4CAC5E7B" w14:textId="77777777" w:rsidR="00351E81" w:rsidRDefault="007F3594">
            <w:pPr>
              <w:jc w:val="center"/>
            </w:pPr>
            <w:r>
              <w:rPr>
                <w:rFonts w:eastAsiaTheme="minorEastAsia"/>
                <w:color w:val="000000" w:themeColor="text1"/>
                <w:szCs w:val="21"/>
              </w:rPr>
              <w:t>JPMorgan Asset Management Europe Sarl</w:t>
            </w:r>
          </w:p>
        </w:tc>
        <w:tc>
          <w:tcPr>
            <w:tcW w:w="0" w:type="auto"/>
            <w:vAlign w:val="center"/>
          </w:tcPr>
          <w:p w14:paraId="0BB17E43" w14:textId="77777777" w:rsidR="00351E81" w:rsidRDefault="007F3594">
            <w:pPr>
              <w:jc w:val="right"/>
            </w:pPr>
            <w:r>
              <w:rPr>
                <w:rFonts w:eastAsiaTheme="minorEastAsia"/>
                <w:color w:val="000000" w:themeColor="text1"/>
                <w:szCs w:val="21"/>
              </w:rPr>
              <w:t>18,724,031.97</w:t>
            </w:r>
          </w:p>
        </w:tc>
        <w:tc>
          <w:tcPr>
            <w:tcW w:w="0" w:type="auto"/>
            <w:vAlign w:val="center"/>
          </w:tcPr>
          <w:p w14:paraId="33458132" w14:textId="77777777" w:rsidR="00351E81" w:rsidRDefault="007F3594">
            <w:pPr>
              <w:jc w:val="right"/>
            </w:pPr>
            <w:r>
              <w:rPr>
                <w:rFonts w:eastAsiaTheme="minorEastAsia"/>
                <w:color w:val="000000" w:themeColor="text1"/>
                <w:szCs w:val="21"/>
              </w:rPr>
              <w:t>1.22</w:t>
            </w:r>
          </w:p>
        </w:tc>
      </w:tr>
    </w:tbl>
    <w:p w14:paraId="4408DECC" w14:textId="77777777" w:rsidR="0076518F" w:rsidRPr="00A3398F" w:rsidRDefault="0076518F" w:rsidP="008B6A4A">
      <w:pPr>
        <w:autoSpaceDE w:val="0"/>
        <w:autoSpaceDN w:val="0"/>
        <w:adjustRightInd w:val="0"/>
        <w:spacing w:line="360" w:lineRule="auto"/>
        <w:jc w:val="left"/>
        <w:rPr>
          <w:rFonts w:eastAsiaTheme="minorEastAsia"/>
          <w:color w:val="000000" w:themeColor="text1"/>
          <w:kern w:val="0"/>
          <w:sz w:val="24"/>
        </w:rPr>
      </w:pPr>
    </w:p>
    <w:p w14:paraId="23581F96" w14:textId="77777777" w:rsidR="0076518F" w:rsidRPr="00A3398F" w:rsidRDefault="00B55EA7" w:rsidP="0049659A">
      <w:pPr>
        <w:autoSpaceDE w:val="0"/>
        <w:autoSpaceDN w:val="0"/>
        <w:adjustRightInd w:val="0"/>
        <w:spacing w:line="360" w:lineRule="auto"/>
        <w:jc w:val="left"/>
        <w:rPr>
          <w:rFonts w:eastAsiaTheme="minorEastAsia"/>
          <w:b/>
          <w:color w:val="000000" w:themeColor="text1"/>
          <w:kern w:val="0"/>
          <w:sz w:val="24"/>
        </w:rPr>
      </w:pPr>
      <w:r w:rsidRPr="00A3398F">
        <w:rPr>
          <w:rFonts w:eastAsiaTheme="minorEastAsia"/>
          <w:b/>
          <w:color w:val="000000" w:themeColor="text1"/>
          <w:kern w:val="0"/>
          <w:sz w:val="24"/>
        </w:rPr>
        <w:t>5</w:t>
      </w:r>
      <w:r w:rsidR="0076518F" w:rsidRPr="00A3398F">
        <w:rPr>
          <w:rFonts w:eastAsiaTheme="minorEastAsia"/>
          <w:b/>
          <w:color w:val="000000" w:themeColor="text1"/>
          <w:kern w:val="0"/>
          <w:sz w:val="24"/>
        </w:rPr>
        <w:t>.</w:t>
      </w:r>
      <w:r w:rsidRPr="00A3398F">
        <w:rPr>
          <w:rFonts w:eastAsiaTheme="minorEastAsia"/>
          <w:b/>
          <w:color w:val="000000" w:themeColor="text1"/>
          <w:kern w:val="0"/>
          <w:sz w:val="24"/>
        </w:rPr>
        <w:t>10</w:t>
      </w:r>
      <w:r w:rsidR="0076518F" w:rsidRPr="00A3398F">
        <w:rPr>
          <w:rFonts w:eastAsiaTheme="minorEastAsia"/>
          <w:b/>
          <w:color w:val="000000" w:themeColor="text1"/>
          <w:kern w:val="0"/>
          <w:sz w:val="24"/>
        </w:rPr>
        <w:t xml:space="preserve"> </w:t>
      </w:r>
      <w:r w:rsidR="0076518F" w:rsidRPr="00A3398F">
        <w:rPr>
          <w:rFonts w:eastAsiaTheme="minorEastAsia"/>
          <w:b/>
          <w:color w:val="000000" w:themeColor="text1"/>
          <w:kern w:val="0"/>
          <w:sz w:val="24"/>
        </w:rPr>
        <w:t>投资组合报告附注</w:t>
      </w:r>
    </w:p>
    <w:p w14:paraId="06C0916A" w14:textId="77777777" w:rsidR="00B55EA7" w:rsidRPr="00A3398F" w:rsidRDefault="00B55EA7" w:rsidP="000E3F11">
      <w:pPr>
        <w:widowControl/>
        <w:spacing w:line="360" w:lineRule="auto"/>
        <w:ind w:left="120" w:hangingChars="50" w:hanging="120"/>
        <w:rPr>
          <w:rFonts w:eastAsiaTheme="minorEastAsia"/>
          <w:color w:val="000000" w:themeColor="text1"/>
          <w:sz w:val="24"/>
        </w:rPr>
      </w:pPr>
      <w:r w:rsidRPr="00A3398F">
        <w:rPr>
          <w:rFonts w:eastAsiaTheme="minorEastAsia"/>
          <w:color w:val="000000" w:themeColor="text1"/>
          <w:sz w:val="24"/>
        </w:rPr>
        <w:t>5.10.1</w:t>
      </w:r>
      <w:r w:rsidRPr="00A3398F">
        <w:rPr>
          <w:rFonts w:eastAsiaTheme="minorEastAsia"/>
          <w:color w:val="000000" w:themeColor="text1"/>
          <w:sz w:val="24"/>
        </w:rPr>
        <w:t>本基金投资的前十名证券的发行主体本期未出现被监管部门立案调查，或在报告编制日前一年内受到公开谴责、处罚的情形。</w:t>
      </w:r>
    </w:p>
    <w:p w14:paraId="249753C5" w14:textId="77777777" w:rsidR="00B55EA7" w:rsidRPr="00A3398F" w:rsidRDefault="00B55EA7" w:rsidP="00B55EA7">
      <w:pPr>
        <w:widowControl/>
        <w:spacing w:line="360" w:lineRule="auto"/>
        <w:rPr>
          <w:rFonts w:eastAsiaTheme="minorEastAsia"/>
          <w:color w:val="000000" w:themeColor="text1"/>
          <w:sz w:val="24"/>
        </w:rPr>
      </w:pPr>
      <w:r w:rsidRPr="00A3398F">
        <w:rPr>
          <w:rFonts w:eastAsiaTheme="minorEastAsia"/>
          <w:color w:val="000000" w:themeColor="text1"/>
          <w:sz w:val="24"/>
        </w:rPr>
        <w:t>5.10.2</w:t>
      </w:r>
      <w:r w:rsidRPr="00A3398F">
        <w:rPr>
          <w:rFonts w:eastAsiaTheme="minorEastAsia"/>
          <w:color w:val="000000" w:themeColor="text1"/>
          <w:sz w:val="24"/>
        </w:rPr>
        <w:t>报告期内本基金投资的前十名股票中没有在基金合同规定备选股票库之外的股票。</w:t>
      </w:r>
    </w:p>
    <w:p w14:paraId="5C757240" w14:textId="77777777" w:rsidR="0076518F" w:rsidRPr="00A3398F" w:rsidRDefault="008C71EB" w:rsidP="0049659A">
      <w:pPr>
        <w:autoSpaceDE w:val="0"/>
        <w:autoSpaceDN w:val="0"/>
        <w:adjustRightInd w:val="0"/>
        <w:spacing w:line="360" w:lineRule="auto"/>
        <w:jc w:val="left"/>
        <w:rPr>
          <w:rFonts w:eastAsiaTheme="minorEastAsia"/>
          <w:b/>
          <w:color w:val="000000" w:themeColor="text1"/>
          <w:kern w:val="0"/>
          <w:sz w:val="24"/>
        </w:rPr>
      </w:pPr>
      <w:r w:rsidRPr="00A3398F">
        <w:rPr>
          <w:rFonts w:eastAsiaTheme="minorEastAsia"/>
          <w:b/>
          <w:color w:val="000000" w:themeColor="text1"/>
          <w:kern w:val="0"/>
          <w:sz w:val="24"/>
        </w:rPr>
        <w:t>5.1</w:t>
      </w:r>
      <w:r w:rsidR="002A0FA2" w:rsidRPr="00A3398F">
        <w:rPr>
          <w:rFonts w:eastAsiaTheme="minorEastAsia"/>
          <w:b/>
          <w:color w:val="000000" w:themeColor="text1"/>
          <w:kern w:val="0"/>
          <w:sz w:val="24"/>
        </w:rPr>
        <w:t>0</w:t>
      </w:r>
      <w:r w:rsidR="0076518F" w:rsidRPr="00A3398F">
        <w:rPr>
          <w:rFonts w:eastAsiaTheme="minorEastAsia"/>
          <w:b/>
          <w:color w:val="000000" w:themeColor="text1"/>
          <w:kern w:val="0"/>
          <w:sz w:val="24"/>
        </w:rPr>
        <w:t>.3</w:t>
      </w:r>
      <w:r w:rsidR="0076518F" w:rsidRPr="00A3398F">
        <w:rPr>
          <w:rFonts w:eastAsiaTheme="minorEastAsia"/>
          <w:b/>
          <w:color w:val="000000" w:themeColor="text1"/>
          <w:kern w:val="0"/>
          <w:sz w:val="24"/>
        </w:rPr>
        <w:t>其他资产构成</w:t>
      </w:r>
    </w:p>
    <w:tbl>
      <w:tblPr>
        <w:tblStyle w:val="afa"/>
        <w:tblW w:w="0" w:type="auto"/>
        <w:tblInd w:w="15" w:type="dxa"/>
        <w:tblLayout w:type="fixed"/>
        <w:tblLook w:val="04A0" w:firstRow="1" w:lastRow="0" w:firstColumn="1" w:lastColumn="0" w:noHBand="0" w:noVBand="1"/>
      </w:tblPr>
      <w:tblGrid>
        <w:gridCol w:w="802"/>
        <w:gridCol w:w="2903"/>
        <w:gridCol w:w="4808"/>
      </w:tblGrid>
      <w:tr w:rsidR="008277FF" w:rsidRPr="00A3398F" w14:paraId="2F589358" w14:textId="77777777" w:rsidTr="004C05F3">
        <w:tc>
          <w:tcPr>
            <w:tcW w:w="802" w:type="dxa"/>
            <w:vAlign w:val="center"/>
          </w:tcPr>
          <w:p w14:paraId="20ACD83E" w14:textId="77777777" w:rsidR="002C2678" w:rsidRPr="00A3398F" w:rsidRDefault="002C2678" w:rsidP="00797DD2">
            <w:pPr>
              <w:autoSpaceDE w:val="0"/>
              <w:autoSpaceDN w:val="0"/>
              <w:adjustRightInd w:val="0"/>
              <w:spacing w:before="29" w:line="360" w:lineRule="auto"/>
              <w:ind w:left="17"/>
              <w:jc w:val="center"/>
              <w:rPr>
                <w:rFonts w:eastAsiaTheme="minorEastAsia"/>
                <w:color w:val="000000" w:themeColor="text1"/>
                <w:kern w:val="0"/>
                <w:szCs w:val="21"/>
              </w:rPr>
            </w:pPr>
            <w:r w:rsidRPr="00A3398F">
              <w:rPr>
                <w:rFonts w:eastAsiaTheme="minorEastAsia"/>
                <w:color w:val="000000" w:themeColor="text1"/>
                <w:kern w:val="0"/>
                <w:szCs w:val="21"/>
              </w:rPr>
              <w:t>序号</w:t>
            </w:r>
          </w:p>
        </w:tc>
        <w:tc>
          <w:tcPr>
            <w:tcW w:w="2903" w:type="dxa"/>
            <w:vAlign w:val="center"/>
          </w:tcPr>
          <w:p w14:paraId="21F097F2" w14:textId="77777777" w:rsidR="002C2678" w:rsidRPr="00A3398F" w:rsidRDefault="002C2678" w:rsidP="00797DD2">
            <w:pPr>
              <w:autoSpaceDE w:val="0"/>
              <w:autoSpaceDN w:val="0"/>
              <w:adjustRightInd w:val="0"/>
              <w:spacing w:before="29" w:line="360" w:lineRule="auto"/>
              <w:ind w:left="17"/>
              <w:jc w:val="center"/>
              <w:rPr>
                <w:rFonts w:eastAsiaTheme="minorEastAsia"/>
                <w:color w:val="000000" w:themeColor="text1"/>
                <w:kern w:val="0"/>
                <w:szCs w:val="21"/>
              </w:rPr>
            </w:pPr>
            <w:r w:rsidRPr="00A3398F">
              <w:rPr>
                <w:rFonts w:eastAsiaTheme="minorEastAsia"/>
                <w:color w:val="000000" w:themeColor="text1"/>
                <w:kern w:val="0"/>
                <w:szCs w:val="21"/>
              </w:rPr>
              <w:t>名称</w:t>
            </w:r>
          </w:p>
        </w:tc>
        <w:tc>
          <w:tcPr>
            <w:tcW w:w="4808" w:type="dxa"/>
            <w:vAlign w:val="center"/>
          </w:tcPr>
          <w:p w14:paraId="2601D517" w14:textId="77777777" w:rsidR="002C2678" w:rsidRPr="00A3398F" w:rsidRDefault="002C2678" w:rsidP="00797DD2">
            <w:pPr>
              <w:autoSpaceDE w:val="0"/>
              <w:autoSpaceDN w:val="0"/>
              <w:adjustRightInd w:val="0"/>
              <w:spacing w:before="29" w:line="360" w:lineRule="auto"/>
              <w:ind w:left="17"/>
              <w:jc w:val="center"/>
              <w:rPr>
                <w:rFonts w:eastAsiaTheme="minorEastAsia"/>
                <w:color w:val="000000" w:themeColor="text1"/>
                <w:kern w:val="0"/>
                <w:szCs w:val="21"/>
              </w:rPr>
            </w:pPr>
            <w:r w:rsidRPr="00A3398F">
              <w:rPr>
                <w:rFonts w:eastAsiaTheme="minorEastAsia"/>
                <w:color w:val="000000" w:themeColor="text1"/>
                <w:kern w:val="0"/>
                <w:szCs w:val="21"/>
              </w:rPr>
              <w:t>金额</w:t>
            </w:r>
            <w:r w:rsidRPr="00A3398F">
              <w:rPr>
                <w:rFonts w:eastAsiaTheme="minorEastAsia"/>
                <w:color w:val="000000" w:themeColor="text1"/>
                <w:kern w:val="0"/>
                <w:szCs w:val="21"/>
              </w:rPr>
              <w:t>(</w:t>
            </w:r>
            <w:r w:rsidR="00C42431" w:rsidRPr="00A3398F">
              <w:rPr>
                <w:rFonts w:eastAsiaTheme="minorEastAsia"/>
                <w:color w:val="000000" w:themeColor="text1"/>
                <w:kern w:val="0"/>
                <w:szCs w:val="21"/>
              </w:rPr>
              <w:t>人民币</w:t>
            </w:r>
            <w:r w:rsidRPr="00A3398F">
              <w:rPr>
                <w:rFonts w:eastAsiaTheme="minorEastAsia"/>
                <w:color w:val="000000" w:themeColor="text1"/>
                <w:kern w:val="0"/>
                <w:szCs w:val="21"/>
              </w:rPr>
              <w:t>元</w:t>
            </w:r>
            <w:r w:rsidRPr="00A3398F">
              <w:rPr>
                <w:rFonts w:eastAsiaTheme="minorEastAsia"/>
                <w:color w:val="000000" w:themeColor="text1"/>
                <w:kern w:val="0"/>
                <w:szCs w:val="21"/>
              </w:rPr>
              <w:t>)</w:t>
            </w:r>
          </w:p>
        </w:tc>
      </w:tr>
      <w:tr w:rsidR="008277FF" w:rsidRPr="00A3398F" w14:paraId="75E69436" w14:textId="77777777" w:rsidTr="009E3391">
        <w:tc>
          <w:tcPr>
            <w:tcW w:w="802" w:type="dxa"/>
            <w:vAlign w:val="center"/>
          </w:tcPr>
          <w:p w14:paraId="74197573" w14:textId="77777777" w:rsidR="002C2678" w:rsidRPr="00A3398F" w:rsidRDefault="002C2678" w:rsidP="00797DD2">
            <w:pPr>
              <w:autoSpaceDE w:val="0"/>
              <w:autoSpaceDN w:val="0"/>
              <w:adjustRightInd w:val="0"/>
              <w:spacing w:before="29" w:line="360" w:lineRule="auto"/>
              <w:ind w:left="15"/>
              <w:jc w:val="center"/>
              <w:rPr>
                <w:rFonts w:eastAsiaTheme="minorEastAsia"/>
                <w:color w:val="000000" w:themeColor="text1"/>
                <w:kern w:val="0"/>
                <w:szCs w:val="21"/>
              </w:rPr>
            </w:pPr>
            <w:r w:rsidRPr="00A3398F">
              <w:rPr>
                <w:rFonts w:eastAsiaTheme="minorEastAsia"/>
                <w:color w:val="000000" w:themeColor="text1"/>
                <w:szCs w:val="21"/>
              </w:rPr>
              <w:t>1</w:t>
            </w:r>
          </w:p>
        </w:tc>
        <w:tc>
          <w:tcPr>
            <w:tcW w:w="2903" w:type="dxa"/>
            <w:vAlign w:val="center"/>
          </w:tcPr>
          <w:p w14:paraId="0FBBBEDB" w14:textId="77777777" w:rsidR="002C2678" w:rsidRPr="00A3398F" w:rsidRDefault="002C2678" w:rsidP="009E3391">
            <w:pPr>
              <w:autoSpaceDE w:val="0"/>
              <w:autoSpaceDN w:val="0"/>
              <w:adjustRightInd w:val="0"/>
              <w:spacing w:before="29" w:line="360" w:lineRule="auto"/>
              <w:ind w:left="15"/>
              <w:rPr>
                <w:rFonts w:eastAsiaTheme="minorEastAsia"/>
                <w:color w:val="000000" w:themeColor="text1"/>
                <w:kern w:val="0"/>
                <w:szCs w:val="21"/>
              </w:rPr>
            </w:pPr>
            <w:r w:rsidRPr="00A3398F">
              <w:rPr>
                <w:rFonts w:eastAsiaTheme="minorEastAsia"/>
                <w:color w:val="000000" w:themeColor="text1"/>
                <w:kern w:val="0"/>
                <w:szCs w:val="21"/>
              </w:rPr>
              <w:t>存出保证金</w:t>
            </w:r>
          </w:p>
        </w:tc>
        <w:tc>
          <w:tcPr>
            <w:tcW w:w="4808" w:type="dxa"/>
            <w:vAlign w:val="center"/>
          </w:tcPr>
          <w:p w14:paraId="309597A0" w14:textId="77777777" w:rsidR="002C2678" w:rsidRPr="00A3398F" w:rsidRDefault="002C2678" w:rsidP="00797DD2">
            <w:pPr>
              <w:autoSpaceDE w:val="0"/>
              <w:autoSpaceDN w:val="0"/>
              <w:adjustRightInd w:val="0"/>
              <w:spacing w:before="29" w:line="360" w:lineRule="auto"/>
              <w:ind w:left="15"/>
              <w:jc w:val="right"/>
              <w:rPr>
                <w:rFonts w:eastAsiaTheme="minorEastAsia"/>
                <w:color w:val="000000" w:themeColor="text1"/>
                <w:kern w:val="0"/>
                <w:szCs w:val="21"/>
              </w:rPr>
            </w:pPr>
            <w:r w:rsidRPr="00A3398F">
              <w:rPr>
                <w:rFonts w:eastAsiaTheme="minorEastAsia"/>
                <w:color w:val="000000" w:themeColor="text1"/>
                <w:kern w:val="0"/>
                <w:szCs w:val="21"/>
              </w:rPr>
              <w:t>-</w:t>
            </w:r>
          </w:p>
        </w:tc>
      </w:tr>
      <w:tr w:rsidR="008277FF" w:rsidRPr="00A3398F" w14:paraId="64689A82" w14:textId="77777777" w:rsidTr="009E3391">
        <w:tc>
          <w:tcPr>
            <w:tcW w:w="802" w:type="dxa"/>
            <w:vAlign w:val="center"/>
          </w:tcPr>
          <w:p w14:paraId="29D0D993" w14:textId="77777777" w:rsidR="002C2678" w:rsidRPr="00A3398F" w:rsidRDefault="002C2678" w:rsidP="00797DD2">
            <w:pPr>
              <w:autoSpaceDE w:val="0"/>
              <w:autoSpaceDN w:val="0"/>
              <w:adjustRightInd w:val="0"/>
              <w:spacing w:before="29" w:line="360" w:lineRule="auto"/>
              <w:ind w:left="15"/>
              <w:jc w:val="center"/>
              <w:rPr>
                <w:rFonts w:eastAsiaTheme="minorEastAsia"/>
                <w:color w:val="000000" w:themeColor="text1"/>
                <w:szCs w:val="21"/>
              </w:rPr>
            </w:pPr>
            <w:r w:rsidRPr="00A3398F">
              <w:rPr>
                <w:rFonts w:eastAsiaTheme="minorEastAsia"/>
                <w:color w:val="000000" w:themeColor="text1"/>
                <w:szCs w:val="21"/>
              </w:rPr>
              <w:t>2</w:t>
            </w:r>
          </w:p>
        </w:tc>
        <w:tc>
          <w:tcPr>
            <w:tcW w:w="2903" w:type="dxa"/>
            <w:vAlign w:val="center"/>
          </w:tcPr>
          <w:p w14:paraId="4C379CEA" w14:textId="77777777" w:rsidR="002C2678" w:rsidRPr="00A3398F" w:rsidRDefault="002C2678" w:rsidP="009E3391">
            <w:pPr>
              <w:autoSpaceDE w:val="0"/>
              <w:autoSpaceDN w:val="0"/>
              <w:adjustRightInd w:val="0"/>
              <w:spacing w:before="29" w:line="360" w:lineRule="auto"/>
              <w:ind w:left="15"/>
              <w:rPr>
                <w:rFonts w:eastAsiaTheme="minorEastAsia"/>
                <w:color w:val="000000" w:themeColor="text1"/>
                <w:kern w:val="0"/>
                <w:szCs w:val="21"/>
              </w:rPr>
            </w:pPr>
            <w:r w:rsidRPr="00A3398F">
              <w:rPr>
                <w:rFonts w:eastAsiaTheme="minorEastAsia"/>
                <w:color w:val="000000" w:themeColor="text1"/>
                <w:kern w:val="0"/>
                <w:szCs w:val="21"/>
              </w:rPr>
              <w:t>应收证券清算款</w:t>
            </w:r>
          </w:p>
        </w:tc>
        <w:tc>
          <w:tcPr>
            <w:tcW w:w="4808" w:type="dxa"/>
            <w:vAlign w:val="center"/>
          </w:tcPr>
          <w:p w14:paraId="0C8BA5E9" w14:textId="77777777" w:rsidR="002C2678" w:rsidRPr="00A3398F" w:rsidRDefault="002C2678" w:rsidP="00797DD2">
            <w:pPr>
              <w:autoSpaceDE w:val="0"/>
              <w:autoSpaceDN w:val="0"/>
              <w:adjustRightInd w:val="0"/>
              <w:spacing w:before="29" w:line="360" w:lineRule="auto"/>
              <w:ind w:left="15"/>
              <w:jc w:val="right"/>
              <w:rPr>
                <w:rFonts w:eastAsiaTheme="minorEastAsia"/>
                <w:color w:val="000000" w:themeColor="text1"/>
                <w:kern w:val="0"/>
                <w:szCs w:val="21"/>
              </w:rPr>
            </w:pPr>
            <w:r w:rsidRPr="00A3398F">
              <w:rPr>
                <w:rFonts w:eastAsiaTheme="minorEastAsia"/>
                <w:color w:val="000000" w:themeColor="text1"/>
                <w:kern w:val="0"/>
                <w:szCs w:val="21"/>
              </w:rPr>
              <w:t>-</w:t>
            </w:r>
          </w:p>
        </w:tc>
      </w:tr>
      <w:tr w:rsidR="008277FF" w:rsidRPr="00A3398F" w14:paraId="76268017" w14:textId="77777777" w:rsidTr="009E3391">
        <w:tc>
          <w:tcPr>
            <w:tcW w:w="802" w:type="dxa"/>
            <w:vAlign w:val="center"/>
          </w:tcPr>
          <w:p w14:paraId="1BFC5647" w14:textId="77777777" w:rsidR="002C2678" w:rsidRPr="00A3398F" w:rsidRDefault="002C2678" w:rsidP="00797DD2">
            <w:pPr>
              <w:autoSpaceDE w:val="0"/>
              <w:autoSpaceDN w:val="0"/>
              <w:adjustRightInd w:val="0"/>
              <w:spacing w:before="29" w:line="360" w:lineRule="auto"/>
              <w:ind w:left="15"/>
              <w:jc w:val="center"/>
              <w:rPr>
                <w:rFonts w:eastAsiaTheme="minorEastAsia"/>
                <w:color w:val="000000" w:themeColor="text1"/>
                <w:szCs w:val="21"/>
              </w:rPr>
            </w:pPr>
            <w:r w:rsidRPr="00A3398F">
              <w:rPr>
                <w:rFonts w:eastAsiaTheme="minorEastAsia"/>
                <w:color w:val="000000" w:themeColor="text1"/>
                <w:szCs w:val="21"/>
              </w:rPr>
              <w:t>3</w:t>
            </w:r>
          </w:p>
        </w:tc>
        <w:tc>
          <w:tcPr>
            <w:tcW w:w="2903" w:type="dxa"/>
            <w:vAlign w:val="center"/>
          </w:tcPr>
          <w:p w14:paraId="3A86AE98" w14:textId="77777777" w:rsidR="002C2678" w:rsidRPr="00A3398F" w:rsidRDefault="002C2678" w:rsidP="009E3391">
            <w:pPr>
              <w:autoSpaceDE w:val="0"/>
              <w:autoSpaceDN w:val="0"/>
              <w:adjustRightInd w:val="0"/>
              <w:spacing w:before="29" w:line="360" w:lineRule="auto"/>
              <w:ind w:left="15"/>
              <w:rPr>
                <w:rFonts w:eastAsiaTheme="minorEastAsia"/>
                <w:color w:val="000000" w:themeColor="text1"/>
                <w:kern w:val="0"/>
                <w:szCs w:val="21"/>
              </w:rPr>
            </w:pPr>
            <w:r w:rsidRPr="00A3398F">
              <w:rPr>
                <w:rFonts w:eastAsiaTheme="minorEastAsia"/>
                <w:color w:val="000000" w:themeColor="text1"/>
                <w:kern w:val="0"/>
                <w:szCs w:val="21"/>
              </w:rPr>
              <w:t>应收股利</w:t>
            </w:r>
          </w:p>
        </w:tc>
        <w:tc>
          <w:tcPr>
            <w:tcW w:w="4808" w:type="dxa"/>
            <w:vAlign w:val="center"/>
          </w:tcPr>
          <w:p w14:paraId="5BE4DE06" w14:textId="77777777" w:rsidR="002C2678" w:rsidRPr="00A3398F" w:rsidRDefault="002C2678" w:rsidP="00797DD2">
            <w:pPr>
              <w:autoSpaceDE w:val="0"/>
              <w:autoSpaceDN w:val="0"/>
              <w:adjustRightInd w:val="0"/>
              <w:spacing w:before="29" w:line="360" w:lineRule="auto"/>
              <w:ind w:left="15"/>
              <w:jc w:val="right"/>
              <w:rPr>
                <w:rFonts w:eastAsiaTheme="minorEastAsia"/>
                <w:color w:val="000000" w:themeColor="text1"/>
                <w:kern w:val="0"/>
                <w:szCs w:val="21"/>
              </w:rPr>
            </w:pPr>
            <w:r w:rsidRPr="00A3398F">
              <w:rPr>
                <w:rFonts w:eastAsiaTheme="minorEastAsia"/>
                <w:color w:val="000000" w:themeColor="text1"/>
                <w:kern w:val="0"/>
                <w:szCs w:val="21"/>
              </w:rPr>
              <w:t>-</w:t>
            </w:r>
          </w:p>
        </w:tc>
      </w:tr>
      <w:tr w:rsidR="008277FF" w:rsidRPr="00A3398F" w14:paraId="230B33F9" w14:textId="77777777" w:rsidTr="009E3391">
        <w:tc>
          <w:tcPr>
            <w:tcW w:w="802" w:type="dxa"/>
            <w:vAlign w:val="center"/>
          </w:tcPr>
          <w:p w14:paraId="3E0CF27C" w14:textId="77777777" w:rsidR="002C2678" w:rsidRPr="00A3398F" w:rsidRDefault="002C2678" w:rsidP="00797DD2">
            <w:pPr>
              <w:autoSpaceDE w:val="0"/>
              <w:autoSpaceDN w:val="0"/>
              <w:adjustRightInd w:val="0"/>
              <w:spacing w:before="29" w:line="360" w:lineRule="auto"/>
              <w:ind w:left="15"/>
              <w:jc w:val="center"/>
              <w:rPr>
                <w:rFonts w:eastAsiaTheme="minorEastAsia"/>
                <w:color w:val="000000" w:themeColor="text1"/>
                <w:szCs w:val="21"/>
              </w:rPr>
            </w:pPr>
            <w:r w:rsidRPr="00A3398F">
              <w:rPr>
                <w:rFonts w:eastAsiaTheme="minorEastAsia"/>
                <w:color w:val="000000" w:themeColor="text1"/>
                <w:szCs w:val="21"/>
              </w:rPr>
              <w:lastRenderedPageBreak/>
              <w:t>4</w:t>
            </w:r>
          </w:p>
        </w:tc>
        <w:tc>
          <w:tcPr>
            <w:tcW w:w="2903" w:type="dxa"/>
            <w:vAlign w:val="center"/>
          </w:tcPr>
          <w:p w14:paraId="11BF49E7" w14:textId="77777777" w:rsidR="002C2678" w:rsidRPr="00A3398F" w:rsidRDefault="002C2678" w:rsidP="009E3391">
            <w:pPr>
              <w:autoSpaceDE w:val="0"/>
              <w:autoSpaceDN w:val="0"/>
              <w:adjustRightInd w:val="0"/>
              <w:spacing w:before="29" w:line="360" w:lineRule="auto"/>
              <w:ind w:left="15"/>
              <w:rPr>
                <w:rFonts w:eastAsiaTheme="minorEastAsia"/>
                <w:color w:val="000000" w:themeColor="text1"/>
                <w:kern w:val="0"/>
                <w:szCs w:val="21"/>
              </w:rPr>
            </w:pPr>
            <w:r w:rsidRPr="00A3398F">
              <w:rPr>
                <w:rFonts w:eastAsiaTheme="minorEastAsia"/>
                <w:color w:val="000000" w:themeColor="text1"/>
                <w:kern w:val="0"/>
                <w:szCs w:val="21"/>
              </w:rPr>
              <w:t>应收利息</w:t>
            </w:r>
          </w:p>
        </w:tc>
        <w:tc>
          <w:tcPr>
            <w:tcW w:w="4808" w:type="dxa"/>
            <w:vAlign w:val="center"/>
          </w:tcPr>
          <w:p w14:paraId="7282E800" w14:textId="77777777" w:rsidR="002C2678" w:rsidRPr="00A3398F" w:rsidRDefault="002C2678" w:rsidP="00797DD2">
            <w:pPr>
              <w:autoSpaceDE w:val="0"/>
              <w:autoSpaceDN w:val="0"/>
              <w:adjustRightInd w:val="0"/>
              <w:spacing w:before="29" w:line="360" w:lineRule="auto"/>
              <w:ind w:left="15"/>
              <w:jc w:val="right"/>
              <w:rPr>
                <w:rFonts w:eastAsiaTheme="minorEastAsia"/>
                <w:color w:val="000000" w:themeColor="text1"/>
                <w:kern w:val="0"/>
                <w:szCs w:val="21"/>
              </w:rPr>
            </w:pPr>
            <w:r w:rsidRPr="00A3398F">
              <w:rPr>
                <w:rFonts w:eastAsiaTheme="minorEastAsia"/>
                <w:color w:val="000000" w:themeColor="text1"/>
                <w:kern w:val="0"/>
                <w:szCs w:val="21"/>
              </w:rPr>
              <w:t>-</w:t>
            </w:r>
          </w:p>
        </w:tc>
      </w:tr>
      <w:tr w:rsidR="008277FF" w:rsidRPr="00A3398F" w14:paraId="4CC057B9" w14:textId="77777777" w:rsidTr="009E3391">
        <w:tc>
          <w:tcPr>
            <w:tcW w:w="802" w:type="dxa"/>
            <w:vAlign w:val="center"/>
          </w:tcPr>
          <w:p w14:paraId="7FD5A78D" w14:textId="77777777" w:rsidR="002C2678" w:rsidRPr="00A3398F" w:rsidRDefault="002C2678" w:rsidP="00797DD2">
            <w:pPr>
              <w:autoSpaceDE w:val="0"/>
              <w:autoSpaceDN w:val="0"/>
              <w:adjustRightInd w:val="0"/>
              <w:spacing w:before="29" w:line="360" w:lineRule="auto"/>
              <w:ind w:left="15"/>
              <w:jc w:val="center"/>
              <w:rPr>
                <w:rFonts w:eastAsiaTheme="minorEastAsia"/>
                <w:color w:val="000000" w:themeColor="text1"/>
                <w:szCs w:val="21"/>
              </w:rPr>
            </w:pPr>
            <w:r w:rsidRPr="00A3398F">
              <w:rPr>
                <w:rFonts w:eastAsiaTheme="minorEastAsia"/>
                <w:color w:val="000000" w:themeColor="text1"/>
                <w:szCs w:val="21"/>
              </w:rPr>
              <w:t>5</w:t>
            </w:r>
          </w:p>
        </w:tc>
        <w:tc>
          <w:tcPr>
            <w:tcW w:w="2903" w:type="dxa"/>
            <w:vAlign w:val="center"/>
          </w:tcPr>
          <w:p w14:paraId="4289D318" w14:textId="77777777" w:rsidR="002C2678" w:rsidRPr="00A3398F" w:rsidRDefault="002C2678" w:rsidP="009E3391">
            <w:pPr>
              <w:autoSpaceDE w:val="0"/>
              <w:autoSpaceDN w:val="0"/>
              <w:adjustRightInd w:val="0"/>
              <w:spacing w:before="29" w:line="360" w:lineRule="auto"/>
              <w:ind w:left="15"/>
              <w:rPr>
                <w:rFonts w:eastAsiaTheme="minorEastAsia"/>
                <w:color w:val="000000" w:themeColor="text1"/>
                <w:kern w:val="0"/>
                <w:szCs w:val="21"/>
              </w:rPr>
            </w:pPr>
            <w:r w:rsidRPr="00A3398F">
              <w:rPr>
                <w:rFonts w:eastAsiaTheme="minorEastAsia"/>
                <w:color w:val="000000" w:themeColor="text1"/>
                <w:kern w:val="0"/>
                <w:szCs w:val="21"/>
              </w:rPr>
              <w:t>应收申购款</w:t>
            </w:r>
          </w:p>
        </w:tc>
        <w:tc>
          <w:tcPr>
            <w:tcW w:w="4808" w:type="dxa"/>
            <w:vAlign w:val="center"/>
          </w:tcPr>
          <w:p w14:paraId="3C7417C3" w14:textId="77777777" w:rsidR="002C2678" w:rsidRPr="00A3398F" w:rsidRDefault="002C2678" w:rsidP="00797DD2">
            <w:pPr>
              <w:autoSpaceDE w:val="0"/>
              <w:autoSpaceDN w:val="0"/>
              <w:adjustRightInd w:val="0"/>
              <w:spacing w:before="29" w:line="360" w:lineRule="auto"/>
              <w:ind w:left="15"/>
              <w:jc w:val="right"/>
              <w:rPr>
                <w:rFonts w:eastAsiaTheme="minorEastAsia"/>
                <w:color w:val="000000" w:themeColor="text1"/>
                <w:kern w:val="0"/>
                <w:szCs w:val="21"/>
              </w:rPr>
            </w:pPr>
            <w:r w:rsidRPr="00A3398F">
              <w:rPr>
                <w:rFonts w:eastAsiaTheme="minorEastAsia"/>
                <w:color w:val="000000" w:themeColor="text1"/>
                <w:kern w:val="0"/>
                <w:szCs w:val="21"/>
              </w:rPr>
              <w:t>15,796,042.96</w:t>
            </w:r>
          </w:p>
        </w:tc>
      </w:tr>
      <w:tr w:rsidR="008277FF" w:rsidRPr="00A3398F" w14:paraId="7C385CA2" w14:textId="77777777" w:rsidTr="009E3391">
        <w:tc>
          <w:tcPr>
            <w:tcW w:w="802" w:type="dxa"/>
            <w:vAlign w:val="center"/>
          </w:tcPr>
          <w:p w14:paraId="09F243C7" w14:textId="77777777" w:rsidR="002C2678" w:rsidRPr="00A3398F" w:rsidRDefault="002C2678" w:rsidP="00797DD2">
            <w:pPr>
              <w:autoSpaceDE w:val="0"/>
              <w:autoSpaceDN w:val="0"/>
              <w:adjustRightInd w:val="0"/>
              <w:spacing w:before="29" w:line="360" w:lineRule="auto"/>
              <w:ind w:left="15"/>
              <w:jc w:val="center"/>
              <w:rPr>
                <w:rFonts w:eastAsiaTheme="minorEastAsia"/>
                <w:color w:val="000000" w:themeColor="text1"/>
                <w:szCs w:val="21"/>
              </w:rPr>
            </w:pPr>
            <w:r w:rsidRPr="00A3398F">
              <w:rPr>
                <w:rFonts w:eastAsiaTheme="minorEastAsia"/>
                <w:color w:val="000000" w:themeColor="text1"/>
                <w:szCs w:val="21"/>
              </w:rPr>
              <w:t>6</w:t>
            </w:r>
          </w:p>
        </w:tc>
        <w:tc>
          <w:tcPr>
            <w:tcW w:w="2903" w:type="dxa"/>
            <w:vAlign w:val="center"/>
          </w:tcPr>
          <w:p w14:paraId="2E1EEE87" w14:textId="77777777" w:rsidR="002C2678" w:rsidRPr="00A3398F" w:rsidRDefault="002C2678" w:rsidP="009E3391">
            <w:pPr>
              <w:autoSpaceDE w:val="0"/>
              <w:autoSpaceDN w:val="0"/>
              <w:adjustRightInd w:val="0"/>
              <w:spacing w:before="29" w:line="360" w:lineRule="auto"/>
              <w:ind w:left="15"/>
              <w:rPr>
                <w:rFonts w:eastAsiaTheme="minorEastAsia"/>
                <w:color w:val="000000" w:themeColor="text1"/>
                <w:kern w:val="0"/>
                <w:szCs w:val="21"/>
              </w:rPr>
            </w:pPr>
            <w:r w:rsidRPr="00A3398F">
              <w:rPr>
                <w:rFonts w:eastAsiaTheme="minorEastAsia"/>
                <w:color w:val="000000" w:themeColor="text1"/>
                <w:kern w:val="0"/>
                <w:szCs w:val="21"/>
              </w:rPr>
              <w:t>其他应收款</w:t>
            </w:r>
          </w:p>
        </w:tc>
        <w:tc>
          <w:tcPr>
            <w:tcW w:w="4808" w:type="dxa"/>
            <w:vAlign w:val="center"/>
          </w:tcPr>
          <w:p w14:paraId="73B18496" w14:textId="77777777" w:rsidR="002C2678" w:rsidRPr="00A3398F" w:rsidRDefault="002C2678" w:rsidP="00797DD2">
            <w:pPr>
              <w:autoSpaceDE w:val="0"/>
              <w:autoSpaceDN w:val="0"/>
              <w:adjustRightInd w:val="0"/>
              <w:spacing w:before="29" w:line="360" w:lineRule="auto"/>
              <w:ind w:left="15"/>
              <w:jc w:val="right"/>
              <w:rPr>
                <w:rFonts w:eastAsiaTheme="minorEastAsia"/>
                <w:color w:val="000000" w:themeColor="text1"/>
                <w:kern w:val="0"/>
                <w:szCs w:val="21"/>
              </w:rPr>
            </w:pPr>
            <w:r w:rsidRPr="00A3398F">
              <w:rPr>
                <w:rFonts w:eastAsiaTheme="minorEastAsia"/>
                <w:color w:val="000000" w:themeColor="text1"/>
                <w:kern w:val="0"/>
                <w:szCs w:val="21"/>
              </w:rPr>
              <w:t>-</w:t>
            </w:r>
          </w:p>
        </w:tc>
      </w:tr>
      <w:tr w:rsidR="008277FF" w:rsidRPr="00A3398F" w14:paraId="55A49663" w14:textId="77777777" w:rsidTr="009E3391">
        <w:tc>
          <w:tcPr>
            <w:tcW w:w="802" w:type="dxa"/>
            <w:vAlign w:val="center"/>
          </w:tcPr>
          <w:p w14:paraId="1946B3A8" w14:textId="77777777" w:rsidR="00F951CF" w:rsidRPr="00A3398F" w:rsidRDefault="00F951CF" w:rsidP="00797DD2">
            <w:pPr>
              <w:autoSpaceDE w:val="0"/>
              <w:autoSpaceDN w:val="0"/>
              <w:adjustRightInd w:val="0"/>
              <w:spacing w:before="29" w:line="360" w:lineRule="auto"/>
              <w:ind w:left="15"/>
              <w:jc w:val="center"/>
              <w:rPr>
                <w:rFonts w:eastAsiaTheme="minorEastAsia"/>
                <w:color w:val="000000" w:themeColor="text1"/>
                <w:szCs w:val="21"/>
              </w:rPr>
            </w:pPr>
            <w:r w:rsidRPr="00A3398F">
              <w:rPr>
                <w:rFonts w:eastAsiaTheme="minorEastAsia"/>
                <w:color w:val="000000" w:themeColor="text1"/>
                <w:szCs w:val="21"/>
              </w:rPr>
              <w:t>7</w:t>
            </w:r>
          </w:p>
        </w:tc>
        <w:tc>
          <w:tcPr>
            <w:tcW w:w="2903" w:type="dxa"/>
            <w:vAlign w:val="center"/>
          </w:tcPr>
          <w:p w14:paraId="4866F0CC" w14:textId="77777777" w:rsidR="00F951CF" w:rsidRPr="00A3398F" w:rsidRDefault="00F951CF" w:rsidP="009E3391">
            <w:pPr>
              <w:autoSpaceDE w:val="0"/>
              <w:autoSpaceDN w:val="0"/>
              <w:adjustRightInd w:val="0"/>
              <w:spacing w:before="29" w:line="360" w:lineRule="auto"/>
              <w:ind w:left="15"/>
              <w:rPr>
                <w:rFonts w:eastAsiaTheme="minorEastAsia"/>
                <w:color w:val="000000" w:themeColor="text1"/>
                <w:szCs w:val="21"/>
              </w:rPr>
            </w:pPr>
            <w:r w:rsidRPr="00A3398F">
              <w:rPr>
                <w:rFonts w:eastAsiaTheme="minorEastAsia"/>
                <w:color w:val="000000" w:themeColor="text1"/>
                <w:szCs w:val="21"/>
              </w:rPr>
              <w:t>待摊费用</w:t>
            </w:r>
          </w:p>
        </w:tc>
        <w:tc>
          <w:tcPr>
            <w:tcW w:w="4808" w:type="dxa"/>
            <w:vAlign w:val="center"/>
          </w:tcPr>
          <w:p w14:paraId="3030A7DD" w14:textId="77777777" w:rsidR="00F951CF" w:rsidRPr="00A3398F" w:rsidRDefault="00F951CF" w:rsidP="00797DD2">
            <w:pPr>
              <w:autoSpaceDE w:val="0"/>
              <w:autoSpaceDN w:val="0"/>
              <w:adjustRightInd w:val="0"/>
              <w:spacing w:before="29" w:line="360" w:lineRule="auto"/>
              <w:ind w:left="15"/>
              <w:jc w:val="right"/>
              <w:rPr>
                <w:rFonts w:eastAsiaTheme="minorEastAsia"/>
                <w:color w:val="000000" w:themeColor="text1"/>
                <w:szCs w:val="21"/>
              </w:rPr>
            </w:pPr>
            <w:r w:rsidRPr="00A3398F">
              <w:rPr>
                <w:rFonts w:eastAsiaTheme="minorEastAsia"/>
                <w:color w:val="000000" w:themeColor="text1"/>
                <w:szCs w:val="21"/>
              </w:rPr>
              <w:t>-</w:t>
            </w:r>
          </w:p>
        </w:tc>
      </w:tr>
      <w:tr w:rsidR="008277FF" w:rsidRPr="00A3398F" w14:paraId="56905718" w14:textId="77777777" w:rsidTr="009E3391">
        <w:tc>
          <w:tcPr>
            <w:tcW w:w="802" w:type="dxa"/>
            <w:vAlign w:val="center"/>
          </w:tcPr>
          <w:p w14:paraId="262A2A49" w14:textId="77777777" w:rsidR="00F951CF" w:rsidRPr="00A3398F" w:rsidRDefault="00F951CF" w:rsidP="00797DD2">
            <w:pPr>
              <w:autoSpaceDE w:val="0"/>
              <w:autoSpaceDN w:val="0"/>
              <w:adjustRightInd w:val="0"/>
              <w:spacing w:before="29" w:line="360" w:lineRule="auto"/>
              <w:ind w:left="15"/>
              <w:jc w:val="center"/>
              <w:rPr>
                <w:rFonts w:eastAsiaTheme="minorEastAsia"/>
                <w:color w:val="000000" w:themeColor="text1"/>
                <w:szCs w:val="21"/>
              </w:rPr>
            </w:pPr>
            <w:r w:rsidRPr="00A3398F">
              <w:rPr>
                <w:rFonts w:eastAsiaTheme="minorEastAsia"/>
                <w:color w:val="000000" w:themeColor="text1"/>
                <w:szCs w:val="21"/>
              </w:rPr>
              <w:t>8</w:t>
            </w:r>
          </w:p>
        </w:tc>
        <w:tc>
          <w:tcPr>
            <w:tcW w:w="2903" w:type="dxa"/>
            <w:vAlign w:val="center"/>
          </w:tcPr>
          <w:p w14:paraId="3AA4EF96" w14:textId="77777777" w:rsidR="00F951CF" w:rsidRPr="00A3398F" w:rsidRDefault="00F951CF" w:rsidP="009E3391">
            <w:pPr>
              <w:autoSpaceDE w:val="0"/>
              <w:autoSpaceDN w:val="0"/>
              <w:adjustRightInd w:val="0"/>
              <w:spacing w:before="29" w:line="360" w:lineRule="auto"/>
              <w:ind w:left="15"/>
              <w:rPr>
                <w:rFonts w:eastAsiaTheme="minorEastAsia"/>
                <w:color w:val="000000" w:themeColor="text1"/>
                <w:kern w:val="0"/>
                <w:szCs w:val="21"/>
              </w:rPr>
            </w:pPr>
            <w:r w:rsidRPr="00A3398F">
              <w:rPr>
                <w:rFonts w:eastAsiaTheme="minorEastAsia"/>
                <w:color w:val="000000" w:themeColor="text1"/>
                <w:kern w:val="0"/>
                <w:szCs w:val="21"/>
              </w:rPr>
              <w:t>其他</w:t>
            </w:r>
          </w:p>
        </w:tc>
        <w:tc>
          <w:tcPr>
            <w:tcW w:w="4808" w:type="dxa"/>
            <w:vAlign w:val="center"/>
          </w:tcPr>
          <w:p w14:paraId="648828C1" w14:textId="77777777" w:rsidR="00F951CF" w:rsidRPr="00A3398F" w:rsidRDefault="00F951CF" w:rsidP="00797DD2">
            <w:pPr>
              <w:autoSpaceDE w:val="0"/>
              <w:autoSpaceDN w:val="0"/>
              <w:adjustRightInd w:val="0"/>
              <w:spacing w:before="29" w:line="360" w:lineRule="auto"/>
              <w:ind w:left="15"/>
              <w:jc w:val="right"/>
              <w:rPr>
                <w:rFonts w:eastAsiaTheme="minorEastAsia"/>
                <w:color w:val="000000" w:themeColor="text1"/>
                <w:kern w:val="0"/>
                <w:szCs w:val="21"/>
              </w:rPr>
            </w:pPr>
            <w:r w:rsidRPr="00A3398F">
              <w:rPr>
                <w:rFonts w:eastAsiaTheme="minorEastAsia"/>
                <w:color w:val="000000" w:themeColor="text1"/>
                <w:kern w:val="0"/>
                <w:szCs w:val="21"/>
              </w:rPr>
              <w:t>-</w:t>
            </w:r>
          </w:p>
        </w:tc>
      </w:tr>
      <w:tr w:rsidR="008277FF" w:rsidRPr="00A3398F" w14:paraId="1CAAA1CB" w14:textId="77777777" w:rsidTr="009E3391">
        <w:tc>
          <w:tcPr>
            <w:tcW w:w="802" w:type="dxa"/>
            <w:vAlign w:val="center"/>
          </w:tcPr>
          <w:p w14:paraId="7A6A0B88" w14:textId="77777777" w:rsidR="00F951CF" w:rsidRPr="00A3398F" w:rsidRDefault="00F951CF" w:rsidP="00797DD2">
            <w:pPr>
              <w:autoSpaceDE w:val="0"/>
              <w:autoSpaceDN w:val="0"/>
              <w:adjustRightInd w:val="0"/>
              <w:spacing w:before="29" w:line="360" w:lineRule="auto"/>
              <w:ind w:left="15"/>
              <w:jc w:val="center"/>
              <w:rPr>
                <w:rFonts w:eastAsiaTheme="minorEastAsia"/>
                <w:color w:val="000000" w:themeColor="text1"/>
                <w:szCs w:val="21"/>
              </w:rPr>
            </w:pPr>
            <w:r w:rsidRPr="00A3398F">
              <w:rPr>
                <w:rFonts w:eastAsiaTheme="minorEastAsia"/>
                <w:color w:val="000000" w:themeColor="text1"/>
                <w:szCs w:val="21"/>
              </w:rPr>
              <w:t>9</w:t>
            </w:r>
          </w:p>
        </w:tc>
        <w:tc>
          <w:tcPr>
            <w:tcW w:w="2903" w:type="dxa"/>
            <w:vAlign w:val="center"/>
          </w:tcPr>
          <w:p w14:paraId="51495C1D" w14:textId="77777777" w:rsidR="00F951CF" w:rsidRPr="00A3398F" w:rsidRDefault="00F951CF" w:rsidP="009E3391">
            <w:pPr>
              <w:autoSpaceDE w:val="0"/>
              <w:autoSpaceDN w:val="0"/>
              <w:adjustRightInd w:val="0"/>
              <w:spacing w:before="29" w:line="360" w:lineRule="auto"/>
              <w:ind w:left="15"/>
              <w:rPr>
                <w:rFonts w:eastAsiaTheme="minorEastAsia"/>
                <w:color w:val="000000" w:themeColor="text1"/>
                <w:kern w:val="0"/>
                <w:szCs w:val="21"/>
              </w:rPr>
            </w:pPr>
            <w:r w:rsidRPr="00A3398F">
              <w:rPr>
                <w:rFonts w:eastAsiaTheme="minorEastAsia"/>
                <w:color w:val="000000" w:themeColor="text1"/>
                <w:kern w:val="0"/>
                <w:szCs w:val="21"/>
              </w:rPr>
              <w:t>合计</w:t>
            </w:r>
          </w:p>
        </w:tc>
        <w:tc>
          <w:tcPr>
            <w:tcW w:w="4808" w:type="dxa"/>
            <w:vAlign w:val="center"/>
          </w:tcPr>
          <w:p w14:paraId="065F9A2F" w14:textId="77777777" w:rsidR="00F951CF" w:rsidRPr="00A3398F" w:rsidRDefault="00F951CF" w:rsidP="00797DD2">
            <w:pPr>
              <w:autoSpaceDE w:val="0"/>
              <w:autoSpaceDN w:val="0"/>
              <w:adjustRightInd w:val="0"/>
              <w:spacing w:before="29" w:line="360" w:lineRule="auto"/>
              <w:ind w:left="15"/>
              <w:jc w:val="right"/>
              <w:rPr>
                <w:rFonts w:eastAsiaTheme="minorEastAsia"/>
                <w:color w:val="000000" w:themeColor="text1"/>
                <w:kern w:val="0"/>
                <w:szCs w:val="21"/>
              </w:rPr>
            </w:pPr>
            <w:r w:rsidRPr="00A3398F">
              <w:rPr>
                <w:rFonts w:eastAsiaTheme="minorEastAsia"/>
                <w:color w:val="000000" w:themeColor="text1"/>
                <w:kern w:val="0"/>
                <w:szCs w:val="21"/>
              </w:rPr>
              <w:t>15,796,042.96</w:t>
            </w:r>
          </w:p>
        </w:tc>
      </w:tr>
    </w:tbl>
    <w:p w14:paraId="590D9C5F" w14:textId="77777777" w:rsidR="00A22D4B" w:rsidRPr="00A3398F" w:rsidRDefault="00A22D4B" w:rsidP="00EC4BA3">
      <w:pPr>
        <w:autoSpaceDE w:val="0"/>
        <w:autoSpaceDN w:val="0"/>
        <w:adjustRightInd w:val="0"/>
        <w:spacing w:line="360" w:lineRule="auto"/>
        <w:jc w:val="left"/>
        <w:rPr>
          <w:rFonts w:eastAsiaTheme="minorEastAsia"/>
          <w:b/>
          <w:color w:val="000000" w:themeColor="text1"/>
          <w:kern w:val="0"/>
          <w:sz w:val="24"/>
        </w:rPr>
      </w:pPr>
    </w:p>
    <w:p w14:paraId="7A34C81E" w14:textId="77777777" w:rsidR="0076518F" w:rsidRPr="00A3398F" w:rsidRDefault="008C71EB" w:rsidP="00EC4BA3">
      <w:pPr>
        <w:autoSpaceDE w:val="0"/>
        <w:autoSpaceDN w:val="0"/>
        <w:adjustRightInd w:val="0"/>
        <w:spacing w:line="360" w:lineRule="auto"/>
        <w:jc w:val="left"/>
        <w:rPr>
          <w:rFonts w:eastAsiaTheme="minorEastAsia"/>
          <w:b/>
          <w:color w:val="000000" w:themeColor="text1"/>
          <w:kern w:val="0"/>
          <w:sz w:val="24"/>
        </w:rPr>
      </w:pPr>
      <w:r w:rsidRPr="00A3398F">
        <w:rPr>
          <w:rFonts w:eastAsiaTheme="minorEastAsia"/>
          <w:b/>
          <w:color w:val="000000" w:themeColor="text1"/>
          <w:kern w:val="0"/>
          <w:sz w:val="24"/>
        </w:rPr>
        <w:t>5.1</w:t>
      </w:r>
      <w:r w:rsidR="002A0FA2" w:rsidRPr="00A3398F">
        <w:rPr>
          <w:rFonts w:eastAsiaTheme="minorEastAsia"/>
          <w:b/>
          <w:color w:val="000000" w:themeColor="text1"/>
          <w:kern w:val="0"/>
          <w:sz w:val="24"/>
        </w:rPr>
        <w:t>0</w:t>
      </w:r>
      <w:r w:rsidR="0076518F" w:rsidRPr="00A3398F">
        <w:rPr>
          <w:rFonts w:eastAsiaTheme="minorEastAsia"/>
          <w:b/>
          <w:color w:val="000000" w:themeColor="text1"/>
          <w:kern w:val="0"/>
          <w:sz w:val="24"/>
        </w:rPr>
        <w:t>.4</w:t>
      </w:r>
      <w:r w:rsidR="0076518F" w:rsidRPr="00A3398F">
        <w:rPr>
          <w:rFonts w:eastAsiaTheme="minorEastAsia"/>
          <w:b/>
          <w:color w:val="000000" w:themeColor="text1"/>
          <w:kern w:val="0"/>
          <w:sz w:val="24"/>
        </w:rPr>
        <w:t>报告期末持有的处于转股期的可转换债券明细</w:t>
      </w:r>
    </w:p>
    <w:p w14:paraId="55EE1E68" w14:textId="77777777" w:rsidR="000A55BD" w:rsidRPr="00A3398F" w:rsidRDefault="000A55BD" w:rsidP="002236BC">
      <w:pPr>
        <w:autoSpaceDE w:val="0"/>
        <w:autoSpaceDN w:val="0"/>
        <w:adjustRightInd w:val="0"/>
        <w:spacing w:line="360" w:lineRule="auto"/>
        <w:jc w:val="left"/>
        <w:rPr>
          <w:rFonts w:eastAsiaTheme="minorEastAsia"/>
          <w:color w:val="000000" w:themeColor="text1"/>
          <w:szCs w:val="21"/>
        </w:rPr>
      </w:pPr>
      <w:r w:rsidRPr="00A3398F">
        <w:rPr>
          <w:rFonts w:eastAsiaTheme="minorEastAsia"/>
          <w:color w:val="000000" w:themeColor="text1"/>
          <w:szCs w:val="21"/>
        </w:rPr>
        <w:t>本基金本报告期末未持有处于转股期的可转换债券。</w:t>
      </w:r>
    </w:p>
    <w:p w14:paraId="2B117132" w14:textId="77777777" w:rsidR="009E3391" w:rsidRPr="00A3398F" w:rsidRDefault="009E3391" w:rsidP="002236BC">
      <w:pPr>
        <w:autoSpaceDE w:val="0"/>
        <w:autoSpaceDN w:val="0"/>
        <w:adjustRightInd w:val="0"/>
        <w:spacing w:line="360" w:lineRule="auto"/>
        <w:jc w:val="left"/>
        <w:rPr>
          <w:rFonts w:eastAsiaTheme="minorEastAsia"/>
          <w:color w:val="000000" w:themeColor="text1"/>
          <w:szCs w:val="21"/>
        </w:rPr>
      </w:pPr>
    </w:p>
    <w:p w14:paraId="573056D7" w14:textId="77777777" w:rsidR="0076518F" w:rsidRPr="00A3398F" w:rsidRDefault="008C71EB" w:rsidP="00EC4BA3">
      <w:pPr>
        <w:autoSpaceDE w:val="0"/>
        <w:autoSpaceDN w:val="0"/>
        <w:adjustRightInd w:val="0"/>
        <w:spacing w:line="360" w:lineRule="auto"/>
        <w:jc w:val="left"/>
        <w:rPr>
          <w:rFonts w:eastAsiaTheme="minorEastAsia"/>
          <w:b/>
          <w:color w:val="000000" w:themeColor="text1"/>
          <w:kern w:val="0"/>
          <w:sz w:val="24"/>
        </w:rPr>
      </w:pPr>
      <w:r w:rsidRPr="00A3398F">
        <w:rPr>
          <w:rFonts w:eastAsiaTheme="minorEastAsia"/>
          <w:b/>
          <w:color w:val="000000" w:themeColor="text1"/>
          <w:kern w:val="0"/>
          <w:sz w:val="24"/>
        </w:rPr>
        <w:t>5.1</w:t>
      </w:r>
      <w:r w:rsidR="002A0FA2" w:rsidRPr="00A3398F">
        <w:rPr>
          <w:rFonts w:eastAsiaTheme="minorEastAsia"/>
          <w:b/>
          <w:color w:val="000000" w:themeColor="text1"/>
          <w:kern w:val="0"/>
          <w:sz w:val="24"/>
        </w:rPr>
        <w:t>0</w:t>
      </w:r>
      <w:r w:rsidR="0076518F" w:rsidRPr="00A3398F">
        <w:rPr>
          <w:rFonts w:eastAsiaTheme="minorEastAsia"/>
          <w:b/>
          <w:color w:val="000000" w:themeColor="text1"/>
          <w:kern w:val="0"/>
          <w:sz w:val="24"/>
        </w:rPr>
        <w:t xml:space="preserve">.5 </w:t>
      </w:r>
      <w:r w:rsidR="0076518F" w:rsidRPr="00A3398F">
        <w:rPr>
          <w:rFonts w:eastAsiaTheme="minorEastAsia"/>
          <w:b/>
          <w:color w:val="000000" w:themeColor="text1"/>
          <w:kern w:val="0"/>
          <w:sz w:val="24"/>
        </w:rPr>
        <w:t>报告期末前十名股票中存在流通受限情况的说明</w:t>
      </w:r>
    </w:p>
    <w:p w14:paraId="7480617A" w14:textId="77777777" w:rsidR="000A55BD" w:rsidRPr="00A3398F" w:rsidRDefault="000A55BD" w:rsidP="002236BC">
      <w:pPr>
        <w:autoSpaceDE w:val="0"/>
        <w:autoSpaceDN w:val="0"/>
        <w:adjustRightInd w:val="0"/>
        <w:spacing w:line="360" w:lineRule="auto"/>
        <w:jc w:val="left"/>
        <w:rPr>
          <w:rFonts w:eastAsiaTheme="minorEastAsia"/>
          <w:color w:val="000000" w:themeColor="text1"/>
          <w:szCs w:val="21"/>
        </w:rPr>
      </w:pPr>
      <w:r w:rsidRPr="00A3398F">
        <w:rPr>
          <w:rFonts w:eastAsiaTheme="minorEastAsia"/>
          <w:color w:val="000000" w:themeColor="text1"/>
          <w:szCs w:val="21"/>
        </w:rPr>
        <w:t>本基金本报告期末前十名股票中不存在流通受限情况。</w:t>
      </w:r>
    </w:p>
    <w:p w14:paraId="7C286A52" w14:textId="77777777" w:rsidR="000E3B88" w:rsidRPr="00A3398F" w:rsidRDefault="000E3B88" w:rsidP="002236BC">
      <w:pPr>
        <w:autoSpaceDE w:val="0"/>
        <w:autoSpaceDN w:val="0"/>
        <w:adjustRightInd w:val="0"/>
        <w:spacing w:line="360" w:lineRule="auto"/>
        <w:jc w:val="left"/>
        <w:rPr>
          <w:rFonts w:eastAsiaTheme="minorEastAsia"/>
          <w:color w:val="000000" w:themeColor="text1"/>
          <w:sz w:val="24"/>
        </w:rPr>
      </w:pPr>
    </w:p>
    <w:p w14:paraId="3583C64C" w14:textId="77777777" w:rsidR="0076518F" w:rsidRPr="00A3398F" w:rsidRDefault="008C71EB" w:rsidP="00EC4BA3">
      <w:pPr>
        <w:autoSpaceDE w:val="0"/>
        <w:autoSpaceDN w:val="0"/>
        <w:adjustRightInd w:val="0"/>
        <w:spacing w:line="360" w:lineRule="auto"/>
        <w:jc w:val="left"/>
        <w:rPr>
          <w:rFonts w:eastAsiaTheme="minorEastAsia"/>
          <w:b/>
          <w:color w:val="000000" w:themeColor="text1"/>
          <w:kern w:val="0"/>
          <w:sz w:val="24"/>
        </w:rPr>
      </w:pPr>
      <w:r w:rsidRPr="00A3398F">
        <w:rPr>
          <w:rFonts w:eastAsiaTheme="minorEastAsia"/>
          <w:b/>
          <w:color w:val="000000" w:themeColor="text1"/>
          <w:kern w:val="0"/>
          <w:sz w:val="24"/>
        </w:rPr>
        <w:t>5.1</w:t>
      </w:r>
      <w:r w:rsidR="002A0FA2" w:rsidRPr="00A3398F">
        <w:rPr>
          <w:rFonts w:eastAsiaTheme="minorEastAsia"/>
          <w:b/>
          <w:color w:val="000000" w:themeColor="text1"/>
          <w:kern w:val="0"/>
          <w:sz w:val="24"/>
        </w:rPr>
        <w:t>0</w:t>
      </w:r>
      <w:r w:rsidR="0076518F" w:rsidRPr="00A3398F">
        <w:rPr>
          <w:rFonts w:eastAsiaTheme="minorEastAsia"/>
          <w:b/>
          <w:color w:val="000000" w:themeColor="text1"/>
          <w:kern w:val="0"/>
          <w:sz w:val="24"/>
        </w:rPr>
        <w:t>.6</w:t>
      </w:r>
      <w:r w:rsidR="001C46E1" w:rsidRPr="00A3398F">
        <w:rPr>
          <w:rFonts w:eastAsiaTheme="minorEastAsia"/>
          <w:b/>
          <w:color w:val="000000" w:themeColor="text1"/>
          <w:kern w:val="0"/>
          <w:sz w:val="24"/>
        </w:rPr>
        <w:t>投资组合报告附注的其他文字描述部分</w:t>
      </w:r>
    </w:p>
    <w:p w14:paraId="1B5B2ADA" w14:textId="77777777" w:rsidR="000A55BD" w:rsidRPr="00A3398F" w:rsidRDefault="000A55BD" w:rsidP="009E3391">
      <w:pPr>
        <w:spacing w:line="360" w:lineRule="auto"/>
        <w:ind w:firstLineChars="200" w:firstLine="420"/>
        <w:rPr>
          <w:rFonts w:eastAsiaTheme="minorEastAsia"/>
          <w:color w:val="000000" w:themeColor="text1"/>
          <w:szCs w:val="21"/>
        </w:rPr>
      </w:pPr>
      <w:r w:rsidRPr="00A3398F">
        <w:rPr>
          <w:rFonts w:eastAsiaTheme="minorEastAsia"/>
          <w:color w:val="000000" w:themeColor="text1"/>
          <w:szCs w:val="21"/>
        </w:rPr>
        <w:t>因四舍五入原因，投资组合报告中分项之和与合计可能存在尾差。</w:t>
      </w:r>
    </w:p>
    <w:p w14:paraId="1387AD7D" w14:textId="77777777" w:rsidR="0076518F" w:rsidRPr="00A3398F" w:rsidRDefault="0076518F" w:rsidP="009E705F">
      <w:pPr>
        <w:pStyle w:val="1"/>
        <w:spacing w:beforeLines="100" w:before="312" w:afterLines="100" w:after="312" w:line="360" w:lineRule="auto"/>
        <w:jc w:val="center"/>
        <w:rPr>
          <w:rFonts w:eastAsiaTheme="minorEastAsia"/>
          <w:color w:val="000000" w:themeColor="text1"/>
          <w:kern w:val="0"/>
          <w:sz w:val="24"/>
          <w:szCs w:val="24"/>
        </w:rPr>
      </w:pPr>
      <w:r w:rsidRPr="00A3398F">
        <w:rPr>
          <w:rFonts w:eastAsiaTheme="minorEastAsia"/>
          <w:color w:val="000000" w:themeColor="text1"/>
          <w:kern w:val="0"/>
          <w:sz w:val="24"/>
          <w:szCs w:val="24"/>
        </w:rPr>
        <w:t xml:space="preserve">§6  </w:t>
      </w:r>
      <w:r w:rsidRPr="00A3398F">
        <w:rPr>
          <w:rFonts w:eastAsiaTheme="minorEastAsia"/>
          <w:color w:val="000000" w:themeColor="text1"/>
          <w:kern w:val="0"/>
          <w:sz w:val="24"/>
          <w:szCs w:val="24"/>
        </w:rPr>
        <w:t>开放式基金份额变动</w:t>
      </w:r>
    </w:p>
    <w:p w14:paraId="5717420A" w14:textId="77777777" w:rsidR="0076518F" w:rsidRPr="00A3398F" w:rsidRDefault="0076518F" w:rsidP="008B6A4A">
      <w:pPr>
        <w:autoSpaceDE w:val="0"/>
        <w:autoSpaceDN w:val="0"/>
        <w:adjustRightInd w:val="0"/>
        <w:spacing w:before="29" w:line="360" w:lineRule="auto"/>
        <w:ind w:left="15"/>
        <w:jc w:val="right"/>
        <w:rPr>
          <w:rFonts w:eastAsiaTheme="minorEastAsia"/>
          <w:color w:val="000000" w:themeColor="text1"/>
          <w:kern w:val="0"/>
          <w:szCs w:val="21"/>
        </w:rPr>
      </w:pPr>
      <w:r w:rsidRPr="00A3398F">
        <w:rPr>
          <w:rFonts w:eastAsiaTheme="minorEastAsia"/>
          <w:color w:val="000000" w:themeColor="text1"/>
          <w:kern w:val="0"/>
          <w:szCs w:val="21"/>
        </w:rPr>
        <w:t>单位：份</w:t>
      </w:r>
    </w:p>
    <w:tbl>
      <w:tblPr>
        <w:tblW w:w="8634" w:type="dxa"/>
        <w:tblInd w:w="108" w:type="dxa"/>
        <w:tblLayout w:type="fixed"/>
        <w:tblLook w:val="0000" w:firstRow="0" w:lastRow="0" w:firstColumn="0" w:lastColumn="0" w:noHBand="0" w:noVBand="0"/>
      </w:tblPr>
      <w:tblGrid>
        <w:gridCol w:w="3900"/>
        <w:gridCol w:w="2367"/>
        <w:gridCol w:w="2367"/>
      </w:tblGrid>
      <w:tr w:rsidR="00225051" w:rsidRPr="00A3398F" w14:paraId="4920B53D" w14:textId="77777777" w:rsidTr="00225051">
        <w:tc>
          <w:tcPr>
            <w:tcW w:w="3900" w:type="dxa"/>
            <w:tcBorders>
              <w:top w:val="single" w:sz="8" w:space="0" w:color="000000"/>
              <w:left w:val="single" w:sz="8" w:space="0" w:color="000000"/>
              <w:bottom w:val="single" w:sz="8" w:space="0" w:color="000000"/>
              <w:right w:val="single" w:sz="8" w:space="0" w:color="000000"/>
            </w:tcBorders>
            <w:vAlign w:val="center"/>
          </w:tcPr>
          <w:p w14:paraId="324D6B3A" w14:textId="77777777" w:rsidR="00225051" w:rsidRPr="00A3398F" w:rsidRDefault="00225051" w:rsidP="00845292">
            <w:pPr>
              <w:autoSpaceDE w:val="0"/>
              <w:autoSpaceDN w:val="0"/>
              <w:adjustRightInd w:val="0"/>
              <w:spacing w:before="29" w:line="360" w:lineRule="auto"/>
              <w:ind w:left="17"/>
              <w:jc w:val="center"/>
              <w:rPr>
                <w:rFonts w:eastAsiaTheme="minorEastAsia"/>
                <w:color w:val="000000" w:themeColor="text1"/>
                <w:kern w:val="0"/>
                <w:szCs w:val="21"/>
              </w:rPr>
            </w:pPr>
            <w:r w:rsidRPr="00A3398F">
              <w:rPr>
                <w:rFonts w:eastAsiaTheme="minorEastAsia"/>
                <w:color w:val="000000" w:themeColor="text1"/>
                <w:kern w:val="0"/>
                <w:szCs w:val="21"/>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14:paraId="5F1751A2" w14:textId="77777777" w:rsidR="00225051" w:rsidRPr="00A3398F" w:rsidRDefault="00225051" w:rsidP="00845292">
            <w:pPr>
              <w:autoSpaceDE w:val="0"/>
              <w:autoSpaceDN w:val="0"/>
              <w:adjustRightInd w:val="0"/>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摩根海外稳健配置混合</w:t>
            </w:r>
            <w:r w:rsidRPr="00A3398F">
              <w:rPr>
                <w:rFonts w:eastAsiaTheme="minorEastAsia"/>
                <w:color w:val="000000" w:themeColor="text1"/>
                <w:szCs w:val="21"/>
              </w:rPr>
              <w:t>(QDII-FOF)</w:t>
            </w:r>
            <w:r w:rsidRPr="00A3398F">
              <w:rPr>
                <w:rFonts w:eastAsiaTheme="minorEastAsia"/>
                <w:color w:val="000000" w:themeColor="text1"/>
                <w:szCs w:val="21"/>
              </w:rPr>
              <w:t>人民币</w:t>
            </w:r>
            <w:r w:rsidRPr="00A3398F">
              <w:rPr>
                <w:rFonts w:eastAsiaTheme="minorEastAsia"/>
                <w:color w:val="000000" w:themeColor="text1"/>
                <w:szCs w:val="21"/>
              </w:rPr>
              <w:t>A</w:t>
            </w:r>
          </w:p>
        </w:tc>
        <w:tc>
          <w:tcPr>
            <w:tcW w:w="2367" w:type="dxa"/>
            <w:tcBorders>
              <w:top w:val="single" w:sz="8" w:space="0" w:color="000000"/>
              <w:left w:val="single" w:sz="8" w:space="0" w:color="000000"/>
              <w:bottom w:val="single" w:sz="8" w:space="0" w:color="000000"/>
              <w:right w:val="single" w:sz="8" w:space="0" w:color="000000"/>
            </w:tcBorders>
            <w:vAlign w:val="center"/>
          </w:tcPr>
          <w:p w14:paraId="1CA38B38" w14:textId="77777777" w:rsidR="00225051" w:rsidRPr="00A3398F" w:rsidRDefault="00225051" w:rsidP="00845292">
            <w:pPr>
              <w:autoSpaceDE w:val="0"/>
              <w:autoSpaceDN w:val="0"/>
              <w:adjustRightInd w:val="0"/>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摩根海外稳健配置混合</w:t>
            </w:r>
            <w:r w:rsidRPr="00A3398F">
              <w:rPr>
                <w:rFonts w:eastAsiaTheme="minorEastAsia"/>
                <w:color w:val="000000" w:themeColor="text1"/>
                <w:szCs w:val="21"/>
              </w:rPr>
              <w:t>(QDII-FOF)</w:t>
            </w:r>
            <w:r w:rsidRPr="00A3398F">
              <w:rPr>
                <w:rFonts w:eastAsiaTheme="minorEastAsia"/>
                <w:color w:val="000000" w:themeColor="text1"/>
                <w:szCs w:val="21"/>
              </w:rPr>
              <w:t>人民币</w:t>
            </w:r>
            <w:r w:rsidRPr="00A3398F">
              <w:rPr>
                <w:rFonts w:eastAsiaTheme="minorEastAsia"/>
                <w:color w:val="000000" w:themeColor="text1"/>
                <w:szCs w:val="21"/>
              </w:rPr>
              <w:t>C</w:t>
            </w:r>
          </w:p>
        </w:tc>
      </w:tr>
      <w:tr w:rsidR="00225051" w:rsidRPr="00A3398F" w14:paraId="66F37DF4" w14:textId="77777777" w:rsidTr="00225051">
        <w:tc>
          <w:tcPr>
            <w:tcW w:w="3900" w:type="dxa"/>
            <w:tcBorders>
              <w:top w:val="single" w:sz="8" w:space="0" w:color="000000"/>
              <w:left w:val="single" w:sz="8" w:space="0" w:color="000000"/>
              <w:bottom w:val="single" w:sz="8" w:space="0" w:color="000000"/>
              <w:right w:val="single" w:sz="8" w:space="0" w:color="000000"/>
            </w:tcBorders>
            <w:vAlign w:val="center"/>
          </w:tcPr>
          <w:p w14:paraId="06D5D375" w14:textId="77777777" w:rsidR="00225051" w:rsidRPr="00A3398F" w:rsidRDefault="00225051" w:rsidP="00845292">
            <w:pPr>
              <w:autoSpaceDE w:val="0"/>
              <w:autoSpaceDN w:val="0"/>
              <w:adjustRightInd w:val="0"/>
              <w:spacing w:before="29" w:line="360" w:lineRule="auto"/>
              <w:ind w:left="17"/>
              <w:jc w:val="left"/>
              <w:rPr>
                <w:rFonts w:eastAsiaTheme="minorEastAsia"/>
                <w:color w:val="000000" w:themeColor="text1"/>
                <w:kern w:val="0"/>
                <w:szCs w:val="21"/>
              </w:rPr>
            </w:pPr>
            <w:r w:rsidRPr="00A3398F">
              <w:rPr>
                <w:rFonts w:eastAsiaTheme="minorEastAsia"/>
                <w:color w:val="000000" w:themeColor="text1"/>
                <w:kern w:val="0"/>
                <w:szCs w:val="21"/>
              </w:rPr>
              <w:t>本报告期期初基金份额总额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14:paraId="541DF15D" w14:textId="77777777" w:rsidR="00225051" w:rsidRPr="00A3398F" w:rsidRDefault="00225051" w:rsidP="00845292">
            <w:pPr>
              <w:autoSpaceDE w:val="0"/>
              <w:autoSpaceDN w:val="0"/>
              <w:adjustRightInd w:val="0"/>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1,245,326,897.55</w:t>
            </w:r>
          </w:p>
        </w:tc>
        <w:tc>
          <w:tcPr>
            <w:tcW w:w="2367" w:type="dxa"/>
            <w:tcBorders>
              <w:top w:val="single" w:sz="8" w:space="0" w:color="000000"/>
              <w:left w:val="single" w:sz="8" w:space="0" w:color="000000"/>
              <w:bottom w:val="single" w:sz="8" w:space="0" w:color="000000"/>
              <w:right w:val="single" w:sz="8" w:space="0" w:color="000000"/>
            </w:tcBorders>
            <w:vAlign w:val="center"/>
          </w:tcPr>
          <w:p w14:paraId="1BC17007" w14:textId="77777777" w:rsidR="00225051" w:rsidRPr="00A3398F" w:rsidRDefault="00225051" w:rsidP="00845292">
            <w:pPr>
              <w:autoSpaceDE w:val="0"/>
              <w:autoSpaceDN w:val="0"/>
              <w:adjustRightInd w:val="0"/>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42,081,575.99</w:t>
            </w:r>
          </w:p>
        </w:tc>
      </w:tr>
      <w:tr w:rsidR="00225051" w:rsidRPr="00A3398F" w14:paraId="6B214069" w14:textId="77777777" w:rsidTr="00225051">
        <w:tc>
          <w:tcPr>
            <w:tcW w:w="3900" w:type="dxa"/>
            <w:tcBorders>
              <w:top w:val="single" w:sz="8" w:space="0" w:color="000000"/>
              <w:left w:val="single" w:sz="8" w:space="0" w:color="000000"/>
              <w:bottom w:val="single" w:sz="8" w:space="0" w:color="000000"/>
              <w:right w:val="single" w:sz="8" w:space="0" w:color="000000"/>
            </w:tcBorders>
            <w:vAlign w:val="center"/>
          </w:tcPr>
          <w:p w14:paraId="2633E96F" w14:textId="77777777" w:rsidR="00225051" w:rsidRPr="00A3398F" w:rsidRDefault="00225051" w:rsidP="00845292">
            <w:pPr>
              <w:autoSpaceDE w:val="0"/>
              <w:autoSpaceDN w:val="0"/>
              <w:adjustRightInd w:val="0"/>
              <w:spacing w:before="29" w:line="360" w:lineRule="auto"/>
              <w:ind w:left="17"/>
              <w:jc w:val="left"/>
              <w:rPr>
                <w:rFonts w:eastAsiaTheme="minorEastAsia"/>
                <w:color w:val="000000" w:themeColor="text1"/>
                <w:kern w:val="0"/>
                <w:szCs w:val="21"/>
              </w:rPr>
            </w:pPr>
            <w:r w:rsidRPr="00A3398F">
              <w:rPr>
                <w:rFonts w:eastAsiaTheme="minorEastAsia"/>
                <w:color w:val="000000" w:themeColor="text1"/>
                <w:kern w:val="0"/>
                <w:szCs w:val="21"/>
              </w:rPr>
              <w:t>报告期期间基金总申购份额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14:paraId="308F2177" w14:textId="77777777" w:rsidR="00225051" w:rsidRPr="00A3398F" w:rsidRDefault="00225051" w:rsidP="00845292">
            <w:pPr>
              <w:autoSpaceDE w:val="0"/>
              <w:autoSpaceDN w:val="0"/>
              <w:adjustRightInd w:val="0"/>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372,261,670.69</w:t>
            </w:r>
          </w:p>
        </w:tc>
        <w:tc>
          <w:tcPr>
            <w:tcW w:w="2367" w:type="dxa"/>
            <w:tcBorders>
              <w:top w:val="single" w:sz="8" w:space="0" w:color="000000"/>
              <w:left w:val="single" w:sz="8" w:space="0" w:color="000000"/>
              <w:bottom w:val="single" w:sz="8" w:space="0" w:color="000000"/>
              <w:right w:val="single" w:sz="8" w:space="0" w:color="000000"/>
            </w:tcBorders>
            <w:vAlign w:val="center"/>
          </w:tcPr>
          <w:p w14:paraId="7E039969" w14:textId="77777777" w:rsidR="00225051" w:rsidRPr="00A3398F" w:rsidRDefault="00225051" w:rsidP="00845292">
            <w:pPr>
              <w:autoSpaceDE w:val="0"/>
              <w:autoSpaceDN w:val="0"/>
              <w:adjustRightInd w:val="0"/>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152,483,139.83</w:t>
            </w:r>
          </w:p>
        </w:tc>
      </w:tr>
      <w:tr w:rsidR="00225051" w:rsidRPr="00A3398F" w14:paraId="4579FFEE" w14:textId="77777777" w:rsidTr="00225051">
        <w:tc>
          <w:tcPr>
            <w:tcW w:w="3900" w:type="dxa"/>
            <w:tcBorders>
              <w:top w:val="single" w:sz="8" w:space="0" w:color="000000"/>
              <w:left w:val="single" w:sz="8" w:space="0" w:color="000000"/>
              <w:bottom w:val="single" w:sz="8" w:space="0" w:color="000000"/>
              <w:right w:val="single" w:sz="8" w:space="0" w:color="000000"/>
            </w:tcBorders>
            <w:vAlign w:val="center"/>
          </w:tcPr>
          <w:p w14:paraId="75B0F24E" w14:textId="77777777" w:rsidR="00225051" w:rsidRPr="00A3398F" w:rsidRDefault="00225051" w:rsidP="00845292">
            <w:pPr>
              <w:autoSpaceDE w:val="0"/>
              <w:autoSpaceDN w:val="0"/>
              <w:adjustRightInd w:val="0"/>
              <w:spacing w:before="29" w:line="360" w:lineRule="auto"/>
              <w:ind w:left="17"/>
              <w:jc w:val="left"/>
              <w:rPr>
                <w:rFonts w:eastAsiaTheme="minorEastAsia"/>
                <w:color w:val="000000" w:themeColor="text1"/>
                <w:kern w:val="0"/>
                <w:szCs w:val="21"/>
              </w:rPr>
            </w:pPr>
            <w:r w:rsidRPr="00A3398F">
              <w:rPr>
                <w:rFonts w:eastAsiaTheme="minorEastAsia"/>
                <w:color w:val="000000" w:themeColor="text1"/>
                <w:kern w:val="0"/>
                <w:szCs w:val="21"/>
              </w:rPr>
              <w:t>减：报告期期间基金总赎回份额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14:paraId="204C8569" w14:textId="77777777" w:rsidR="00225051" w:rsidRPr="00A3398F" w:rsidRDefault="00225051" w:rsidP="00845292">
            <w:pPr>
              <w:autoSpaceDE w:val="0"/>
              <w:autoSpaceDN w:val="0"/>
              <w:adjustRightInd w:val="0"/>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295,946,914.21</w:t>
            </w:r>
          </w:p>
        </w:tc>
        <w:tc>
          <w:tcPr>
            <w:tcW w:w="2367" w:type="dxa"/>
            <w:tcBorders>
              <w:top w:val="single" w:sz="8" w:space="0" w:color="000000"/>
              <w:left w:val="single" w:sz="8" w:space="0" w:color="000000"/>
              <w:bottom w:val="single" w:sz="8" w:space="0" w:color="000000"/>
              <w:right w:val="single" w:sz="8" w:space="0" w:color="000000"/>
            </w:tcBorders>
            <w:vAlign w:val="center"/>
          </w:tcPr>
          <w:p w14:paraId="32A6D65A" w14:textId="77777777" w:rsidR="00225051" w:rsidRPr="00A3398F" w:rsidRDefault="00225051" w:rsidP="00845292">
            <w:pPr>
              <w:autoSpaceDE w:val="0"/>
              <w:autoSpaceDN w:val="0"/>
              <w:adjustRightInd w:val="0"/>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48,248,893.27</w:t>
            </w:r>
          </w:p>
        </w:tc>
      </w:tr>
      <w:tr w:rsidR="00225051" w:rsidRPr="00A3398F" w14:paraId="062096D1" w14:textId="77777777" w:rsidTr="00225051">
        <w:tc>
          <w:tcPr>
            <w:tcW w:w="3900" w:type="dxa"/>
            <w:tcBorders>
              <w:top w:val="single" w:sz="8" w:space="0" w:color="000000"/>
              <w:left w:val="single" w:sz="8" w:space="0" w:color="000000"/>
              <w:bottom w:val="single" w:sz="8" w:space="0" w:color="000000"/>
              <w:right w:val="single" w:sz="8" w:space="0" w:color="000000"/>
            </w:tcBorders>
            <w:vAlign w:val="center"/>
          </w:tcPr>
          <w:p w14:paraId="745C2101" w14:textId="77777777" w:rsidR="00225051" w:rsidRPr="00A3398F" w:rsidRDefault="00225051" w:rsidP="00845292">
            <w:pPr>
              <w:autoSpaceDE w:val="0"/>
              <w:autoSpaceDN w:val="0"/>
              <w:adjustRightInd w:val="0"/>
              <w:spacing w:before="29" w:line="360" w:lineRule="auto"/>
              <w:ind w:left="17"/>
              <w:jc w:val="left"/>
              <w:rPr>
                <w:rFonts w:eastAsiaTheme="minorEastAsia"/>
                <w:color w:val="000000" w:themeColor="text1"/>
                <w:kern w:val="0"/>
                <w:szCs w:val="21"/>
              </w:rPr>
            </w:pPr>
            <w:r w:rsidRPr="00A3398F">
              <w:rPr>
                <w:rFonts w:eastAsiaTheme="minorEastAsia"/>
                <w:color w:val="000000" w:themeColor="text1"/>
                <w:kern w:val="0"/>
                <w:szCs w:val="21"/>
              </w:rPr>
              <w:t>报告期期间基金拆分变动份额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14:paraId="0D6B1183" w14:textId="77777777" w:rsidR="00225051" w:rsidRPr="00A3398F" w:rsidRDefault="00225051" w:rsidP="00845292">
            <w:pPr>
              <w:autoSpaceDE w:val="0"/>
              <w:autoSpaceDN w:val="0"/>
              <w:adjustRightInd w:val="0"/>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w:t>
            </w:r>
          </w:p>
        </w:tc>
        <w:tc>
          <w:tcPr>
            <w:tcW w:w="2367" w:type="dxa"/>
            <w:tcBorders>
              <w:top w:val="single" w:sz="8" w:space="0" w:color="000000"/>
              <w:left w:val="single" w:sz="8" w:space="0" w:color="000000"/>
              <w:bottom w:val="single" w:sz="8" w:space="0" w:color="000000"/>
              <w:right w:val="single" w:sz="8" w:space="0" w:color="000000"/>
            </w:tcBorders>
            <w:vAlign w:val="center"/>
          </w:tcPr>
          <w:p w14:paraId="5F8B82AA" w14:textId="77777777" w:rsidR="00225051" w:rsidRPr="00A3398F" w:rsidRDefault="00225051" w:rsidP="00845292">
            <w:pPr>
              <w:autoSpaceDE w:val="0"/>
              <w:autoSpaceDN w:val="0"/>
              <w:adjustRightInd w:val="0"/>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w:t>
            </w:r>
          </w:p>
        </w:tc>
      </w:tr>
      <w:tr w:rsidR="00225051" w:rsidRPr="00A3398F" w14:paraId="40C7F1FF" w14:textId="77777777" w:rsidTr="00225051">
        <w:tc>
          <w:tcPr>
            <w:tcW w:w="3900" w:type="dxa"/>
            <w:tcBorders>
              <w:top w:val="single" w:sz="8" w:space="0" w:color="000000"/>
              <w:left w:val="single" w:sz="8" w:space="0" w:color="000000"/>
              <w:bottom w:val="single" w:sz="8" w:space="0" w:color="000000"/>
              <w:right w:val="single" w:sz="8" w:space="0" w:color="000000"/>
            </w:tcBorders>
            <w:vAlign w:val="center"/>
          </w:tcPr>
          <w:p w14:paraId="2B468859" w14:textId="77777777" w:rsidR="00225051" w:rsidRPr="00A3398F" w:rsidRDefault="00225051" w:rsidP="00845292">
            <w:pPr>
              <w:autoSpaceDE w:val="0"/>
              <w:autoSpaceDN w:val="0"/>
              <w:adjustRightInd w:val="0"/>
              <w:spacing w:before="29" w:line="360" w:lineRule="auto"/>
              <w:ind w:left="17"/>
              <w:jc w:val="left"/>
              <w:rPr>
                <w:rFonts w:eastAsiaTheme="minorEastAsia"/>
                <w:color w:val="000000" w:themeColor="text1"/>
                <w:kern w:val="0"/>
                <w:szCs w:val="21"/>
              </w:rPr>
            </w:pPr>
            <w:r w:rsidRPr="00A3398F">
              <w:rPr>
                <w:rFonts w:eastAsiaTheme="minorEastAsia"/>
                <w:color w:val="000000" w:themeColor="text1"/>
                <w:kern w:val="0"/>
                <w:szCs w:val="21"/>
              </w:rPr>
              <w:t>本报告期期末基金份额总额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14:paraId="4BE98F8E" w14:textId="77777777" w:rsidR="00225051" w:rsidRPr="00A3398F" w:rsidRDefault="00225051" w:rsidP="00845292">
            <w:pPr>
              <w:autoSpaceDE w:val="0"/>
              <w:autoSpaceDN w:val="0"/>
              <w:adjustRightInd w:val="0"/>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1,321,641,654.03</w:t>
            </w:r>
          </w:p>
        </w:tc>
        <w:tc>
          <w:tcPr>
            <w:tcW w:w="2367" w:type="dxa"/>
            <w:tcBorders>
              <w:top w:val="single" w:sz="8" w:space="0" w:color="000000"/>
              <w:left w:val="single" w:sz="8" w:space="0" w:color="000000"/>
              <w:bottom w:val="single" w:sz="8" w:space="0" w:color="000000"/>
              <w:right w:val="single" w:sz="8" w:space="0" w:color="000000"/>
            </w:tcBorders>
            <w:vAlign w:val="center"/>
          </w:tcPr>
          <w:p w14:paraId="5A351087" w14:textId="77777777" w:rsidR="00225051" w:rsidRPr="00A3398F" w:rsidRDefault="00225051" w:rsidP="00845292">
            <w:pPr>
              <w:autoSpaceDE w:val="0"/>
              <w:autoSpaceDN w:val="0"/>
              <w:adjustRightInd w:val="0"/>
              <w:spacing w:before="29" w:line="360" w:lineRule="auto"/>
              <w:ind w:left="17"/>
              <w:jc w:val="right"/>
              <w:rPr>
                <w:rFonts w:eastAsiaTheme="minorEastAsia"/>
                <w:color w:val="000000" w:themeColor="text1"/>
                <w:szCs w:val="21"/>
              </w:rPr>
            </w:pPr>
            <w:r w:rsidRPr="00A3398F">
              <w:rPr>
                <w:rFonts w:eastAsiaTheme="minorEastAsia"/>
                <w:color w:val="000000" w:themeColor="text1"/>
                <w:szCs w:val="21"/>
              </w:rPr>
              <w:t>146,315,822.55</w:t>
            </w:r>
          </w:p>
        </w:tc>
      </w:tr>
    </w:tbl>
    <w:p w14:paraId="519B8D24" w14:textId="77777777" w:rsidR="00BB5F3D" w:rsidRPr="00A3398F" w:rsidRDefault="00BB5F3D" w:rsidP="009E705F">
      <w:pPr>
        <w:pStyle w:val="1"/>
        <w:tabs>
          <w:tab w:val="center" w:pos="4156"/>
          <w:tab w:val="right" w:pos="8312"/>
        </w:tabs>
        <w:spacing w:beforeLines="100" w:before="312" w:afterLines="100" w:after="312" w:line="360" w:lineRule="auto"/>
        <w:jc w:val="center"/>
        <w:rPr>
          <w:color w:val="000000" w:themeColor="text1"/>
          <w:sz w:val="24"/>
          <w:szCs w:val="24"/>
        </w:rPr>
      </w:pPr>
      <w:r w:rsidRPr="00A3398F">
        <w:rPr>
          <w:rFonts w:eastAsiaTheme="minorEastAsia"/>
          <w:color w:val="000000" w:themeColor="text1"/>
          <w:kern w:val="0"/>
          <w:sz w:val="24"/>
          <w:szCs w:val="24"/>
        </w:rPr>
        <w:t xml:space="preserve">§7  </w:t>
      </w:r>
      <w:r w:rsidRPr="00A3398F">
        <w:rPr>
          <w:color w:val="000000" w:themeColor="text1"/>
          <w:sz w:val="24"/>
          <w:szCs w:val="24"/>
        </w:rPr>
        <w:t>基金管理人运用固有资金投资本基金情况</w:t>
      </w:r>
    </w:p>
    <w:p w14:paraId="57827F2F" w14:textId="77777777" w:rsidR="00D678E4" w:rsidRPr="00B76BBB" w:rsidRDefault="00D678E4" w:rsidP="00D678E4">
      <w:pPr>
        <w:spacing w:line="360" w:lineRule="auto"/>
        <w:jc w:val="left"/>
        <w:rPr>
          <w:sz w:val="24"/>
        </w:rPr>
      </w:pPr>
      <w:r>
        <w:rPr>
          <w:b/>
          <w:sz w:val="24"/>
        </w:rPr>
        <w:t xml:space="preserve">7.1 </w:t>
      </w:r>
      <w:r>
        <w:rPr>
          <w:rFonts w:hint="eastAsia"/>
          <w:b/>
          <w:sz w:val="24"/>
        </w:rPr>
        <w:t>基</w:t>
      </w:r>
      <w:r w:rsidRPr="00B404F1">
        <w:rPr>
          <w:rFonts w:hint="eastAsia"/>
          <w:b/>
          <w:sz w:val="24"/>
        </w:rPr>
        <w:t>金管理人持有本基金份额变动情况</w:t>
      </w:r>
    </w:p>
    <w:p w14:paraId="44561780" w14:textId="77777777" w:rsidR="00D678E4" w:rsidRPr="00266D4B" w:rsidRDefault="00D678E4" w:rsidP="00D678E4">
      <w:pPr>
        <w:autoSpaceDE w:val="0"/>
        <w:autoSpaceDN w:val="0"/>
        <w:adjustRightInd w:val="0"/>
        <w:spacing w:before="29" w:line="288" w:lineRule="auto"/>
        <w:ind w:left="15" w:right="480"/>
        <w:jc w:val="right"/>
        <w:rPr>
          <w:color w:val="000000"/>
          <w:kern w:val="0"/>
          <w:sz w:val="24"/>
        </w:rPr>
      </w:pPr>
      <w:r w:rsidRPr="00266D4B">
        <w:rPr>
          <w:color w:val="000000"/>
          <w:kern w:val="0"/>
          <w:sz w:val="24"/>
        </w:rPr>
        <w:lastRenderedPageBreak/>
        <w:t>单位：份</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7"/>
        <w:gridCol w:w="2616"/>
        <w:gridCol w:w="2631"/>
      </w:tblGrid>
      <w:tr w:rsidR="00D678E4" w:rsidRPr="00E90B39" w14:paraId="4CAEE77D" w14:textId="77777777" w:rsidTr="00D769A5">
        <w:trPr>
          <w:trHeight w:val="248"/>
        </w:trPr>
        <w:tc>
          <w:tcPr>
            <w:tcW w:w="3167" w:type="dxa"/>
            <w:vAlign w:val="center"/>
          </w:tcPr>
          <w:p w14:paraId="35D052C8" w14:textId="77777777" w:rsidR="00D678E4" w:rsidRPr="00FA472B" w:rsidRDefault="00D678E4" w:rsidP="00D769A5">
            <w:pPr>
              <w:autoSpaceDE w:val="0"/>
              <w:autoSpaceDN w:val="0"/>
              <w:adjustRightInd w:val="0"/>
              <w:spacing w:before="29" w:line="360" w:lineRule="auto"/>
              <w:ind w:left="15"/>
              <w:jc w:val="center"/>
              <w:rPr>
                <w:color w:val="000000"/>
                <w:kern w:val="0"/>
                <w:sz w:val="24"/>
              </w:rPr>
            </w:pPr>
            <w:r w:rsidRPr="00FA472B">
              <w:rPr>
                <w:color w:val="000000"/>
                <w:kern w:val="0"/>
                <w:sz w:val="24"/>
              </w:rPr>
              <w:t>项目</w:t>
            </w:r>
          </w:p>
        </w:tc>
        <w:tc>
          <w:tcPr>
            <w:tcW w:w="2616" w:type="dxa"/>
            <w:vAlign w:val="bottom"/>
          </w:tcPr>
          <w:p w14:paraId="14048EDD" w14:textId="77777777" w:rsidR="00D678E4" w:rsidRPr="00FA472B" w:rsidRDefault="00D678E4" w:rsidP="00D769A5">
            <w:pPr>
              <w:jc w:val="center"/>
              <w:rPr>
                <w:sz w:val="24"/>
              </w:rPr>
            </w:pPr>
            <w:r w:rsidRPr="00FA472B">
              <w:rPr>
                <w:sz w:val="24"/>
              </w:rPr>
              <w:t>摩根海外稳健配置混合</w:t>
            </w:r>
            <w:r w:rsidRPr="00FA472B">
              <w:rPr>
                <w:sz w:val="24"/>
              </w:rPr>
              <w:t>(QDII-FOF)</w:t>
            </w:r>
            <w:r w:rsidRPr="00FA472B">
              <w:rPr>
                <w:sz w:val="24"/>
              </w:rPr>
              <w:t>人民币</w:t>
            </w:r>
            <w:r w:rsidRPr="00FA472B">
              <w:rPr>
                <w:sz w:val="24"/>
              </w:rPr>
              <w:t>A</w:t>
            </w:r>
          </w:p>
        </w:tc>
        <w:tc>
          <w:tcPr>
            <w:tcW w:w="2631" w:type="dxa"/>
            <w:vAlign w:val="bottom"/>
          </w:tcPr>
          <w:p w14:paraId="0DE95D59" w14:textId="77777777" w:rsidR="00D678E4" w:rsidRPr="00FA472B" w:rsidRDefault="00D678E4" w:rsidP="00D769A5">
            <w:pPr>
              <w:jc w:val="center"/>
              <w:rPr>
                <w:sz w:val="24"/>
              </w:rPr>
            </w:pPr>
            <w:r w:rsidRPr="00FA472B">
              <w:rPr>
                <w:sz w:val="24"/>
              </w:rPr>
              <w:t>摩根海外稳健配置混合</w:t>
            </w:r>
            <w:r w:rsidRPr="00FA472B">
              <w:rPr>
                <w:sz w:val="24"/>
              </w:rPr>
              <w:t>(QDII-FOF)</w:t>
            </w:r>
            <w:r w:rsidRPr="00FA472B">
              <w:rPr>
                <w:sz w:val="24"/>
              </w:rPr>
              <w:t>人民币</w:t>
            </w:r>
            <w:r w:rsidRPr="00FA472B">
              <w:rPr>
                <w:sz w:val="24"/>
              </w:rPr>
              <w:t>C</w:t>
            </w:r>
          </w:p>
        </w:tc>
      </w:tr>
      <w:tr w:rsidR="00D678E4" w:rsidRPr="00E90B39" w14:paraId="60AAC468" w14:textId="77777777" w:rsidTr="00D769A5">
        <w:trPr>
          <w:trHeight w:val="247"/>
        </w:trPr>
        <w:tc>
          <w:tcPr>
            <w:tcW w:w="3167" w:type="dxa"/>
            <w:vAlign w:val="center"/>
          </w:tcPr>
          <w:p w14:paraId="6CF37D2D" w14:textId="77777777" w:rsidR="00D678E4" w:rsidRPr="00FA472B" w:rsidRDefault="00D678E4" w:rsidP="00D769A5">
            <w:pPr>
              <w:pStyle w:val="af"/>
              <w:adjustRightInd w:val="0"/>
              <w:snapToGrid w:val="0"/>
              <w:spacing w:line="360" w:lineRule="exact"/>
              <w:rPr>
                <w:color w:val="000000"/>
                <w:szCs w:val="24"/>
              </w:rPr>
            </w:pPr>
            <w:r w:rsidRPr="00FA472B">
              <w:rPr>
                <w:color w:val="000000"/>
                <w:szCs w:val="24"/>
              </w:rPr>
              <w:t>报告期期初管理人持有的本基金份额</w:t>
            </w:r>
          </w:p>
        </w:tc>
        <w:tc>
          <w:tcPr>
            <w:tcW w:w="2616" w:type="dxa"/>
            <w:vAlign w:val="center"/>
          </w:tcPr>
          <w:p w14:paraId="54160E39" w14:textId="77777777" w:rsidR="00D678E4" w:rsidRPr="00FA472B" w:rsidRDefault="00D678E4" w:rsidP="00D769A5">
            <w:pPr>
              <w:jc w:val="right"/>
              <w:rPr>
                <w:sz w:val="24"/>
              </w:rPr>
            </w:pPr>
            <w:r w:rsidRPr="00FA472B">
              <w:rPr>
                <w:color w:val="000000"/>
                <w:sz w:val="24"/>
              </w:rPr>
              <w:t>-</w:t>
            </w:r>
          </w:p>
        </w:tc>
        <w:tc>
          <w:tcPr>
            <w:tcW w:w="2631" w:type="dxa"/>
            <w:vAlign w:val="center"/>
          </w:tcPr>
          <w:p w14:paraId="6D2C89AE" w14:textId="77777777" w:rsidR="00D678E4" w:rsidRPr="00FA472B" w:rsidRDefault="00D678E4" w:rsidP="00D769A5">
            <w:pPr>
              <w:jc w:val="right"/>
              <w:rPr>
                <w:sz w:val="24"/>
              </w:rPr>
            </w:pPr>
            <w:r w:rsidRPr="00FA472B">
              <w:rPr>
                <w:color w:val="000000"/>
                <w:sz w:val="24"/>
              </w:rPr>
              <w:t>-</w:t>
            </w:r>
          </w:p>
        </w:tc>
      </w:tr>
      <w:tr w:rsidR="00D678E4" w:rsidRPr="00E90B39" w14:paraId="116103B8" w14:textId="77777777" w:rsidTr="00D769A5">
        <w:tc>
          <w:tcPr>
            <w:tcW w:w="3167" w:type="dxa"/>
            <w:vAlign w:val="center"/>
          </w:tcPr>
          <w:p w14:paraId="123DAEB6" w14:textId="77777777" w:rsidR="00D678E4" w:rsidRPr="00FA472B" w:rsidRDefault="00D678E4" w:rsidP="00D769A5">
            <w:pPr>
              <w:adjustRightInd w:val="0"/>
              <w:snapToGrid w:val="0"/>
              <w:spacing w:line="360" w:lineRule="exact"/>
              <w:rPr>
                <w:color w:val="000000"/>
                <w:sz w:val="24"/>
              </w:rPr>
            </w:pPr>
            <w:r w:rsidRPr="003B42FF">
              <w:rPr>
                <w:rFonts w:eastAsiaTheme="minorEastAsia"/>
                <w:color w:val="000000" w:themeColor="text1"/>
                <w:kern w:val="0"/>
                <w:sz w:val="24"/>
              </w:rPr>
              <w:t>报告期期间</w:t>
            </w:r>
            <w:r w:rsidRPr="00FA472B">
              <w:rPr>
                <w:color w:val="000000"/>
                <w:kern w:val="0"/>
                <w:sz w:val="24"/>
              </w:rPr>
              <w:t>期间</w:t>
            </w:r>
            <w:r w:rsidRPr="00FA472B">
              <w:rPr>
                <w:color w:val="000000"/>
                <w:sz w:val="24"/>
              </w:rPr>
              <w:t>买入</w:t>
            </w:r>
            <w:r w:rsidRPr="00FA472B">
              <w:rPr>
                <w:color w:val="000000"/>
                <w:sz w:val="24"/>
              </w:rPr>
              <w:t>/</w:t>
            </w:r>
            <w:r w:rsidRPr="00FA472B">
              <w:rPr>
                <w:color w:val="000000"/>
                <w:sz w:val="24"/>
              </w:rPr>
              <w:t>申购总份额</w:t>
            </w:r>
          </w:p>
        </w:tc>
        <w:tc>
          <w:tcPr>
            <w:tcW w:w="2616" w:type="dxa"/>
            <w:vAlign w:val="center"/>
          </w:tcPr>
          <w:p w14:paraId="6364494B" w14:textId="77777777" w:rsidR="00D678E4" w:rsidRPr="00FA472B" w:rsidRDefault="00D678E4" w:rsidP="00D769A5">
            <w:pPr>
              <w:jc w:val="right"/>
              <w:rPr>
                <w:color w:val="000000"/>
                <w:kern w:val="0"/>
                <w:sz w:val="24"/>
              </w:rPr>
            </w:pPr>
            <w:r w:rsidRPr="00FA472B">
              <w:rPr>
                <w:color w:val="000000"/>
                <w:sz w:val="24"/>
              </w:rPr>
              <w:t>469,590.36</w:t>
            </w:r>
          </w:p>
        </w:tc>
        <w:tc>
          <w:tcPr>
            <w:tcW w:w="2631" w:type="dxa"/>
            <w:vAlign w:val="center"/>
          </w:tcPr>
          <w:p w14:paraId="195C9F89" w14:textId="77777777" w:rsidR="00D678E4" w:rsidRPr="00FA472B" w:rsidRDefault="00D678E4" w:rsidP="00D769A5">
            <w:pPr>
              <w:jc w:val="right"/>
              <w:rPr>
                <w:color w:val="000000"/>
                <w:kern w:val="0"/>
                <w:sz w:val="24"/>
              </w:rPr>
            </w:pPr>
            <w:r w:rsidRPr="00FA472B">
              <w:rPr>
                <w:color w:val="000000"/>
                <w:sz w:val="24"/>
              </w:rPr>
              <w:t>-</w:t>
            </w:r>
          </w:p>
        </w:tc>
      </w:tr>
      <w:tr w:rsidR="00D678E4" w:rsidRPr="00E90B39" w14:paraId="0A0CA326" w14:textId="77777777" w:rsidTr="00D769A5">
        <w:tc>
          <w:tcPr>
            <w:tcW w:w="3167" w:type="dxa"/>
            <w:vAlign w:val="center"/>
          </w:tcPr>
          <w:p w14:paraId="51D85F1E" w14:textId="77777777" w:rsidR="00D678E4" w:rsidRPr="00FA472B" w:rsidRDefault="00D678E4" w:rsidP="00D769A5">
            <w:pPr>
              <w:adjustRightInd w:val="0"/>
              <w:snapToGrid w:val="0"/>
              <w:spacing w:line="360" w:lineRule="exact"/>
              <w:rPr>
                <w:color w:val="000000"/>
                <w:sz w:val="24"/>
              </w:rPr>
            </w:pPr>
            <w:r w:rsidRPr="003B42FF">
              <w:rPr>
                <w:rFonts w:eastAsiaTheme="minorEastAsia"/>
                <w:color w:val="000000" w:themeColor="text1"/>
                <w:kern w:val="0"/>
                <w:sz w:val="24"/>
              </w:rPr>
              <w:t>报告期期间</w:t>
            </w:r>
            <w:r w:rsidRPr="00FA472B">
              <w:rPr>
                <w:color w:val="000000"/>
                <w:kern w:val="0"/>
                <w:sz w:val="24"/>
              </w:rPr>
              <w:t>期间</w:t>
            </w:r>
            <w:r w:rsidRPr="00FA472B">
              <w:rPr>
                <w:color w:val="000000"/>
                <w:sz w:val="24"/>
              </w:rPr>
              <w:t>卖出</w:t>
            </w:r>
            <w:r w:rsidRPr="00FA472B">
              <w:rPr>
                <w:color w:val="000000"/>
                <w:sz w:val="24"/>
              </w:rPr>
              <w:t>/</w:t>
            </w:r>
            <w:r w:rsidRPr="00FA472B">
              <w:rPr>
                <w:color w:val="000000"/>
                <w:sz w:val="24"/>
              </w:rPr>
              <w:t>赎回总份额</w:t>
            </w:r>
          </w:p>
        </w:tc>
        <w:tc>
          <w:tcPr>
            <w:tcW w:w="2616" w:type="dxa"/>
            <w:vAlign w:val="center"/>
          </w:tcPr>
          <w:p w14:paraId="74C5E15B" w14:textId="77777777" w:rsidR="00D678E4" w:rsidRPr="00FA472B" w:rsidRDefault="00D678E4" w:rsidP="00D769A5">
            <w:pPr>
              <w:jc w:val="right"/>
              <w:rPr>
                <w:color w:val="000000"/>
                <w:kern w:val="0"/>
                <w:sz w:val="24"/>
              </w:rPr>
            </w:pPr>
            <w:r w:rsidRPr="00FA472B">
              <w:rPr>
                <w:color w:val="000000"/>
                <w:sz w:val="24"/>
              </w:rPr>
              <w:t>-</w:t>
            </w:r>
          </w:p>
        </w:tc>
        <w:tc>
          <w:tcPr>
            <w:tcW w:w="2631" w:type="dxa"/>
            <w:vAlign w:val="center"/>
          </w:tcPr>
          <w:p w14:paraId="666349A1" w14:textId="77777777" w:rsidR="00D678E4" w:rsidRPr="00FA472B" w:rsidRDefault="00D678E4" w:rsidP="00D769A5">
            <w:pPr>
              <w:jc w:val="right"/>
              <w:rPr>
                <w:color w:val="000000"/>
                <w:kern w:val="0"/>
                <w:sz w:val="24"/>
              </w:rPr>
            </w:pPr>
            <w:r w:rsidRPr="00FA472B">
              <w:rPr>
                <w:color w:val="000000"/>
                <w:sz w:val="24"/>
              </w:rPr>
              <w:t>-</w:t>
            </w:r>
          </w:p>
        </w:tc>
      </w:tr>
      <w:tr w:rsidR="00D678E4" w:rsidRPr="00E90B39" w14:paraId="309530CF" w14:textId="77777777" w:rsidTr="00D769A5">
        <w:tc>
          <w:tcPr>
            <w:tcW w:w="3167" w:type="dxa"/>
            <w:vAlign w:val="center"/>
          </w:tcPr>
          <w:p w14:paraId="21DB8D5F" w14:textId="77777777" w:rsidR="00D678E4" w:rsidRPr="00FA472B" w:rsidRDefault="00D678E4" w:rsidP="00D769A5">
            <w:pPr>
              <w:adjustRightInd w:val="0"/>
              <w:snapToGrid w:val="0"/>
              <w:spacing w:line="360" w:lineRule="exact"/>
              <w:rPr>
                <w:color w:val="000000"/>
                <w:sz w:val="24"/>
              </w:rPr>
            </w:pPr>
            <w:r w:rsidRPr="00FA472B">
              <w:rPr>
                <w:color w:val="000000"/>
                <w:sz w:val="24"/>
              </w:rPr>
              <w:t>报告期期末管理人持有的本基金份额</w:t>
            </w:r>
          </w:p>
        </w:tc>
        <w:tc>
          <w:tcPr>
            <w:tcW w:w="2616" w:type="dxa"/>
            <w:vAlign w:val="center"/>
          </w:tcPr>
          <w:p w14:paraId="7ECB418F" w14:textId="77777777" w:rsidR="00D678E4" w:rsidRPr="00FA472B" w:rsidRDefault="00D678E4" w:rsidP="00D769A5">
            <w:pPr>
              <w:jc w:val="right"/>
              <w:rPr>
                <w:sz w:val="24"/>
              </w:rPr>
            </w:pPr>
            <w:r w:rsidRPr="00FA472B">
              <w:rPr>
                <w:color w:val="000000"/>
                <w:sz w:val="24"/>
              </w:rPr>
              <w:t>469,590.36</w:t>
            </w:r>
          </w:p>
        </w:tc>
        <w:tc>
          <w:tcPr>
            <w:tcW w:w="2631" w:type="dxa"/>
            <w:vAlign w:val="center"/>
          </w:tcPr>
          <w:p w14:paraId="569F1929" w14:textId="77777777" w:rsidR="00D678E4" w:rsidRPr="00FA472B" w:rsidRDefault="00D678E4" w:rsidP="00D769A5">
            <w:pPr>
              <w:jc w:val="right"/>
              <w:rPr>
                <w:sz w:val="24"/>
              </w:rPr>
            </w:pPr>
            <w:r w:rsidRPr="00FA472B">
              <w:rPr>
                <w:color w:val="000000"/>
                <w:sz w:val="24"/>
              </w:rPr>
              <w:t>-</w:t>
            </w:r>
          </w:p>
        </w:tc>
      </w:tr>
      <w:tr w:rsidR="00D678E4" w:rsidRPr="00E90B39" w14:paraId="46407A5A" w14:textId="77777777" w:rsidTr="00D769A5">
        <w:tc>
          <w:tcPr>
            <w:tcW w:w="3167" w:type="dxa"/>
            <w:vAlign w:val="center"/>
          </w:tcPr>
          <w:p w14:paraId="667E32CA" w14:textId="77777777" w:rsidR="00D678E4" w:rsidRPr="00FA472B" w:rsidRDefault="00D678E4" w:rsidP="00D769A5">
            <w:pPr>
              <w:adjustRightInd w:val="0"/>
              <w:snapToGrid w:val="0"/>
              <w:spacing w:line="360" w:lineRule="exact"/>
              <w:rPr>
                <w:color w:val="000000"/>
                <w:sz w:val="24"/>
              </w:rPr>
            </w:pPr>
            <w:r w:rsidRPr="00FA472B">
              <w:rPr>
                <w:color w:val="000000"/>
                <w:sz w:val="24"/>
              </w:rPr>
              <w:t>报告期期末持有的本基金份额占基金总份额比例（</w:t>
            </w:r>
            <w:r w:rsidRPr="00FA472B">
              <w:rPr>
                <w:color w:val="000000"/>
                <w:sz w:val="24"/>
              </w:rPr>
              <w:t>%</w:t>
            </w:r>
            <w:r w:rsidRPr="00FA472B">
              <w:rPr>
                <w:color w:val="000000"/>
                <w:sz w:val="24"/>
              </w:rPr>
              <w:t>）</w:t>
            </w:r>
          </w:p>
        </w:tc>
        <w:tc>
          <w:tcPr>
            <w:tcW w:w="2616" w:type="dxa"/>
            <w:vAlign w:val="center"/>
          </w:tcPr>
          <w:p w14:paraId="126F5510" w14:textId="77777777" w:rsidR="00D678E4" w:rsidRPr="00FA472B" w:rsidRDefault="00D678E4" w:rsidP="00D769A5">
            <w:pPr>
              <w:jc w:val="right"/>
              <w:rPr>
                <w:color w:val="000000"/>
                <w:kern w:val="0"/>
                <w:sz w:val="24"/>
              </w:rPr>
            </w:pPr>
            <w:r w:rsidRPr="00FA472B">
              <w:rPr>
                <w:color w:val="000000"/>
                <w:sz w:val="24"/>
              </w:rPr>
              <w:t>0.03</w:t>
            </w:r>
          </w:p>
        </w:tc>
        <w:tc>
          <w:tcPr>
            <w:tcW w:w="2631" w:type="dxa"/>
            <w:vAlign w:val="center"/>
          </w:tcPr>
          <w:p w14:paraId="541F0CF2" w14:textId="77777777" w:rsidR="00D678E4" w:rsidRPr="00FA472B" w:rsidRDefault="00D678E4" w:rsidP="00D769A5">
            <w:pPr>
              <w:jc w:val="right"/>
              <w:rPr>
                <w:color w:val="000000"/>
                <w:kern w:val="0"/>
                <w:sz w:val="24"/>
              </w:rPr>
            </w:pPr>
            <w:r w:rsidRPr="00FA472B">
              <w:rPr>
                <w:color w:val="000000"/>
                <w:sz w:val="24"/>
              </w:rPr>
              <w:t>-</w:t>
            </w:r>
          </w:p>
        </w:tc>
      </w:tr>
    </w:tbl>
    <w:p w14:paraId="32A2B1C0" w14:textId="77777777" w:rsidR="00BB5F3D" w:rsidRPr="00D678E4" w:rsidRDefault="00BB5F3D" w:rsidP="00BB5F3D">
      <w:pPr>
        <w:autoSpaceDE w:val="0"/>
        <w:autoSpaceDN w:val="0"/>
        <w:adjustRightInd w:val="0"/>
        <w:spacing w:line="360" w:lineRule="auto"/>
        <w:jc w:val="left"/>
        <w:rPr>
          <w:rFonts w:eastAsiaTheme="minorEastAsia"/>
          <w:color w:val="000000" w:themeColor="text1"/>
          <w:szCs w:val="21"/>
        </w:rPr>
      </w:pPr>
    </w:p>
    <w:p w14:paraId="2689F189" w14:textId="77777777" w:rsidR="00BB5F3D" w:rsidRPr="00A3398F" w:rsidRDefault="00BB5F3D" w:rsidP="00BB5F3D">
      <w:pPr>
        <w:spacing w:line="360" w:lineRule="auto"/>
        <w:jc w:val="left"/>
        <w:rPr>
          <w:rFonts w:eastAsiaTheme="minorEastAsia"/>
          <w:b/>
          <w:color w:val="000000" w:themeColor="text1"/>
          <w:sz w:val="24"/>
        </w:rPr>
      </w:pPr>
      <w:r w:rsidRPr="00A3398F">
        <w:rPr>
          <w:rFonts w:eastAsiaTheme="minorEastAsia"/>
          <w:b/>
          <w:color w:val="000000" w:themeColor="text1"/>
          <w:sz w:val="24"/>
        </w:rPr>
        <w:t xml:space="preserve">7.2 </w:t>
      </w:r>
      <w:r w:rsidRPr="00A3398F">
        <w:rPr>
          <w:rFonts w:eastAsiaTheme="minorEastAsia"/>
          <w:b/>
          <w:color w:val="000000" w:themeColor="text1"/>
          <w:sz w:val="24"/>
        </w:rPr>
        <w:t>基金管理人运用固有资金投资本基金交易明细</w:t>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
        <w:gridCol w:w="1850"/>
        <w:gridCol w:w="1369"/>
        <w:gridCol w:w="1700"/>
        <w:gridCol w:w="1841"/>
        <w:gridCol w:w="1396"/>
      </w:tblGrid>
      <w:tr w:rsidR="00BB5F3D" w:rsidRPr="00A3398F" w14:paraId="67CDC3B7" w14:textId="77777777" w:rsidTr="00E254E2">
        <w:trPr>
          <w:trHeight w:val="340"/>
          <w:jc w:val="center"/>
        </w:trPr>
        <w:tc>
          <w:tcPr>
            <w:tcW w:w="1069" w:type="dxa"/>
            <w:tcBorders>
              <w:top w:val="single" w:sz="4" w:space="0" w:color="auto"/>
              <w:left w:val="single" w:sz="4" w:space="0" w:color="auto"/>
              <w:bottom w:val="single" w:sz="4" w:space="0" w:color="auto"/>
              <w:right w:val="single" w:sz="4" w:space="0" w:color="auto"/>
            </w:tcBorders>
            <w:vAlign w:val="center"/>
            <w:hideMark/>
          </w:tcPr>
          <w:p w14:paraId="1503E5FF" w14:textId="77777777" w:rsidR="00BB5F3D" w:rsidRPr="00A3398F" w:rsidRDefault="00BB5F3D" w:rsidP="003376D5">
            <w:pPr>
              <w:pStyle w:val="af"/>
              <w:adjustRightInd w:val="0"/>
              <w:snapToGrid w:val="0"/>
              <w:spacing w:line="360" w:lineRule="exact"/>
              <w:jc w:val="center"/>
              <w:rPr>
                <w:rFonts w:eastAsiaTheme="minorEastAsia"/>
                <w:color w:val="000000" w:themeColor="text1"/>
                <w:sz w:val="21"/>
                <w:szCs w:val="21"/>
              </w:rPr>
            </w:pPr>
            <w:r w:rsidRPr="00A3398F">
              <w:rPr>
                <w:rFonts w:eastAsiaTheme="minorEastAsia"/>
                <w:color w:val="000000" w:themeColor="text1"/>
                <w:sz w:val="21"/>
                <w:szCs w:val="21"/>
              </w:rPr>
              <w:t>序号</w:t>
            </w:r>
          </w:p>
        </w:tc>
        <w:tc>
          <w:tcPr>
            <w:tcW w:w="1850" w:type="dxa"/>
            <w:tcBorders>
              <w:top w:val="single" w:sz="4" w:space="0" w:color="auto"/>
              <w:left w:val="single" w:sz="4" w:space="0" w:color="auto"/>
              <w:bottom w:val="single" w:sz="4" w:space="0" w:color="auto"/>
              <w:right w:val="single" w:sz="4" w:space="0" w:color="auto"/>
            </w:tcBorders>
            <w:hideMark/>
          </w:tcPr>
          <w:p w14:paraId="519B1737" w14:textId="77777777" w:rsidR="00BB5F3D" w:rsidRPr="00A3398F" w:rsidRDefault="00BB5F3D" w:rsidP="003376D5">
            <w:pPr>
              <w:adjustRightInd w:val="0"/>
              <w:snapToGrid w:val="0"/>
              <w:spacing w:line="360" w:lineRule="exact"/>
              <w:jc w:val="center"/>
              <w:rPr>
                <w:rFonts w:eastAsiaTheme="minorEastAsia"/>
                <w:color w:val="000000" w:themeColor="text1"/>
                <w:szCs w:val="21"/>
              </w:rPr>
            </w:pPr>
            <w:r w:rsidRPr="00A3398F">
              <w:rPr>
                <w:rFonts w:eastAsiaTheme="minorEastAsia"/>
                <w:color w:val="000000" w:themeColor="text1"/>
                <w:szCs w:val="21"/>
              </w:rPr>
              <w:t>交易方式</w:t>
            </w:r>
          </w:p>
        </w:tc>
        <w:tc>
          <w:tcPr>
            <w:tcW w:w="1369" w:type="dxa"/>
            <w:tcBorders>
              <w:top w:val="single" w:sz="4" w:space="0" w:color="auto"/>
              <w:left w:val="single" w:sz="4" w:space="0" w:color="auto"/>
              <w:bottom w:val="single" w:sz="4" w:space="0" w:color="auto"/>
              <w:right w:val="single" w:sz="4" w:space="0" w:color="auto"/>
            </w:tcBorders>
            <w:hideMark/>
          </w:tcPr>
          <w:p w14:paraId="45D67FEF" w14:textId="77777777" w:rsidR="00BB5F3D" w:rsidRPr="00A3398F" w:rsidRDefault="00BB5F3D" w:rsidP="003376D5">
            <w:pPr>
              <w:adjustRightInd w:val="0"/>
              <w:snapToGrid w:val="0"/>
              <w:spacing w:line="360" w:lineRule="exact"/>
              <w:rPr>
                <w:rFonts w:eastAsiaTheme="minorEastAsia"/>
                <w:color w:val="000000" w:themeColor="text1"/>
                <w:szCs w:val="21"/>
              </w:rPr>
            </w:pPr>
            <w:r w:rsidRPr="00A3398F">
              <w:rPr>
                <w:rFonts w:eastAsiaTheme="minorEastAsia"/>
                <w:color w:val="000000" w:themeColor="text1"/>
                <w:szCs w:val="21"/>
              </w:rPr>
              <w:t>交易日期</w:t>
            </w:r>
          </w:p>
        </w:tc>
        <w:tc>
          <w:tcPr>
            <w:tcW w:w="1700" w:type="dxa"/>
            <w:tcBorders>
              <w:top w:val="single" w:sz="4" w:space="0" w:color="auto"/>
              <w:left w:val="single" w:sz="4" w:space="0" w:color="auto"/>
              <w:bottom w:val="single" w:sz="4" w:space="0" w:color="auto"/>
              <w:right w:val="single" w:sz="4" w:space="0" w:color="auto"/>
            </w:tcBorders>
            <w:hideMark/>
          </w:tcPr>
          <w:p w14:paraId="50F6BD54" w14:textId="77777777" w:rsidR="00BB5F3D" w:rsidRPr="00A3398F" w:rsidRDefault="00BB5F3D" w:rsidP="003376D5">
            <w:pPr>
              <w:adjustRightInd w:val="0"/>
              <w:snapToGrid w:val="0"/>
              <w:spacing w:line="360" w:lineRule="exact"/>
              <w:jc w:val="center"/>
              <w:rPr>
                <w:rFonts w:eastAsiaTheme="minorEastAsia"/>
                <w:color w:val="000000" w:themeColor="text1"/>
                <w:szCs w:val="21"/>
              </w:rPr>
            </w:pPr>
            <w:r w:rsidRPr="00A3398F">
              <w:rPr>
                <w:rFonts w:eastAsiaTheme="minorEastAsia"/>
                <w:color w:val="000000" w:themeColor="text1"/>
                <w:szCs w:val="21"/>
              </w:rPr>
              <w:t>交易份额（份）</w:t>
            </w:r>
          </w:p>
        </w:tc>
        <w:tc>
          <w:tcPr>
            <w:tcW w:w="1841" w:type="dxa"/>
            <w:tcBorders>
              <w:top w:val="single" w:sz="4" w:space="0" w:color="auto"/>
              <w:left w:val="single" w:sz="4" w:space="0" w:color="auto"/>
              <w:bottom w:val="single" w:sz="4" w:space="0" w:color="auto"/>
              <w:right w:val="single" w:sz="4" w:space="0" w:color="auto"/>
            </w:tcBorders>
            <w:hideMark/>
          </w:tcPr>
          <w:p w14:paraId="24CA20A0" w14:textId="77777777" w:rsidR="00BB5F3D" w:rsidRPr="00A3398F" w:rsidRDefault="00BB5F3D" w:rsidP="003376D5">
            <w:pPr>
              <w:adjustRightInd w:val="0"/>
              <w:snapToGrid w:val="0"/>
              <w:spacing w:line="360" w:lineRule="exact"/>
              <w:jc w:val="center"/>
              <w:rPr>
                <w:rFonts w:eastAsiaTheme="minorEastAsia"/>
                <w:color w:val="000000" w:themeColor="text1"/>
                <w:szCs w:val="21"/>
              </w:rPr>
            </w:pPr>
            <w:r w:rsidRPr="00A3398F">
              <w:rPr>
                <w:rFonts w:eastAsiaTheme="minorEastAsia"/>
                <w:color w:val="000000" w:themeColor="text1"/>
                <w:szCs w:val="21"/>
              </w:rPr>
              <w:t>交易金额（元）</w:t>
            </w:r>
          </w:p>
        </w:tc>
        <w:tc>
          <w:tcPr>
            <w:tcW w:w="1396" w:type="dxa"/>
            <w:tcBorders>
              <w:top w:val="single" w:sz="4" w:space="0" w:color="auto"/>
              <w:left w:val="single" w:sz="4" w:space="0" w:color="auto"/>
              <w:bottom w:val="single" w:sz="4" w:space="0" w:color="auto"/>
              <w:right w:val="single" w:sz="4" w:space="0" w:color="auto"/>
            </w:tcBorders>
            <w:vAlign w:val="center"/>
            <w:hideMark/>
          </w:tcPr>
          <w:p w14:paraId="79525D2F" w14:textId="77777777" w:rsidR="00BB5F3D" w:rsidRPr="00A3398F" w:rsidRDefault="00BB5F3D" w:rsidP="003376D5">
            <w:pPr>
              <w:adjustRightInd w:val="0"/>
              <w:snapToGrid w:val="0"/>
              <w:spacing w:line="360" w:lineRule="exact"/>
              <w:jc w:val="center"/>
              <w:rPr>
                <w:rFonts w:eastAsiaTheme="minorEastAsia"/>
                <w:color w:val="000000" w:themeColor="text1"/>
                <w:szCs w:val="21"/>
              </w:rPr>
            </w:pPr>
            <w:r w:rsidRPr="00A3398F">
              <w:rPr>
                <w:rFonts w:eastAsiaTheme="minorEastAsia"/>
                <w:color w:val="000000" w:themeColor="text1"/>
                <w:szCs w:val="21"/>
              </w:rPr>
              <w:t>适用费率</w:t>
            </w:r>
          </w:p>
        </w:tc>
      </w:tr>
      <w:tr w:rsidR="00351E81" w14:paraId="0E75B8B0" w14:textId="77777777">
        <w:trPr>
          <w:jc w:val="center"/>
        </w:trPr>
        <w:tc>
          <w:tcPr>
            <w:tcW w:w="1069" w:type="dxa"/>
            <w:vAlign w:val="center"/>
          </w:tcPr>
          <w:p w14:paraId="5BDA3632" w14:textId="77777777" w:rsidR="00351E81" w:rsidRDefault="007F3594">
            <w:pPr>
              <w:jc w:val="center"/>
            </w:pPr>
            <w:r>
              <w:rPr>
                <w:rFonts w:eastAsiaTheme="minorEastAsia"/>
                <w:color w:val="000000" w:themeColor="text1"/>
                <w:szCs w:val="21"/>
              </w:rPr>
              <w:t>1</w:t>
            </w:r>
          </w:p>
        </w:tc>
        <w:tc>
          <w:tcPr>
            <w:tcW w:w="1850" w:type="dxa"/>
            <w:vAlign w:val="center"/>
          </w:tcPr>
          <w:p w14:paraId="5D5DF986" w14:textId="77777777" w:rsidR="00351E81" w:rsidRDefault="007F3594">
            <w:pPr>
              <w:jc w:val="center"/>
            </w:pPr>
            <w:r>
              <w:rPr>
                <w:rFonts w:eastAsiaTheme="minorEastAsia"/>
                <w:color w:val="000000" w:themeColor="text1"/>
                <w:szCs w:val="21"/>
              </w:rPr>
              <w:t>申购</w:t>
            </w:r>
          </w:p>
        </w:tc>
        <w:tc>
          <w:tcPr>
            <w:tcW w:w="1369" w:type="dxa"/>
            <w:vAlign w:val="center"/>
          </w:tcPr>
          <w:p w14:paraId="793A6FF4" w14:textId="77777777" w:rsidR="00351E81" w:rsidRDefault="007F3594">
            <w:pPr>
              <w:jc w:val="center"/>
            </w:pPr>
            <w:r>
              <w:rPr>
                <w:rFonts w:eastAsiaTheme="minorEastAsia"/>
                <w:color w:val="000000" w:themeColor="text1"/>
                <w:szCs w:val="21"/>
              </w:rPr>
              <w:t>2024-05-16</w:t>
            </w:r>
          </w:p>
        </w:tc>
        <w:tc>
          <w:tcPr>
            <w:tcW w:w="1700" w:type="dxa"/>
            <w:vAlign w:val="center"/>
          </w:tcPr>
          <w:p w14:paraId="51E5E185" w14:textId="77777777" w:rsidR="00351E81" w:rsidRDefault="007F3594">
            <w:pPr>
              <w:jc w:val="right"/>
            </w:pPr>
            <w:r>
              <w:rPr>
                <w:rFonts w:eastAsiaTheme="minorEastAsia"/>
                <w:color w:val="000000" w:themeColor="text1"/>
                <w:szCs w:val="21"/>
              </w:rPr>
              <w:t>252,915.66</w:t>
            </w:r>
          </w:p>
        </w:tc>
        <w:tc>
          <w:tcPr>
            <w:tcW w:w="1841" w:type="dxa"/>
            <w:vAlign w:val="center"/>
          </w:tcPr>
          <w:p w14:paraId="7B098B25" w14:textId="77777777" w:rsidR="00351E81" w:rsidRDefault="007F3594">
            <w:pPr>
              <w:jc w:val="right"/>
            </w:pPr>
            <w:r>
              <w:rPr>
                <w:rFonts w:eastAsiaTheme="minorEastAsia"/>
                <w:color w:val="000000" w:themeColor="text1"/>
                <w:szCs w:val="21"/>
              </w:rPr>
              <w:t>262,400.00</w:t>
            </w:r>
          </w:p>
        </w:tc>
        <w:tc>
          <w:tcPr>
            <w:tcW w:w="1396" w:type="dxa"/>
            <w:vAlign w:val="center"/>
          </w:tcPr>
          <w:p w14:paraId="382C16DC" w14:textId="77777777" w:rsidR="00351E81" w:rsidRDefault="007F3594">
            <w:pPr>
              <w:jc w:val="center"/>
            </w:pPr>
            <w:r>
              <w:rPr>
                <w:rFonts w:eastAsiaTheme="minorEastAsia"/>
                <w:color w:val="000000" w:themeColor="text1"/>
                <w:szCs w:val="21"/>
              </w:rPr>
              <w:t>-</w:t>
            </w:r>
          </w:p>
        </w:tc>
      </w:tr>
      <w:tr w:rsidR="00351E81" w14:paraId="326118D4" w14:textId="77777777">
        <w:trPr>
          <w:jc w:val="center"/>
        </w:trPr>
        <w:tc>
          <w:tcPr>
            <w:tcW w:w="1069" w:type="dxa"/>
            <w:vAlign w:val="center"/>
          </w:tcPr>
          <w:p w14:paraId="553AE558" w14:textId="77777777" w:rsidR="00351E81" w:rsidRDefault="007F3594">
            <w:pPr>
              <w:jc w:val="center"/>
            </w:pPr>
            <w:r>
              <w:rPr>
                <w:rFonts w:eastAsiaTheme="minorEastAsia"/>
                <w:color w:val="000000" w:themeColor="text1"/>
                <w:szCs w:val="21"/>
              </w:rPr>
              <w:t>2</w:t>
            </w:r>
          </w:p>
        </w:tc>
        <w:tc>
          <w:tcPr>
            <w:tcW w:w="1850" w:type="dxa"/>
            <w:vAlign w:val="center"/>
          </w:tcPr>
          <w:p w14:paraId="4F7D3DA8" w14:textId="77777777" w:rsidR="00351E81" w:rsidRDefault="007F3594">
            <w:pPr>
              <w:jc w:val="center"/>
            </w:pPr>
            <w:r>
              <w:rPr>
                <w:rFonts w:eastAsiaTheme="minorEastAsia"/>
                <w:color w:val="000000" w:themeColor="text1"/>
                <w:szCs w:val="21"/>
              </w:rPr>
              <w:t>申购</w:t>
            </w:r>
          </w:p>
        </w:tc>
        <w:tc>
          <w:tcPr>
            <w:tcW w:w="1369" w:type="dxa"/>
            <w:vAlign w:val="center"/>
          </w:tcPr>
          <w:p w14:paraId="12B323F6" w14:textId="77777777" w:rsidR="00351E81" w:rsidRDefault="007F3594">
            <w:pPr>
              <w:jc w:val="center"/>
            </w:pPr>
            <w:r>
              <w:rPr>
                <w:rFonts w:eastAsiaTheme="minorEastAsia"/>
                <w:color w:val="000000" w:themeColor="text1"/>
                <w:szCs w:val="21"/>
              </w:rPr>
              <w:t>2024-05-16</w:t>
            </w:r>
          </w:p>
        </w:tc>
        <w:tc>
          <w:tcPr>
            <w:tcW w:w="1700" w:type="dxa"/>
            <w:vAlign w:val="center"/>
          </w:tcPr>
          <w:p w14:paraId="7D77443E" w14:textId="77777777" w:rsidR="00351E81" w:rsidRDefault="007F3594">
            <w:pPr>
              <w:jc w:val="right"/>
            </w:pPr>
            <w:r>
              <w:rPr>
                <w:rFonts w:eastAsiaTheme="minorEastAsia"/>
                <w:color w:val="000000" w:themeColor="text1"/>
                <w:szCs w:val="21"/>
              </w:rPr>
              <w:t>216,674.70</w:t>
            </w:r>
          </w:p>
        </w:tc>
        <w:tc>
          <w:tcPr>
            <w:tcW w:w="1841" w:type="dxa"/>
            <w:vAlign w:val="center"/>
          </w:tcPr>
          <w:p w14:paraId="63820159" w14:textId="77777777" w:rsidR="00351E81" w:rsidRDefault="007F3594">
            <w:pPr>
              <w:jc w:val="right"/>
            </w:pPr>
            <w:r>
              <w:rPr>
                <w:rFonts w:eastAsiaTheme="minorEastAsia"/>
                <w:color w:val="000000" w:themeColor="text1"/>
                <w:szCs w:val="21"/>
              </w:rPr>
              <w:t>224,800.00</w:t>
            </w:r>
          </w:p>
        </w:tc>
        <w:tc>
          <w:tcPr>
            <w:tcW w:w="1396" w:type="dxa"/>
            <w:vAlign w:val="center"/>
          </w:tcPr>
          <w:p w14:paraId="0D7A92DE" w14:textId="77777777" w:rsidR="00351E81" w:rsidRDefault="007F3594">
            <w:pPr>
              <w:jc w:val="center"/>
            </w:pPr>
            <w:r>
              <w:rPr>
                <w:rFonts w:eastAsiaTheme="minorEastAsia"/>
                <w:color w:val="000000" w:themeColor="text1"/>
                <w:szCs w:val="21"/>
              </w:rPr>
              <w:t>-</w:t>
            </w:r>
          </w:p>
        </w:tc>
      </w:tr>
      <w:tr w:rsidR="00BB5F3D" w:rsidRPr="00A3398F" w14:paraId="731DC59A" w14:textId="77777777" w:rsidTr="00E254E2">
        <w:trPr>
          <w:trHeight w:val="340"/>
          <w:jc w:val="center"/>
        </w:trPr>
        <w:tc>
          <w:tcPr>
            <w:tcW w:w="1069" w:type="dxa"/>
            <w:tcBorders>
              <w:top w:val="single" w:sz="4" w:space="0" w:color="auto"/>
              <w:left w:val="single" w:sz="4" w:space="0" w:color="auto"/>
              <w:bottom w:val="single" w:sz="4" w:space="0" w:color="auto"/>
              <w:right w:val="single" w:sz="4" w:space="0" w:color="auto"/>
            </w:tcBorders>
            <w:vAlign w:val="center"/>
            <w:hideMark/>
          </w:tcPr>
          <w:p w14:paraId="5202501C" w14:textId="77777777" w:rsidR="00BB5F3D" w:rsidRPr="00A3398F" w:rsidRDefault="00BB5F3D" w:rsidP="003376D5">
            <w:pPr>
              <w:pStyle w:val="af"/>
              <w:adjustRightInd w:val="0"/>
              <w:snapToGrid w:val="0"/>
              <w:spacing w:line="360" w:lineRule="exact"/>
              <w:jc w:val="center"/>
              <w:rPr>
                <w:rFonts w:eastAsiaTheme="minorEastAsia"/>
                <w:color w:val="000000" w:themeColor="text1"/>
                <w:sz w:val="21"/>
                <w:szCs w:val="21"/>
              </w:rPr>
            </w:pPr>
            <w:r w:rsidRPr="00A3398F">
              <w:rPr>
                <w:rFonts w:eastAsiaTheme="minorEastAsia"/>
                <w:color w:val="000000" w:themeColor="text1"/>
                <w:sz w:val="21"/>
                <w:szCs w:val="21"/>
              </w:rPr>
              <w:t>合计</w:t>
            </w:r>
          </w:p>
        </w:tc>
        <w:tc>
          <w:tcPr>
            <w:tcW w:w="1850" w:type="dxa"/>
            <w:tcBorders>
              <w:top w:val="single" w:sz="4" w:space="0" w:color="auto"/>
              <w:left w:val="single" w:sz="4" w:space="0" w:color="auto"/>
              <w:bottom w:val="single" w:sz="4" w:space="0" w:color="auto"/>
              <w:right w:val="single" w:sz="4" w:space="0" w:color="auto"/>
            </w:tcBorders>
          </w:tcPr>
          <w:p w14:paraId="3DC82CDF" w14:textId="77777777" w:rsidR="00BB5F3D" w:rsidRPr="00A3398F" w:rsidRDefault="00BB5F3D" w:rsidP="003376D5">
            <w:pPr>
              <w:adjustRightInd w:val="0"/>
              <w:snapToGrid w:val="0"/>
              <w:spacing w:line="360" w:lineRule="exact"/>
              <w:jc w:val="right"/>
              <w:rPr>
                <w:rFonts w:eastAsiaTheme="minorEastAsia"/>
                <w:color w:val="000000" w:themeColor="text1"/>
                <w:szCs w:val="21"/>
              </w:rPr>
            </w:pPr>
          </w:p>
        </w:tc>
        <w:tc>
          <w:tcPr>
            <w:tcW w:w="1369" w:type="dxa"/>
            <w:tcBorders>
              <w:top w:val="single" w:sz="4" w:space="0" w:color="auto"/>
              <w:left w:val="single" w:sz="4" w:space="0" w:color="auto"/>
              <w:bottom w:val="single" w:sz="4" w:space="0" w:color="auto"/>
              <w:right w:val="single" w:sz="4" w:space="0" w:color="auto"/>
            </w:tcBorders>
          </w:tcPr>
          <w:p w14:paraId="436E33AA" w14:textId="77777777" w:rsidR="00BB5F3D" w:rsidRPr="00A3398F" w:rsidRDefault="00BB5F3D" w:rsidP="003376D5">
            <w:pPr>
              <w:adjustRightInd w:val="0"/>
              <w:snapToGrid w:val="0"/>
              <w:spacing w:line="360" w:lineRule="exact"/>
              <w:jc w:val="right"/>
              <w:rPr>
                <w:rFonts w:eastAsiaTheme="minorEastAsia"/>
                <w:color w:val="000000" w:themeColor="text1"/>
                <w:szCs w:val="21"/>
              </w:rPr>
            </w:pPr>
          </w:p>
        </w:tc>
        <w:tc>
          <w:tcPr>
            <w:tcW w:w="1700" w:type="dxa"/>
            <w:tcBorders>
              <w:top w:val="single" w:sz="4" w:space="0" w:color="auto"/>
              <w:left w:val="single" w:sz="4" w:space="0" w:color="auto"/>
              <w:bottom w:val="single" w:sz="4" w:space="0" w:color="auto"/>
              <w:right w:val="single" w:sz="4" w:space="0" w:color="auto"/>
            </w:tcBorders>
            <w:hideMark/>
          </w:tcPr>
          <w:p w14:paraId="75C0D3A0" w14:textId="77777777" w:rsidR="00BB5F3D" w:rsidRPr="00A3398F" w:rsidRDefault="00BB5F3D" w:rsidP="003376D5">
            <w:pPr>
              <w:adjustRightInd w:val="0"/>
              <w:snapToGrid w:val="0"/>
              <w:spacing w:line="360" w:lineRule="exact"/>
              <w:jc w:val="right"/>
              <w:rPr>
                <w:rFonts w:eastAsiaTheme="minorEastAsia"/>
                <w:color w:val="000000" w:themeColor="text1"/>
                <w:szCs w:val="21"/>
              </w:rPr>
            </w:pPr>
            <w:r w:rsidRPr="00A3398F">
              <w:rPr>
                <w:rFonts w:eastAsiaTheme="minorEastAsia"/>
                <w:color w:val="000000" w:themeColor="text1"/>
                <w:szCs w:val="21"/>
              </w:rPr>
              <w:t>469,590.36</w:t>
            </w:r>
          </w:p>
        </w:tc>
        <w:tc>
          <w:tcPr>
            <w:tcW w:w="1841" w:type="dxa"/>
            <w:tcBorders>
              <w:top w:val="single" w:sz="4" w:space="0" w:color="auto"/>
              <w:left w:val="single" w:sz="4" w:space="0" w:color="auto"/>
              <w:bottom w:val="single" w:sz="4" w:space="0" w:color="auto"/>
              <w:right w:val="single" w:sz="4" w:space="0" w:color="auto"/>
            </w:tcBorders>
            <w:hideMark/>
          </w:tcPr>
          <w:p w14:paraId="01839D49" w14:textId="77777777" w:rsidR="00BB5F3D" w:rsidRPr="00A3398F" w:rsidRDefault="00BB5F3D" w:rsidP="003376D5">
            <w:pPr>
              <w:adjustRightInd w:val="0"/>
              <w:snapToGrid w:val="0"/>
              <w:spacing w:line="360" w:lineRule="exact"/>
              <w:jc w:val="right"/>
              <w:rPr>
                <w:rFonts w:eastAsiaTheme="minorEastAsia"/>
                <w:color w:val="000000" w:themeColor="text1"/>
                <w:szCs w:val="21"/>
              </w:rPr>
            </w:pPr>
            <w:r w:rsidRPr="00A3398F">
              <w:rPr>
                <w:rFonts w:eastAsiaTheme="minorEastAsia"/>
                <w:color w:val="000000" w:themeColor="text1"/>
                <w:szCs w:val="21"/>
              </w:rPr>
              <w:t>487,200.00</w:t>
            </w:r>
          </w:p>
        </w:tc>
        <w:tc>
          <w:tcPr>
            <w:tcW w:w="1396" w:type="dxa"/>
            <w:tcBorders>
              <w:top w:val="single" w:sz="4" w:space="0" w:color="auto"/>
              <w:left w:val="single" w:sz="4" w:space="0" w:color="auto"/>
              <w:bottom w:val="single" w:sz="4" w:space="0" w:color="auto"/>
              <w:right w:val="single" w:sz="4" w:space="0" w:color="auto"/>
            </w:tcBorders>
            <w:vAlign w:val="center"/>
          </w:tcPr>
          <w:p w14:paraId="3135AC3F" w14:textId="77777777" w:rsidR="00BB5F3D" w:rsidRPr="00A3398F" w:rsidRDefault="00BB5F3D" w:rsidP="003376D5">
            <w:pPr>
              <w:adjustRightInd w:val="0"/>
              <w:snapToGrid w:val="0"/>
              <w:spacing w:line="360" w:lineRule="exact"/>
              <w:jc w:val="right"/>
              <w:rPr>
                <w:rFonts w:eastAsiaTheme="minorEastAsia"/>
                <w:color w:val="000000" w:themeColor="text1"/>
                <w:szCs w:val="21"/>
              </w:rPr>
            </w:pPr>
          </w:p>
        </w:tc>
      </w:tr>
    </w:tbl>
    <w:p w14:paraId="38831644" w14:textId="1B2A3D25" w:rsidR="00E254E2" w:rsidRPr="00BC5B92" w:rsidRDefault="00E254E2" w:rsidP="00BC5B92">
      <w:pPr>
        <w:spacing w:line="360" w:lineRule="auto"/>
        <w:ind w:firstLineChars="200" w:firstLine="420"/>
        <w:rPr>
          <w:rFonts w:eastAsiaTheme="minorEastAsia"/>
          <w:color w:val="000000" w:themeColor="text1"/>
          <w:szCs w:val="21"/>
        </w:rPr>
      </w:pPr>
      <w:r w:rsidRPr="00BC5B92">
        <w:rPr>
          <w:rFonts w:eastAsiaTheme="minorEastAsia" w:hint="eastAsia"/>
          <w:color w:val="000000" w:themeColor="text1"/>
          <w:szCs w:val="21"/>
        </w:rPr>
        <w:t>注：基金管理人运用固有资金投资本基金相关的费用符合基金招募说明书和相关公告的规定。</w:t>
      </w:r>
    </w:p>
    <w:p w14:paraId="58328CAF" w14:textId="763709E2" w:rsidR="0076518F" w:rsidRPr="00A3398F" w:rsidRDefault="0076518F" w:rsidP="009E705F">
      <w:pPr>
        <w:pStyle w:val="1"/>
        <w:spacing w:beforeLines="100" w:before="312" w:afterLines="100" w:after="312" w:line="360" w:lineRule="auto"/>
        <w:jc w:val="center"/>
        <w:rPr>
          <w:rFonts w:eastAsiaTheme="minorEastAsia"/>
          <w:color w:val="000000" w:themeColor="text1"/>
          <w:kern w:val="0"/>
          <w:sz w:val="24"/>
          <w:szCs w:val="24"/>
        </w:rPr>
      </w:pPr>
      <w:r w:rsidRPr="00A3398F">
        <w:rPr>
          <w:rFonts w:eastAsiaTheme="minorEastAsia"/>
          <w:color w:val="000000" w:themeColor="text1"/>
          <w:kern w:val="0"/>
          <w:sz w:val="24"/>
          <w:szCs w:val="24"/>
        </w:rPr>
        <w:t>§</w:t>
      </w:r>
      <w:r w:rsidR="002711AA" w:rsidRPr="00A3398F">
        <w:rPr>
          <w:rFonts w:eastAsiaTheme="minorEastAsia"/>
          <w:color w:val="000000" w:themeColor="text1"/>
          <w:kern w:val="0"/>
          <w:sz w:val="24"/>
          <w:szCs w:val="24"/>
        </w:rPr>
        <w:t>8</w:t>
      </w:r>
      <w:r w:rsidRPr="00A3398F">
        <w:rPr>
          <w:rFonts w:eastAsiaTheme="minorEastAsia"/>
          <w:color w:val="000000" w:themeColor="text1"/>
          <w:kern w:val="0"/>
          <w:sz w:val="24"/>
          <w:szCs w:val="24"/>
        </w:rPr>
        <w:t xml:space="preserve"> </w:t>
      </w:r>
      <w:r w:rsidRPr="00A3398F">
        <w:rPr>
          <w:rFonts w:eastAsiaTheme="minorEastAsia"/>
          <w:color w:val="000000" w:themeColor="text1"/>
          <w:kern w:val="0"/>
          <w:sz w:val="24"/>
          <w:szCs w:val="24"/>
        </w:rPr>
        <w:t>备查文件目录</w:t>
      </w:r>
    </w:p>
    <w:p w14:paraId="264BEED1" w14:textId="77777777" w:rsidR="008975BC" w:rsidRPr="00A3398F" w:rsidRDefault="00280566" w:rsidP="000C7596">
      <w:pPr>
        <w:autoSpaceDE w:val="0"/>
        <w:autoSpaceDN w:val="0"/>
        <w:adjustRightInd w:val="0"/>
        <w:spacing w:line="360" w:lineRule="auto"/>
        <w:jc w:val="left"/>
        <w:rPr>
          <w:rFonts w:eastAsiaTheme="minorEastAsia"/>
          <w:b/>
          <w:bCs/>
          <w:color w:val="000000" w:themeColor="text1"/>
          <w:kern w:val="0"/>
          <w:sz w:val="24"/>
        </w:rPr>
      </w:pPr>
      <w:r w:rsidRPr="00A3398F">
        <w:rPr>
          <w:rFonts w:eastAsiaTheme="minorEastAsia"/>
          <w:b/>
          <w:bCs/>
          <w:color w:val="000000" w:themeColor="text1"/>
          <w:kern w:val="0"/>
          <w:sz w:val="24"/>
        </w:rPr>
        <w:t>8</w:t>
      </w:r>
      <w:r w:rsidR="008975BC" w:rsidRPr="00A3398F">
        <w:rPr>
          <w:rFonts w:eastAsiaTheme="minorEastAsia"/>
          <w:b/>
          <w:bCs/>
          <w:color w:val="000000" w:themeColor="text1"/>
          <w:kern w:val="0"/>
          <w:sz w:val="24"/>
        </w:rPr>
        <w:t>.</w:t>
      </w:r>
      <w:r w:rsidR="00376A15" w:rsidRPr="00A3398F">
        <w:rPr>
          <w:rFonts w:eastAsiaTheme="minorEastAsia"/>
          <w:b/>
          <w:bCs/>
          <w:color w:val="000000" w:themeColor="text1"/>
          <w:kern w:val="0"/>
          <w:sz w:val="24"/>
        </w:rPr>
        <w:t>1</w:t>
      </w:r>
      <w:r w:rsidR="008975BC" w:rsidRPr="00A3398F">
        <w:rPr>
          <w:rFonts w:eastAsiaTheme="minorEastAsia"/>
          <w:b/>
          <w:bCs/>
          <w:color w:val="000000" w:themeColor="text1"/>
          <w:kern w:val="0"/>
          <w:sz w:val="24"/>
        </w:rPr>
        <w:t xml:space="preserve"> </w:t>
      </w:r>
      <w:r w:rsidR="008975BC" w:rsidRPr="00A3398F">
        <w:rPr>
          <w:rFonts w:eastAsiaTheme="minorEastAsia"/>
          <w:b/>
          <w:bCs/>
          <w:color w:val="000000" w:themeColor="text1"/>
          <w:kern w:val="0"/>
          <w:sz w:val="24"/>
        </w:rPr>
        <w:t>备查文件目录</w:t>
      </w:r>
    </w:p>
    <w:p w14:paraId="4A158837" w14:textId="77777777" w:rsidR="00351E81" w:rsidRDefault="007F3594">
      <w:pPr>
        <w:spacing w:line="360" w:lineRule="auto"/>
        <w:ind w:firstLineChars="200" w:firstLine="420"/>
        <w:rPr>
          <w:rFonts w:eastAsiaTheme="minorEastAsia"/>
          <w:color w:val="000000" w:themeColor="text1"/>
          <w:szCs w:val="21"/>
        </w:rPr>
      </w:pPr>
      <w:r>
        <w:rPr>
          <w:rFonts w:eastAsiaTheme="minorEastAsia"/>
          <w:color w:val="000000" w:themeColor="text1"/>
          <w:szCs w:val="21"/>
        </w:rPr>
        <w:t>(</w:t>
      </w:r>
      <w:r>
        <w:rPr>
          <w:rFonts w:eastAsiaTheme="minorEastAsia"/>
          <w:color w:val="000000" w:themeColor="text1"/>
          <w:szCs w:val="21"/>
        </w:rPr>
        <w:t>一</w:t>
      </w:r>
      <w:r>
        <w:rPr>
          <w:rFonts w:eastAsiaTheme="minorEastAsia"/>
          <w:color w:val="000000" w:themeColor="text1"/>
          <w:szCs w:val="21"/>
        </w:rPr>
        <w:t>)</w:t>
      </w:r>
      <w:r>
        <w:rPr>
          <w:rFonts w:eastAsiaTheme="minorEastAsia"/>
          <w:color w:val="000000" w:themeColor="text1"/>
          <w:szCs w:val="21"/>
        </w:rPr>
        <w:t>中国证监会准予本基金募集注册的文件</w:t>
      </w:r>
    </w:p>
    <w:p w14:paraId="371779FA" w14:textId="77777777" w:rsidR="00351E81" w:rsidRDefault="007F3594">
      <w:pPr>
        <w:spacing w:line="360" w:lineRule="auto"/>
        <w:ind w:firstLineChars="200" w:firstLine="420"/>
        <w:rPr>
          <w:rFonts w:eastAsiaTheme="minorEastAsia"/>
          <w:color w:val="000000" w:themeColor="text1"/>
          <w:szCs w:val="21"/>
        </w:rPr>
      </w:pPr>
      <w:r>
        <w:rPr>
          <w:rFonts w:eastAsiaTheme="minorEastAsia"/>
          <w:color w:val="000000" w:themeColor="text1"/>
          <w:szCs w:val="21"/>
        </w:rPr>
        <w:t>(</w:t>
      </w:r>
      <w:r>
        <w:rPr>
          <w:rFonts w:eastAsiaTheme="minorEastAsia"/>
          <w:color w:val="000000" w:themeColor="text1"/>
          <w:szCs w:val="21"/>
        </w:rPr>
        <w:t>二</w:t>
      </w:r>
      <w:r>
        <w:rPr>
          <w:rFonts w:eastAsiaTheme="minorEastAsia"/>
          <w:color w:val="000000" w:themeColor="text1"/>
          <w:szCs w:val="21"/>
        </w:rPr>
        <w:t xml:space="preserve">) </w:t>
      </w:r>
      <w:r>
        <w:rPr>
          <w:rFonts w:eastAsiaTheme="minorEastAsia"/>
          <w:color w:val="000000" w:themeColor="text1"/>
          <w:szCs w:val="21"/>
        </w:rPr>
        <w:t>摩根海外稳健配置混合型证券投资基金</w:t>
      </w:r>
      <w:r>
        <w:rPr>
          <w:rFonts w:eastAsiaTheme="minorEastAsia"/>
          <w:color w:val="000000" w:themeColor="text1"/>
          <w:szCs w:val="21"/>
        </w:rPr>
        <w:t>(QDII-FOF)</w:t>
      </w:r>
      <w:r>
        <w:rPr>
          <w:rFonts w:eastAsiaTheme="minorEastAsia"/>
          <w:color w:val="000000" w:themeColor="text1"/>
          <w:szCs w:val="21"/>
        </w:rPr>
        <w:t>基金合同</w:t>
      </w:r>
    </w:p>
    <w:p w14:paraId="1AAF370D" w14:textId="77777777" w:rsidR="00351E81" w:rsidRDefault="007F3594">
      <w:pPr>
        <w:spacing w:line="360" w:lineRule="auto"/>
        <w:ind w:firstLineChars="200" w:firstLine="420"/>
        <w:rPr>
          <w:rFonts w:eastAsiaTheme="minorEastAsia"/>
          <w:color w:val="000000" w:themeColor="text1"/>
          <w:szCs w:val="21"/>
        </w:rPr>
      </w:pPr>
      <w:r>
        <w:rPr>
          <w:rFonts w:eastAsiaTheme="minorEastAsia"/>
          <w:color w:val="000000" w:themeColor="text1"/>
          <w:szCs w:val="21"/>
        </w:rPr>
        <w:t>(</w:t>
      </w:r>
      <w:r>
        <w:rPr>
          <w:rFonts w:eastAsiaTheme="minorEastAsia"/>
          <w:color w:val="000000" w:themeColor="text1"/>
          <w:szCs w:val="21"/>
        </w:rPr>
        <w:t>三</w:t>
      </w:r>
      <w:r>
        <w:rPr>
          <w:rFonts w:eastAsiaTheme="minorEastAsia"/>
          <w:color w:val="000000" w:themeColor="text1"/>
          <w:szCs w:val="21"/>
        </w:rPr>
        <w:t xml:space="preserve">) </w:t>
      </w:r>
      <w:r>
        <w:rPr>
          <w:rFonts w:eastAsiaTheme="minorEastAsia"/>
          <w:color w:val="000000" w:themeColor="text1"/>
          <w:szCs w:val="21"/>
        </w:rPr>
        <w:t>摩根海外稳健配置混合型证券投资基金</w:t>
      </w:r>
      <w:r>
        <w:rPr>
          <w:rFonts w:eastAsiaTheme="minorEastAsia"/>
          <w:color w:val="000000" w:themeColor="text1"/>
          <w:szCs w:val="21"/>
        </w:rPr>
        <w:t>(QDII-FOF)</w:t>
      </w:r>
      <w:r>
        <w:rPr>
          <w:rFonts w:eastAsiaTheme="minorEastAsia"/>
          <w:color w:val="000000" w:themeColor="text1"/>
          <w:szCs w:val="21"/>
        </w:rPr>
        <w:t>托管协议</w:t>
      </w:r>
    </w:p>
    <w:p w14:paraId="4EDFAF49" w14:textId="77777777" w:rsidR="00351E81" w:rsidRDefault="007F3594">
      <w:pPr>
        <w:spacing w:line="360" w:lineRule="auto"/>
        <w:ind w:firstLineChars="200" w:firstLine="420"/>
        <w:rPr>
          <w:rFonts w:eastAsiaTheme="minorEastAsia"/>
          <w:color w:val="000000" w:themeColor="text1"/>
          <w:szCs w:val="21"/>
        </w:rPr>
      </w:pPr>
      <w:r>
        <w:rPr>
          <w:rFonts w:eastAsiaTheme="minorEastAsia"/>
          <w:color w:val="000000" w:themeColor="text1"/>
          <w:szCs w:val="21"/>
        </w:rPr>
        <w:t>(</w:t>
      </w:r>
      <w:r>
        <w:rPr>
          <w:rFonts w:eastAsiaTheme="minorEastAsia"/>
          <w:color w:val="000000" w:themeColor="text1"/>
          <w:szCs w:val="21"/>
        </w:rPr>
        <w:t>四</w:t>
      </w:r>
      <w:r>
        <w:rPr>
          <w:rFonts w:eastAsiaTheme="minorEastAsia"/>
          <w:color w:val="000000" w:themeColor="text1"/>
          <w:szCs w:val="21"/>
        </w:rPr>
        <w:t>)</w:t>
      </w:r>
      <w:r>
        <w:rPr>
          <w:rFonts w:eastAsiaTheme="minorEastAsia"/>
          <w:color w:val="000000" w:themeColor="text1"/>
          <w:szCs w:val="21"/>
        </w:rPr>
        <w:t>法律意见书</w:t>
      </w:r>
    </w:p>
    <w:p w14:paraId="76545AE2" w14:textId="77777777" w:rsidR="00351E81" w:rsidRDefault="007F3594">
      <w:pPr>
        <w:spacing w:line="360" w:lineRule="auto"/>
        <w:ind w:firstLineChars="200" w:firstLine="420"/>
        <w:rPr>
          <w:rFonts w:eastAsiaTheme="minorEastAsia"/>
          <w:color w:val="000000" w:themeColor="text1"/>
          <w:szCs w:val="21"/>
        </w:rPr>
      </w:pPr>
      <w:r>
        <w:rPr>
          <w:rFonts w:eastAsiaTheme="minorEastAsia"/>
          <w:color w:val="000000" w:themeColor="text1"/>
          <w:szCs w:val="21"/>
        </w:rPr>
        <w:t>(</w:t>
      </w:r>
      <w:r>
        <w:rPr>
          <w:rFonts w:eastAsiaTheme="minorEastAsia"/>
          <w:color w:val="000000" w:themeColor="text1"/>
          <w:szCs w:val="21"/>
        </w:rPr>
        <w:t>五</w:t>
      </w:r>
      <w:r>
        <w:rPr>
          <w:rFonts w:eastAsiaTheme="minorEastAsia"/>
          <w:color w:val="000000" w:themeColor="text1"/>
          <w:szCs w:val="21"/>
        </w:rPr>
        <w:t>)</w:t>
      </w:r>
      <w:r>
        <w:rPr>
          <w:rFonts w:eastAsiaTheme="minorEastAsia"/>
          <w:color w:val="000000" w:themeColor="text1"/>
          <w:szCs w:val="21"/>
        </w:rPr>
        <w:t>基金管理人业务资格批件、营业执照</w:t>
      </w:r>
    </w:p>
    <w:p w14:paraId="1D2F885D" w14:textId="77777777" w:rsidR="00351E81" w:rsidRDefault="007F3594">
      <w:pPr>
        <w:spacing w:line="360" w:lineRule="auto"/>
        <w:ind w:firstLineChars="200" w:firstLine="420"/>
        <w:rPr>
          <w:rFonts w:eastAsiaTheme="minorEastAsia"/>
          <w:color w:val="000000" w:themeColor="text1"/>
          <w:szCs w:val="21"/>
        </w:rPr>
      </w:pPr>
      <w:r>
        <w:rPr>
          <w:rFonts w:eastAsiaTheme="minorEastAsia"/>
          <w:color w:val="000000" w:themeColor="text1"/>
          <w:szCs w:val="21"/>
        </w:rPr>
        <w:t>(</w:t>
      </w:r>
      <w:r>
        <w:rPr>
          <w:rFonts w:eastAsiaTheme="minorEastAsia"/>
          <w:color w:val="000000" w:themeColor="text1"/>
          <w:szCs w:val="21"/>
        </w:rPr>
        <w:t>六</w:t>
      </w:r>
      <w:r>
        <w:rPr>
          <w:rFonts w:eastAsiaTheme="minorEastAsia"/>
          <w:color w:val="000000" w:themeColor="text1"/>
          <w:szCs w:val="21"/>
        </w:rPr>
        <w:t>)</w:t>
      </w:r>
      <w:r>
        <w:rPr>
          <w:rFonts w:eastAsiaTheme="minorEastAsia"/>
          <w:color w:val="000000" w:themeColor="text1"/>
          <w:szCs w:val="21"/>
        </w:rPr>
        <w:t>基金托管人业务资格批件、营业执照</w:t>
      </w:r>
    </w:p>
    <w:p w14:paraId="438F1FCB" w14:textId="77777777" w:rsidR="00351E81" w:rsidRDefault="007F3594">
      <w:pPr>
        <w:spacing w:line="360" w:lineRule="auto"/>
        <w:ind w:firstLineChars="200" w:firstLine="420"/>
        <w:rPr>
          <w:rFonts w:eastAsiaTheme="minorEastAsia"/>
          <w:color w:val="000000" w:themeColor="text1"/>
          <w:szCs w:val="21"/>
        </w:rPr>
      </w:pPr>
      <w:r>
        <w:rPr>
          <w:rFonts w:eastAsiaTheme="minorEastAsia"/>
          <w:color w:val="000000" w:themeColor="text1"/>
          <w:szCs w:val="21"/>
        </w:rPr>
        <w:t>(</w:t>
      </w:r>
      <w:r>
        <w:rPr>
          <w:rFonts w:eastAsiaTheme="minorEastAsia"/>
          <w:color w:val="000000" w:themeColor="text1"/>
          <w:szCs w:val="21"/>
        </w:rPr>
        <w:t>七</w:t>
      </w:r>
      <w:r>
        <w:rPr>
          <w:rFonts w:eastAsiaTheme="minorEastAsia"/>
          <w:color w:val="000000" w:themeColor="text1"/>
          <w:szCs w:val="21"/>
        </w:rPr>
        <w:t>)</w:t>
      </w:r>
      <w:r>
        <w:rPr>
          <w:rFonts w:eastAsiaTheme="minorEastAsia"/>
          <w:color w:val="000000" w:themeColor="text1"/>
          <w:szCs w:val="21"/>
        </w:rPr>
        <w:t>摩根基金管理（中国）有限公司开放式基金业务规则</w:t>
      </w:r>
    </w:p>
    <w:p w14:paraId="64C37793" w14:textId="77777777" w:rsidR="008975BC" w:rsidRPr="00A3398F" w:rsidRDefault="008975BC" w:rsidP="007D5584">
      <w:pPr>
        <w:spacing w:line="360" w:lineRule="auto"/>
        <w:ind w:firstLineChars="200" w:firstLine="420"/>
        <w:rPr>
          <w:rFonts w:eastAsiaTheme="minorEastAsia"/>
          <w:color w:val="000000" w:themeColor="text1"/>
          <w:szCs w:val="21"/>
        </w:rPr>
      </w:pPr>
      <w:r w:rsidRPr="00A3398F">
        <w:rPr>
          <w:rFonts w:eastAsiaTheme="minorEastAsia"/>
          <w:color w:val="000000" w:themeColor="text1"/>
          <w:szCs w:val="21"/>
        </w:rPr>
        <w:t>(</w:t>
      </w:r>
      <w:r w:rsidRPr="00A3398F">
        <w:rPr>
          <w:rFonts w:eastAsiaTheme="minorEastAsia"/>
          <w:color w:val="000000" w:themeColor="text1"/>
          <w:szCs w:val="21"/>
        </w:rPr>
        <w:t>八</w:t>
      </w:r>
      <w:r w:rsidRPr="00A3398F">
        <w:rPr>
          <w:rFonts w:eastAsiaTheme="minorEastAsia"/>
          <w:color w:val="000000" w:themeColor="text1"/>
          <w:szCs w:val="21"/>
        </w:rPr>
        <w:t>)</w:t>
      </w:r>
      <w:r w:rsidRPr="00A3398F">
        <w:rPr>
          <w:rFonts w:eastAsiaTheme="minorEastAsia"/>
          <w:color w:val="000000" w:themeColor="text1"/>
          <w:szCs w:val="21"/>
        </w:rPr>
        <w:t>中国证监会要求的其他文件</w:t>
      </w:r>
    </w:p>
    <w:p w14:paraId="39CF3186" w14:textId="77777777" w:rsidR="008A2EC6" w:rsidRPr="00A3398F" w:rsidRDefault="008A2EC6" w:rsidP="000C7596">
      <w:pPr>
        <w:spacing w:line="360" w:lineRule="auto"/>
        <w:ind w:firstLineChars="200" w:firstLine="480"/>
        <w:rPr>
          <w:rFonts w:eastAsiaTheme="minorEastAsia"/>
          <w:color w:val="000000" w:themeColor="text1"/>
          <w:sz w:val="24"/>
        </w:rPr>
      </w:pPr>
    </w:p>
    <w:p w14:paraId="5CABA377" w14:textId="77777777" w:rsidR="008975BC" w:rsidRPr="00A3398F" w:rsidRDefault="00280566" w:rsidP="000C7596">
      <w:pPr>
        <w:autoSpaceDE w:val="0"/>
        <w:autoSpaceDN w:val="0"/>
        <w:adjustRightInd w:val="0"/>
        <w:spacing w:line="360" w:lineRule="auto"/>
        <w:jc w:val="left"/>
        <w:rPr>
          <w:rFonts w:eastAsiaTheme="minorEastAsia"/>
          <w:b/>
          <w:bCs/>
          <w:color w:val="000000" w:themeColor="text1"/>
          <w:kern w:val="0"/>
          <w:sz w:val="24"/>
        </w:rPr>
      </w:pPr>
      <w:r w:rsidRPr="00A3398F">
        <w:rPr>
          <w:rFonts w:eastAsiaTheme="minorEastAsia"/>
          <w:b/>
          <w:bCs/>
          <w:color w:val="000000" w:themeColor="text1"/>
          <w:kern w:val="0"/>
          <w:sz w:val="24"/>
        </w:rPr>
        <w:lastRenderedPageBreak/>
        <w:t>8</w:t>
      </w:r>
      <w:r w:rsidR="008975BC" w:rsidRPr="00A3398F">
        <w:rPr>
          <w:rFonts w:eastAsiaTheme="minorEastAsia"/>
          <w:b/>
          <w:bCs/>
          <w:color w:val="000000" w:themeColor="text1"/>
          <w:kern w:val="0"/>
          <w:sz w:val="24"/>
        </w:rPr>
        <w:t>.</w:t>
      </w:r>
      <w:r w:rsidR="00376A15" w:rsidRPr="00A3398F">
        <w:rPr>
          <w:rFonts w:eastAsiaTheme="minorEastAsia"/>
          <w:b/>
          <w:bCs/>
          <w:color w:val="000000" w:themeColor="text1"/>
          <w:kern w:val="0"/>
          <w:sz w:val="24"/>
        </w:rPr>
        <w:t>2</w:t>
      </w:r>
      <w:r w:rsidR="008975BC" w:rsidRPr="00A3398F">
        <w:rPr>
          <w:rFonts w:eastAsiaTheme="minorEastAsia"/>
          <w:b/>
          <w:bCs/>
          <w:color w:val="000000" w:themeColor="text1"/>
          <w:kern w:val="0"/>
          <w:sz w:val="24"/>
        </w:rPr>
        <w:t xml:space="preserve"> </w:t>
      </w:r>
      <w:r w:rsidR="008975BC" w:rsidRPr="00A3398F">
        <w:rPr>
          <w:rFonts w:eastAsiaTheme="minorEastAsia"/>
          <w:b/>
          <w:bCs/>
          <w:color w:val="000000" w:themeColor="text1"/>
          <w:kern w:val="0"/>
          <w:sz w:val="24"/>
        </w:rPr>
        <w:t>存放地点</w:t>
      </w:r>
    </w:p>
    <w:p w14:paraId="3FAAF881" w14:textId="77777777" w:rsidR="008975BC" w:rsidRPr="00A3398F" w:rsidRDefault="008975BC" w:rsidP="007D5584">
      <w:pPr>
        <w:spacing w:line="360" w:lineRule="auto"/>
        <w:ind w:firstLineChars="200" w:firstLine="420"/>
        <w:rPr>
          <w:rFonts w:eastAsiaTheme="minorEastAsia"/>
          <w:color w:val="000000" w:themeColor="text1"/>
          <w:szCs w:val="21"/>
        </w:rPr>
      </w:pPr>
      <w:r w:rsidRPr="00A3398F">
        <w:rPr>
          <w:rFonts w:eastAsiaTheme="minorEastAsia"/>
          <w:color w:val="000000" w:themeColor="text1"/>
          <w:szCs w:val="21"/>
        </w:rPr>
        <w:t>基金管理人或基金托管人住所。</w:t>
      </w:r>
    </w:p>
    <w:p w14:paraId="1D0C3266" w14:textId="77777777" w:rsidR="008A2EC6" w:rsidRPr="00A3398F" w:rsidRDefault="008A2EC6" w:rsidP="000C7596">
      <w:pPr>
        <w:spacing w:line="360" w:lineRule="auto"/>
        <w:ind w:firstLineChars="200" w:firstLine="480"/>
        <w:rPr>
          <w:rFonts w:eastAsiaTheme="minorEastAsia"/>
          <w:color w:val="000000" w:themeColor="text1"/>
          <w:sz w:val="24"/>
        </w:rPr>
      </w:pPr>
    </w:p>
    <w:p w14:paraId="77F63C1B" w14:textId="77777777" w:rsidR="008975BC" w:rsidRPr="00A3398F" w:rsidRDefault="00280566" w:rsidP="000C7596">
      <w:pPr>
        <w:autoSpaceDE w:val="0"/>
        <w:autoSpaceDN w:val="0"/>
        <w:adjustRightInd w:val="0"/>
        <w:spacing w:line="360" w:lineRule="auto"/>
        <w:jc w:val="left"/>
        <w:rPr>
          <w:rFonts w:eastAsiaTheme="minorEastAsia"/>
          <w:b/>
          <w:bCs/>
          <w:color w:val="000000" w:themeColor="text1"/>
          <w:kern w:val="0"/>
          <w:sz w:val="24"/>
        </w:rPr>
      </w:pPr>
      <w:r w:rsidRPr="00A3398F">
        <w:rPr>
          <w:rFonts w:eastAsiaTheme="minorEastAsia"/>
          <w:b/>
          <w:bCs/>
          <w:color w:val="000000" w:themeColor="text1"/>
          <w:kern w:val="0"/>
          <w:sz w:val="24"/>
        </w:rPr>
        <w:t>8</w:t>
      </w:r>
      <w:r w:rsidR="008975BC" w:rsidRPr="00A3398F">
        <w:rPr>
          <w:rFonts w:eastAsiaTheme="minorEastAsia"/>
          <w:b/>
          <w:bCs/>
          <w:color w:val="000000" w:themeColor="text1"/>
          <w:kern w:val="0"/>
          <w:sz w:val="24"/>
        </w:rPr>
        <w:t>.</w:t>
      </w:r>
      <w:r w:rsidR="00376A15" w:rsidRPr="00A3398F">
        <w:rPr>
          <w:rFonts w:eastAsiaTheme="minorEastAsia"/>
          <w:b/>
          <w:bCs/>
          <w:color w:val="000000" w:themeColor="text1"/>
          <w:kern w:val="0"/>
          <w:sz w:val="24"/>
        </w:rPr>
        <w:t>3</w:t>
      </w:r>
      <w:r w:rsidR="008975BC" w:rsidRPr="00A3398F">
        <w:rPr>
          <w:rFonts w:eastAsiaTheme="minorEastAsia"/>
          <w:b/>
          <w:bCs/>
          <w:color w:val="000000" w:themeColor="text1"/>
          <w:kern w:val="0"/>
          <w:sz w:val="24"/>
        </w:rPr>
        <w:t xml:space="preserve"> </w:t>
      </w:r>
      <w:r w:rsidR="008975BC" w:rsidRPr="00A3398F">
        <w:rPr>
          <w:rFonts w:eastAsiaTheme="minorEastAsia"/>
          <w:b/>
          <w:bCs/>
          <w:color w:val="000000" w:themeColor="text1"/>
          <w:kern w:val="0"/>
          <w:sz w:val="24"/>
        </w:rPr>
        <w:t>查阅方式</w:t>
      </w:r>
    </w:p>
    <w:p w14:paraId="3C6CDBD5" w14:textId="77777777" w:rsidR="008975BC" w:rsidRPr="00A3398F" w:rsidRDefault="008975BC" w:rsidP="007D5584">
      <w:pPr>
        <w:spacing w:line="360" w:lineRule="auto"/>
        <w:ind w:firstLineChars="200" w:firstLine="420"/>
        <w:rPr>
          <w:rFonts w:eastAsiaTheme="minorEastAsia"/>
          <w:color w:val="000000" w:themeColor="text1"/>
          <w:szCs w:val="21"/>
        </w:rPr>
      </w:pPr>
      <w:r w:rsidRPr="00A3398F">
        <w:rPr>
          <w:rFonts w:eastAsiaTheme="minorEastAsia"/>
          <w:color w:val="000000" w:themeColor="text1"/>
          <w:szCs w:val="21"/>
        </w:rPr>
        <w:t>投资者可在营业时间免费查阅，也可按工本费购买复印件。</w:t>
      </w:r>
    </w:p>
    <w:p w14:paraId="373A5651" w14:textId="77777777" w:rsidR="0076518F" w:rsidRPr="00A3398F" w:rsidRDefault="0076518F" w:rsidP="008B6A4A">
      <w:pPr>
        <w:spacing w:line="360" w:lineRule="auto"/>
        <w:ind w:firstLineChars="200" w:firstLine="480"/>
        <w:rPr>
          <w:rFonts w:eastAsiaTheme="minorEastAsia"/>
          <w:color w:val="000000" w:themeColor="text1"/>
          <w:sz w:val="24"/>
        </w:rPr>
      </w:pPr>
    </w:p>
    <w:p w14:paraId="540E3665" w14:textId="77777777" w:rsidR="008A2EC6" w:rsidRPr="00A3398F" w:rsidRDefault="008A2EC6" w:rsidP="008B6A4A">
      <w:pPr>
        <w:spacing w:line="360" w:lineRule="auto"/>
        <w:ind w:firstLineChars="200" w:firstLine="480"/>
        <w:rPr>
          <w:rFonts w:eastAsiaTheme="minorEastAsia"/>
          <w:color w:val="000000" w:themeColor="text1"/>
          <w:sz w:val="24"/>
        </w:rPr>
      </w:pPr>
    </w:p>
    <w:p w14:paraId="404999C8" w14:textId="77777777" w:rsidR="000C7596" w:rsidRPr="00A3398F" w:rsidRDefault="000C7596" w:rsidP="008B6A4A">
      <w:pPr>
        <w:spacing w:line="360" w:lineRule="auto"/>
        <w:ind w:firstLineChars="200" w:firstLine="480"/>
        <w:rPr>
          <w:rFonts w:eastAsiaTheme="minorEastAsia"/>
          <w:color w:val="000000" w:themeColor="text1"/>
          <w:sz w:val="24"/>
        </w:rPr>
      </w:pPr>
    </w:p>
    <w:p w14:paraId="629D665F" w14:textId="77777777" w:rsidR="000C7596" w:rsidRPr="00A3398F" w:rsidRDefault="000C7596" w:rsidP="008B6A4A">
      <w:pPr>
        <w:spacing w:line="360" w:lineRule="auto"/>
        <w:ind w:firstLineChars="200" w:firstLine="480"/>
        <w:rPr>
          <w:rFonts w:eastAsiaTheme="minorEastAsia"/>
          <w:color w:val="000000" w:themeColor="text1"/>
          <w:sz w:val="24"/>
        </w:rPr>
      </w:pPr>
    </w:p>
    <w:p w14:paraId="4B6D26C0" w14:textId="77777777" w:rsidR="000C7596" w:rsidRPr="00A3398F" w:rsidRDefault="000C7596" w:rsidP="008B6A4A">
      <w:pPr>
        <w:spacing w:line="360" w:lineRule="auto"/>
        <w:ind w:firstLineChars="200" w:firstLine="480"/>
        <w:rPr>
          <w:rFonts w:eastAsiaTheme="minorEastAsia"/>
          <w:color w:val="000000" w:themeColor="text1"/>
          <w:sz w:val="24"/>
        </w:rPr>
      </w:pPr>
    </w:p>
    <w:p w14:paraId="35745E3B" w14:textId="77777777" w:rsidR="000C7596" w:rsidRPr="00A3398F" w:rsidRDefault="000C7596" w:rsidP="008B6A4A">
      <w:pPr>
        <w:spacing w:line="360" w:lineRule="auto"/>
        <w:ind w:firstLineChars="200" w:firstLine="480"/>
        <w:rPr>
          <w:rFonts w:eastAsiaTheme="minorEastAsia"/>
          <w:color w:val="000000" w:themeColor="text1"/>
          <w:sz w:val="24"/>
        </w:rPr>
      </w:pPr>
    </w:p>
    <w:p w14:paraId="4C4FC60A" w14:textId="77777777" w:rsidR="0076518F" w:rsidRPr="00A3398F" w:rsidRDefault="0076518F" w:rsidP="008B6A4A">
      <w:pPr>
        <w:spacing w:line="360" w:lineRule="auto"/>
        <w:ind w:firstLineChars="200" w:firstLine="480"/>
        <w:rPr>
          <w:rFonts w:eastAsiaTheme="minorEastAsia"/>
          <w:color w:val="000000" w:themeColor="text1"/>
          <w:sz w:val="24"/>
        </w:rPr>
      </w:pPr>
    </w:p>
    <w:p w14:paraId="2B6D47D9" w14:textId="77777777" w:rsidR="008975BC" w:rsidRPr="00A3398F" w:rsidRDefault="008975BC" w:rsidP="000C7596">
      <w:pPr>
        <w:spacing w:line="360" w:lineRule="auto"/>
        <w:jc w:val="right"/>
        <w:rPr>
          <w:rFonts w:eastAsiaTheme="minorEastAsia"/>
          <w:b/>
          <w:bCs/>
          <w:color w:val="000000" w:themeColor="text1"/>
          <w:sz w:val="24"/>
        </w:rPr>
      </w:pPr>
      <w:r w:rsidRPr="00A3398F">
        <w:rPr>
          <w:rFonts w:eastAsiaTheme="minorEastAsia"/>
          <w:b/>
          <w:bCs/>
          <w:color w:val="000000" w:themeColor="text1"/>
          <w:sz w:val="24"/>
        </w:rPr>
        <w:t>摩根基金管理（中国）有限公司</w:t>
      </w:r>
    </w:p>
    <w:p w14:paraId="1A6A1DFC" w14:textId="77777777" w:rsidR="0076518F" w:rsidRPr="00A3398F" w:rsidRDefault="00623556" w:rsidP="000C7596">
      <w:pPr>
        <w:spacing w:line="360" w:lineRule="auto"/>
        <w:jc w:val="right"/>
        <w:rPr>
          <w:rFonts w:eastAsiaTheme="minorEastAsia"/>
          <w:b/>
          <w:bCs/>
          <w:color w:val="000000" w:themeColor="text1"/>
          <w:sz w:val="24"/>
        </w:rPr>
      </w:pPr>
      <w:r w:rsidRPr="00A3398F">
        <w:rPr>
          <w:rFonts w:eastAsiaTheme="minorEastAsia"/>
          <w:b/>
          <w:bCs/>
          <w:color w:val="000000" w:themeColor="text1"/>
          <w:sz w:val="24"/>
        </w:rPr>
        <w:t>二〇二四年七月十九日</w:t>
      </w:r>
    </w:p>
    <w:sectPr w:rsidR="0076518F" w:rsidRPr="00A3398F" w:rsidSect="00DB4450">
      <w:headerReference w:type="even" r:id="rId11"/>
      <w:footerReference w:type="even" r:id="rId12"/>
      <w:footerReference w:type="default" r:id="rId13"/>
      <w:headerReference w:type="first" r:id="rId14"/>
      <w:footerReference w:type="first" r:id="rId15"/>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AF3A7" w14:textId="77777777" w:rsidR="002F74FC" w:rsidRDefault="002F74FC">
      <w:r>
        <w:separator/>
      </w:r>
    </w:p>
  </w:endnote>
  <w:endnote w:type="continuationSeparator" w:id="0">
    <w:p w14:paraId="12403584" w14:textId="77777777" w:rsidR="002F74FC" w:rsidRDefault="002F7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026C8" w14:textId="775C9E4F" w:rsidR="00EF4716" w:rsidRPr="001D0DB0" w:rsidRDefault="00EF4716" w:rsidP="00B918B8">
    <w:pPr>
      <w:pStyle w:val="a7"/>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BC5B92">
      <w:rPr>
        <w:noProof/>
        <w:kern w:val="0"/>
        <w:szCs w:val="21"/>
      </w:rPr>
      <w:t>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sidR="00BC5B92">
      <w:rPr>
        <w:noProof/>
        <w:kern w:val="0"/>
        <w:szCs w:val="21"/>
      </w:rPr>
      <w:t>15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8E649" w14:textId="77777777" w:rsidR="00EF4716" w:rsidRDefault="00EF471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5E746C0" w14:textId="77777777" w:rsidR="00EF4716" w:rsidRDefault="00EF4716">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5A4CE" w14:textId="7CD3B048" w:rsidR="00EF4716" w:rsidRDefault="00EF471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BC5B92">
      <w:rPr>
        <w:rStyle w:val="a8"/>
        <w:noProof/>
      </w:rPr>
      <w:t>13</w:t>
    </w:r>
    <w:r>
      <w:rPr>
        <w:rStyle w:val="a8"/>
      </w:rPr>
      <w:fldChar w:fldCharType="end"/>
    </w:r>
  </w:p>
  <w:p w14:paraId="5D8035BF" w14:textId="77777777" w:rsidR="00EF4716" w:rsidRDefault="00EF4716">
    <w:pPr>
      <w:pStyle w:val="a7"/>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B1406" w14:textId="77777777" w:rsidR="00EF4716" w:rsidRDefault="00EF471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C7DBA" w14:textId="77777777" w:rsidR="002F74FC" w:rsidRDefault="002F74FC">
      <w:r>
        <w:separator/>
      </w:r>
    </w:p>
  </w:footnote>
  <w:footnote w:type="continuationSeparator" w:id="0">
    <w:p w14:paraId="729523E1" w14:textId="77777777" w:rsidR="002F74FC" w:rsidRDefault="002F7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7D2B5" w14:textId="77777777" w:rsidR="00EF4716" w:rsidRPr="006669C9" w:rsidRDefault="00EF4716" w:rsidP="001D1356">
    <w:pPr>
      <w:pStyle w:val="aa"/>
      <w:pBdr>
        <w:bottom w:val="single" w:sz="6" w:space="0" w:color="auto"/>
      </w:pBdr>
      <w:jc w:val="right"/>
    </w:pPr>
    <w:r w:rsidRPr="006669C9">
      <w:t>摩根海外稳健配置混合型证券投资基金</w:t>
    </w:r>
    <w:r w:rsidRPr="006669C9">
      <w:t>(QDII-FOF)2024</w:t>
    </w:r>
    <w:r w:rsidRPr="006669C9">
      <w:t>年第</w:t>
    </w:r>
    <w:r w:rsidRPr="006669C9">
      <w:t>2</w:t>
    </w:r>
    <w:r w:rsidRPr="006669C9">
      <w:t>季度报告</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8D9AE" w14:textId="77777777" w:rsidR="00EF4716" w:rsidRDefault="00EF4716">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4E72A" w14:textId="77777777" w:rsidR="00EF4716" w:rsidRDefault="00EF471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E7FB4"/>
    <w:rsid w:val="0000403B"/>
    <w:rsid w:val="00005911"/>
    <w:rsid w:val="00010A83"/>
    <w:rsid w:val="00010A8E"/>
    <w:rsid w:val="00010AC3"/>
    <w:rsid w:val="00011E10"/>
    <w:rsid w:val="00011EB5"/>
    <w:rsid w:val="00017581"/>
    <w:rsid w:val="00017739"/>
    <w:rsid w:val="00020583"/>
    <w:rsid w:val="00021DD4"/>
    <w:rsid w:val="00023BE7"/>
    <w:rsid w:val="00026BFF"/>
    <w:rsid w:val="000306F0"/>
    <w:rsid w:val="0003091A"/>
    <w:rsid w:val="00037FCF"/>
    <w:rsid w:val="00041AB5"/>
    <w:rsid w:val="000421B8"/>
    <w:rsid w:val="00043ABF"/>
    <w:rsid w:val="000445E4"/>
    <w:rsid w:val="00045AE7"/>
    <w:rsid w:val="000510AB"/>
    <w:rsid w:val="00055668"/>
    <w:rsid w:val="00055AF1"/>
    <w:rsid w:val="000565DC"/>
    <w:rsid w:val="00063A8D"/>
    <w:rsid w:val="00064AE3"/>
    <w:rsid w:val="00066524"/>
    <w:rsid w:val="00067332"/>
    <w:rsid w:val="00070CD1"/>
    <w:rsid w:val="00070DD6"/>
    <w:rsid w:val="0007171B"/>
    <w:rsid w:val="00081D05"/>
    <w:rsid w:val="000876A0"/>
    <w:rsid w:val="00087CF7"/>
    <w:rsid w:val="00094876"/>
    <w:rsid w:val="00095912"/>
    <w:rsid w:val="00095CE0"/>
    <w:rsid w:val="000965F7"/>
    <w:rsid w:val="00096933"/>
    <w:rsid w:val="00097230"/>
    <w:rsid w:val="000A09BE"/>
    <w:rsid w:val="000A457E"/>
    <w:rsid w:val="000A521D"/>
    <w:rsid w:val="000A549A"/>
    <w:rsid w:val="000A55BD"/>
    <w:rsid w:val="000A72F2"/>
    <w:rsid w:val="000B0C56"/>
    <w:rsid w:val="000B3274"/>
    <w:rsid w:val="000B3E43"/>
    <w:rsid w:val="000C1723"/>
    <w:rsid w:val="000C1B20"/>
    <w:rsid w:val="000C4107"/>
    <w:rsid w:val="000C41AE"/>
    <w:rsid w:val="000C45E7"/>
    <w:rsid w:val="000C6876"/>
    <w:rsid w:val="000C7596"/>
    <w:rsid w:val="000D01F4"/>
    <w:rsid w:val="000D121F"/>
    <w:rsid w:val="000D1519"/>
    <w:rsid w:val="000E1F7C"/>
    <w:rsid w:val="000E3B88"/>
    <w:rsid w:val="000E3F11"/>
    <w:rsid w:val="000E4456"/>
    <w:rsid w:val="000F175F"/>
    <w:rsid w:val="000F17D1"/>
    <w:rsid w:val="000F60FF"/>
    <w:rsid w:val="000F635F"/>
    <w:rsid w:val="000F6C61"/>
    <w:rsid w:val="00100A7C"/>
    <w:rsid w:val="00100C12"/>
    <w:rsid w:val="001049B6"/>
    <w:rsid w:val="001051C6"/>
    <w:rsid w:val="0010694D"/>
    <w:rsid w:val="0011177A"/>
    <w:rsid w:val="00112E27"/>
    <w:rsid w:val="0011345C"/>
    <w:rsid w:val="00114B31"/>
    <w:rsid w:val="00116E31"/>
    <w:rsid w:val="00120FAF"/>
    <w:rsid w:val="0012150F"/>
    <w:rsid w:val="00121683"/>
    <w:rsid w:val="0012304E"/>
    <w:rsid w:val="00123B10"/>
    <w:rsid w:val="001248EF"/>
    <w:rsid w:val="001257C7"/>
    <w:rsid w:val="00126C27"/>
    <w:rsid w:val="00126DDF"/>
    <w:rsid w:val="001270BF"/>
    <w:rsid w:val="00127BAC"/>
    <w:rsid w:val="00142A56"/>
    <w:rsid w:val="00143B45"/>
    <w:rsid w:val="00144DF5"/>
    <w:rsid w:val="00145A97"/>
    <w:rsid w:val="00146485"/>
    <w:rsid w:val="00150AD6"/>
    <w:rsid w:val="001542CC"/>
    <w:rsid w:val="00154ADA"/>
    <w:rsid w:val="0015531A"/>
    <w:rsid w:val="0016041C"/>
    <w:rsid w:val="00163B27"/>
    <w:rsid w:val="00165317"/>
    <w:rsid w:val="00171BAD"/>
    <w:rsid w:val="00172B84"/>
    <w:rsid w:val="001756A1"/>
    <w:rsid w:val="001761EE"/>
    <w:rsid w:val="00176EAA"/>
    <w:rsid w:val="0017725A"/>
    <w:rsid w:val="00177C4B"/>
    <w:rsid w:val="0018325A"/>
    <w:rsid w:val="00186199"/>
    <w:rsid w:val="0018734E"/>
    <w:rsid w:val="001928F7"/>
    <w:rsid w:val="00194537"/>
    <w:rsid w:val="00194F40"/>
    <w:rsid w:val="001A21A9"/>
    <w:rsid w:val="001A59D8"/>
    <w:rsid w:val="001A5FA6"/>
    <w:rsid w:val="001B28D0"/>
    <w:rsid w:val="001B2F0C"/>
    <w:rsid w:val="001C37F6"/>
    <w:rsid w:val="001C46E1"/>
    <w:rsid w:val="001C5C03"/>
    <w:rsid w:val="001C6288"/>
    <w:rsid w:val="001C7D5D"/>
    <w:rsid w:val="001D0F6A"/>
    <w:rsid w:val="001D1356"/>
    <w:rsid w:val="001D21BC"/>
    <w:rsid w:val="001D2FA5"/>
    <w:rsid w:val="001D3187"/>
    <w:rsid w:val="001D35E0"/>
    <w:rsid w:val="001D369F"/>
    <w:rsid w:val="001D4F52"/>
    <w:rsid w:val="001D5045"/>
    <w:rsid w:val="001D5A44"/>
    <w:rsid w:val="001D724B"/>
    <w:rsid w:val="001E11D3"/>
    <w:rsid w:val="001E227F"/>
    <w:rsid w:val="001E2A6A"/>
    <w:rsid w:val="001E3DC2"/>
    <w:rsid w:val="001E4ABC"/>
    <w:rsid w:val="001E56FF"/>
    <w:rsid w:val="001E5C6B"/>
    <w:rsid w:val="001F03E1"/>
    <w:rsid w:val="001F0629"/>
    <w:rsid w:val="001F26C1"/>
    <w:rsid w:val="001F3C28"/>
    <w:rsid w:val="001F3CC6"/>
    <w:rsid w:val="001F4530"/>
    <w:rsid w:val="002010DE"/>
    <w:rsid w:val="00202968"/>
    <w:rsid w:val="00202C32"/>
    <w:rsid w:val="00203AEF"/>
    <w:rsid w:val="00206F8C"/>
    <w:rsid w:val="00211A26"/>
    <w:rsid w:val="002125F7"/>
    <w:rsid w:val="00214463"/>
    <w:rsid w:val="00214756"/>
    <w:rsid w:val="002149AE"/>
    <w:rsid w:val="00215CF2"/>
    <w:rsid w:val="00221174"/>
    <w:rsid w:val="002224FF"/>
    <w:rsid w:val="00222E8C"/>
    <w:rsid w:val="002236BC"/>
    <w:rsid w:val="00223DBB"/>
    <w:rsid w:val="00225051"/>
    <w:rsid w:val="002273CA"/>
    <w:rsid w:val="00233B7F"/>
    <w:rsid w:val="002347A7"/>
    <w:rsid w:val="002359EB"/>
    <w:rsid w:val="002363AB"/>
    <w:rsid w:val="0024203E"/>
    <w:rsid w:val="0024260D"/>
    <w:rsid w:val="00245012"/>
    <w:rsid w:val="0024504E"/>
    <w:rsid w:val="0024651F"/>
    <w:rsid w:val="0025158D"/>
    <w:rsid w:val="0025281A"/>
    <w:rsid w:val="00253D3C"/>
    <w:rsid w:val="00254F37"/>
    <w:rsid w:val="00255292"/>
    <w:rsid w:val="00256097"/>
    <w:rsid w:val="00260200"/>
    <w:rsid w:val="00261DB3"/>
    <w:rsid w:val="002648D8"/>
    <w:rsid w:val="002655D4"/>
    <w:rsid w:val="00265865"/>
    <w:rsid w:val="00267D54"/>
    <w:rsid w:val="00270004"/>
    <w:rsid w:val="002711AA"/>
    <w:rsid w:val="00273F86"/>
    <w:rsid w:val="00276834"/>
    <w:rsid w:val="002774F0"/>
    <w:rsid w:val="00280566"/>
    <w:rsid w:val="00281DBD"/>
    <w:rsid w:val="00284519"/>
    <w:rsid w:val="0028459B"/>
    <w:rsid w:val="00284C5F"/>
    <w:rsid w:val="00285ABF"/>
    <w:rsid w:val="002873F0"/>
    <w:rsid w:val="002964F9"/>
    <w:rsid w:val="00297B13"/>
    <w:rsid w:val="00297E05"/>
    <w:rsid w:val="00297E9F"/>
    <w:rsid w:val="002A0FA2"/>
    <w:rsid w:val="002A1F14"/>
    <w:rsid w:val="002A2678"/>
    <w:rsid w:val="002A2E01"/>
    <w:rsid w:val="002A398F"/>
    <w:rsid w:val="002A530F"/>
    <w:rsid w:val="002A5C6B"/>
    <w:rsid w:val="002A5D31"/>
    <w:rsid w:val="002A714F"/>
    <w:rsid w:val="002B14C2"/>
    <w:rsid w:val="002B1851"/>
    <w:rsid w:val="002B27FF"/>
    <w:rsid w:val="002B3A0A"/>
    <w:rsid w:val="002B4320"/>
    <w:rsid w:val="002B6793"/>
    <w:rsid w:val="002C042C"/>
    <w:rsid w:val="002C1726"/>
    <w:rsid w:val="002C21A6"/>
    <w:rsid w:val="002C2678"/>
    <w:rsid w:val="002C26D5"/>
    <w:rsid w:val="002C5777"/>
    <w:rsid w:val="002D31BB"/>
    <w:rsid w:val="002D32E3"/>
    <w:rsid w:val="002E0FEB"/>
    <w:rsid w:val="002E6899"/>
    <w:rsid w:val="002F0F79"/>
    <w:rsid w:val="002F2234"/>
    <w:rsid w:val="002F2713"/>
    <w:rsid w:val="002F280E"/>
    <w:rsid w:val="002F3709"/>
    <w:rsid w:val="002F3A6C"/>
    <w:rsid w:val="002F4296"/>
    <w:rsid w:val="002F74FC"/>
    <w:rsid w:val="00300951"/>
    <w:rsid w:val="00302CA8"/>
    <w:rsid w:val="00302DE9"/>
    <w:rsid w:val="00304106"/>
    <w:rsid w:val="00304E5A"/>
    <w:rsid w:val="00304E97"/>
    <w:rsid w:val="00305084"/>
    <w:rsid w:val="0031104D"/>
    <w:rsid w:val="00311094"/>
    <w:rsid w:val="0031598C"/>
    <w:rsid w:val="00316339"/>
    <w:rsid w:val="003204E9"/>
    <w:rsid w:val="00321E8C"/>
    <w:rsid w:val="00322A5E"/>
    <w:rsid w:val="00322A86"/>
    <w:rsid w:val="00323AE8"/>
    <w:rsid w:val="00324548"/>
    <w:rsid w:val="003251F4"/>
    <w:rsid w:val="003303E3"/>
    <w:rsid w:val="003329EA"/>
    <w:rsid w:val="003371D0"/>
    <w:rsid w:val="003376D5"/>
    <w:rsid w:val="003407A5"/>
    <w:rsid w:val="00341188"/>
    <w:rsid w:val="0034147B"/>
    <w:rsid w:val="00345F56"/>
    <w:rsid w:val="00350238"/>
    <w:rsid w:val="003508B0"/>
    <w:rsid w:val="0035109C"/>
    <w:rsid w:val="00351E81"/>
    <w:rsid w:val="00351F0A"/>
    <w:rsid w:val="0035432B"/>
    <w:rsid w:val="00356D17"/>
    <w:rsid w:val="00361E7E"/>
    <w:rsid w:val="00363E15"/>
    <w:rsid w:val="00370AA4"/>
    <w:rsid w:val="00371FF4"/>
    <w:rsid w:val="003745DA"/>
    <w:rsid w:val="0037468D"/>
    <w:rsid w:val="00376A15"/>
    <w:rsid w:val="00376E96"/>
    <w:rsid w:val="00377520"/>
    <w:rsid w:val="00380D36"/>
    <w:rsid w:val="00380FB5"/>
    <w:rsid w:val="003822D3"/>
    <w:rsid w:val="00386630"/>
    <w:rsid w:val="00390B25"/>
    <w:rsid w:val="00395BC9"/>
    <w:rsid w:val="00396E32"/>
    <w:rsid w:val="00397156"/>
    <w:rsid w:val="00397616"/>
    <w:rsid w:val="00397960"/>
    <w:rsid w:val="003A080A"/>
    <w:rsid w:val="003A30B8"/>
    <w:rsid w:val="003A3BC4"/>
    <w:rsid w:val="003A458A"/>
    <w:rsid w:val="003B2F13"/>
    <w:rsid w:val="003B405E"/>
    <w:rsid w:val="003B57D3"/>
    <w:rsid w:val="003C1F58"/>
    <w:rsid w:val="003C6BB7"/>
    <w:rsid w:val="003C792F"/>
    <w:rsid w:val="003D0053"/>
    <w:rsid w:val="003D124B"/>
    <w:rsid w:val="003D18F3"/>
    <w:rsid w:val="003D70D1"/>
    <w:rsid w:val="003D78B5"/>
    <w:rsid w:val="003E244F"/>
    <w:rsid w:val="003E6203"/>
    <w:rsid w:val="003E62A6"/>
    <w:rsid w:val="003E695F"/>
    <w:rsid w:val="003E6C9B"/>
    <w:rsid w:val="003E709C"/>
    <w:rsid w:val="003E7B89"/>
    <w:rsid w:val="003F0275"/>
    <w:rsid w:val="003F06B1"/>
    <w:rsid w:val="003F4241"/>
    <w:rsid w:val="003F59C4"/>
    <w:rsid w:val="003F7C45"/>
    <w:rsid w:val="0040132C"/>
    <w:rsid w:val="00401FEA"/>
    <w:rsid w:val="004027BA"/>
    <w:rsid w:val="0040469F"/>
    <w:rsid w:val="00405085"/>
    <w:rsid w:val="004061D9"/>
    <w:rsid w:val="004066FC"/>
    <w:rsid w:val="00407C10"/>
    <w:rsid w:val="004113B4"/>
    <w:rsid w:val="00414827"/>
    <w:rsid w:val="00416C10"/>
    <w:rsid w:val="00420007"/>
    <w:rsid w:val="00424EF3"/>
    <w:rsid w:val="004261BD"/>
    <w:rsid w:val="004268BB"/>
    <w:rsid w:val="00431047"/>
    <w:rsid w:val="00431B86"/>
    <w:rsid w:val="004339D9"/>
    <w:rsid w:val="004408EC"/>
    <w:rsid w:val="00441E6A"/>
    <w:rsid w:val="00443C8F"/>
    <w:rsid w:val="00452481"/>
    <w:rsid w:val="004567C5"/>
    <w:rsid w:val="00457804"/>
    <w:rsid w:val="00462B61"/>
    <w:rsid w:val="00464283"/>
    <w:rsid w:val="004646BF"/>
    <w:rsid w:val="00464744"/>
    <w:rsid w:val="004665E3"/>
    <w:rsid w:val="00466B17"/>
    <w:rsid w:val="004705EB"/>
    <w:rsid w:val="004731F1"/>
    <w:rsid w:val="004745CC"/>
    <w:rsid w:val="00477111"/>
    <w:rsid w:val="0047798A"/>
    <w:rsid w:val="00480BC8"/>
    <w:rsid w:val="00481265"/>
    <w:rsid w:val="004814BF"/>
    <w:rsid w:val="00482956"/>
    <w:rsid w:val="0048587E"/>
    <w:rsid w:val="00487C2B"/>
    <w:rsid w:val="0049297D"/>
    <w:rsid w:val="004929F2"/>
    <w:rsid w:val="004958BE"/>
    <w:rsid w:val="00495A03"/>
    <w:rsid w:val="0049659A"/>
    <w:rsid w:val="004966FE"/>
    <w:rsid w:val="00497079"/>
    <w:rsid w:val="004A1493"/>
    <w:rsid w:val="004A1BBA"/>
    <w:rsid w:val="004A3039"/>
    <w:rsid w:val="004A3E3C"/>
    <w:rsid w:val="004B0E6D"/>
    <w:rsid w:val="004B16E8"/>
    <w:rsid w:val="004B38A1"/>
    <w:rsid w:val="004B3F56"/>
    <w:rsid w:val="004B6250"/>
    <w:rsid w:val="004B76B1"/>
    <w:rsid w:val="004C0057"/>
    <w:rsid w:val="004C0541"/>
    <w:rsid w:val="004C05F3"/>
    <w:rsid w:val="004C2C46"/>
    <w:rsid w:val="004C52A1"/>
    <w:rsid w:val="004C7235"/>
    <w:rsid w:val="004C7955"/>
    <w:rsid w:val="004C7C9D"/>
    <w:rsid w:val="004D047F"/>
    <w:rsid w:val="004D3971"/>
    <w:rsid w:val="004D3D96"/>
    <w:rsid w:val="004D650F"/>
    <w:rsid w:val="004E2133"/>
    <w:rsid w:val="004E60FB"/>
    <w:rsid w:val="004F16AD"/>
    <w:rsid w:val="004F6565"/>
    <w:rsid w:val="004F779C"/>
    <w:rsid w:val="004F7846"/>
    <w:rsid w:val="005000D4"/>
    <w:rsid w:val="00501BB1"/>
    <w:rsid w:val="00505BE7"/>
    <w:rsid w:val="00506786"/>
    <w:rsid w:val="00506D57"/>
    <w:rsid w:val="00507F26"/>
    <w:rsid w:val="00510CAF"/>
    <w:rsid w:val="005128C5"/>
    <w:rsid w:val="0051478B"/>
    <w:rsid w:val="0051566A"/>
    <w:rsid w:val="00515D7B"/>
    <w:rsid w:val="005166E9"/>
    <w:rsid w:val="0051686F"/>
    <w:rsid w:val="0052009E"/>
    <w:rsid w:val="00521EDE"/>
    <w:rsid w:val="00525E59"/>
    <w:rsid w:val="005318CC"/>
    <w:rsid w:val="005346F1"/>
    <w:rsid w:val="005349B1"/>
    <w:rsid w:val="005374BC"/>
    <w:rsid w:val="00543367"/>
    <w:rsid w:val="00543BFA"/>
    <w:rsid w:val="0054649D"/>
    <w:rsid w:val="00547D9C"/>
    <w:rsid w:val="00547DA1"/>
    <w:rsid w:val="0055513C"/>
    <w:rsid w:val="00560C94"/>
    <w:rsid w:val="0056291C"/>
    <w:rsid w:val="00565A63"/>
    <w:rsid w:val="00566588"/>
    <w:rsid w:val="00571BD3"/>
    <w:rsid w:val="0057275D"/>
    <w:rsid w:val="005749DF"/>
    <w:rsid w:val="005800A9"/>
    <w:rsid w:val="00580488"/>
    <w:rsid w:val="0058074D"/>
    <w:rsid w:val="00582FAD"/>
    <w:rsid w:val="00583489"/>
    <w:rsid w:val="005837E4"/>
    <w:rsid w:val="00584F63"/>
    <w:rsid w:val="00587B92"/>
    <w:rsid w:val="005908C0"/>
    <w:rsid w:val="00590FE4"/>
    <w:rsid w:val="005914B6"/>
    <w:rsid w:val="00591D9C"/>
    <w:rsid w:val="00592EFF"/>
    <w:rsid w:val="00597057"/>
    <w:rsid w:val="00597D8B"/>
    <w:rsid w:val="005A128A"/>
    <w:rsid w:val="005A140B"/>
    <w:rsid w:val="005A1C30"/>
    <w:rsid w:val="005A3295"/>
    <w:rsid w:val="005A44E4"/>
    <w:rsid w:val="005A46FF"/>
    <w:rsid w:val="005A6BFC"/>
    <w:rsid w:val="005A704A"/>
    <w:rsid w:val="005B011E"/>
    <w:rsid w:val="005B2E84"/>
    <w:rsid w:val="005B3103"/>
    <w:rsid w:val="005B6AC7"/>
    <w:rsid w:val="005B6CA6"/>
    <w:rsid w:val="005B7B0E"/>
    <w:rsid w:val="005C453E"/>
    <w:rsid w:val="005C5409"/>
    <w:rsid w:val="005C69AC"/>
    <w:rsid w:val="005C722E"/>
    <w:rsid w:val="005C7FD4"/>
    <w:rsid w:val="005D01A4"/>
    <w:rsid w:val="005D45B3"/>
    <w:rsid w:val="005D4CEB"/>
    <w:rsid w:val="005E0EAB"/>
    <w:rsid w:val="005E2501"/>
    <w:rsid w:val="005E64DA"/>
    <w:rsid w:val="005F04E6"/>
    <w:rsid w:val="005F43B9"/>
    <w:rsid w:val="005F68CB"/>
    <w:rsid w:val="005F7085"/>
    <w:rsid w:val="005F79F9"/>
    <w:rsid w:val="00602ACD"/>
    <w:rsid w:val="006033E3"/>
    <w:rsid w:val="00605748"/>
    <w:rsid w:val="00610C82"/>
    <w:rsid w:val="0061321C"/>
    <w:rsid w:val="00614E07"/>
    <w:rsid w:val="0062145B"/>
    <w:rsid w:val="00623556"/>
    <w:rsid w:val="0062386E"/>
    <w:rsid w:val="00623F01"/>
    <w:rsid w:val="00624407"/>
    <w:rsid w:val="00626E2D"/>
    <w:rsid w:val="00627D94"/>
    <w:rsid w:val="00630B42"/>
    <w:rsid w:val="0063181A"/>
    <w:rsid w:val="00637258"/>
    <w:rsid w:val="00642072"/>
    <w:rsid w:val="006440ED"/>
    <w:rsid w:val="00645293"/>
    <w:rsid w:val="00646237"/>
    <w:rsid w:val="00651B78"/>
    <w:rsid w:val="00652263"/>
    <w:rsid w:val="00652881"/>
    <w:rsid w:val="0065601A"/>
    <w:rsid w:val="00656776"/>
    <w:rsid w:val="00661974"/>
    <w:rsid w:val="00662D4B"/>
    <w:rsid w:val="00664551"/>
    <w:rsid w:val="00664F49"/>
    <w:rsid w:val="006658FA"/>
    <w:rsid w:val="00666066"/>
    <w:rsid w:val="006669C9"/>
    <w:rsid w:val="0066726C"/>
    <w:rsid w:val="006674BD"/>
    <w:rsid w:val="006676A0"/>
    <w:rsid w:val="00670857"/>
    <w:rsid w:val="00671124"/>
    <w:rsid w:val="006727B0"/>
    <w:rsid w:val="0067307E"/>
    <w:rsid w:val="00686EC0"/>
    <w:rsid w:val="00687AD5"/>
    <w:rsid w:val="00691153"/>
    <w:rsid w:val="00695251"/>
    <w:rsid w:val="00695ADE"/>
    <w:rsid w:val="00695C0D"/>
    <w:rsid w:val="00696356"/>
    <w:rsid w:val="006A1DAE"/>
    <w:rsid w:val="006A2C8E"/>
    <w:rsid w:val="006A72C6"/>
    <w:rsid w:val="006B02DA"/>
    <w:rsid w:val="006B077E"/>
    <w:rsid w:val="006B1FD1"/>
    <w:rsid w:val="006B2065"/>
    <w:rsid w:val="006B2F2B"/>
    <w:rsid w:val="006B3940"/>
    <w:rsid w:val="006B47D1"/>
    <w:rsid w:val="006C0411"/>
    <w:rsid w:val="006C124D"/>
    <w:rsid w:val="006C168D"/>
    <w:rsid w:val="006C1D52"/>
    <w:rsid w:val="006C4E16"/>
    <w:rsid w:val="006C55C8"/>
    <w:rsid w:val="006C5E36"/>
    <w:rsid w:val="006C642C"/>
    <w:rsid w:val="006C6FC6"/>
    <w:rsid w:val="006D00D5"/>
    <w:rsid w:val="006E34B7"/>
    <w:rsid w:val="006F4CD8"/>
    <w:rsid w:val="00700B57"/>
    <w:rsid w:val="00701F44"/>
    <w:rsid w:val="00703E8A"/>
    <w:rsid w:val="00706F31"/>
    <w:rsid w:val="00710335"/>
    <w:rsid w:val="00711522"/>
    <w:rsid w:val="007124FE"/>
    <w:rsid w:val="00713186"/>
    <w:rsid w:val="00713757"/>
    <w:rsid w:val="00717772"/>
    <w:rsid w:val="00721AF1"/>
    <w:rsid w:val="0072280F"/>
    <w:rsid w:val="00722B5E"/>
    <w:rsid w:val="0072708F"/>
    <w:rsid w:val="00730500"/>
    <w:rsid w:val="00731666"/>
    <w:rsid w:val="00732D1D"/>
    <w:rsid w:val="00736034"/>
    <w:rsid w:val="00736479"/>
    <w:rsid w:val="0073681C"/>
    <w:rsid w:val="00741EBE"/>
    <w:rsid w:val="00746130"/>
    <w:rsid w:val="00746A40"/>
    <w:rsid w:val="00750358"/>
    <w:rsid w:val="007513AC"/>
    <w:rsid w:val="00751763"/>
    <w:rsid w:val="00755CDF"/>
    <w:rsid w:val="00757A4C"/>
    <w:rsid w:val="00763925"/>
    <w:rsid w:val="00764A94"/>
    <w:rsid w:val="0076518F"/>
    <w:rsid w:val="007651E5"/>
    <w:rsid w:val="007670DC"/>
    <w:rsid w:val="0077111A"/>
    <w:rsid w:val="00772721"/>
    <w:rsid w:val="007756ED"/>
    <w:rsid w:val="007870FC"/>
    <w:rsid w:val="00787CD0"/>
    <w:rsid w:val="00791053"/>
    <w:rsid w:val="00791A3A"/>
    <w:rsid w:val="00791BB9"/>
    <w:rsid w:val="00794196"/>
    <w:rsid w:val="00794251"/>
    <w:rsid w:val="00796EC9"/>
    <w:rsid w:val="00797637"/>
    <w:rsid w:val="00797DD2"/>
    <w:rsid w:val="007A3680"/>
    <w:rsid w:val="007A59B8"/>
    <w:rsid w:val="007A75F5"/>
    <w:rsid w:val="007B2862"/>
    <w:rsid w:val="007B662A"/>
    <w:rsid w:val="007B73ED"/>
    <w:rsid w:val="007D1292"/>
    <w:rsid w:val="007D28C9"/>
    <w:rsid w:val="007D3CC8"/>
    <w:rsid w:val="007D5584"/>
    <w:rsid w:val="007D62A3"/>
    <w:rsid w:val="007D62F9"/>
    <w:rsid w:val="007D63A4"/>
    <w:rsid w:val="007E1AA2"/>
    <w:rsid w:val="007E303C"/>
    <w:rsid w:val="007E4C1F"/>
    <w:rsid w:val="007F0759"/>
    <w:rsid w:val="007F25C0"/>
    <w:rsid w:val="007F26D5"/>
    <w:rsid w:val="007F3594"/>
    <w:rsid w:val="007F5F52"/>
    <w:rsid w:val="007F768B"/>
    <w:rsid w:val="007F77C6"/>
    <w:rsid w:val="008003A1"/>
    <w:rsid w:val="008006B7"/>
    <w:rsid w:val="00800FDB"/>
    <w:rsid w:val="00802081"/>
    <w:rsid w:val="00806461"/>
    <w:rsid w:val="0081096D"/>
    <w:rsid w:val="00810EAD"/>
    <w:rsid w:val="00811833"/>
    <w:rsid w:val="008174D4"/>
    <w:rsid w:val="00820FE6"/>
    <w:rsid w:val="00821A66"/>
    <w:rsid w:val="00822476"/>
    <w:rsid w:val="00822882"/>
    <w:rsid w:val="00825F68"/>
    <w:rsid w:val="00826B12"/>
    <w:rsid w:val="008277FF"/>
    <w:rsid w:val="00835408"/>
    <w:rsid w:val="00837CEF"/>
    <w:rsid w:val="00840035"/>
    <w:rsid w:val="008428A9"/>
    <w:rsid w:val="00844112"/>
    <w:rsid w:val="00844929"/>
    <w:rsid w:val="00845292"/>
    <w:rsid w:val="008456C9"/>
    <w:rsid w:val="0084611D"/>
    <w:rsid w:val="00850C62"/>
    <w:rsid w:val="00852E6D"/>
    <w:rsid w:val="00861D07"/>
    <w:rsid w:val="008620ED"/>
    <w:rsid w:val="00863011"/>
    <w:rsid w:val="00865075"/>
    <w:rsid w:val="008673EE"/>
    <w:rsid w:val="0086748F"/>
    <w:rsid w:val="008712A3"/>
    <w:rsid w:val="00872CE4"/>
    <w:rsid w:val="00877B62"/>
    <w:rsid w:val="00877D98"/>
    <w:rsid w:val="00881015"/>
    <w:rsid w:val="008810B0"/>
    <w:rsid w:val="008819B6"/>
    <w:rsid w:val="00881AAC"/>
    <w:rsid w:val="0088256A"/>
    <w:rsid w:val="008836B7"/>
    <w:rsid w:val="008841D3"/>
    <w:rsid w:val="00884359"/>
    <w:rsid w:val="00887DE6"/>
    <w:rsid w:val="00890172"/>
    <w:rsid w:val="008911D2"/>
    <w:rsid w:val="00893048"/>
    <w:rsid w:val="00894C2A"/>
    <w:rsid w:val="008975BC"/>
    <w:rsid w:val="00897708"/>
    <w:rsid w:val="00897D88"/>
    <w:rsid w:val="00897E6F"/>
    <w:rsid w:val="008A2EC6"/>
    <w:rsid w:val="008A2F16"/>
    <w:rsid w:val="008A6D69"/>
    <w:rsid w:val="008B0A73"/>
    <w:rsid w:val="008B1823"/>
    <w:rsid w:val="008B2EAD"/>
    <w:rsid w:val="008B6A4A"/>
    <w:rsid w:val="008B6E16"/>
    <w:rsid w:val="008B7110"/>
    <w:rsid w:val="008C2029"/>
    <w:rsid w:val="008C503E"/>
    <w:rsid w:val="008C50F5"/>
    <w:rsid w:val="008C61D6"/>
    <w:rsid w:val="008C64F1"/>
    <w:rsid w:val="008C71EB"/>
    <w:rsid w:val="008C761C"/>
    <w:rsid w:val="008D1BB0"/>
    <w:rsid w:val="008D20FF"/>
    <w:rsid w:val="008D36E4"/>
    <w:rsid w:val="008D3DE6"/>
    <w:rsid w:val="008D4223"/>
    <w:rsid w:val="008D44CC"/>
    <w:rsid w:val="008D46E3"/>
    <w:rsid w:val="008D49A6"/>
    <w:rsid w:val="008D52CA"/>
    <w:rsid w:val="008D6709"/>
    <w:rsid w:val="008D74B6"/>
    <w:rsid w:val="008E083A"/>
    <w:rsid w:val="008E2450"/>
    <w:rsid w:val="008E7896"/>
    <w:rsid w:val="008E7D2D"/>
    <w:rsid w:val="008F2477"/>
    <w:rsid w:val="008F7815"/>
    <w:rsid w:val="00900F02"/>
    <w:rsid w:val="009010F0"/>
    <w:rsid w:val="00901162"/>
    <w:rsid w:val="0090223A"/>
    <w:rsid w:val="009028E2"/>
    <w:rsid w:val="00914EAB"/>
    <w:rsid w:val="00920F85"/>
    <w:rsid w:val="00922D49"/>
    <w:rsid w:val="0092502E"/>
    <w:rsid w:val="00925E37"/>
    <w:rsid w:val="00925EDD"/>
    <w:rsid w:val="00927D0E"/>
    <w:rsid w:val="00930937"/>
    <w:rsid w:val="009309DA"/>
    <w:rsid w:val="0093260B"/>
    <w:rsid w:val="00936688"/>
    <w:rsid w:val="00936891"/>
    <w:rsid w:val="00937CFA"/>
    <w:rsid w:val="009406B3"/>
    <w:rsid w:val="00943C27"/>
    <w:rsid w:val="00945CF5"/>
    <w:rsid w:val="009500A1"/>
    <w:rsid w:val="0095037E"/>
    <w:rsid w:val="00952AAD"/>
    <w:rsid w:val="00954567"/>
    <w:rsid w:val="00957466"/>
    <w:rsid w:val="0096260B"/>
    <w:rsid w:val="009664D5"/>
    <w:rsid w:val="00970C69"/>
    <w:rsid w:val="00971F1C"/>
    <w:rsid w:val="0097211D"/>
    <w:rsid w:val="00972E10"/>
    <w:rsid w:val="009746CA"/>
    <w:rsid w:val="009779FD"/>
    <w:rsid w:val="00981963"/>
    <w:rsid w:val="00983C82"/>
    <w:rsid w:val="00984520"/>
    <w:rsid w:val="0098545C"/>
    <w:rsid w:val="00985BF7"/>
    <w:rsid w:val="00990071"/>
    <w:rsid w:val="00991EA9"/>
    <w:rsid w:val="00992BA2"/>
    <w:rsid w:val="00992F83"/>
    <w:rsid w:val="0099508A"/>
    <w:rsid w:val="009974EB"/>
    <w:rsid w:val="009A1126"/>
    <w:rsid w:val="009A5E42"/>
    <w:rsid w:val="009A781F"/>
    <w:rsid w:val="009B1584"/>
    <w:rsid w:val="009B21CA"/>
    <w:rsid w:val="009B2235"/>
    <w:rsid w:val="009B2648"/>
    <w:rsid w:val="009C03E5"/>
    <w:rsid w:val="009C3730"/>
    <w:rsid w:val="009C37BD"/>
    <w:rsid w:val="009C3AAC"/>
    <w:rsid w:val="009C3D84"/>
    <w:rsid w:val="009C4D19"/>
    <w:rsid w:val="009C5134"/>
    <w:rsid w:val="009C5FDB"/>
    <w:rsid w:val="009C693E"/>
    <w:rsid w:val="009C70CB"/>
    <w:rsid w:val="009D1EA4"/>
    <w:rsid w:val="009D27AA"/>
    <w:rsid w:val="009D4991"/>
    <w:rsid w:val="009D5BB5"/>
    <w:rsid w:val="009D696D"/>
    <w:rsid w:val="009D6DAB"/>
    <w:rsid w:val="009D6ED2"/>
    <w:rsid w:val="009E0F1A"/>
    <w:rsid w:val="009E140D"/>
    <w:rsid w:val="009E1E55"/>
    <w:rsid w:val="009E3391"/>
    <w:rsid w:val="009E4465"/>
    <w:rsid w:val="009E6401"/>
    <w:rsid w:val="009E6C54"/>
    <w:rsid w:val="009E6D44"/>
    <w:rsid w:val="009E705F"/>
    <w:rsid w:val="009F2A25"/>
    <w:rsid w:val="009F5235"/>
    <w:rsid w:val="009F531A"/>
    <w:rsid w:val="009F6550"/>
    <w:rsid w:val="009F786E"/>
    <w:rsid w:val="00A00902"/>
    <w:rsid w:val="00A039FF"/>
    <w:rsid w:val="00A05ACE"/>
    <w:rsid w:val="00A14AE3"/>
    <w:rsid w:val="00A16675"/>
    <w:rsid w:val="00A22CD6"/>
    <w:rsid w:val="00A22D4B"/>
    <w:rsid w:val="00A234EC"/>
    <w:rsid w:val="00A2417A"/>
    <w:rsid w:val="00A27804"/>
    <w:rsid w:val="00A32FDA"/>
    <w:rsid w:val="00A3398F"/>
    <w:rsid w:val="00A35B79"/>
    <w:rsid w:val="00A36AB5"/>
    <w:rsid w:val="00A37DDA"/>
    <w:rsid w:val="00A411D1"/>
    <w:rsid w:val="00A41566"/>
    <w:rsid w:val="00A43389"/>
    <w:rsid w:val="00A43C40"/>
    <w:rsid w:val="00A43E71"/>
    <w:rsid w:val="00A45753"/>
    <w:rsid w:val="00A47B15"/>
    <w:rsid w:val="00A47E47"/>
    <w:rsid w:val="00A52F84"/>
    <w:rsid w:val="00A56AA4"/>
    <w:rsid w:val="00A56B05"/>
    <w:rsid w:val="00A57678"/>
    <w:rsid w:val="00A60E2F"/>
    <w:rsid w:val="00A63127"/>
    <w:rsid w:val="00A63284"/>
    <w:rsid w:val="00A64CB8"/>
    <w:rsid w:val="00A67018"/>
    <w:rsid w:val="00A672F3"/>
    <w:rsid w:val="00A673DC"/>
    <w:rsid w:val="00A7076E"/>
    <w:rsid w:val="00A709BE"/>
    <w:rsid w:val="00A70E23"/>
    <w:rsid w:val="00A7162E"/>
    <w:rsid w:val="00A72D71"/>
    <w:rsid w:val="00A75705"/>
    <w:rsid w:val="00A7634D"/>
    <w:rsid w:val="00A77C69"/>
    <w:rsid w:val="00A82C02"/>
    <w:rsid w:val="00A83953"/>
    <w:rsid w:val="00A840C5"/>
    <w:rsid w:val="00A903B6"/>
    <w:rsid w:val="00A90F4F"/>
    <w:rsid w:val="00A947AA"/>
    <w:rsid w:val="00A96748"/>
    <w:rsid w:val="00A96FD9"/>
    <w:rsid w:val="00AA1B53"/>
    <w:rsid w:val="00AA3556"/>
    <w:rsid w:val="00AA35FD"/>
    <w:rsid w:val="00AA3DB7"/>
    <w:rsid w:val="00AA72C6"/>
    <w:rsid w:val="00AB2DFA"/>
    <w:rsid w:val="00AB3012"/>
    <w:rsid w:val="00AB321C"/>
    <w:rsid w:val="00AB3DEF"/>
    <w:rsid w:val="00AB42E2"/>
    <w:rsid w:val="00AB688F"/>
    <w:rsid w:val="00AB75EA"/>
    <w:rsid w:val="00AB7AA2"/>
    <w:rsid w:val="00AC4BC1"/>
    <w:rsid w:val="00AC588F"/>
    <w:rsid w:val="00AC5E4B"/>
    <w:rsid w:val="00AD04BD"/>
    <w:rsid w:val="00AD1A03"/>
    <w:rsid w:val="00AD7214"/>
    <w:rsid w:val="00AE1066"/>
    <w:rsid w:val="00AE19D8"/>
    <w:rsid w:val="00AE4518"/>
    <w:rsid w:val="00AE5D7F"/>
    <w:rsid w:val="00AE79F0"/>
    <w:rsid w:val="00AE7D44"/>
    <w:rsid w:val="00AF4FE7"/>
    <w:rsid w:val="00AF6EC1"/>
    <w:rsid w:val="00AF7CF5"/>
    <w:rsid w:val="00B00331"/>
    <w:rsid w:val="00B0116D"/>
    <w:rsid w:val="00B01A80"/>
    <w:rsid w:val="00B07C27"/>
    <w:rsid w:val="00B10DE1"/>
    <w:rsid w:val="00B10FF8"/>
    <w:rsid w:val="00B111B9"/>
    <w:rsid w:val="00B203C4"/>
    <w:rsid w:val="00B22995"/>
    <w:rsid w:val="00B22A61"/>
    <w:rsid w:val="00B22E81"/>
    <w:rsid w:val="00B23996"/>
    <w:rsid w:val="00B23CB2"/>
    <w:rsid w:val="00B2561A"/>
    <w:rsid w:val="00B25A64"/>
    <w:rsid w:val="00B32AB3"/>
    <w:rsid w:val="00B34E7C"/>
    <w:rsid w:val="00B368EA"/>
    <w:rsid w:val="00B37EEF"/>
    <w:rsid w:val="00B43FC2"/>
    <w:rsid w:val="00B47485"/>
    <w:rsid w:val="00B518C3"/>
    <w:rsid w:val="00B55185"/>
    <w:rsid w:val="00B55EA7"/>
    <w:rsid w:val="00B61923"/>
    <w:rsid w:val="00B621D6"/>
    <w:rsid w:val="00B62914"/>
    <w:rsid w:val="00B65D6F"/>
    <w:rsid w:val="00B67552"/>
    <w:rsid w:val="00B67C23"/>
    <w:rsid w:val="00B75735"/>
    <w:rsid w:val="00B76B0F"/>
    <w:rsid w:val="00B77142"/>
    <w:rsid w:val="00B7766E"/>
    <w:rsid w:val="00B77F5A"/>
    <w:rsid w:val="00B80A2C"/>
    <w:rsid w:val="00B81F60"/>
    <w:rsid w:val="00B83F8E"/>
    <w:rsid w:val="00B841AC"/>
    <w:rsid w:val="00B865B0"/>
    <w:rsid w:val="00B90780"/>
    <w:rsid w:val="00B918B8"/>
    <w:rsid w:val="00B9240D"/>
    <w:rsid w:val="00B94BB8"/>
    <w:rsid w:val="00B94C15"/>
    <w:rsid w:val="00B95E5A"/>
    <w:rsid w:val="00BA22A8"/>
    <w:rsid w:val="00BA3E48"/>
    <w:rsid w:val="00BA5FB8"/>
    <w:rsid w:val="00BB1EB3"/>
    <w:rsid w:val="00BB2678"/>
    <w:rsid w:val="00BB531E"/>
    <w:rsid w:val="00BB5F3D"/>
    <w:rsid w:val="00BC2343"/>
    <w:rsid w:val="00BC5B92"/>
    <w:rsid w:val="00BC76D5"/>
    <w:rsid w:val="00BD18B8"/>
    <w:rsid w:val="00BD30C8"/>
    <w:rsid w:val="00BD3EB4"/>
    <w:rsid w:val="00BD5C65"/>
    <w:rsid w:val="00BE01CA"/>
    <w:rsid w:val="00BE4973"/>
    <w:rsid w:val="00BE6018"/>
    <w:rsid w:val="00BF1DD5"/>
    <w:rsid w:val="00BF1F57"/>
    <w:rsid w:val="00BF3EA0"/>
    <w:rsid w:val="00BF4086"/>
    <w:rsid w:val="00BF426C"/>
    <w:rsid w:val="00BF460D"/>
    <w:rsid w:val="00BF58D0"/>
    <w:rsid w:val="00BF7D6A"/>
    <w:rsid w:val="00C013E1"/>
    <w:rsid w:val="00C01611"/>
    <w:rsid w:val="00C01C01"/>
    <w:rsid w:val="00C02C6D"/>
    <w:rsid w:val="00C02D59"/>
    <w:rsid w:val="00C030B6"/>
    <w:rsid w:val="00C03284"/>
    <w:rsid w:val="00C04855"/>
    <w:rsid w:val="00C050D7"/>
    <w:rsid w:val="00C05B5F"/>
    <w:rsid w:val="00C0667A"/>
    <w:rsid w:val="00C07BF8"/>
    <w:rsid w:val="00C104CC"/>
    <w:rsid w:val="00C130C1"/>
    <w:rsid w:val="00C14142"/>
    <w:rsid w:val="00C152FE"/>
    <w:rsid w:val="00C16739"/>
    <w:rsid w:val="00C22CCE"/>
    <w:rsid w:val="00C23BA2"/>
    <w:rsid w:val="00C25D0C"/>
    <w:rsid w:val="00C32AF2"/>
    <w:rsid w:val="00C33204"/>
    <w:rsid w:val="00C338EB"/>
    <w:rsid w:val="00C33E2E"/>
    <w:rsid w:val="00C3465D"/>
    <w:rsid w:val="00C3494D"/>
    <w:rsid w:val="00C379E9"/>
    <w:rsid w:val="00C37E98"/>
    <w:rsid w:val="00C42431"/>
    <w:rsid w:val="00C439FB"/>
    <w:rsid w:val="00C43F23"/>
    <w:rsid w:val="00C4675D"/>
    <w:rsid w:val="00C50011"/>
    <w:rsid w:val="00C503D3"/>
    <w:rsid w:val="00C62509"/>
    <w:rsid w:val="00C645E6"/>
    <w:rsid w:val="00C64D82"/>
    <w:rsid w:val="00C64FBC"/>
    <w:rsid w:val="00C65A83"/>
    <w:rsid w:val="00C67DCB"/>
    <w:rsid w:val="00C736BB"/>
    <w:rsid w:val="00C737E8"/>
    <w:rsid w:val="00C80F23"/>
    <w:rsid w:val="00C81151"/>
    <w:rsid w:val="00C81746"/>
    <w:rsid w:val="00C82A96"/>
    <w:rsid w:val="00C82CC6"/>
    <w:rsid w:val="00C850A3"/>
    <w:rsid w:val="00C85C32"/>
    <w:rsid w:val="00C87568"/>
    <w:rsid w:val="00C87BB7"/>
    <w:rsid w:val="00C90DB6"/>
    <w:rsid w:val="00C9394F"/>
    <w:rsid w:val="00C93B1A"/>
    <w:rsid w:val="00C9504A"/>
    <w:rsid w:val="00C96275"/>
    <w:rsid w:val="00C96F5F"/>
    <w:rsid w:val="00CA1A4F"/>
    <w:rsid w:val="00CA3977"/>
    <w:rsid w:val="00CA5927"/>
    <w:rsid w:val="00CA79EC"/>
    <w:rsid w:val="00CB39C2"/>
    <w:rsid w:val="00CB44DE"/>
    <w:rsid w:val="00CB4C8C"/>
    <w:rsid w:val="00CB6782"/>
    <w:rsid w:val="00CB7629"/>
    <w:rsid w:val="00CC00EC"/>
    <w:rsid w:val="00CC080A"/>
    <w:rsid w:val="00CC3C04"/>
    <w:rsid w:val="00CC4396"/>
    <w:rsid w:val="00CD25DA"/>
    <w:rsid w:val="00CE3C13"/>
    <w:rsid w:val="00CE4499"/>
    <w:rsid w:val="00CE45E9"/>
    <w:rsid w:val="00CE5277"/>
    <w:rsid w:val="00CE6358"/>
    <w:rsid w:val="00CE7FC6"/>
    <w:rsid w:val="00CF0C6C"/>
    <w:rsid w:val="00CF2D54"/>
    <w:rsid w:val="00CF622A"/>
    <w:rsid w:val="00D01324"/>
    <w:rsid w:val="00D02BA5"/>
    <w:rsid w:val="00D03538"/>
    <w:rsid w:val="00D03B67"/>
    <w:rsid w:val="00D049B8"/>
    <w:rsid w:val="00D0516C"/>
    <w:rsid w:val="00D05EE7"/>
    <w:rsid w:val="00D068D0"/>
    <w:rsid w:val="00D078D1"/>
    <w:rsid w:val="00D129A8"/>
    <w:rsid w:val="00D12FB9"/>
    <w:rsid w:val="00D13987"/>
    <w:rsid w:val="00D200BD"/>
    <w:rsid w:val="00D22399"/>
    <w:rsid w:val="00D310E8"/>
    <w:rsid w:val="00D33751"/>
    <w:rsid w:val="00D36F6E"/>
    <w:rsid w:val="00D37343"/>
    <w:rsid w:val="00D4205E"/>
    <w:rsid w:val="00D565EC"/>
    <w:rsid w:val="00D61982"/>
    <w:rsid w:val="00D6226F"/>
    <w:rsid w:val="00D6267A"/>
    <w:rsid w:val="00D674CF"/>
    <w:rsid w:val="00D678DF"/>
    <w:rsid w:val="00D678E4"/>
    <w:rsid w:val="00D67D12"/>
    <w:rsid w:val="00D70923"/>
    <w:rsid w:val="00D74F09"/>
    <w:rsid w:val="00D754C0"/>
    <w:rsid w:val="00D75673"/>
    <w:rsid w:val="00D7585A"/>
    <w:rsid w:val="00D80618"/>
    <w:rsid w:val="00D82494"/>
    <w:rsid w:val="00D84A4B"/>
    <w:rsid w:val="00D85E13"/>
    <w:rsid w:val="00D8669F"/>
    <w:rsid w:val="00D92168"/>
    <w:rsid w:val="00D940B5"/>
    <w:rsid w:val="00D95CB0"/>
    <w:rsid w:val="00D9766F"/>
    <w:rsid w:val="00D977C0"/>
    <w:rsid w:val="00DA00A3"/>
    <w:rsid w:val="00DA13F3"/>
    <w:rsid w:val="00DA27D4"/>
    <w:rsid w:val="00DA2DE3"/>
    <w:rsid w:val="00DA716A"/>
    <w:rsid w:val="00DB1841"/>
    <w:rsid w:val="00DB1F4F"/>
    <w:rsid w:val="00DB37EE"/>
    <w:rsid w:val="00DB4450"/>
    <w:rsid w:val="00DB7B69"/>
    <w:rsid w:val="00DC234A"/>
    <w:rsid w:val="00DC34E9"/>
    <w:rsid w:val="00DC41E4"/>
    <w:rsid w:val="00DC6697"/>
    <w:rsid w:val="00DC7C77"/>
    <w:rsid w:val="00DC7F19"/>
    <w:rsid w:val="00DD2809"/>
    <w:rsid w:val="00DD7EA2"/>
    <w:rsid w:val="00DE00F2"/>
    <w:rsid w:val="00DE07B4"/>
    <w:rsid w:val="00DE117F"/>
    <w:rsid w:val="00DE279B"/>
    <w:rsid w:val="00DE2B64"/>
    <w:rsid w:val="00DE401C"/>
    <w:rsid w:val="00DE4304"/>
    <w:rsid w:val="00DE6DF1"/>
    <w:rsid w:val="00DF0726"/>
    <w:rsid w:val="00DF63FA"/>
    <w:rsid w:val="00E012CC"/>
    <w:rsid w:val="00E02B71"/>
    <w:rsid w:val="00E02DEB"/>
    <w:rsid w:val="00E042A1"/>
    <w:rsid w:val="00E104FA"/>
    <w:rsid w:val="00E1082A"/>
    <w:rsid w:val="00E11166"/>
    <w:rsid w:val="00E13182"/>
    <w:rsid w:val="00E15383"/>
    <w:rsid w:val="00E1738C"/>
    <w:rsid w:val="00E174D4"/>
    <w:rsid w:val="00E22D28"/>
    <w:rsid w:val="00E230E3"/>
    <w:rsid w:val="00E254E2"/>
    <w:rsid w:val="00E27344"/>
    <w:rsid w:val="00E30EDF"/>
    <w:rsid w:val="00E31FBA"/>
    <w:rsid w:val="00E36AAE"/>
    <w:rsid w:val="00E41773"/>
    <w:rsid w:val="00E4392C"/>
    <w:rsid w:val="00E44C57"/>
    <w:rsid w:val="00E45967"/>
    <w:rsid w:val="00E462F4"/>
    <w:rsid w:val="00E46FFD"/>
    <w:rsid w:val="00E513F6"/>
    <w:rsid w:val="00E52AA3"/>
    <w:rsid w:val="00E52F3B"/>
    <w:rsid w:val="00E53D94"/>
    <w:rsid w:val="00E53DEA"/>
    <w:rsid w:val="00E616DB"/>
    <w:rsid w:val="00E618DD"/>
    <w:rsid w:val="00E627A4"/>
    <w:rsid w:val="00E630ED"/>
    <w:rsid w:val="00E73C41"/>
    <w:rsid w:val="00E74EC5"/>
    <w:rsid w:val="00E750C2"/>
    <w:rsid w:val="00E76B86"/>
    <w:rsid w:val="00E81AFF"/>
    <w:rsid w:val="00E8342F"/>
    <w:rsid w:val="00E847A7"/>
    <w:rsid w:val="00E87C2F"/>
    <w:rsid w:val="00E906B4"/>
    <w:rsid w:val="00E9095B"/>
    <w:rsid w:val="00E90CF1"/>
    <w:rsid w:val="00E9399B"/>
    <w:rsid w:val="00E94008"/>
    <w:rsid w:val="00E94762"/>
    <w:rsid w:val="00E96B52"/>
    <w:rsid w:val="00EA2244"/>
    <w:rsid w:val="00EA411E"/>
    <w:rsid w:val="00EA5FC0"/>
    <w:rsid w:val="00EA6FA7"/>
    <w:rsid w:val="00EB067F"/>
    <w:rsid w:val="00EB1F02"/>
    <w:rsid w:val="00EB51FD"/>
    <w:rsid w:val="00EB5BC5"/>
    <w:rsid w:val="00EB72C1"/>
    <w:rsid w:val="00EC086C"/>
    <w:rsid w:val="00EC42D0"/>
    <w:rsid w:val="00EC4BA3"/>
    <w:rsid w:val="00EC5CE6"/>
    <w:rsid w:val="00EC638F"/>
    <w:rsid w:val="00EE1749"/>
    <w:rsid w:val="00EE2ACE"/>
    <w:rsid w:val="00EE4874"/>
    <w:rsid w:val="00EE79A6"/>
    <w:rsid w:val="00EE7FB4"/>
    <w:rsid w:val="00EF0D26"/>
    <w:rsid w:val="00EF0D86"/>
    <w:rsid w:val="00EF22FE"/>
    <w:rsid w:val="00EF4716"/>
    <w:rsid w:val="00EF76AC"/>
    <w:rsid w:val="00EF7C29"/>
    <w:rsid w:val="00F005A0"/>
    <w:rsid w:val="00F01D97"/>
    <w:rsid w:val="00F02435"/>
    <w:rsid w:val="00F0542C"/>
    <w:rsid w:val="00F058BE"/>
    <w:rsid w:val="00F077D2"/>
    <w:rsid w:val="00F11352"/>
    <w:rsid w:val="00F13FCD"/>
    <w:rsid w:val="00F1498D"/>
    <w:rsid w:val="00F14D34"/>
    <w:rsid w:val="00F14DDF"/>
    <w:rsid w:val="00F152AD"/>
    <w:rsid w:val="00F158FF"/>
    <w:rsid w:val="00F20BE9"/>
    <w:rsid w:val="00F2285F"/>
    <w:rsid w:val="00F22F00"/>
    <w:rsid w:val="00F23155"/>
    <w:rsid w:val="00F24E0E"/>
    <w:rsid w:val="00F26693"/>
    <w:rsid w:val="00F36130"/>
    <w:rsid w:val="00F40444"/>
    <w:rsid w:val="00F423BD"/>
    <w:rsid w:val="00F432FF"/>
    <w:rsid w:val="00F4715C"/>
    <w:rsid w:val="00F512C0"/>
    <w:rsid w:val="00F54869"/>
    <w:rsid w:val="00F556B2"/>
    <w:rsid w:val="00F57187"/>
    <w:rsid w:val="00F574E5"/>
    <w:rsid w:val="00F5754B"/>
    <w:rsid w:val="00F576DE"/>
    <w:rsid w:val="00F63BF7"/>
    <w:rsid w:val="00F65617"/>
    <w:rsid w:val="00F666BC"/>
    <w:rsid w:val="00F70316"/>
    <w:rsid w:val="00F710BE"/>
    <w:rsid w:val="00F72CEF"/>
    <w:rsid w:val="00F736D2"/>
    <w:rsid w:val="00F7564C"/>
    <w:rsid w:val="00F76220"/>
    <w:rsid w:val="00F769BE"/>
    <w:rsid w:val="00F82E6B"/>
    <w:rsid w:val="00F951CF"/>
    <w:rsid w:val="00F97B71"/>
    <w:rsid w:val="00FA1925"/>
    <w:rsid w:val="00FA2DDA"/>
    <w:rsid w:val="00FA3195"/>
    <w:rsid w:val="00FA34CA"/>
    <w:rsid w:val="00FA3CC8"/>
    <w:rsid w:val="00FA4A55"/>
    <w:rsid w:val="00FA4D4F"/>
    <w:rsid w:val="00FA54E8"/>
    <w:rsid w:val="00FA5CA2"/>
    <w:rsid w:val="00FB0D88"/>
    <w:rsid w:val="00FB26B3"/>
    <w:rsid w:val="00FB2D17"/>
    <w:rsid w:val="00FB2F69"/>
    <w:rsid w:val="00FB39F7"/>
    <w:rsid w:val="00FB3BCA"/>
    <w:rsid w:val="00FB45FF"/>
    <w:rsid w:val="00FB47E0"/>
    <w:rsid w:val="00FB5CB1"/>
    <w:rsid w:val="00FB5D97"/>
    <w:rsid w:val="00FB7363"/>
    <w:rsid w:val="00FC1CA5"/>
    <w:rsid w:val="00FC2979"/>
    <w:rsid w:val="00FC45F4"/>
    <w:rsid w:val="00FD1C3C"/>
    <w:rsid w:val="00FD3480"/>
    <w:rsid w:val="00FD38A8"/>
    <w:rsid w:val="00FD6AC8"/>
    <w:rsid w:val="00FD7298"/>
    <w:rsid w:val="00FE308B"/>
    <w:rsid w:val="00FE3EA1"/>
    <w:rsid w:val="00FE4818"/>
    <w:rsid w:val="00FE5D80"/>
    <w:rsid w:val="00FF6ADB"/>
    <w:rsid w:val="00FF7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41"/>
    <o:shapelayout v:ext="edit">
      <o:idmap v:ext="edit" data="1"/>
    </o:shapelayout>
  </w:shapeDefaults>
  <w:decimalSymbol w:val="."/>
  <w:listSeparator w:val=","/>
  <w14:docId w14:val="78874716"/>
  <w15:docId w15:val="{7033F5BC-5832-4772-BD96-87110A554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0"/>
    <w:qFormat/>
    <w:rsid w:val="00A7634D"/>
    <w:pPr>
      <w:keepNext/>
      <w:keepLines/>
      <w:spacing w:before="340" w:after="330" w:line="578" w:lineRule="auto"/>
      <w:outlineLvl w:val="0"/>
    </w:pPr>
    <w:rPr>
      <w:b/>
      <w:bCs/>
      <w:kern w:val="44"/>
      <w:sz w:val="44"/>
      <w:szCs w:val="44"/>
    </w:rPr>
  </w:style>
  <w:style w:type="paragraph" w:styleId="2">
    <w:name w:val="heading 2"/>
    <w:basedOn w:val="a"/>
    <w:next w:val="a0"/>
    <w:qFormat/>
    <w:rsid w:val="00EB72C1"/>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EB72C1"/>
    <w:pPr>
      <w:ind w:firstLineChars="200" w:firstLine="420"/>
    </w:pPr>
  </w:style>
  <w:style w:type="paragraph" w:styleId="a4">
    <w:name w:val="Body Text Indent"/>
    <w:basedOn w:val="a"/>
    <w:rsid w:val="00EB72C1"/>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a6"/>
    <w:rsid w:val="00EB72C1"/>
    <w:rPr>
      <w:rFonts w:ascii="宋体" w:hAnsi="Courier New"/>
      <w:szCs w:val="21"/>
    </w:rPr>
  </w:style>
  <w:style w:type="paragraph" w:styleId="20">
    <w:name w:val="Body Text Indent 2"/>
    <w:basedOn w:val="a"/>
    <w:rsid w:val="00EB72C1"/>
    <w:pPr>
      <w:spacing w:line="560" w:lineRule="exact"/>
      <w:ind w:firstLineChars="200" w:firstLine="480"/>
    </w:pPr>
    <w:rPr>
      <w:rFonts w:ascii="宋体" w:hAnsi="宋体"/>
      <w:color w:val="FF0000"/>
      <w:sz w:val="24"/>
    </w:rPr>
  </w:style>
  <w:style w:type="paragraph" w:styleId="a7">
    <w:name w:val="footer"/>
    <w:basedOn w:val="a"/>
    <w:rsid w:val="00EB72C1"/>
    <w:pPr>
      <w:tabs>
        <w:tab w:val="center" w:pos="4153"/>
        <w:tab w:val="right" w:pos="8306"/>
      </w:tabs>
      <w:snapToGrid w:val="0"/>
      <w:jc w:val="left"/>
    </w:pPr>
    <w:rPr>
      <w:sz w:val="18"/>
      <w:szCs w:val="18"/>
    </w:rPr>
  </w:style>
  <w:style w:type="character" w:styleId="a8">
    <w:name w:val="page number"/>
    <w:basedOn w:val="a1"/>
    <w:rsid w:val="00EB72C1"/>
  </w:style>
  <w:style w:type="character" w:styleId="a9">
    <w:name w:val="Hyperlink"/>
    <w:rsid w:val="00EB72C1"/>
    <w:rPr>
      <w:color w:val="0000FF"/>
      <w:u w:val="single"/>
    </w:rPr>
  </w:style>
  <w:style w:type="paragraph" w:styleId="3">
    <w:name w:val="Body Text Indent 3"/>
    <w:basedOn w:val="a"/>
    <w:rsid w:val="00EB72C1"/>
    <w:pPr>
      <w:spacing w:line="560" w:lineRule="exact"/>
      <w:ind w:firstLineChars="200" w:firstLine="420"/>
    </w:pPr>
    <w:rPr>
      <w:rFonts w:ascii="Arial" w:hAnsi="Arial" w:cs="Arial"/>
      <w:color w:val="FF0000"/>
    </w:rPr>
  </w:style>
  <w:style w:type="paragraph" w:styleId="aa">
    <w:name w:val="header"/>
    <w:basedOn w:val="a"/>
    <w:link w:val="ab"/>
    <w:uiPriority w:val="99"/>
    <w:rsid w:val="00EB72C1"/>
    <w:pPr>
      <w:pBdr>
        <w:bottom w:val="single" w:sz="6" w:space="1" w:color="auto"/>
      </w:pBdr>
      <w:tabs>
        <w:tab w:val="center" w:pos="4153"/>
        <w:tab w:val="right" w:pos="8306"/>
      </w:tabs>
      <w:snapToGrid w:val="0"/>
      <w:jc w:val="center"/>
    </w:pPr>
    <w:rPr>
      <w:sz w:val="18"/>
      <w:szCs w:val="18"/>
    </w:rPr>
  </w:style>
  <w:style w:type="character" w:styleId="ac">
    <w:name w:val="FollowedHyperlink"/>
    <w:rsid w:val="00EB72C1"/>
    <w:rPr>
      <w:color w:val="800080"/>
      <w:u w:val="single"/>
    </w:rPr>
  </w:style>
  <w:style w:type="paragraph" w:styleId="ad">
    <w:name w:val="List"/>
    <w:basedOn w:val="ae"/>
    <w:rsid w:val="00EB72C1"/>
    <w:pPr>
      <w:spacing w:after="220" w:line="220" w:lineRule="atLeast"/>
      <w:ind w:left="1440" w:hanging="360"/>
    </w:pPr>
    <w:rPr>
      <w:szCs w:val="20"/>
    </w:rPr>
  </w:style>
  <w:style w:type="paragraph" w:styleId="ae">
    <w:name w:val="Body Text"/>
    <w:basedOn w:val="a"/>
    <w:rsid w:val="00EB72C1"/>
    <w:pPr>
      <w:spacing w:after="120"/>
    </w:pPr>
  </w:style>
  <w:style w:type="paragraph" w:styleId="af">
    <w:name w:val="Date"/>
    <w:basedOn w:val="a"/>
    <w:next w:val="a"/>
    <w:link w:val="af0"/>
    <w:uiPriority w:val="99"/>
    <w:rsid w:val="00EB72C1"/>
    <w:rPr>
      <w:sz w:val="24"/>
      <w:szCs w:val="20"/>
    </w:rPr>
  </w:style>
  <w:style w:type="character" w:customStyle="1" w:styleId="c1">
    <w:name w:val="c1"/>
    <w:rsid w:val="00EB72C1"/>
    <w:rPr>
      <w:color w:val="000000"/>
      <w:sz w:val="18"/>
      <w:szCs w:val="18"/>
    </w:rPr>
  </w:style>
  <w:style w:type="paragraph" w:styleId="11">
    <w:name w:val="index 1"/>
    <w:basedOn w:val="a"/>
    <w:next w:val="a"/>
    <w:autoRedefine/>
    <w:semiHidden/>
    <w:rsid w:val="00EB72C1"/>
    <w:pPr>
      <w:jc w:val="right"/>
    </w:pPr>
    <w:rPr>
      <w:color w:val="008000"/>
    </w:rPr>
  </w:style>
  <w:style w:type="paragraph" w:customStyle="1" w:styleId="font5">
    <w:name w:val="font5"/>
    <w:basedOn w:val="a"/>
    <w:rsid w:val="00EB72C1"/>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EB72C1"/>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EB72C1"/>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EB72C1"/>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EB72C1"/>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EB72C1"/>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EB72C1"/>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EB72C1"/>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f1">
    <w:name w:val="Balloon Text"/>
    <w:basedOn w:val="a"/>
    <w:semiHidden/>
    <w:rsid w:val="00EB72C1"/>
    <w:rPr>
      <w:sz w:val="18"/>
      <w:szCs w:val="18"/>
    </w:rPr>
  </w:style>
  <w:style w:type="character" w:styleId="af2">
    <w:name w:val="annotation reference"/>
    <w:semiHidden/>
    <w:rsid w:val="00EB72C1"/>
    <w:rPr>
      <w:sz w:val="21"/>
      <w:szCs w:val="21"/>
    </w:rPr>
  </w:style>
  <w:style w:type="paragraph" w:styleId="af3">
    <w:name w:val="annotation text"/>
    <w:basedOn w:val="a"/>
    <w:semiHidden/>
    <w:rsid w:val="00EB72C1"/>
    <w:pPr>
      <w:jc w:val="left"/>
    </w:pPr>
  </w:style>
  <w:style w:type="paragraph" w:styleId="af4">
    <w:name w:val="annotation subject"/>
    <w:basedOn w:val="af3"/>
    <w:next w:val="af3"/>
    <w:semiHidden/>
    <w:rsid w:val="00EB72C1"/>
    <w:rPr>
      <w:b/>
      <w:bCs/>
    </w:rPr>
  </w:style>
  <w:style w:type="paragraph" w:customStyle="1" w:styleId="Char">
    <w:name w:val="Char"/>
    <w:basedOn w:val="a"/>
    <w:rsid w:val="00EB72C1"/>
  </w:style>
  <w:style w:type="paragraph" w:styleId="af5">
    <w:name w:val="Document Map"/>
    <w:basedOn w:val="a"/>
    <w:semiHidden/>
    <w:rsid w:val="000A549A"/>
    <w:pPr>
      <w:shd w:val="clear" w:color="auto" w:fill="000080"/>
    </w:pPr>
  </w:style>
  <w:style w:type="paragraph" w:customStyle="1" w:styleId="af6">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7">
    <w:name w:val="footnote text"/>
    <w:basedOn w:val="a"/>
    <w:semiHidden/>
    <w:rsid w:val="00547D9C"/>
    <w:pPr>
      <w:snapToGrid w:val="0"/>
      <w:jc w:val="left"/>
    </w:pPr>
    <w:rPr>
      <w:sz w:val="18"/>
      <w:szCs w:val="18"/>
    </w:rPr>
  </w:style>
  <w:style w:type="character" w:styleId="af8">
    <w:name w:val="footnote reference"/>
    <w:semiHidden/>
    <w:rsid w:val="00547D9C"/>
    <w:rPr>
      <w:vertAlign w:val="superscript"/>
    </w:rPr>
  </w:style>
  <w:style w:type="paragraph" w:styleId="af9">
    <w:name w:val="Normal (Web)"/>
    <w:basedOn w:val="a"/>
    <w:rsid w:val="005D45B3"/>
    <w:pPr>
      <w:widowControl/>
      <w:spacing w:before="100" w:beforeAutospacing="1" w:after="100" w:afterAutospacing="1"/>
      <w:jc w:val="left"/>
    </w:pPr>
    <w:rPr>
      <w:rFonts w:ascii="宋体" w:hAnsi="宋体"/>
      <w:kern w:val="0"/>
      <w:sz w:val="24"/>
    </w:rPr>
  </w:style>
  <w:style w:type="table" w:styleId="afa">
    <w:name w:val="Table Grid"/>
    <w:basedOn w:val="a2"/>
    <w:uiPriority w:val="99"/>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character" w:customStyle="1" w:styleId="a6">
    <w:name w:val="纯文本 字符"/>
    <w:link w:val="a5"/>
    <w:uiPriority w:val="99"/>
    <w:rsid w:val="00A96FD9"/>
    <w:rPr>
      <w:rFonts w:ascii="宋体" w:hAnsi="Courier New"/>
      <w:kern w:val="2"/>
      <w:sz w:val="21"/>
      <w:szCs w:val="21"/>
    </w:rPr>
  </w:style>
  <w:style w:type="character" w:customStyle="1" w:styleId="ab">
    <w:name w:val="页眉 字符"/>
    <w:basedOn w:val="a1"/>
    <w:link w:val="aa"/>
    <w:uiPriority w:val="99"/>
    <w:rsid w:val="001D1356"/>
    <w:rPr>
      <w:kern w:val="2"/>
      <w:sz w:val="18"/>
      <w:szCs w:val="18"/>
    </w:rPr>
  </w:style>
  <w:style w:type="character" w:customStyle="1" w:styleId="10">
    <w:name w:val="标题 1 字符"/>
    <w:basedOn w:val="a1"/>
    <w:link w:val="1"/>
    <w:rsid w:val="00A7634D"/>
    <w:rPr>
      <w:b/>
      <w:bCs/>
      <w:kern w:val="44"/>
      <w:sz w:val="44"/>
      <w:szCs w:val="44"/>
    </w:rPr>
  </w:style>
  <w:style w:type="character" w:customStyle="1" w:styleId="af0">
    <w:name w:val="日期 字符"/>
    <w:basedOn w:val="a1"/>
    <w:link w:val="af"/>
    <w:uiPriority w:val="99"/>
    <w:rsid w:val="00C503D3"/>
    <w:rPr>
      <w:kern w:val="2"/>
      <w:sz w:val="24"/>
    </w:rPr>
  </w:style>
  <w:style w:type="character" w:styleId="afb">
    <w:name w:val="Strong"/>
    <w:basedOn w:val="a1"/>
    <w:uiPriority w:val="22"/>
    <w:qFormat/>
    <w:rsid w:val="009779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248806163">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825586713">
      <w:bodyDiv w:val="1"/>
      <w:marLeft w:val="0"/>
      <w:marRight w:val="0"/>
      <w:marTop w:val="0"/>
      <w:marBottom w:val="0"/>
      <w:divBdr>
        <w:top w:val="none" w:sz="0" w:space="0" w:color="auto"/>
        <w:left w:val="none" w:sz="0" w:space="0" w:color="auto"/>
        <w:bottom w:val="none" w:sz="0" w:space="0" w:color="auto"/>
        <w:right w:val="none" w:sz="0" w:space="0" w:color="auto"/>
      </w:divBdr>
    </w:div>
    <w:div w:id="907810778">
      <w:bodyDiv w:val="1"/>
      <w:marLeft w:val="0"/>
      <w:marRight w:val="0"/>
      <w:marTop w:val="0"/>
      <w:marBottom w:val="0"/>
      <w:divBdr>
        <w:top w:val="none" w:sz="0" w:space="0" w:color="auto"/>
        <w:left w:val="none" w:sz="0" w:space="0" w:color="auto"/>
        <w:bottom w:val="none" w:sz="0" w:space="0" w:color="auto"/>
        <w:right w:val="none" w:sz="0" w:space="0" w:color="auto"/>
      </w:divBdr>
    </w:div>
    <w:div w:id="1050878569">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410230114">
      <w:bodyDiv w:val="1"/>
      <w:marLeft w:val="0"/>
      <w:marRight w:val="0"/>
      <w:marTop w:val="0"/>
      <w:marBottom w:val="0"/>
      <w:divBdr>
        <w:top w:val="none" w:sz="0" w:space="0" w:color="auto"/>
        <w:left w:val="none" w:sz="0" w:space="0" w:color="auto"/>
        <w:bottom w:val="none" w:sz="0" w:space="0" w:color="auto"/>
        <w:right w:val="none" w:sz="0" w:space="0" w:color="auto"/>
      </w:divBdr>
    </w:div>
    <w:div w:id="1512455957">
      <w:bodyDiv w:val="1"/>
      <w:marLeft w:val="0"/>
      <w:marRight w:val="0"/>
      <w:marTop w:val="0"/>
      <w:marBottom w:val="0"/>
      <w:divBdr>
        <w:top w:val="none" w:sz="0" w:space="0" w:color="auto"/>
        <w:left w:val="none" w:sz="0" w:space="0" w:color="auto"/>
        <w:bottom w:val="none" w:sz="0" w:space="0" w:color="auto"/>
        <w:right w:val="none" w:sz="0" w:space="0" w:color="auto"/>
      </w:divBdr>
    </w:div>
    <w:div w:id="1633444076">
      <w:bodyDiv w:val="1"/>
      <w:marLeft w:val="0"/>
      <w:marRight w:val="0"/>
      <w:marTop w:val="0"/>
      <w:marBottom w:val="0"/>
      <w:divBdr>
        <w:top w:val="none" w:sz="0" w:space="0" w:color="auto"/>
        <w:left w:val="none" w:sz="0" w:space="0" w:color="auto"/>
        <w:bottom w:val="none" w:sz="0" w:space="0" w:color="auto"/>
        <w:right w:val="none" w:sz="0" w:space="0" w:color="auto"/>
      </w:divBdr>
      <w:divsChild>
        <w:div w:id="1453405627">
          <w:marLeft w:val="0"/>
          <w:marRight w:val="0"/>
          <w:marTop w:val="0"/>
          <w:marBottom w:val="0"/>
          <w:divBdr>
            <w:top w:val="none" w:sz="0" w:space="0" w:color="auto"/>
            <w:left w:val="none" w:sz="0" w:space="0" w:color="auto"/>
            <w:bottom w:val="none" w:sz="0" w:space="0" w:color="auto"/>
            <w:right w:val="none" w:sz="0" w:space="0" w:color="auto"/>
          </w:divBdr>
        </w:div>
      </w:divsChild>
    </w:div>
    <w:div w:id="18372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qdii.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qdii</Template>
  <TotalTime>114</TotalTime>
  <Pages>15</Pages>
  <Words>1300</Words>
  <Characters>7416</Characters>
  <Application>Microsoft Office Word</Application>
  <DocSecurity>0</DocSecurity>
  <Lines>61</Lines>
  <Paragraphs>17</Paragraphs>
  <ScaleCrop>false</ScaleCrop>
  <Company>TRT. Ltd. Co.</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Alex.Huang@FA</cp:lastModifiedBy>
  <cp:revision>34</cp:revision>
  <cp:lastPrinted>2007-07-19T00:46:00Z</cp:lastPrinted>
  <dcterms:created xsi:type="dcterms:W3CDTF">2014-12-16T02:40:00Z</dcterms:created>
  <dcterms:modified xsi:type="dcterms:W3CDTF">2024-07-18T01:57:00Z</dcterms:modified>
</cp:coreProperties>
</file>