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0BAC7A" w14:textId="77777777" w:rsidR="00B86EB8" w:rsidRDefault="00B86EB8">
      <w:pPr>
        <w:spacing w:line="360" w:lineRule="auto"/>
        <w:rPr>
          <w:rFonts w:ascii="宋体" w:hAnsi="宋体" w:hint="eastAsia"/>
          <w:sz w:val="48"/>
        </w:rPr>
      </w:pPr>
      <w:r>
        <w:rPr>
          <w:rFonts w:ascii="宋体" w:hAnsi="宋体" w:hint="eastAsia"/>
          <w:sz w:val="48"/>
        </w:rPr>
        <w:t xml:space="preserve">　 </w:t>
      </w:r>
    </w:p>
    <w:p w14:paraId="47E499BD" w14:textId="77777777" w:rsidR="00B86EB8" w:rsidRDefault="00B86EB8">
      <w:pPr>
        <w:spacing w:line="360" w:lineRule="auto"/>
        <w:rPr>
          <w:rFonts w:ascii="宋体" w:hAnsi="宋体" w:hint="eastAsia"/>
          <w:sz w:val="48"/>
        </w:rPr>
      </w:pPr>
      <w:r>
        <w:rPr>
          <w:rFonts w:ascii="宋体" w:hAnsi="宋体" w:hint="eastAsia"/>
          <w:sz w:val="48"/>
        </w:rPr>
        <w:t xml:space="preserve">　 </w:t>
      </w:r>
    </w:p>
    <w:p w14:paraId="27EACFAA" w14:textId="77777777" w:rsidR="00B86EB8" w:rsidRDefault="00B86EB8">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sz w:val="48"/>
          <w:szCs w:val="48"/>
        </w:rPr>
        <w:t>摩根标普</w:t>
      </w:r>
      <w:proofErr w:type="gramEnd"/>
      <w:r>
        <w:rPr>
          <w:rFonts w:ascii="宋体" w:hAnsi="宋体" w:hint="eastAsia"/>
          <w:b/>
          <w:bCs/>
          <w:sz w:val="48"/>
          <w:szCs w:val="48"/>
        </w:rPr>
        <w:t>500指数型发起式证券投资基金(QDII)</w:t>
      </w:r>
      <w:r>
        <w:rPr>
          <w:rFonts w:ascii="宋体" w:hAnsi="宋体" w:hint="eastAsia"/>
          <w:b/>
          <w:bCs/>
          <w:sz w:val="48"/>
          <w:szCs w:val="48"/>
        </w:rPr>
        <w:br/>
        <w:t>2025年第4季度报告</w:t>
      </w:r>
    </w:p>
    <w:p w14:paraId="762D64BA"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467E27B6" w14:textId="77777777" w:rsidR="00B86EB8" w:rsidRDefault="00B86EB8">
      <w:pPr>
        <w:spacing w:line="360" w:lineRule="auto"/>
        <w:jc w:val="center"/>
      </w:pPr>
      <w:r>
        <w:rPr>
          <w:rFonts w:ascii="宋体" w:hAnsi="宋体" w:hint="eastAsia"/>
          <w:b/>
          <w:bCs/>
          <w:sz w:val="28"/>
          <w:szCs w:val="30"/>
        </w:rPr>
        <w:t>2025年12月31日</w:t>
      </w:r>
    </w:p>
    <w:p w14:paraId="70C63992"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7F9B88AD"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0CD751C2"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3B682B29" w14:textId="77777777" w:rsidR="00B86EB8" w:rsidRDefault="00B86EB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64C99C4"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63B3ADD2"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7F204546"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140E9587"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0E8B22B4"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0ABF11E2" w14:textId="77777777" w:rsidR="00B86EB8" w:rsidRDefault="00B86EB8">
      <w:pPr>
        <w:spacing w:line="360" w:lineRule="auto"/>
        <w:jc w:val="center"/>
        <w:rPr>
          <w:rFonts w:ascii="宋体" w:hAnsi="宋体" w:hint="eastAsia"/>
          <w:sz w:val="28"/>
          <w:szCs w:val="30"/>
        </w:rPr>
      </w:pPr>
      <w:r>
        <w:rPr>
          <w:rFonts w:ascii="宋体" w:hAnsi="宋体" w:hint="eastAsia"/>
          <w:sz w:val="28"/>
          <w:szCs w:val="30"/>
        </w:rPr>
        <w:t xml:space="preserve">　 </w:t>
      </w:r>
    </w:p>
    <w:p w14:paraId="5F1DD14F" w14:textId="77777777" w:rsidR="00B86EB8" w:rsidRDefault="00B86EB8">
      <w:pPr>
        <w:spacing w:line="360" w:lineRule="auto"/>
        <w:ind w:firstLineChars="800" w:firstLine="2249"/>
        <w:jc w:val="left"/>
      </w:pPr>
      <w:r>
        <w:rPr>
          <w:rFonts w:ascii="宋体" w:hAnsi="宋体" w:hint="eastAsia"/>
          <w:b/>
          <w:bCs/>
          <w:sz w:val="28"/>
          <w:szCs w:val="30"/>
        </w:rPr>
        <w:t>基金管理人：摩根基金管理（中国）有限公司</w:t>
      </w:r>
    </w:p>
    <w:p w14:paraId="15F3A51C" w14:textId="77777777" w:rsidR="00B86EB8" w:rsidRDefault="00B86EB8">
      <w:pPr>
        <w:spacing w:line="360" w:lineRule="auto"/>
        <w:ind w:firstLineChars="800" w:firstLine="2249"/>
        <w:jc w:val="left"/>
      </w:pPr>
      <w:r>
        <w:rPr>
          <w:rFonts w:ascii="宋体" w:hAnsi="宋体" w:hint="eastAsia"/>
          <w:b/>
          <w:bCs/>
          <w:sz w:val="28"/>
          <w:szCs w:val="30"/>
        </w:rPr>
        <w:t>基金托管人：招商银行股份有限公司</w:t>
      </w:r>
    </w:p>
    <w:p w14:paraId="3F11DBBE" w14:textId="77777777" w:rsidR="00B86EB8" w:rsidRDefault="00B86EB8">
      <w:pPr>
        <w:spacing w:line="360" w:lineRule="auto"/>
        <w:ind w:firstLineChars="800" w:firstLine="2249"/>
        <w:jc w:val="left"/>
      </w:pPr>
      <w:r>
        <w:rPr>
          <w:rFonts w:ascii="宋体" w:hAnsi="宋体" w:hint="eastAsia"/>
          <w:b/>
          <w:bCs/>
          <w:sz w:val="28"/>
          <w:szCs w:val="30"/>
        </w:rPr>
        <w:t>报告送出日期：2026年1月22日</w:t>
      </w:r>
    </w:p>
    <w:p w14:paraId="2B27E72F" w14:textId="77777777" w:rsidR="00B86EB8" w:rsidRDefault="00B86EB8">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34DCC3C7" w14:textId="77777777" w:rsidR="00B86EB8" w:rsidRDefault="00B86EB8">
      <w:pPr>
        <w:spacing w:line="360" w:lineRule="auto"/>
        <w:ind w:firstLineChars="200" w:firstLine="420"/>
        <w:divId w:val="1534925044"/>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44F6AA2" w14:textId="77777777" w:rsidR="00B86EB8" w:rsidRDefault="00B86EB8">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proofErr w:type="spellStart"/>
      <w:r>
        <w:rPr>
          <w:rFonts w:hint="eastAsia"/>
        </w:rPr>
        <w:t>基金产品概况</w:t>
      </w:r>
      <w:bookmarkEnd w:id="20"/>
      <w:bookmarkEnd w:id="21"/>
      <w:bookmarkEnd w:id="22"/>
      <w:bookmarkEnd w:id="23"/>
      <w:bookmarkEnd w:id="24"/>
      <w:proofErr w:type="spellEnd"/>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7020A8" w14:paraId="50B8E8F5" w14:textId="77777777">
        <w:trPr>
          <w:divId w:val="892304138"/>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A8B50" w14:textId="77777777" w:rsidR="00B86EB8" w:rsidRDefault="00B86EB8">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F5A53" w14:textId="77777777" w:rsidR="00B86EB8" w:rsidRDefault="00B86EB8">
            <w:pPr>
              <w:spacing w:line="360" w:lineRule="auto"/>
              <w:jc w:val="left"/>
            </w:pPr>
            <w:r>
              <w:rPr>
                <w:rFonts w:ascii="宋体" w:hAnsi="宋体" w:hint="eastAsia"/>
                <w:szCs w:val="24"/>
                <w:lang w:eastAsia="zh-Hans"/>
              </w:rPr>
              <w:t>摩根标普500指数(QDII)</w:t>
            </w:r>
            <w:r>
              <w:rPr>
                <w:rFonts w:ascii="宋体" w:hAnsi="宋体" w:hint="eastAsia"/>
                <w:lang w:eastAsia="zh-Hans"/>
              </w:rPr>
              <w:t xml:space="preserve"> </w:t>
            </w:r>
          </w:p>
        </w:tc>
      </w:tr>
      <w:tr w:rsidR="007020A8" w14:paraId="434B040F"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DF1CB" w14:textId="77777777" w:rsidR="00B86EB8" w:rsidRDefault="00B86EB8">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1DD13" w14:textId="77777777" w:rsidR="00B86EB8" w:rsidRDefault="00B86EB8">
            <w:pPr>
              <w:spacing w:line="360" w:lineRule="auto"/>
              <w:jc w:val="left"/>
            </w:pPr>
            <w:r>
              <w:rPr>
                <w:rFonts w:ascii="宋体" w:hAnsi="宋体" w:hint="eastAsia"/>
                <w:lang w:eastAsia="zh-Hans"/>
              </w:rPr>
              <w:t>017641</w:t>
            </w:r>
          </w:p>
        </w:tc>
      </w:tr>
      <w:tr w:rsidR="007020A8" w14:paraId="0F015CD2"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78B57" w14:textId="77777777" w:rsidR="00B86EB8" w:rsidRDefault="00B86EB8">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964EA" w14:textId="77777777" w:rsidR="00B86EB8" w:rsidRDefault="00B86EB8">
            <w:pPr>
              <w:spacing w:line="360" w:lineRule="auto"/>
              <w:jc w:val="left"/>
            </w:pPr>
            <w:r>
              <w:rPr>
                <w:rFonts w:ascii="宋体" w:hAnsi="宋体" w:hint="eastAsia"/>
                <w:lang w:eastAsia="zh-Hans"/>
              </w:rPr>
              <w:t>契约型开放式</w:t>
            </w:r>
          </w:p>
        </w:tc>
      </w:tr>
      <w:tr w:rsidR="007020A8" w14:paraId="3A654EF2"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2A8C6" w14:textId="77777777" w:rsidR="00B86EB8" w:rsidRDefault="00B86EB8">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18E84" w14:textId="77777777" w:rsidR="00B86EB8" w:rsidRDefault="00B86EB8">
            <w:pPr>
              <w:spacing w:line="360" w:lineRule="auto"/>
              <w:jc w:val="left"/>
            </w:pPr>
            <w:r>
              <w:rPr>
                <w:rFonts w:ascii="宋体" w:hAnsi="宋体" w:hint="eastAsia"/>
                <w:lang w:eastAsia="zh-Hans"/>
              </w:rPr>
              <w:t>2023年4月6日</w:t>
            </w:r>
          </w:p>
        </w:tc>
      </w:tr>
      <w:tr w:rsidR="007020A8" w14:paraId="092BB939"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27074" w14:textId="77777777" w:rsidR="00B86EB8" w:rsidRDefault="00B86EB8">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10A7A" w14:textId="77777777" w:rsidR="00B86EB8" w:rsidRDefault="00B86EB8">
            <w:pPr>
              <w:spacing w:line="360" w:lineRule="auto"/>
              <w:jc w:val="left"/>
            </w:pPr>
            <w:r>
              <w:rPr>
                <w:rFonts w:ascii="宋体" w:hAnsi="宋体" w:hint="eastAsia"/>
                <w:lang w:eastAsia="zh-Hans"/>
              </w:rPr>
              <w:t>2,883,841,844.87</w:t>
            </w:r>
            <w:r>
              <w:rPr>
                <w:rFonts w:asciiTheme="minorHAnsi" w:eastAsiaTheme="minorEastAsia" w:hAnsiTheme="minorHAnsi" w:hint="eastAsia"/>
              </w:rPr>
              <w:t>份</w:t>
            </w:r>
            <w:r>
              <w:rPr>
                <w:rFonts w:ascii="宋体" w:hAnsi="宋体" w:hint="eastAsia"/>
                <w:lang w:eastAsia="zh-Hans"/>
              </w:rPr>
              <w:t xml:space="preserve"> </w:t>
            </w:r>
          </w:p>
        </w:tc>
      </w:tr>
      <w:tr w:rsidR="007020A8" w14:paraId="6D8D5ADF"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D7D72" w14:textId="77777777" w:rsidR="00B86EB8" w:rsidRDefault="00B86EB8">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27208" w14:textId="77777777" w:rsidR="00B86EB8" w:rsidRDefault="00B86EB8">
            <w:pPr>
              <w:spacing w:line="360" w:lineRule="auto"/>
              <w:jc w:val="left"/>
            </w:pPr>
            <w:r>
              <w:rPr>
                <w:rFonts w:ascii="宋体" w:hAnsi="宋体" w:hint="eastAsia"/>
                <w:lang w:eastAsia="zh-Hans"/>
              </w:rPr>
              <w:t>本基金进行被动指数化投资，紧密跟踪标的指数，追求跟踪偏离度和跟踪误差最小化。</w:t>
            </w:r>
          </w:p>
        </w:tc>
      </w:tr>
      <w:tr w:rsidR="007020A8" w14:paraId="0743F9A6"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3FF2A" w14:textId="77777777" w:rsidR="00B86EB8" w:rsidRDefault="00B86EB8">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0ECA9" w14:textId="77777777" w:rsidR="00B86EB8" w:rsidRDefault="00B86EB8">
            <w:pPr>
              <w:spacing w:line="360" w:lineRule="auto"/>
              <w:jc w:val="left"/>
            </w:pPr>
            <w:r>
              <w:rPr>
                <w:rFonts w:ascii="宋体" w:hAnsi="宋体" w:hint="eastAsia"/>
                <w:lang w:eastAsia="zh-Hans"/>
              </w:rPr>
              <w:t>本基金采用完全复制策略，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宋体" w:hAnsi="宋体" w:hint="eastAsia"/>
                <w:lang w:eastAsia="zh-Hans"/>
              </w:rPr>
              <w:br/>
              <w:t>1、资产配置策略</w:t>
            </w:r>
            <w:r>
              <w:rPr>
                <w:rFonts w:ascii="宋体" w:hAnsi="宋体" w:hint="eastAsia"/>
                <w:lang w:eastAsia="zh-Hans"/>
              </w:rPr>
              <w:br/>
              <w:t>为了实现追踪误差最小化，本基金投资于标的指数成份股及其备选成份股的比例不低于基金资产净值的80%，且不低于非现金基金资产80%。</w:t>
            </w:r>
            <w:r>
              <w:rPr>
                <w:rFonts w:ascii="宋体" w:hAnsi="宋体" w:hint="eastAsia"/>
                <w:lang w:eastAsia="zh-Hans"/>
              </w:rPr>
              <w:br/>
              <w:t>在正常市场情况下，本基金力争控制基金净值增长率与业绩比</w:t>
            </w:r>
            <w:r>
              <w:rPr>
                <w:rFonts w:ascii="宋体" w:hAnsi="宋体" w:hint="eastAsia"/>
                <w:lang w:eastAsia="zh-Hans"/>
              </w:rPr>
              <w:lastRenderedPageBreak/>
              <w:t>较基准之间的日均跟踪偏离度小于0.35%，基金净值增长率与业绩比较基准之间的年跟踪误差不超过4%。</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标普500指数成份股的基准权重构建股票资产组合，对于因法规限制、流动性限制而无法交易的成份股，将采用与被限制股预期收益率相近的股票或股票组合进行相应的替代。在初始建仓期或者为申购资金建仓时，本基金按照标普500指数各成份股所占权重逐步买入。在投资运作过程中，本基金以标的指数权重为标准配置个股，并根据成份股构成及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 xml:space="preserve">③本基金将根据申购和赎回情况对股票投资组合进行调整，保证基金正常运行，从而有效跟踪标的指数。　</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3、其他投资策略：包括基金投资策略、金融衍生品投资策略、债券投资策略、资产支持证券投资策略。</w:t>
            </w:r>
          </w:p>
        </w:tc>
      </w:tr>
      <w:tr w:rsidR="007020A8" w14:paraId="6774462D"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CF825" w14:textId="77777777" w:rsidR="00B86EB8" w:rsidRDefault="00B86EB8">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88F0A" w14:textId="77777777" w:rsidR="00B86EB8" w:rsidRDefault="00B86EB8">
            <w:pPr>
              <w:spacing w:line="360" w:lineRule="auto"/>
              <w:jc w:val="left"/>
            </w:pPr>
            <w:r>
              <w:rPr>
                <w:rFonts w:ascii="宋体" w:hAnsi="宋体" w:hint="eastAsia"/>
                <w:lang w:eastAsia="zh-Hans"/>
              </w:rPr>
              <w:t>标普500指数收益率(经汇率调整后)×95%+银行活期存款利率(税后)×5%</w:t>
            </w:r>
          </w:p>
        </w:tc>
      </w:tr>
      <w:tr w:rsidR="007020A8" w14:paraId="55E1F101" w14:textId="77777777">
        <w:trPr>
          <w:divId w:val="89230413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51A7D" w14:textId="77777777" w:rsidR="00B86EB8" w:rsidRDefault="00B86EB8">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62E10" w14:textId="77777777" w:rsidR="00B86EB8" w:rsidRDefault="00B86EB8">
            <w:pPr>
              <w:spacing w:line="360" w:lineRule="auto"/>
              <w:jc w:val="left"/>
            </w:pPr>
            <w:r>
              <w:rPr>
                <w:rFonts w:ascii="宋体" w:hAnsi="宋体" w:hint="eastAsia"/>
                <w:lang w:eastAsia="zh-Hans"/>
              </w:rPr>
              <w:t>本基金属于股票型基金产品，预期风险和收益水平高于混合型基金、债券型基金和货币市场基金。本基金为被动管理的指数型基金，具有与标的指数、以及标的指数所代表的股票市场相似的风险收益特征。</w:t>
            </w:r>
            <w:r>
              <w:rPr>
                <w:rFonts w:ascii="宋体" w:hAnsi="宋体" w:hint="eastAsia"/>
                <w:lang w:eastAsia="zh-Hans"/>
              </w:rPr>
              <w:br/>
              <w:t>本基金投资于境外证券市场，因此还面临汇率风险等境外证券市场投资所面临的特别投资风险。</w:t>
            </w:r>
          </w:p>
        </w:tc>
      </w:tr>
      <w:tr w:rsidR="007020A8" w14:paraId="0BAB134B" w14:textId="77777777">
        <w:trPr>
          <w:divId w:val="892304138"/>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7A15B" w14:textId="77777777" w:rsidR="00B86EB8" w:rsidRDefault="00B86EB8">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612C5" w14:textId="77777777" w:rsidR="00B86EB8" w:rsidRDefault="00B86EB8">
            <w:pPr>
              <w:spacing w:line="360" w:lineRule="auto"/>
              <w:jc w:val="left"/>
            </w:pPr>
            <w:r>
              <w:rPr>
                <w:rFonts w:ascii="宋体" w:hAnsi="宋体" w:hint="eastAsia"/>
                <w:lang w:eastAsia="zh-Hans"/>
              </w:rPr>
              <w:t>摩根基金管理（中国）有限公司</w:t>
            </w:r>
          </w:p>
        </w:tc>
      </w:tr>
      <w:tr w:rsidR="007020A8" w14:paraId="67C4FFC2" w14:textId="77777777">
        <w:trPr>
          <w:divId w:val="892304138"/>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FE44F" w14:textId="77777777" w:rsidR="00B86EB8" w:rsidRDefault="00B86EB8">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69027" w14:textId="77777777" w:rsidR="00B86EB8" w:rsidRDefault="00B86EB8">
            <w:pPr>
              <w:spacing w:line="360" w:lineRule="auto"/>
              <w:jc w:val="left"/>
            </w:pPr>
            <w:r>
              <w:rPr>
                <w:rFonts w:ascii="宋体" w:hAnsi="宋体" w:hint="eastAsia"/>
                <w:lang w:eastAsia="zh-Hans"/>
              </w:rPr>
              <w:t>招商银行股份有限公司</w:t>
            </w:r>
          </w:p>
        </w:tc>
      </w:tr>
      <w:tr w:rsidR="007020A8" w14:paraId="46608343" w14:textId="77777777">
        <w:trPr>
          <w:divId w:val="892304138"/>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949C48" w14:textId="77777777" w:rsidR="00B86EB8" w:rsidRDefault="00B86EB8">
            <w:pPr>
              <w:spacing w:line="360" w:lineRule="auto"/>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C31B9" w14:textId="77777777" w:rsidR="00B86EB8" w:rsidRDefault="00B86EB8">
            <w:pPr>
              <w:spacing w:line="360" w:lineRule="auto"/>
              <w:jc w:val="center"/>
            </w:pPr>
            <w:r>
              <w:rPr>
                <w:rFonts w:ascii="宋体" w:hAnsi="宋体" w:hint="eastAsia"/>
                <w:lang w:eastAsia="zh-Hans"/>
              </w:rPr>
              <w:t>摩根标普500指数(QDII)人民币A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C6F8F" w14:textId="77777777" w:rsidR="00B86EB8" w:rsidRDefault="00B86EB8">
            <w:pPr>
              <w:spacing w:line="360" w:lineRule="auto"/>
              <w:jc w:val="center"/>
            </w:pPr>
            <w:r>
              <w:rPr>
                <w:rFonts w:ascii="宋体" w:hAnsi="宋体" w:hint="eastAsia"/>
                <w:lang w:eastAsia="zh-Hans"/>
              </w:rPr>
              <w:t>摩根标普500指数(QDII)人民币C</w:t>
            </w:r>
            <w:r>
              <w:rPr>
                <w:rFonts w:ascii="宋体" w:hAnsi="宋体" w:hint="eastAsia"/>
                <w:kern w:val="0"/>
                <w:sz w:val="20"/>
                <w:lang w:eastAsia="zh-Hans"/>
              </w:rPr>
              <w:t xml:space="preserve"> </w:t>
            </w:r>
          </w:p>
        </w:tc>
      </w:tr>
      <w:tr w:rsidR="007020A8" w14:paraId="0074A99F" w14:textId="77777777">
        <w:trPr>
          <w:divId w:val="892304138"/>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9871A9" w14:textId="77777777" w:rsidR="00B86EB8" w:rsidRDefault="00B86EB8">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D55CF" w14:textId="77777777" w:rsidR="00B86EB8" w:rsidRDefault="00B86EB8">
            <w:pPr>
              <w:spacing w:line="360" w:lineRule="auto"/>
              <w:jc w:val="center"/>
            </w:pPr>
            <w:r>
              <w:rPr>
                <w:rFonts w:ascii="宋体" w:hAnsi="宋体" w:hint="eastAsia"/>
                <w:lang w:eastAsia="zh-Hans"/>
              </w:rPr>
              <w:t>017641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1B1F4" w14:textId="77777777" w:rsidR="00B86EB8" w:rsidRDefault="00B86EB8">
            <w:pPr>
              <w:spacing w:line="360" w:lineRule="auto"/>
              <w:jc w:val="center"/>
            </w:pPr>
            <w:r>
              <w:rPr>
                <w:rFonts w:ascii="宋体" w:hAnsi="宋体" w:hint="eastAsia"/>
                <w:lang w:eastAsia="zh-Hans"/>
              </w:rPr>
              <w:t>019305</w:t>
            </w:r>
            <w:r>
              <w:rPr>
                <w:rFonts w:ascii="宋体" w:hAnsi="宋体" w:hint="eastAsia"/>
                <w:kern w:val="0"/>
                <w:sz w:val="20"/>
                <w:lang w:eastAsia="zh-Hans"/>
              </w:rPr>
              <w:t xml:space="preserve"> </w:t>
            </w:r>
          </w:p>
        </w:tc>
      </w:tr>
      <w:bookmarkEnd w:id="26"/>
      <w:tr w:rsidR="007020A8" w14:paraId="61CE301C" w14:textId="77777777">
        <w:trPr>
          <w:divId w:val="892304138"/>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9BF349" w14:textId="77777777" w:rsidR="00B86EB8" w:rsidRDefault="00B86EB8">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0E5AC" w14:textId="77777777" w:rsidR="00B86EB8" w:rsidRDefault="00B86EB8">
            <w:pPr>
              <w:spacing w:line="360" w:lineRule="auto"/>
              <w:jc w:val="center"/>
            </w:pPr>
            <w:r>
              <w:rPr>
                <w:rFonts w:ascii="宋体" w:hAnsi="宋体" w:hint="eastAsia"/>
                <w:lang w:eastAsia="zh-Hans"/>
              </w:rPr>
              <w:t>2,009,492,103.87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7FEFF" w14:textId="77777777" w:rsidR="00B86EB8" w:rsidRDefault="00B86EB8">
            <w:pPr>
              <w:spacing w:line="360" w:lineRule="auto"/>
              <w:jc w:val="center"/>
            </w:pPr>
            <w:r>
              <w:rPr>
                <w:rFonts w:ascii="宋体" w:hAnsi="宋体" w:hint="eastAsia"/>
                <w:lang w:eastAsia="zh-Hans"/>
              </w:rPr>
              <w:t>874,349,741.00</w:t>
            </w:r>
            <w:r>
              <w:rPr>
                <w:rFonts w:hint="eastAsia"/>
              </w:rPr>
              <w:t>份</w:t>
            </w:r>
            <w:r>
              <w:rPr>
                <w:rFonts w:ascii="宋体" w:hAnsi="宋体" w:hint="eastAsia"/>
                <w:lang w:eastAsia="zh-Hans"/>
              </w:rPr>
              <w:t xml:space="preserve"> </w:t>
            </w:r>
          </w:p>
        </w:tc>
      </w:tr>
      <w:tr w:rsidR="007020A8" w14:paraId="58B1D42A" w14:textId="77777777">
        <w:trPr>
          <w:divId w:val="892304138"/>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9A35" w14:textId="77777777" w:rsidR="00B86EB8" w:rsidRDefault="00B86EB8">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0E0BCA5" w14:textId="77777777" w:rsidR="00B86EB8" w:rsidRDefault="00B86EB8">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7020A8" w14:paraId="5B1E4B14" w14:textId="77777777">
        <w:trPr>
          <w:divId w:val="892304138"/>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254160" w14:textId="77777777" w:rsidR="00B86EB8" w:rsidRDefault="00B86EB8">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549CBDA" w14:textId="77777777" w:rsidR="00B86EB8" w:rsidRDefault="00B86EB8">
            <w:pPr>
              <w:widowControl/>
              <w:spacing w:line="315" w:lineRule="atLeast"/>
              <w:jc w:val="left"/>
            </w:pPr>
            <w:r>
              <w:rPr>
                <w:rFonts w:asciiTheme="minorEastAsia" w:eastAsiaTheme="minorEastAsia" w:hAnsiTheme="minorEastAsia" w:hint="eastAsia"/>
              </w:rPr>
              <w:t>中文名称：香港上海汇丰银行有限公司</w:t>
            </w:r>
          </w:p>
        </w:tc>
      </w:tr>
    </w:tbl>
    <w:p w14:paraId="343312C9" w14:textId="77777777" w:rsidR="00B86EB8" w:rsidRDefault="00B86EB8">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proofErr w:type="spellStart"/>
      <w:r>
        <w:rPr>
          <w:rFonts w:hint="eastAsia"/>
        </w:rPr>
        <w:t>主要财务指标和基金净值表现</w:t>
      </w:r>
      <w:bookmarkEnd w:id="27"/>
      <w:bookmarkEnd w:id="28"/>
      <w:bookmarkEnd w:id="29"/>
      <w:bookmarkEnd w:id="30"/>
      <w:bookmarkEnd w:id="31"/>
      <w:proofErr w:type="spellEnd"/>
      <w:r>
        <w:rPr>
          <w:rFonts w:hint="eastAsia"/>
        </w:rPr>
        <w:t xml:space="preserve"> </w:t>
      </w:r>
    </w:p>
    <w:p w14:paraId="26647EAA" w14:textId="77777777" w:rsidR="00B86EB8" w:rsidRDefault="00B86EB8">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proofErr w:type="spellStart"/>
      <w:r>
        <w:rPr>
          <w:rFonts w:hint="eastAsia"/>
        </w:rPr>
        <w:t>主要财务指标</w:t>
      </w:r>
      <w:bookmarkEnd w:id="34"/>
      <w:bookmarkEnd w:id="35"/>
      <w:bookmarkEnd w:id="36"/>
      <w:bookmarkEnd w:id="37"/>
      <w:bookmarkEnd w:id="38"/>
      <w:proofErr w:type="spellEnd"/>
      <w:r>
        <w:rPr>
          <w:rFonts w:hint="eastAsia"/>
        </w:rPr>
        <w:t xml:space="preserve"> </w:t>
      </w:r>
    </w:p>
    <w:p w14:paraId="785C0AD5" w14:textId="77777777" w:rsidR="00B86EB8" w:rsidRDefault="00B86EB8">
      <w:pPr>
        <w:jc w:val="right"/>
        <w:divId w:val="179655777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3"/>
        <w:gridCol w:w="3076"/>
        <w:gridCol w:w="3076"/>
      </w:tblGrid>
      <w:tr w:rsidR="007020A8" w14:paraId="5F5D6B96" w14:textId="77777777">
        <w:trPr>
          <w:divId w:val="179655777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188DBA" w14:textId="77777777" w:rsidR="00B86EB8" w:rsidRDefault="00B86EB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F021E9F" w14:textId="77777777" w:rsidR="00B86EB8" w:rsidRDefault="00B86EB8">
            <w:pPr>
              <w:pStyle w:val="a5"/>
              <w:jc w:val="center"/>
              <w:rPr>
                <w:rFonts w:hint="eastAsia"/>
              </w:rPr>
            </w:pPr>
            <w:r>
              <w:rPr>
                <w:rFonts w:hint="eastAsia"/>
                <w:kern w:val="2"/>
                <w:sz w:val="21"/>
                <w:szCs w:val="24"/>
                <w:lang w:eastAsia="zh-Hans"/>
              </w:rPr>
              <w:t xml:space="preserve">报告期（2025年10月1日 - 2025年12月31日） </w:t>
            </w:r>
          </w:p>
        </w:tc>
      </w:tr>
      <w:tr w:rsidR="007020A8" w14:paraId="7EDB8661" w14:textId="77777777">
        <w:trPr>
          <w:divId w:val="179655777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551AE" w14:textId="77777777" w:rsidR="00B86EB8" w:rsidRDefault="00B86EB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74B412C" w14:textId="77777777" w:rsidR="00B86EB8" w:rsidRDefault="00B86EB8">
            <w:pPr>
              <w:jc w:val="center"/>
            </w:pPr>
            <w:r>
              <w:rPr>
                <w:rFonts w:ascii="宋体" w:hAnsi="宋体" w:hint="eastAsia"/>
                <w:szCs w:val="24"/>
                <w:lang w:eastAsia="zh-Hans"/>
              </w:rPr>
              <w:t>摩根标普500指数(QDII)人民币A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D102155" w14:textId="77777777" w:rsidR="00B86EB8" w:rsidRDefault="00B86EB8">
            <w:pPr>
              <w:jc w:val="center"/>
            </w:pPr>
            <w:r>
              <w:rPr>
                <w:rFonts w:ascii="宋体" w:hAnsi="宋体" w:hint="eastAsia"/>
                <w:szCs w:val="24"/>
                <w:lang w:eastAsia="zh-Hans"/>
              </w:rPr>
              <w:t>摩根标普500指数(QDII)人民币C</w:t>
            </w:r>
          </w:p>
        </w:tc>
      </w:tr>
      <w:tr w:rsidR="007020A8" w14:paraId="0131303D" w14:textId="77777777">
        <w:trPr>
          <w:divId w:val="17965577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BF2289" w14:textId="77777777" w:rsidR="00B86EB8" w:rsidRDefault="00B86EB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9CBFCE" w14:textId="77777777" w:rsidR="00B86EB8" w:rsidRDefault="00B86EB8">
            <w:pPr>
              <w:jc w:val="right"/>
            </w:pPr>
            <w:r>
              <w:rPr>
                <w:rFonts w:ascii="宋体" w:hAnsi="宋体" w:hint="eastAsia"/>
                <w:szCs w:val="24"/>
                <w:lang w:eastAsia="zh-Hans"/>
              </w:rPr>
              <w:t>4,803,446.75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771A19" w14:textId="77777777" w:rsidR="00B86EB8" w:rsidRDefault="00B86EB8">
            <w:pPr>
              <w:jc w:val="right"/>
            </w:pPr>
            <w:r>
              <w:rPr>
                <w:rFonts w:ascii="宋体" w:hAnsi="宋体" w:hint="eastAsia"/>
                <w:szCs w:val="24"/>
                <w:lang w:eastAsia="zh-Hans"/>
              </w:rPr>
              <w:t>1,333,192.12</w:t>
            </w:r>
          </w:p>
        </w:tc>
      </w:tr>
      <w:tr w:rsidR="007020A8" w14:paraId="322A3F8C" w14:textId="77777777">
        <w:trPr>
          <w:divId w:val="17965577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145113" w14:textId="77777777" w:rsidR="00B86EB8" w:rsidRDefault="00B86EB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773998" w14:textId="77777777" w:rsidR="00B86EB8" w:rsidRDefault="00B86EB8">
            <w:pPr>
              <w:jc w:val="right"/>
            </w:pPr>
            <w:r>
              <w:rPr>
                <w:rFonts w:ascii="宋体" w:hAnsi="宋体" w:hint="eastAsia"/>
                <w:szCs w:val="24"/>
                <w:lang w:eastAsia="zh-Hans"/>
              </w:rPr>
              <w:t>16,418,844.20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E94C8B" w14:textId="77777777" w:rsidR="00B86EB8" w:rsidRDefault="00B86EB8">
            <w:pPr>
              <w:jc w:val="right"/>
            </w:pPr>
            <w:r>
              <w:rPr>
                <w:rFonts w:ascii="宋体" w:hAnsi="宋体" w:hint="eastAsia"/>
                <w:szCs w:val="24"/>
                <w:lang w:eastAsia="zh-Hans"/>
              </w:rPr>
              <w:t>5,715,153.17</w:t>
            </w:r>
          </w:p>
        </w:tc>
      </w:tr>
      <w:tr w:rsidR="007020A8" w14:paraId="640A73C6" w14:textId="77777777">
        <w:trPr>
          <w:divId w:val="17965577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D4A98A" w14:textId="77777777" w:rsidR="00B86EB8" w:rsidRDefault="00B86EB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78D825" w14:textId="77777777" w:rsidR="00B86EB8" w:rsidRDefault="00B86EB8">
            <w:pPr>
              <w:jc w:val="right"/>
            </w:pPr>
            <w:r>
              <w:rPr>
                <w:rFonts w:ascii="宋体" w:hAnsi="宋体" w:hint="eastAsia"/>
                <w:szCs w:val="24"/>
                <w:lang w:eastAsia="zh-Hans"/>
              </w:rPr>
              <w:t>0.0110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08C215" w14:textId="77777777" w:rsidR="00B86EB8" w:rsidRDefault="00B86EB8">
            <w:pPr>
              <w:jc w:val="right"/>
            </w:pPr>
            <w:r>
              <w:rPr>
                <w:rFonts w:ascii="宋体" w:hAnsi="宋体" w:hint="eastAsia"/>
                <w:szCs w:val="24"/>
                <w:lang w:eastAsia="zh-Hans"/>
              </w:rPr>
              <w:t>0.0091</w:t>
            </w:r>
          </w:p>
        </w:tc>
      </w:tr>
      <w:tr w:rsidR="007020A8" w14:paraId="3700DF43" w14:textId="77777777">
        <w:trPr>
          <w:divId w:val="17965577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084C19" w14:textId="77777777" w:rsidR="00B86EB8" w:rsidRDefault="00B86EB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C1467" w14:textId="77777777" w:rsidR="00B86EB8" w:rsidRDefault="00B86EB8">
            <w:pPr>
              <w:jc w:val="right"/>
            </w:pPr>
            <w:r>
              <w:rPr>
                <w:rFonts w:ascii="宋体" w:hAnsi="宋体" w:hint="eastAsia"/>
                <w:szCs w:val="24"/>
                <w:lang w:eastAsia="zh-Hans"/>
              </w:rPr>
              <w:t>3,155,962,284.34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878B89" w14:textId="77777777" w:rsidR="00B86EB8" w:rsidRDefault="00B86EB8">
            <w:pPr>
              <w:jc w:val="right"/>
            </w:pPr>
            <w:r>
              <w:rPr>
                <w:rFonts w:ascii="宋体" w:hAnsi="宋体" w:hint="eastAsia"/>
                <w:szCs w:val="24"/>
                <w:lang w:eastAsia="zh-Hans"/>
              </w:rPr>
              <w:t>1,362,941,454.32</w:t>
            </w:r>
          </w:p>
        </w:tc>
      </w:tr>
      <w:tr w:rsidR="007020A8" w14:paraId="6C9B4D6A" w14:textId="77777777">
        <w:trPr>
          <w:divId w:val="17965577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81D4AC" w14:textId="77777777" w:rsidR="00B86EB8" w:rsidRDefault="00B86EB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C8A154" w14:textId="77777777" w:rsidR="00B86EB8" w:rsidRDefault="00B86EB8">
            <w:pPr>
              <w:jc w:val="right"/>
            </w:pPr>
            <w:r>
              <w:rPr>
                <w:rFonts w:ascii="宋体" w:hAnsi="宋体" w:hint="eastAsia"/>
                <w:szCs w:val="24"/>
                <w:lang w:eastAsia="zh-Hans"/>
              </w:rPr>
              <w:t>1.5705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E1DAFF" w14:textId="77777777" w:rsidR="00B86EB8" w:rsidRDefault="00B86EB8">
            <w:pPr>
              <w:jc w:val="right"/>
            </w:pPr>
            <w:r>
              <w:rPr>
                <w:rFonts w:ascii="宋体" w:hAnsi="宋体" w:hint="eastAsia"/>
                <w:szCs w:val="24"/>
                <w:lang w:eastAsia="zh-Hans"/>
              </w:rPr>
              <w:t>1.5588</w:t>
            </w:r>
          </w:p>
        </w:tc>
      </w:tr>
    </w:tbl>
    <w:p w14:paraId="1CF5C11D" w14:textId="77777777" w:rsidR="00B86EB8" w:rsidRDefault="00B86EB8">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AFE34B4" w14:textId="77777777" w:rsidR="00B86EB8" w:rsidRDefault="00B86EB8">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proofErr w:type="spellStart"/>
      <w:r>
        <w:rPr>
          <w:rFonts w:hint="eastAsia"/>
        </w:rPr>
        <w:t>基金净值表现</w:t>
      </w:r>
      <w:bookmarkEnd w:id="39"/>
      <w:bookmarkEnd w:id="40"/>
      <w:bookmarkEnd w:id="41"/>
      <w:bookmarkEnd w:id="42"/>
      <w:bookmarkEnd w:id="43"/>
      <w:proofErr w:type="spellEnd"/>
      <w:r>
        <w:rPr>
          <w:rFonts w:hint="eastAsia"/>
        </w:rPr>
        <w:t xml:space="preserve"> </w:t>
      </w:r>
    </w:p>
    <w:p w14:paraId="25389597" w14:textId="77777777" w:rsidR="00B86EB8" w:rsidRDefault="00B86EB8">
      <w:pPr>
        <w:pStyle w:val="XBRLTitle3"/>
        <w:spacing w:before="156"/>
        <w:ind w:left="0"/>
        <w:rPr>
          <w:rFonts w:hint="eastAsia"/>
        </w:rPr>
      </w:pPr>
      <w:bookmarkStart w:id="44" w:name="_Toc512519485"/>
      <w:bookmarkStart w:id="45" w:name="_Toc481075052"/>
      <w:bookmarkStart w:id="46" w:name="_Toc490050006"/>
      <w:bookmarkStart w:id="47" w:name="_Toc514178672"/>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06CF7E2D" w14:textId="77777777" w:rsidR="00B86EB8" w:rsidRDefault="00B86EB8">
      <w:pPr>
        <w:spacing w:line="360" w:lineRule="auto"/>
        <w:jc w:val="center"/>
        <w:divId w:val="1249267494"/>
      </w:pPr>
      <w:proofErr w:type="gramStart"/>
      <w:r>
        <w:rPr>
          <w:rFonts w:ascii="宋体" w:hAnsi="宋体" w:hint="eastAsia"/>
        </w:rPr>
        <w:t>摩根标普</w:t>
      </w:r>
      <w:proofErr w:type="gramEnd"/>
      <w:r>
        <w:rPr>
          <w:rFonts w:ascii="宋体" w:hAnsi="宋体" w:hint="eastAsia"/>
        </w:rPr>
        <w:t>500指数(QDII)人民币A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020A8" w14:paraId="1554AB53" w14:textId="77777777">
        <w:trPr>
          <w:divId w:val="12492674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28404A" w14:textId="77777777" w:rsidR="00B86EB8" w:rsidRDefault="00B86EB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373CB5" w14:textId="77777777" w:rsidR="00B86EB8" w:rsidRDefault="00B86EB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20E630" w14:textId="77777777" w:rsidR="00B86EB8" w:rsidRDefault="00B86EB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2B91A3" w14:textId="77777777" w:rsidR="00B86EB8" w:rsidRDefault="00B86EB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7ED7A8" w14:textId="77777777" w:rsidR="00B86EB8" w:rsidRDefault="00B86EB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241FC6" w14:textId="77777777" w:rsidR="00B86EB8" w:rsidRDefault="00B86EB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E3D44F" w14:textId="77777777" w:rsidR="00B86EB8" w:rsidRDefault="00B86EB8">
            <w:pPr>
              <w:spacing w:line="360" w:lineRule="auto"/>
              <w:jc w:val="center"/>
            </w:pPr>
            <w:r>
              <w:rPr>
                <w:rFonts w:ascii="宋体" w:hAnsi="宋体" w:hint="eastAsia"/>
              </w:rPr>
              <w:t xml:space="preserve">②－④ </w:t>
            </w:r>
          </w:p>
        </w:tc>
      </w:tr>
      <w:tr w:rsidR="007020A8" w14:paraId="26C8DBE5" w14:textId="77777777">
        <w:trPr>
          <w:divId w:val="12492674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D53B6" w14:textId="77777777" w:rsidR="00B86EB8" w:rsidRDefault="00B86EB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14EAD" w14:textId="77777777" w:rsidR="00B86EB8" w:rsidRDefault="00B86EB8">
            <w:pPr>
              <w:spacing w:line="360" w:lineRule="auto"/>
              <w:jc w:val="right"/>
            </w:pPr>
            <w:r>
              <w:rPr>
                <w:rFonts w:ascii="宋体" w:hAnsi="宋体" w:hint="eastAsia"/>
              </w:rPr>
              <w:t xml:space="preserve">1.11%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40982" w14:textId="77777777" w:rsidR="00B86EB8" w:rsidRDefault="00B86EB8">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D7EB8" w14:textId="77777777" w:rsidR="00B86EB8" w:rsidRDefault="00B86EB8">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31F0E" w14:textId="77777777" w:rsidR="00B86EB8" w:rsidRDefault="00B86EB8">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1B1721" w14:textId="77777777" w:rsidR="00B86EB8" w:rsidRDefault="00B86EB8">
            <w:pPr>
              <w:spacing w:line="360" w:lineRule="auto"/>
              <w:jc w:val="right"/>
            </w:pPr>
            <w:r>
              <w:rPr>
                <w:rFonts w:ascii="宋体" w:hAnsi="宋体" w:hint="eastAsia"/>
              </w:rPr>
              <w:t xml:space="preserve">-0.08%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32BED" w14:textId="77777777" w:rsidR="00B86EB8" w:rsidRDefault="00B86EB8">
            <w:pPr>
              <w:spacing w:line="360" w:lineRule="auto"/>
              <w:jc w:val="right"/>
            </w:pPr>
            <w:r>
              <w:rPr>
                <w:rFonts w:ascii="宋体" w:hAnsi="宋体" w:hint="eastAsia"/>
              </w:rPr>
              <w:t xml:space="preserve">-0.07% </w:t>
            </w:r>
          </w:p>
        </w:tc>
      </w:tr>
      <w:tr w:rsidR="007020A8" w14:paraId="6226C0CD" w14:textId="77777777">
        <w:trPr>
          <w:divId w:val="12492674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8ADE5" w14:textId="77777777" w:rsidR="00B86EB8" w:rsidRDefault="00B86EB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3EB88" w14:textId="77777777" w:rsidR="00B86EB8" w:rsidRDefault="00B86EB8">
            <w:pPr>
              <w:spacing w:line="360" w:lineRule="auto"/>
              <w:jc w:val="right"/>
            </w:pPr>
            <w:r>
              <w:rPr>
                <w:rFonts w:ascii="宋体" w:hAnsi="宋体" w:hint="eastAsia"/>
              </w:rPr>
              <w:t xml:space="preserve">7.52%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F82DF" w14:textId="77777777" w:rsidR="00B86EB8" w:rsidRDefault="00B86EB8">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C73E9" w14:textId="77777777" w:rsidR="00B86EB8" w:rsidRDefault="00B86EB8">
            <w:pPr>
              <w:spacing w:line="360" w:lineRule="auto"/>
              <w:jc w:val="right"/>
            </w:pPr>
            <w:r>
              <w:rPr>
                <w:rFonts w:ascii="宋体" w:hAnsi="宋体" w:hint="eastAsia"/>
              </w:rPr>
              <w:t xml:space="preserve">7.92%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795C1" w14:textId="77777777" w:rsidR="00B86EB8" w:rsidRDefault="00B86EB8">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58B401" w14:textId="77777777" w:rsidR="00B86EB8" w:rsidRDefault="00B86EB8">
            <w:pPr>
              <w:spacing w:line="360" w:lineRule="auto"/>
              <w:jc w:val="right"/>
            </w:pPr>
            <w:r>
              <w:rPr>
                <w:rFonts w:ascii="宋体" w:hAnsi="宋体" w:hint="eastAsia"/>
              </w:rPr>
              <w:t xml:space="preserve">-0.40%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E4842" w14:textId="77777777" w:rsidR="00B86EB8" w:rsidRDefault="00B86EB8">
            <w:pPr>
              <w:spacing w:line="360" w:lineRule="auto"/>
              <w:jc w:val="right"/>
            </w:pPr>
            <w:r>
              <w:rPr>
                <w:rFonts w:ascii="宋体" w:hAnsi="宋体" w:hint="eastAsia"/>
              </w:rPr>
              <w:t xml:space="preserve">-0.05% </w:t>
            </w:r>
          </w:p>
        </w:tc>
      </w:tr>
      <w:tr w:rsidR="007020A8" w14:paraId="2F1B84F1" w14:textId="77777777">
        <w:trPr>
          <w:divId w:val="12492674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F547D" w14:textId="77777777" w:rsidR="00B86EB8" w:rsidRDefault="00B86EB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8F4FB" w14:textId="77777777" w:rsidR="00B86EB8" w:rsidRDefault="00B86EB8">
            <w:pPr>
              <w:spacing w:line="360" w:lineRule="auto"/>
              <w:jc w:val="right"/>
            </w:pPr>
            <w:r>
              <w:rPr>
                <w:rFonts w:ascii="宋体" w:hAnsi="宋体" w:hint="eastAsia"/>
              </w:rPr>
              <w:t xml:space="preserve">13.00%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B3C83" w14:textId="77777777" w:rsidR="00B86EB8" w:rsidRDefault="00B86EB8">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D6D0B" w14:textId="77777777" w:rsidR="00B86EB8" w:rsidRDefault="00B86EB8">
            <w:pPr>
              <w:spacing w:line="360" w:lineRule="auto"/>
              <w:jc w:val="right"/>
            </w:pPr>
            <w:r>
              <w:rPr>
                <w:rFonts w:ascii="宋体" w:hAnsi="宋体" w:hint="eastAsia"/>
              </w:rPr>
              <w:t xml:space="preserve">13.13%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D17C9" w14:textId="77777777" w:rsidR="00B86EB8" w:rsidRDefault="00B86EB8">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E65D39" w14:textId="77777777" w:rsidR="00B86EB8" w:rsidRDefault="00B86EB8">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3406D" w14:textId="77777777" w:rsidR="00B86EB8" w:rsidRDefault="00B86EB8">
            <w:pPr>
              <w:spacing w:line="360" w:lineRule="auto"/>
              <w:jc w:val="right"/>
            </w:pPr>
            <w:r>
              <w:rPr>
                <w:rFonts w:ascii="宋体" w:hAnsi="宋体" w:hint="eastAsia"/>
              </w:rPr>
              <w:t xml:space="preserve">-0.02% </w:t>
            </w:r>
          </w:p>
        </w:tc>
      </w:tr>
      <w:tr w:rsidR="007020A8" w14:paraId="590659FC" w14:textId="77777777">
        <w:trPr>
          <w:divId w:val="12492674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7E83E" w14:textId="77777777" w:rsidR="00B86EB8" w:rsidRDefault="00B86EB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5726F" w14:textId="77777777" w:rsidR="00B86EB8" w:rsidRDefault="00B86EB8">
            <w:pPr>
              <w:spacing w:line="360" w:lineRule="auto"/>
              <w:jc w:val="right"/>
            </w:pPr>
            <w:r>
              <w:rPr>
                <w:rFonts w:ascii="宋体" w:hAnsi="宋体" w:hint="eastAsia"/>
              </w:rPr>
              <w:t xml:space="preserve">57.05%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3D2FA" w14:textId="77777777" w:rsidR="00B86EB8" w:rsidRDefault="00B86EB8">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1CC0A" w14:textId="77777777" w:rsidR="00B86EB8" w:rsidRDefault="00B86EB8">
            <w:pPr>
              <w:spacing w:line="360" w:lineRule="auto"/>
              <w:jc w:val="right"/>
            </w:pPr>
            <w:r>
              <w:rPr>
                <w:rFonts w:ascii="宋体" w:hAnsi="宋体" w:hint="eastAsia"/>
              </w:rPr>
              <w:t xml:space="preserve">67.31%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D61FD" w14:textId="77777777" w:rsidR="00B86EB8" w:rsidRDefault="00B86EB8">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851641" w14:textId="77777777" w:rsidR="00B86EB8" w:rsidRDefault="00B86EB8">
            <w:pPr>
              <w:spacing w:line="360" w:lineRule="auto"/>
              <w:jc w:val="right"/>
            </w:pPr>
            <w:r>
              <w:rPr>
                <w:rFonts w:ascii="宋体" w:hAnsi="宋体" w:hint="eastAsia"/>
              </w:rPr>
              <w:t xml:space="preserve">-10.26%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39274" w14:textId="77777777" w:rsidR="00B86EB8" w:rsidRDefault="00B86EB8">
            <w:pPr>
              <w:spacing w:line="360" w:lineRule="auto"/>
              <w:jc w:val="right"/>
            </w:pPr>
            <w:r>
              <w:rPr>
                <w:rFonts w:ascii="宋体" w:hAnsi="宋体" w:hint="eastAsia"/>
              </w:rPr>
              <w:t xml:space="preserve">-0.03% </w:t>
            </w:r>
          </w:p>
        </w:tc>
      </w:tr>
    </w:tbl>
    <w:p w14:paraId="63B6FD53" w14:textId="77777777" w:rsidR="00B86EB8" w:rsidRDefault="00B86EB8">
      <w:pPr>
        <w:spacing w:line="360" w:lineRule="auto"/>
        <w:jc w:val="center"/>
        <w:divId w:val="624969385"/>
      </w:pPr>
      <w:proofErr w:type="gramStart"/>
      <w:r>
        <w:rPr>
          <w:rFonts w:ascii="宋体" w:hAnsi="宋体" w:hint="eastAsia"/>
        </w:rPr>
        <w:t>摩根标普</w:t>
      </w:r>
      <w:proofErr w:type="gramEnd"/>
      <w:r>
        <w:rPr>
          <w:rFonts w:ascii="宋体" w:hAnsi="宋体" w:hint="eastAsia"/>
        </w:rPr>
        <w:t>500指数(QDII)人民币C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020A8" w14:paraId="2DDA0A83" w14:textId="77777777">
        <w:trPr>
          <w:divId w:val="62496938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213EC0" w14:textId="77777777" w:rsidR="00B86EB8" w:rsidRDefault="00B86EB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7157A4" w14:textId="77777777" w:rsidR="00B86EB8" w:rsidRDefault="00B86EB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3C0D37" w14:textId="77777777" w:rsidR="00B86EB8" w:rsidRDefault="00B86EB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D3BA44" w14:textId="77777777" w:rsidR="00B86EB8" w:rsidRDefault="00B86EB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9DA0E4" w14:textId="77777777" w:rsidR="00B86EB8" w:rsidRDefault="00B86EB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221AC" w14:textId="77777777" w:rsidR="00B86EB8" w:rsidRDefault="00B86EB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428AF7" w14:textId="77777777" w:rsidR="00B86EB8" w:rsidRDefault="00B86EB8">
            <w:pPr>
              <w:spacing w:line="360" w:lineRule="auto"/>
              <w:jc w:val="center"/>
            </w:pPr>
            <w:r>
              <w:rPr>
                <w:rFonts w:ascii="宋体" w:hAnsi="宋体" w:hint="eastAsia"/>
              </w:rPr>
              <w:t xml:space="preserve">②－④ </w:t>
            </w:r>
          </w:p>
        </w:tc>
      </w:tr>
      <w:tr w:rsidR="007020A8" w14:paraId="20879D9A" w14:textId="77777777">
        <w:trPr>
          <w:divId w:val="6249693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202D5" w14:textId="77777777" w:rsidR="00B86EB8" w:rsidRDefault="00B86EB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3648B" w14:textId="77777777" w:rsidR="00B86EB8" w:rsidRDefault="00B86EB8">
            <w:pPr>
              <w:spacing w:line="360" w:lineRule="auto"/>
              <w:jc w:val="right"/>
            </w:pPr>
            <w:r>
              <w:rPr>
                <w:rFonts w:ascii="宋体" w:hAnsi="宋体" w:hint="eastAsia"/>
              </w:rPr>
              <w:t xml:space="preserve">1.03%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5070E" w14:textId="77777777" w:rsidR="00B86EB8" w:rsidRDefault="00B86EB8">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C86C3" w14:textId="77777777" w:rsidR="00B86EB8" w:rsidRDefault="00B86EB8">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AEF82" w14:textId="77777777" w:rsidR="00B86EB8" w:rsidRDefault="00B86EB8">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73340F" w14:textId="77777777" w:rsidR="00B86EB8" w:rsidRDefault="00B86EB8">
            <w:pPr>
              <w:spacing w:line="360" w:lineRule="auto"/>
              <w:jc w:val="right"/>
            </w:pPr>
            <w:r>
              <w:rPr>
                <w:rFonts w:ascii="宋体" w:hAnsi="宋体" w:hint="eastAsia"/>
              </w:rPr>
              <w:t xml:space="preserve">-0.16%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0D13B" w14:textId="77777777" w:rsidR="00B86EB8" w:rsidRDefault="00B86EB8">
            <w:pPr>
              <w:spacing w:line="360" w:lineRule="auto"/>
              <w:jc w:val="right"/>
            </w:pPr>
            <w:r>
              <w:rPr>
                <w:rFonts w:ascii="宋体" w:hAnsi="宋体" w:hint="eastAsia"/>
              </w:rPr>
              <w:t xml:space="preserve">-0.08% </w:t>
            </w:r>
          </w:p>
        </w:tc>
      </w:tr>
      <w:tr w:rsidR="007020A8" w14:paraId="6438B428" w14:textId="77777777">
        <w:trPr>
          <w:divId w:val="6249693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5D645" w14:textId="77777777" w:rsidR="00B86EB8" w:rsidRDefault="00B86EB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9C6D2" w14:textId="77777777" w:rsidR="00B86EB8" w:rsidRDefault="00B86EB8">
            <w:pPr>
              <w:spacing w:line="360" w:lineRule="auto"/>
              <w:jc w:val="right"/>
            </w:pPr>
            <w:r>
              <w:rPr>
                <w:rFonts w:ascii="宋体" w:hAnsi="宋体" w:hint="eastAsia"/>
              </w:rPr>
              <w:t xml:space="preserve">7.36%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D3125" w14:textId="77777777" w:rsidR="00B86EB8" w:rsidRDefault="00B86EB8">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31D86" w14:textId="77777777" w:rsidR="00B86EB8" w:rsidRDefault="00B86EB8">
            <w:pPr>
              <w:spacing w:line="360" w:lineRule="auto"/>
              <w:jc w:val="right"/>
            </w:pPr>
            <w:r>
              <w:rPr>
                <w:rFonts w:ascii="宋体" w:hAnsi="宋体" w:hint="eastAsia"/>
              </w:rPr>
              <w:t xml:space="preserve">7.92%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089A6" w14:textId="77777777" w:rsidR="00B86EB8" w:rsidRDefault="00B86EB8">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4D9BC4" w14:textId="77777777" w:rsidR="00B86EB8" w:rsidRDefault="00B86EB8">
            <w:pPr>
              <w:spacing w:line="360" w:lineRule="auto"/>
              <w:jc w:val="right"/>
            </w:pPr>
            <w:r>
              <w:rPr>
                <w:rFonts w:ascii="宋体" w:hAnsi="宋体" w:hint="eastAsia"/>
              </w:rPr>
              <w:t xml:space="preserve">-0.56%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D8EB7" w14:textId="77777777" w:rsidR="00B86EB8" w:rsidRDefault="00B86EB8">
            <w:pPr>
              <w:spacing w:line="360" w:lineRule="auto"/>
              <w:jc w:val="right"/>
            </w:pPr>
            <w:r>
              <w:rPr>
                <w:rFonts w:ascii="宋体" w:hAnsi="宋体" w:hint="eastAsia"/>
              </w:rPr>
              <w:t xml:space="preserve">-0.05% </w:t>
            </w:r>
          </w:p>
        </w:tc>
      </w:tr>
      <w:tr w:rsidR="007020A8" w14:paraId="3C19A344" w14:textId="77777777">
        <w:trPr>
          <w:divId w:val="6249693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44CC7" w14:textId="77777777" w:rsidR="00B86EB8" w:rsidRDefault="00B86EB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25DDD" w14:textId="77777777" w:rsidR="00B86EB8" w:rsidRDefault="00B86EB8">
            <w:pPr>
              <w:spacing w:line="360" w:lineRule="auto"/>
              <w:jc w:val="right"/>
            </w:pPr>
            <w:r>
              <w:rPr>
                <w:rFonts w:ascii="宋体" w:hAnsi="宋体" w:hint="eastAsia"/>
              </w:rPr>
              <w:t xml:space="preserve">12.66%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7AC98" w14:textId="77777777" w:rsidR="00B86EB8" w:rsidRDefault="00B86EB8">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51DBB" w14:textId="77777777" w:rsidR="00B86EB8" w:rsidRDefault="00B86EB8">
            <w:pPr>
              <w:spacing w:line="360" w:lineRule="auto"/>
              <w:jc w:val="right"/>
            </w:pPr>
            <w:r>
              <w:rPr>
                <w:rFonts w:ascii="宋体" w:hAnsi="宋体" w:hint="eastAsia"/>
              </w:rPr>
              <w:t xml:space="preserve">13.13%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278F5" w14:textId="77777777" w:rsidR="00B86EB8" w:rsidRDefault="00B86EB8">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D729AB" w14:textId="77777777" w:rsidR="00B86EB8" w:rsidRDefault="00B86EB8">
            <w:pPr>
              <w:spacing w:line="360" w:lineRule="auto"/>
              <w:jc w:val="right"/>
            </w:pPr>
            <w:r>
              <w:rPr>
                <w:rFonts w:ascii="宋体" w:hAnsi="宋体" w:hint="eastAsia"/>
              </w:rPr>
              <w:t xml:space="preserve">-0.47%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656B8" w14:textId="77777777" w:rsidR="00B86EB8" w:rsidRDefault="00B86EB8">
            <w:pPr>
              <w:spacing w:line="360" w:lineRule="auto"/>
              <w:jc w:val="right"/>
            </w:pPr>
            <w:r>
              <w:rPr>
                <w:rFonts w:ascii="宋体" w:hAnsi="宋体" w:hint="eastAsia"/>
              </w:rPr>
              <w:t xml:space="preserve">-0.02% </w:t>
            </w:r>
          </w:p>
        </w:tc>
      </w:tr>
      <w:tr w:rsidR="007020A8" w14:paraId="7E1CE692" w14:textId="77777777">
        <w:trPr>
          <w:divId w:val="6249693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93A0D" w14:textId="77777777" w:rsidR="00B86EB8" w:rsidRDefault="00B86EB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4D01A" w14:textId="77777777" w:rsidR="00B86EB8" w:rsidRDefault="00B86EB8">
            <w:pPr>
              <w:spacing w:line="360" w:lineRule="auto"/>
              <w:jc w:val="right"/>
            </w:pPr>
            <w:r>
              <w:rPr>
                <w:rFonts w:ascii="宋体" w:hAnsi="宋体" w:hint="eastAsia"/>
              </w:rPr>
              <w:t xml:space="preserve">40.46%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044F2" w14:textId="77777777" w:rsidR="00B86EB8" w:rsidRDefault="00B86EB8">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1C70B" w14:textId="77777777" w:rsidR="00B86EB8" w:rsidRDefault="00B86EB8">
            <w:pPr>
              <w:spacing w:line="360" w:lineRule="auto"/>
              <w:jc w:val="right"/>
            </w:pPr>
            <w:r>
              <w:rPr>
                <w:rFonts w:ascii="宋体" w:hAnsi="宋体" w:hint="eastAsia"/>
              </w:rPr>
              <w:t xml:space="preserve">46.04%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D9D47" w14:textId="77777777" w:rsidR="00B86EB8" w:rsidRDefault="00B86EB8">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E7940B" w14:textId="77777777" w:rsidR="00B86EB8" w:rsidRDefault="00B86EB8">
            <w:pPr>
              <w:spacing w:line="360" w:lineRule="auto"/>
              <w:jc w:val="right"/>
            </w:pPr>
            <w:r>
              <w:rPr>
                <w:rFonts w:ascii="宋体" w:hAnsi="宋体" w:hint="eastAsia"/>
              </w:rPr>
              <w:t xml:space="preserve">-5.58%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74F61" w14:textId="77777777" w:rsidR="00B86EB8" w:rsidRDefault="00B86EB8">
            <w:pPr>
              <w:spacing w:line="360" w:lineRule="auto"/>
              <w:jc w:val="right"/>
            </w:pPr>
            <w:r>
              <w:rPr>
                <w:rFonts w:ascii="宋体" w:hAnsi="宋体" w:hint="eastAsia"/>
              </w:rPr>
              <w:t xml:space="preserve">-0.01% </w:t>
            </w:r>
          </w:p>
        </w:tc>
      </w:tr>
    </w:tbl>
    <w:p w14:paraId="35C660EE" w14:textId="77777777" w:rsidR="00B86EB8" w:rsidRDefault="00B86EB8">
      <w:pPr>
        <w:pStyle w:val="XBRLTitle3"/>
        <w:spacing w:before="156"/>
        <w:ind w:left="0"/>
        <w:rPr>
          <w:rFonts w:hint="eastAsia"/>
        </w:rPr>
      </w:pPr>
      <w:bookmarkStart w:id="48" w:name="_Toc512519486"/>
      <w:bookmarkStart w:id="49" w:name="_Toc481075053"/>
      <w:bookmarkStart w:id="50" w:name="_Toc490050007"/>
      <w:bookmarkStart w:id="51" w:name="_Toc514178673"/>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168167E6" w14:textId="77777777" w:rsidR="00B86EB8" w:rsidRDefault="00B86EB8">
      <w:pPr>
        <w:spacing w:line="360" w:lineRule="auto"/>
        <w:jc w:val="left"/>
        <w:divId w:val="1699426267"/>
      </w:pPr>
      <w:bookmarkStart w:id="52" w:name="m07_04_07_09_tab"/>
      <w:bookmarkStart w:id="53" w:name="m07_04_07_09"/>
      <w:bookmarkStart w:id="54" w:name="m01_01"/>
      <w:r>
        <w:rPr>
          <w:rFonts w:ascii="宋体" w:hAnsi="宋体" w:hint="eastAsia"/>
          <w:noProof/>
        </w:rPr>
        <w:drawing>
          <wp:inline distT="0" distB="0" distL="0" distR="0" wp14:anchorId="47A5E3E0" wp14:editId="4223EF54">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D7BA96F" w14:textId="77777777" w:rsidR="00B86EB8" w:rsidRDefault="00B86EB8">
      <w:pPr>
        <w:spacing w:line="360" w:lineRule="auto"/>
        <w:jc w:val="left"/>
        <w:divId w:val="1898737292"/>
      </w:pPr>
      <w:r>
        <w:rPr>
          <w:rFonts w:ascii="宋体" w:hAnsi="宋体" w:hint="eastAsia"/>
          <w:noProof/>
        </w:rPr>
        <w:drawing>
          <wp:inline distT="0" distB="0" distL="0" distR="0" wp14:anchorId="77A13304" wp14:editId="7E2F27EC">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C200116" w14:textId="77777777" w:rsidR="00B86EB8" w:rsidRDefault="00B86EB8">
      <w:pPr>
        <w:spacing w:line="360" w:lineRule="auto"/>
      </w:pPr>
      <w:r>
        <w:rPr>
          <w:rFonts w:ascii="宋体" w:hAnsi="宋体" w:hint="eastAsia"/>
        </w:rPr>
        <w:t>注：</w:t>
      </w:r>
      <w:r>
        <w:rPr>
          <w:rFonts w:ascii="宋体" w:hAnsi="宋体" w:hint="eastAsia"/>
          <w:lang w:eastAsia="zh-Hans"/>
        </w:rPr>
        <w:t>本基金合同生效日为2023年4月6日，图示的时间段为合同生效日至本报告期末。</w:t>
      </w:r>
      <w:r>
        <w:rPr>
          <w:rFonts w:ascii="宋体" w:hAnsi="宋体" w:hint="eastAsia"/>
          <w:lang w:eastAsia="zh-Hans"/>
        </w:rPr>
        <w:br/>
        <w:t xml:space="preserve">　　本基金自2023年9月1日起增加C类份额，相关数据按实际存续期计算。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42D662E9" w14:textId="77777777" w:rsidR="00B86EB8" w:rsidRDefault="00B86EB8">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proofErr w:type="spellStart"/>
      <w:r>
        <w:rPr>
          <w:rFonts w:hint="eastAsia"/>
        </w:rPr>
        <w:t>管理人报告</w:t>
      </w:r>
      <w:bookmarkEnd w:id="55"/>
      <w:bookmarkEnd w:id="56"/>
      <w:bookmarkEnd w:id="57"/>
      <w:bookmarkEnd w:id="58"/>
      <w:bookmarkEnd w:id="59"/>
      <w:proofErr w:type="spellEnd"/>
      <w:r>
        <w:rPr>
          <w:rFonts w:hint="eastAsia"/>
        </w:rPr>
        <w:t xml:space="preserve"> </w:t>
      </w:r>
    </w:p>
    <w:p w14:paraId="359D6E25" w14:textId="77777777" w:rsidR="00B86EB8" w:rsidRDefault="00B86EB8">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proofErr w:type="spellStart"/>
      <w:r>
        <w:rPr>
          <w:rFonts w:hint="eastAsia"/>
        </w:rPr>
        <w:t>基金经理（或基金经理小组）简介</w:t>
      </w:r>
      <w:bookmarkEnd w:id="60"/>
      <w:bookmarkEnd w:id="61"/>
      <w:bookmarkEnd w:id="62"/>
      <w:bookmarkEnd w:id="63"/>
      <w:bookmarkEnd w:id="64"/>
      <w:bookmarkEnd w:id="65"/>
      <w:proofErr w:type="spellEnd"/>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020A8" w14:paraId="2DEB830B" w14:textId="77777777">
        <w:trPr>
          <w:divId w:val="189982726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751B0" w14:textId="77777777" w:rsidR="00B86EB8" w:rsidRDefault="00B86EB8">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5BB63" w14:textId="77777777" w:rsidR="00B86EB8" w:rsidRDefault="00B86EB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26E8D" w14:textId="77777777" w:rsidR="00B86EB8" w:rsidRDefault="00B86EB8">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A7E9CB" w14:textId="77777777" w:rsidR="00B86EB8" w:rsidRDefault="00B86EB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0F108" w14:textId="77777777" w:rsidR="00B86EB8" w:rsidRDefault="00B86EB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020A8" w14:paraId="71A80F5F" w14:textId="77777777">
        <w:trPr>
          <w:divId w:val="189982726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F0D3F" w14:textId="77777777" w:rsidR="00B86EB8" w:rsidRDefault="00B86EB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BF1F8" w14:textId="77777777" w:rsidR="00B86EB8" w:rsidRDefault="00B86EB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E86E5" w14:textId="77777777" w:rsidR="00B86EB8" w:rsidRDefault="00B86EB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9C3D4" w14:textId="77777777" w:rsidR="00B86EB8" w:rsidRDefault="00B86EB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A5E2E" w14:textId="77777777" w:rsidR="00B86EB8" w:rsidRDefault="00B86EB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BCD18" w14:textId="77777777" w:rsidR="00B86EB8" w:rsidRDefault="00B86EB8">
            <w:pPr>
              <w:widowControl/>
              <w:jc w:val="left"/>
            </w:pPr>
          </w:p>
        </w:tc>
      </w:tr>
      <w:tr w:rsidR="007020A8" w14:paraId="17AD452F" w14:textId="77777777">
        <w:trPr>
          <w:divId w:val="189982726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2A0E1" w14:textId="77777777" w:rsidR="00B86EB8" w:rsidRDefault="00B86EB8">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2AAD5" w14:textId="77777777" w:rsidR="00B86EB8" w:rsidRDefault="00B86EB8">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09814" w14:textId="77777777" w:rsidR="00B86EB8" w:rsidRDefault="00B86EB8">
            <w:pPr>
              <w:jc w:val="center"/>
            </w:pPr>
            <w:r>
              <w:rPr>
                <w:rFonts w:ascii="宋体" w:hAnsi="宋体" w:hint="eastAsia"/>
                <w:szCs w:val="24"/>
                <w:lang w:eastAsia="zh-Hans"/>
              </w:rPr>
              <w:t>2023年4月6日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703EA" w14:textId="77777777" w:rsidR="00B86EB8" w:rsidRDefault="00B86EB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E213F" w14:textId="77777777" w:rsidR="00B86EB8" w:rsidRDefault="00B86EB8">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E1D78" w14:textId="77777777" w:rsidR="00B86EB8" w:rsidRDefault="00B86EB8">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6D43E594" w14:textId="77777777" w:rsidR="00B86EB8" w:rsidRDefault="00B86EB8">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0CB3FDF" w14:textId="77777777" w:rsidR="00B86EB8" w:rsidRDefault="00B86EB8">
      <w:pPr>
        <w:pStyle w:val="XBRLTitle3"/>
        <w:spacing w:before="156"/>
        <w:ind w:left="0"/>
        <w:divId w:val="611936938"/>
        <w:rPr>
          <w:rFonts w:hint="eastAsia"/>
        </w:rPr>
      </w:pPr>
      <w:bookmarkStart w:id="75" w:name="_Toc512519488"/>
      <w:bookmarkStart w:id="76" w:name="_Toc490050009"/>
      <w:bookmarkStart w:id="77" w:name="_Toc438646459"/>
      <w:bookmarkStart w:id="78" w:name="_Toc481075055"/>
      <w:bookmarkStart w:id="79" w:name="_Toc5134656621"/>
      <w:proofErr w:type="spellStart"/>
      <w:r>
        <w:rPr>
          <w:rFonts w:hint="eastAsia"/>
        </w:rPr>
        <w:t>期末兼任私募资产管理计划投资经理的基金经理同时管理的产品情况</w:t>
      </w:r>
      <w:bookmarkEnd w:id="75"/>
      <w:bookmarkEnd w:id="76"/>
      <w:bookmarkEnd w:id="77"/>
      <w:bookmarkEnd w:id="78"/>
      <w:bookmarkEnd w:id="79"/>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7020A8" w14:paraId="53A5EEC5" w14:textId="77777777">
        <w:trPr>
          <w:divId w:val="73612329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05E376F" w14:textId="77777777" w:rsidR="00B86EB8" w:rsidRDefault="00B86EB8">
            <w:pPr>
              <w:snapToGrid w:val="0"/>
              <w:jc w:val="center"/>
            </w:pPr>
            <w:bookmarkStart w:id="8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9818CF7" w14:textId="77777777" w:rsidR="00B86EB8" w:rsidRDefault="00B86EB8">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A09D273" w14:textId="77777777" w:rsidR="00B86EB8" w:rsidRDefault="00B86EB8">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5DB3CC6" w14:textId="77777777" w:rsidR="00B86EB8" w:rsidRDefault="00B86EB8">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6B75E35" w14:textId="77777777" w:rsidR="00B86EB8" w:rsidRDefault="00B86EB8">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7020A8" w14:paraId="24DFCECE" w14:textId="77777777">
        <w:trPr>
          <w:divId w:val="73612329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5DB67" w14:textId="77777777" w:rsidR="00B86EB8" w:rsidRDefault="00B86EB8">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7EBE1C" w14:textId="77777777" w:rsidR="00B86EB8" w:rsidRDefault="00B86EB8">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4FFAC9" w14:textId="77777777" w:rsidR="00B86EB8" w:rsidRDefault="00B86EB8">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4B6DA" w14:textId="77777777" w:rsidR="00B86EB8" w:rsidRDefault="00B86EB8">
            <w:pPr>
              <w:jc w:val="right"/>
            </w:pPr>
            <w:r>
              <w:rPr>
                <w:rFonts w:ascii="宋体" w:hAnsi="宋体" w:hint="eastAsia"/>
                <w:szCs w:val="24"/>
              </w:rPr>
              <w:t>13,988,386,527.21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7AE1F" w14:textId="77777777" w:rsidR="00B86EB8" w:rsidRDefault="00B86EB8">
            <w:pPr>
              <w:jc w:val="center"/>
            </w:pPr>
            <w:r>
              <w:rPr>
                <w:rFonts w:ascii="宋体" w:hAnsi="宋体" w:hint="eastAsia"/>
                <w:szCs w:val="24"/>
              </w:rPr>
              <w:t>2008-03-08</w:t>
            </w:r>
          </w:p>
        </w:tc>
      </w:tr>
      <w:tr w:rsidR="007020A8" w14:paraId="40204CC4" w14:textId="77777777">
        <w:trPr>
          <w:divId w:val="73612329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90D6BC2" w14:textId="77777777" w:rsidR="00B86EB8" w:rsidRDefault="00B86EB8">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EBD0C9" w14:textId="77777777" w:rsidR="00B86EB8" w:rsidRDefault="00B86EB8">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58AA8" w14:textId="77777777" w:rsidR="00B86EB8" w:rsidRDefault="00B86EB8">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52E7E" w14:textId="77777777" w:rsidR="00B86EB8" w:rsidRDefault="00B86EB8">
            <w:pPr>
              <w:jc w:val="right"/>
            </w:pPr>
            <w:r>
              <w:rPr>
                <w:rFonts w:ascii="宋体" w:hAnsi="宋体" w:hint="eastAsia"/>
                <w:szCs w:val="24"/>
              </w:rPr>
              <w:t>23,602,390.41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55AFB" w14:textId="77777777" w:rsidR="00B86EB8" w:rsidRDefault="00B86EB8">
            <w:pPr>
              <w:jc w:val="center"/>
            </w:pPr>
            <w:r>
              <w:rPr>
                <w:rFonts w:ascii="宋体" w:hAnsi="宋体" w:hint="eastAsia"/>
                <w:szCs w:val="24"/>
              </w:rPr>
              <w:t>2021-07-09</w:t>
            </w:r>
          </w:p>
        </w:tc>
      </w:tr>
      <w:tr w:rsidR="007020A8" w14:paraId="7E13F394" w14:textId="77777777">
        <w:trPr>
          <w:divId w:val="73612329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22DBF2A" w14:textId="77777777" w:rsidR="00B86EB8" w:rsidRDefault="00B86EB8">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B7E6F" w14:textId="77777777" w:rsidR="00B86EB8" w:rsidRDefault="00B86EB8">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E296F" w14:textId="77777777" w:rsidR="00B86EB8" w:rsidRDefault="00B86EB8">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8819B" w14:textId="77777777" w:rsidR="00B86EB8" w:rsidRDefault="00B86EB8">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101EF" w14:textId="77777777" w:rsidR="00B86EB8" w:rsidRDefault="00B86EB8">
            <w:pPr>
              <w:jc w:val="center"/>
            </w:pPr>
            <w:r>
              <w:rPr>
                <w:rFonts w:ascii="宋体" w:hAnsi="宋体" w:hint="eastAsia"/>
                <w:szCs w:val="24"/>
              </w:rPr>
              <w:t>-</w:t>
            </w:r>
          </w:p>
        </w:tc>
      </w:tr>
      <w:tr w:rsidR="007020A8" w14:paraId="68DC6D30" w14:textId="77777777">
        <w:trPr>
          <w:divId w:val="73612329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E747916" w14:textId="77777777" w:rsidR="00B86EB8" w:rsidRDefault="00B86EB8">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5638CE" w14:textId="77777777" w:rsidR="00B86EB8" w:rsidRDefault="00B86EB8">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DFB52" w14:textId="77777777" w:rsidR="00B86EB8" w:rsidRDefault="00B86EB8">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F5361" w14:textId="77777777" w:rsidR="00B86EB8" w:rsidRDefault="00B86EB8">
            <w:pPr>
              <w:jc w:val="right"/>
            </w:pPr>
            <w:r>
              <w:rPr>
                <w:rFonts w:ascii="宋体" w:hAnsi="宋体" w:hint="eastAsia"/>
                <w:szCs w:val="24"/>
              </w:rPr>
              <w:t>14,011,988,917.62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E7ADD" w14:textId="77777777" w:rsidR="00B86EB8" w:rsidRDefault="00B86EB8">
            <w:pPr>
              <w:jc w:val="center"/>
            </w:pPr>
            <w:r>
              <w:rPr>
                <w:rFonts w:ascii="宋体" w:hAnsi="宋体" w:hint="eastAsia"/>
                <w:szCs w:val="24"/>
              </w:rPr>
              <w:t xml:space="preserve">- </w:t>
            </w:r>
          </w:p>
        </w:tc>
      </w:tr>
    </w:tbl>
    <w:p w14:paraId="6B55C2C5" w14:textId="77777777" w:rsidR="00B86EB8" w:rsidRDefault="00B86EB8">
      <w:pPr>
        <w:pStyle w:val="XBRLTitle2"/>
        <w:spacing w:before="156" w:line="360" w:lineRule="auto"/>
        <w:ind w:left="454"/>
        <w:rPr>
          <w:rFonts w:hint="eastAsia"/>
        </w:rPr>
      </w:pPr>
      <w:bookmarkStart w:id="81" w:name="m402"/>
      <w:bookmarkStart w:id="82" w:name="_Toc459213772"/>
      <w:bookmarkStart w:id="83" w:name="_Toc456107126"/>
      <w:bookmarkStart w:id="84" w:name="_Toc438654080"/>
      <w:bookmarkStart w:id="85" w:name="_Toc448480292"/>
      <w:bookmarkStart w:id="86" w:name="_Toc480465423"/>
      <w:bookmarkStart w:id="87" w:name="_Toc512611289"/>
      <w:bookmarkStart w:id="88" w:name="_Toc512612085"/>
      <w:bookmarkStart w:id="89" w:name="_Toc512612261"/>
      <w:bookmarkStart w:id="90" w:name="_Toc513658015"/>
      <w:bookmarkStart w:id="91" w:name="_Toc514178677"/>
      <w:bookmarkStart w:id="92" w:name="m403"/>
      <w:bookmarkEnd w:id="80"/>
      <w:bookmarkEnd w:id="81"/>
      <w:proofErr w:type="spellStart"/>
      <w:r>
        <w:rPr>
          <w:rFonts w:hint="eastAsia"/>
        </w:rPr>
        <w:t>报告期内本基金运作遵规守信情况说明</w:t>
      </w:r>
      <w:bookmarkEnd w:id="82"/>
      <w:bookmarkEnd w:id="83"/>
      <w:bookmarkEnd w:id="84"/>
      <w:bookmarkEnd w:id="85"/>
      <w:bookmarkEnd w:id="86"/>
      <w:bookmarkEnd w:id="87"/>
      <w:bookmarkEnd w:id="88"/>
      <w:bookmarkEnd w:id="89"/>
      <w:bookmarkEnd w:id="90"/>
      <w:bookmarkEnd w:id="91"/>
      <w:proofErr w:type="spellEnd"/>
      <w:r>
        <w:rPr>
          <w:rFonts w:hint="eastAsia"/>
        </w:rPr>
        <w:t xml:space="preserve"> </w:t>
      </w:r>
    </w:p>
    <w:p w14:paraId="541DF4D4" w14:textId="77777777" w:rsidR="00B86EB8" w:rsidRDefault="00B86EB8">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C464D32" w14:textId="77777777" w:rsidR="00B86EB8" w:rsidRDefault="00B86EB8">
      <w:pPr>
        <w:pStyle w:val="XBRLTitle2"/>
        <w:spacing w:before="156" w:line="360" w:lineRule="auto"/>
        <w:ind w:left="454"/>
        <w:rPr>
          <w:rFonts w:hint="eastAsia"/>
        </w:rPr>
      </w:pPr>
      <w:bookmarkStart w:id="93" w:name="_Toc459213773"/>
      <w:bookmarkStart w:id="94" w:name="_Toc456107127"/>
      <w:bookmarkStart w:id="95" w:name="_Toc438654081"/>
      <w:bookmarkStart w:id="96" w:name="_Toc448480293"/>
      <w:bookmarkStart w:id="97" w:name="_Toc480465424"/>
      <w:bookmarkStart w:id="98" w:name="_Toc512611290"/>
      <w:bookmarkStart w:id="99" w:name="_Toc512612086"/>
      <w:bookmarkStart w:id="100" w:name="_Toc512612262"/>
      <w:bookmarkStart w:id="101" w:name="_Toc513658016"/>
      <w:bookmarkStart w:id="102" w:name="_Toc514178678"/>
      <w:bookmarkEnd w:id="92"/>
      <w:proofErr w:type="spellStart"/>
      <w:r>
        <w:rPr>
          <w:rFonts w:hint="eastAsia"/>
        </w:rPr>
        <w:t>公平交易专项说明</w:t>
      </w:r>
      <w:bookmarkEnd w:id="93"/>
      <w:bookmarkEnd w:id="94"/>
      <w:bookmarkEnd w:id="95"/>
      <w:bookmarkEnd w:id="96"/>
      <w:bookmarkEnd w:id="97"/>
      <w:bookmarkEnd w:id="98"/>
      <w:bookmarkEnd w:id="99"/>
      <w:bookmarkEnd w:id="100"/>
      <w:bookmarkEnd w:id="101"/>
      <w:bookmarkEnd w:id="102"/>
      <w:proofErr w:type="spellEnd"/>
      <w:r>
        <w:rPr>
          <w:rFonts w:hint="eastAsia"/>
        </w:rPr>
        <w:t xml:space="preserve"> </w:t>
      </w:r>
    </w:p>
    <w:p w14:paraId="500C4B62" w14:textId="77777777" w:rsidR="00B86EB8" w:rsidRDefault="00B86EB8">
      <w:pPr>
        <w:pStyle w:val="XBRLTitle3"/>
        <w:spacing w:before="156"/>
        <w:ind w:left="0"/>
        <w:rPr>
          <w:rFonts w:hint="eastAsia"/>
        </w:rPr>
      </w:pPr>
      <w:bookmarkStart w:id="103" w:name="_Toc513658017"/>
      <w:bookmarkStart w:id="104" w:name="_Toc514178679"/>
      <w:bookmarkStart w:id="105" w:name="_Toc480465425"/>
      <w:bookmarkStart w:id="106" w:name="m404_01_0570"/>
      <w:proofErr w:type="spellStart"/>
      <w:r>
        <w:rPr>
          <w:rFonts w:hint="eastAsia"/>
        </w:rPr>
        <w:t>公平交易制度的执行情况</w:t>
      </w:r>
      <w:bookmarkEnd w:id="103"/>
      <w:bookmarkEnd w:id="104"/>
      <w:proofErr w:type="spellEnd"/>
    </w:p>
    <w:p w14:paraId="02B4CEBD" w14:textId="77777777" w:rsidR="00B86EB8" w:rsidRDefault="00B86EB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D6BDDDB" w14:textId="77777777" w:rsidR="00B86EB8" w:rsidRDefault="00B86EB8">
      <w:pPr>
        <w:pStyle w:val="XBRLTitle3"/>
        <w:spacing w:before="156"/>
        <w:ind w:left="0"/>
        <w:rPr>
          <w:rFonts w:hint="eastAsia"/>
        </w:rPr>
      </w:pPr>
      <w:bookmarkStart w:id="107" w:name="_Toc513658018"/>
      <w:bookmarkStart w:id="108" w:name="_Toc514178680"/>
      <w:bookmarkStart w:id="109" w:name="_Toc480465426"/>
      <w:bookmarkStart w:id="110" w:name="m404_01_0578"/>
      <w:proofErr w:type="spellStart"/>
      <w:r>
        <w:rPr>
          <w:rFonts w:hint="eastAsia"/>
        </w:rPr>
        <w:t>异常交易行为的专项说明</w:t>
      </w:r>
      <w:bookmarkEnd w:id="107"/>
      <w:bookmarkEnd w:id="108"/>
      <w:proofErr w:type="spellEnd"/>
    </w:p>
    <w:p w14:paraId="5E2B196A" w14:textId="77777777" w:rsidR="00B86EB8" w:rsidRDefault="00B86EB8">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67AD5D8" w14:textId="77777777" w:rsidR="00B86EB8" w:rsidRDefault="00B86EB8">
      <w:pPr>
        <w:pStyle w:val="XBRLTitle2"/>
        <w:spacing w:before="156" w:line="360" w:lineRule="auto"/>
        <w:ind w:left="454"/>
        <w:rPr>
          <w:rFonts w:hint="eastAsia"/>
        </w:rPr>
      </w:pPr>
      <w:bookmarkStart w:id="111" w:name="_Toc459213774"/>
      <w:bookmarkStart w:id="112" w:name="_Toc456107128"/>
      <w:bookmarkStart w:id="113" w:name="_Toc438654082"/>
      <w:bookmarkStart w:id="114" w:name="_Toc448480294"/>
      <w:bookmarkStart w:id="115" w:name="_Toc480465427"/>
      <w:bookmarkStart w:id="116" w:name="_Toc512611291"/>
      <w:bookmarkStart w:id="117" w:name="_Toc512612087"/>
      <w:bookmarkStart w:id="118" w:name="_Toc512612263"/>
      <w:bookmarkStart w:id="119" w:name="_Toc513658019"/>
      <w:bookmarkStart w:id="120" w:name="_Toc514178681"/>
      <w:proofErr w:type="spellStart"/>
      <w:r>
        <w:rPr>
          <w:rFonts w:hint="eastAsia"/>
        </w:rPr>
        <w:t>报告期内基金的投资策略和业绩表现说明</w:t>
      </w:r>
      <w:bookmarkEnd w:id="111"/>
      <w:bookmarkEnd w:id="112"/>
      <w:bookmarkEnd w:id="113"/>
      <w:bookmarkEnd w:id="114"/>
      <w:bookmarkEnd w:id="115"/>
      <w:bookmarkEnd w:id="116"/>
      <w:bookmarkEnd w:id="117"/>
      <w:bookmarkEnd w:id="118"/>
      <w:bookmarkEnd w:id="119"/>
      <w:bookmarkEnd w:id="120"/>
      <w:proofErr w:type="spellEnd"/>
      <w:r>
        <w:rPr>
          <w:rFonts w:hint="eastAsia"/>
        </w:rPr>
        <w:t xml:space="preserve"> </w:t>
      </w:r>
    </w:p>
    <w:p w14:paraId="216A8D3F" w14:textId="77777777" w:rsidR="00B86EB8" w:rsidRDefault="00B86EB8">
      <w:pPr>
        <w:pStyle w:val="XBRLTitle3"/>
        <w:spacing w:before="156"/>
        <w:ind w:left="0"/>
        <w:rPr>
          <w:rFonts w:hint="eastAsia"/>
        </w:rPr>
      </w:pPr>
      <w:bookmarkStart w:id="121" w:name="_Toc51408825711"/>
      <w:bookmarkStart w:id="122" w:name="_Toc513542656"/>
      <w:proofErr w:type="spellStart"/>
      <w:r>
        <w:rPr>
          <w:rFonts w:hint="eastAsia"/>
        </w:rPr>
        <w:t>报告期内基金投资策略和运作分析</w:t>
      </w:r>
      <w:bookmarkEnd w:id="121"/>
      <w:bookmarkEnd w:id="105"/>
      <w:bookmarkEnd w:id="122"/>
      <w:proofErr w:type="spellEnd"/>
      <w:r>
        <w:rPr>
          <w:rFonts w:hint="eastAsia"/>
        </w:rPr>
        <w:t xml:space="preserve"> </w:t>
      </w:r>
    </w:p>
    <w:p w14:paraId="0FB97232" w14:textId="77777777" w:rsidR="00B86EB8" w:rsidRDefault="00B86EB8">
      <w:pPr>
        <w:spacing w:line="360" w:lineRule="auto"/>
        <w:ind w:firstLineChars="200" w:firstLine="420"/>
        <w:divId w:val="662857873"/>
      </w:pPr>
      <w:r>
        <w:rPr>
          <w:rFonts w:ascii="宋体" w:hAnsi="宋体" w:hint="eastAsia"/>
          <w:color w:val="000000"/>
          <w:kern w:val="0"/>
          <w:szCs w:val="21"/>
          <w:lang w:eastAsia="zh-Hans"/>
        </w:rPr>
        <w:t>报告期内，标普500指数继续上涨，并创出过历史新高。</w:t>
      </w:r>
      <w:r>
        <w:rPr>
          <w:rFonts w:ascii="宋体" w:hAnsi="宋体" w:hint="eastAsia"/>
          <w:color w:val="000000"/>
          <w:kern w:val="0"/>
          <w:szCs w:val="21"/>
          <w:lang w:eastAsia="zh-Hans"/>
        </w:rPr>
        <w:br/>
        <w:t xml:space="preserve">　　10月30日和12月11日美联储分别降息25个基点，将联邦基金利率目标区间下调至3.50%–3.75%。美联储启动储备管理购买计划，准备再次通过购买短期美国国债来扩大其资产负债表。由于市场此前已近乎完全定价降息，决议发布后市场反应温和。最新的经济预测全线上调了今明两年的经济增速预期，同时下调了通胀预期；美联储点阵图显示2026年和2027年联邦基金利率中位数分别为3.6%和3.4%，预计各有一次降息。相较之前新闻发布会，主席鲍威尔此次发言偏鸽。他强调当前政策处于“有利地位”，在通胀与就业的平衡中优先关注就业，指出目前通胀主要由关税因素推动，未发现“工资-通胀”螺旋迹象。对于重启购债，他明确这是为了维持充足的准备金水平，而非加息的逆转。市场对此反映温和。市场关注焦点转为明年新任联储主席人选。</w:t>
      </w:r>
      <w:r>
        <w:rPr>
          <w:rFonts w:ascii="宋体" w:hAnsi="宋体" w:hint="eastAsia"/>
          <w:color w:val="000000"/>
          <w:kern w:val="0"/>
          <w:szCs w:val="21"/>
          <w:lang w:eastAsia="zh-Hans"/>
        </w:rPr>
        <w:br/>
        <w:t xml:space="preserve">　　展望后市，结构性牛市的发展道路并不是一条直线，过去两年的牛市是由人工智能基础建设相关板块的直接受益者主导。在可预见的未来，这种情况可能还会持续下去。但最终，牛市的持续需要进行驱动力转换，即让下游的技术/人工智能的“用户”从当前的人工智能科技发展中获益，助力其达成增长和盈利指标。</w:t>
      </w:r>
      <w:r>
        <w:rPr>
          <w:rFonts w:ascii="宋体" w:hAnsi="宋体" w:hint="eastAsia"/>
          <w:color w:val="000000"/>
          <w:kern w:val="0"/>
          <w:szCs w:val="21"/>
          <w:lang w:eastAsia="zh-Hans"/>
        </w:rPr>
        <w:br/>
        <w:t xml:space="preserve">　　标普500指数代表的美国大盘股具有结构性牛市的核心特征。其中，以人工智能基础设施建设为代表的科技股，具有高估值高成长的特征，正在影响我们对估值的历史比较的看法。与历史比，当前指数静态估值处于历史的上沿，但考虑到科技股业绩的高增长，当前高估值有一定合理性。长期投资者对美股高估值的疑虑挥之不去，但是认识和理解当前的结构性特征有助于减轻对估值问题的担忧。在接受结构性观点的同时，也需要考虑周期性和其他短期因素，不要忽视潜在的经济状况、货币和财政政策的影响。我们坚定地认为，长期基本面最终决定美国股市的走向。中期，从人工智能推动者到人工智能采用者的逐步过渡仍将是热门话题和关注焦点。此外，还包括那些传统的股票市场驱动因素，例如货币政策、经济/宏观发展以及最近的政府政策将如何与市场相互作用。人工智能的建设可能会在未来一两年内继续作为关键的市场驱动力。除此，关键的转变将是向人工智能/技术的“用户”在AI应用落地方向的传导以及传统的商业模式如何整合人工智能方面的进展。人工智能高投入之后的盈利可见性是未来值得关注的焦点。美股的风险在于人工智能建设进入后期阶段，但未能兑现人工智能投资预期的回报。</w:t>
      </w:r>
      <w:r>
        <w:rPr>
          <w:rFonts w:ascii="宋体" w:hAnsi="宋体" w:hint="eastAsia"/>
          <w:color w:val="000000"/>
          <w:kern w:val="0"/>
          <w:szCs w:val="21"/>
          <w:lang w:eastAsia="zh-Hans"/>
        </w:rPr>
        <w:br/>
        <w:t xml:space="preserve">　　本基金在报告期内持续采取被动复制的投资策略，紧密跟踪指数表现。报告期间，管理人严格依据指数成分股的变动信息进行股票组合的调整，基于申购赎回情况增减股票组合，保持股票资产权重处于90%左右仓位区间。</w:t>
      </w:r>
      <w:r>
        <w:rPr>
          <w:rFonts w:ascii="宋体" w:hAnsi="宋体" w:hint="eastAsia"/>
          <w:color w:val="000000"/>
          <w:kern w:val="0"/>
          <w:sz w:val="24"/>
        </w:rPr>
        <w:t xml:space="preserve"> </w:t>
      </w:r>
      <w:bookmarkEnd w:id="54"/>
    </w:p>
    <w:p w14:paraId="585EA681" w14:textId="77777777" w:rsidR="00B86EB8" w:rsidRDefault="00B86EB8">
      <w:pPr>
        <w:pStyle w:val="XBRLTitle3"/>
        <w:spacing w:before="156"/>
        <w:ind w:left="0"/>
        <w:rPr>
          <w:rFonts w:hint="eastAsia"/>
        </w:rPr>
      </w:pPr>
      <w:bookmarkStart w:id="123" w:name="_Toc51408825712"/>
      <w:bookmarkStart w:id="124" w:name="_Toc513542657"/>
      <w:bookmarkEnd w:id="106"/>
      <w:proofErr w:type="spellStart"/>
      <w:r>
        <w:rPr>
          <w:rFonts w:hint="eastAsia"/>
        </w:rPr>
        <w:t>报告期内基金的业绩表现</w:t>
      </w:r>
      <w:bookmarkEnd w:id="123"/>
      <w:bookmarkEnd w:id="109"/>
      <w:bookmarkEnd w:id="124"/>
      <w:proofErr w:type="spellEnd"/>
      <w:r>
        <w:rPr>
          <w:rFonts w:hint="eastAsia"/>
        </w:rPr>
        <w:t xml:space="preserve"> </w:t>
      </w:r>
    </w:p>
    <w:p w14:paraId="4226817F" w14:textId="77777777" w:rsidR="00B86EB8" w:rsidRDefault="00B86EB8">
      <w:pPr>
        <w:spacing w:line="360" w:lineRule="auto"/>
        <w:ind w:firstLineChars="200" w:firstLine="420"/>
        <w:jc w:val="left"/>
      </w:pPr>
      <w:r>
        <w:rPr>
          <w:rFonts w:ascii="宋体" w:hAnsi="宋体" w:cs="宋体" w:hint="eastAsia"/>
          <w:color w:val="000000"/>
          <w:kern w:val="0"/>
        </w:rPr>
        <w:t>本报告期</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500指数(QDII)人民币A份额净值增长率为：1.11%，同期业绩比较基准收益率为：1.19%；</w:t>
      </w:r>
      <w:r>
        <w:rPr>
          <w:rFonts w:ascii="宋体" w:hAnsi="宋体" w:cs="宋体" w:hint="eastAsia"/>
          <w:color w:val="000000"/>
          <w:kern w:val="0"/>
        </w:rPr>
        <w:br/>
        <w:t xml:space="preserve">　　</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500指数(QDII)人民币C份额净值增长率为：1.03%，同期业绩比较基准收益率为：1.19%。</w:t>
      </w:r>
      <w:bookmarkEnd w:id="110"/>
    </w:p>
    <w:p w14:paraId="5A42CEC9" w14:textId="77777777" w:rsidR="00B86EB8" w:rsidRDefault="00B86EB8">
      <w:pPr>
        <w:pStyle w:val="XBRLTitle2"/>
        <w:spacing w:before="156" w:line="360" w:lineRule="auto"/>
        <w:ind w:left="454"/>
        <w:rPr>
          <w:rFonts w:hint="eastAsia"/>
        </w:rPr>
      </w:pPr>
      <w:bookmarkStart w:id="125" w:name="m405_01_2550"/>
      <w:bookmarkStart w:id="126" w:name="_Toc459213775"/>
      <w:bookmarkStart w:id="127" w:name="_Toc456107129"/>
      <w:bookmarkStart w:id="128" w:name="_Toc438654084"/>
      <w:bookmarkStart w:id="129" w:name="_Toc448480296"/>
      <w:bookmarkStart w:id="130" w:name="_Toc480465430"/>
      <w:bookmarkStart w:id="131" w:name="_Toc512611292"/>
      <w:bookmarkStart w:id="132" w:name="_Toc512612088"/>
      <w:bookmarkStart w:id="133" w:name="_Toc512612264"/>
      <w:bookmarkStart w:id="134" w:name="_Toc513658020"/>
      <w:bookmarkStart w:id="135" w:name="_Toc514178682"/>
      <w:bookmarkStart w:id="136" w:name="m407"/>
      <w:bookmarkEnd w:id="125"/>
      <w:proofErr w:type="spellStart"/>
      <w:r>
        <w:rPr>
          <w:rFonts w:hint="eastAsia"/>
        </w:rPr>
        <w:t>报告期内基金持有人数或基金资产净值预警说明</w:t>
      </w:r>
      <w:bookmarkEnd w:id="126"/>
      <w:bookmarkEnd w:id="127"/>
      <w:bookmarkEnd w:id="128"/>
      <w:bookmarkEnd w:id="129"/>
      <w:bookmarkEnd w:id="130"/>
      <w:bookmarkEnd w:id="131"/>
      <w:bookmarkEnd w:id="132"/>
      <w:bookmarkEnd w:id="133"/>
      <w:bookmarkEnd w:id="134"/>
      <w:bookmarkEnd w:id="135"/>
      <w:proofErr w:type="spellEnd"/>
      <w:r>
        <w:rPr>
          <w:rFonts w:hint="eastAsia"/>
        </w:rPr>
        <w:t xml:space="preserve"> </w:t>
      </w:r>
    </w:p>
    <w:p w14:paraId="5003D334" w14:textId="77777777" w:rsidR="00B86EB8" w:rsidRDefault="00B86EB8">
      <w:pPr>
        <w:spacing w:line="360" w:lineRule="auto"/>
        <w:ind w:firstLineChars="200" w:firstLine="420"/>
        <w:jc w:val="left"/>
      </w:pPr>
      <w:r>
        <w:rPr>
          <w:rFonts w:ascii="宋体" w:hAnsi="宋体" w:hint="eastAsia"/>
        </w:rPr>
        <w:t>无。</w:t>
      </w:r>
    </w:p>
    <w:p w14:paraId="3DCA5818" w14:textId="77777777" w:rsidR="00B86EB8" w:rsidRDefault="00B86EB8">
      <w:pPr>
        <w:pStyle w:val="XBRLTitle1"/>
        <w:spacing w:before="156" w:line="360" w:lineRule="auto"/>
        <w:ind w:left="425"/>
        <w:rPr>
          <w:rFonts w:hint="eastAsia"/>
        </w:rPr>
      </w:pPr>
      <w:bookmarkStart w:id="137" w:name="_Toc514178683"/>
      <w:bookmarkEnd w:id="136"/>
      <w:proofErr w:type="spellStart"/>
      <w:r>
        <w:rPr>
          <w:rFonts w:hint="eastAsia"/>
        </w:rPr>
        <w:t>投资组合报告</w:t>
      </w:r>
      <w:bookmarkEnd w:id="137"/>
      <w:bookmarkEnd w:id="70"/>
      <w:bookmarkEnd w:id="71"/>
      <w:bookmarkEnd w:id="72"/>
      <w:bookmarkEnd w:id="73"/>
      <w:proofErr w:type="spellEnd"/>
      <w:r>
        <w:rPr>
          <w:rFonts w:hint="eastAsia"/>
        </w:rPr>
        <w:t xml:space="preserve"> </w:t>
      </w:r>
    </w:p>
    <w:p w14:paraId="16A26145" w14:textId="77777777" w:rsidR="00B86EB8" w:rsidRDefault="00B86EB8">
      <w:pPr>
        <w:pStyle w:val="XBRLTitle2"/>
        <w:spacing w:before="156" w:line="360" w:lineRule="auto"/>
        <w:ind w:left="454"/>
        <w:rPr>
          <w:rFonts w:hint="eastAsia"/>
        </w:rPr>
      </w:pPr>
      <w:bookmarkStart w:id="138" w:name="_Toc459213777"/>
      <w:bookmarkStart w:id="139" w:name="_Toc456107131"/>
      <w:bookmarkStart w:id="140" w:name="_Toc438654086"/>
      <w:bookmarkStart w:id="141" w:name="_Toc448480298"/>
      <w:bookmarkStart w:id="142" w:name="_Toc480465432"/>
      <w:bookmarkStart w:id="143" w:name="_Toc514178684"/>
      <w:bookmarkStart w:id="144" w:name="_Toc512611294"/>
      <w:bookmarkStart w:id="145" w:name="_Toc512612090"/>
      <w:bookmarkStart w:id="146" w:name="_Toc512612266"/>
      <w:bookmarkStart w:id="147" w:name="_Toc513658022"/>
      <w:bookmarkStart w:id="148" w:name="m501"/>
      <w:bookmarkStart w:id="149" w:name="_Toc490050042"/>
      <w:bookmarkStart w:id="150" w:name="_Toc438646477"/>
      <w:bookmarkStart w:id="151" w:name="_Toc481075089"/>
      <w:bookmarkStart w:id="152" w:name="_Toc512519521"/>
      <w:bookmarkStart w:id="153" w:name="m601"/>
      <w:proofErr w:type="spellStart"/>
      <w:r>
        <w:rPr>
          <w:rFonts w:hint="eastAsia"/>
        </w:rPr>
        <w:t>报告期末基金资产组合情况</w:t>
      </w:r>
      <w:bookmarkEnd w:id="138"/>
      <w:bookmarkEnd w:id="139"/>
      <w:bookmarkEnd w:id="140"/>
      <w:bookmarkEnd w:id="141"/>
      <w:bookmarkEnd w:id="142"/>
      <w:bookmarkEnd w:id="143"/>
      <w:proofErr w:type="spellEnd"/>
      <w:r>
        <w:rPr>
          <w:rFonts w:hint="eastAsia"/>
        </w:rPr>
        <w:t xml:space="preserve"> </w:t>
      </w:r>
      <w:bookmarkEnd w:id="144"/>
      <w:bookmarkEnd w:id="145"/>
      <w:bookmarkEnd w:id="146"/>
      <w:bookmarkEnd w:id="14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7020A8" w14:paraId="30E9A0E2"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A51A8" w14:textId="77777777" w:rsidR="00B86EB8" w:rsidRDefault="00B86EB8">
            <w:pPr>
              <w:jc w:val="center"/>
            </w:pPr>
            <w:bookmarkStart w:id="154" w:name="m08QD_01_tab"/>
            <w:bookmarkStart w:id="155" w:name="OLE_LINK46"/>
            <w:bookmarkStart w:id="156" w:name="OLE_LINK45"/>
            <w:bookmarkStart w:id="157" w:name="OLE_LINK42"/>
            <w:bookmarkStart w:id="158" w:name="OLE_LINK41"/>
            <w:bookmarkEnd w:id="15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659B7FB5" w14:textId="77777777" w:rsidR="00B86EB8" w:rsidRDefault="00B86EB8">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197F2F54" w14:textId="77777777" w:rsidR="00B86EB8" w:rsidRDefault="00B86EB8">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3F47648F" w14:textId="77777777" w:rsidR="00B86EB8" w:rsidRDefault="00B86EB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020A8" w14:paraId="1C7F4CA7"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DCDDD44" w14:textId="77777777" w:rsidR="00B86EB8" w:rsidRDefault="00B86EB8">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2DAE210B" w14:textId="77777777" w:rsidR="00B86EB8" w:rsidRDefault="00B86EB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366456" w14:textId="77777777" w:rsidR="00B86EB8" w:rsidRDefault="00B86EB8">
            <w:pPr>
              <w:jc w:val="right"/>
            </w:pPr>
            <w:r>
              <w:rPr>
                <w:rFonts w:ascii="宋体" w:hAnsi="宋体" w:hint="eastAsia"/>
                <w:szCs w:val="24"/>
                <w:lang w:eastAsia="zh-Hans"/>
              </w:rPr>
              <w:t>4,196,920,840.21</w:t>
            </w:r>
          </w:p>
        </w:tc>
        <w:tc>
          <w:tcPr>
            <w:tcW w:w="2373" w:type="dxa"/>
            <w:tcBorders>
              <w:top w:val="single" w:sz="4" w:space="0" w:color="auto"/>
              <w:left w:val="nil"/>
              <w:bottom w:val="single" w:sz="4" w:space="0" w:color="auto"/>
              <w:right w:val="single" w:sz="4" w:space="0" w:color="auto"/>
            </w:tcBorders>
            <w:vAlign w:val="center"/>
            <w:hideMark/>
          </w:tcPr>
          <w:p w14:paraId="1DB3F9B5" w14:textId="77777777" w:rsidR="00B86EB8" w:rsidRDefault="00B86EB8">
            <w:pPr>
              <w:jc w:val="right"/>
            </w:pPr>
            <w:r>
              <w:rPr>
                <w:rFonts w:ascii="宋体" w:hAnsi="宋体" w:hint="eastAsia"/>
                <w:szCs w:val="24"/>
                <w:lang w:eastAsia="zh-Hans"/>
              </w:rPr>
              <w:t>91.88</w:t>
            </w:r>
          </w:p>
        </w:tc>
      </w:tr>
      <w:tr w:rsidR="007020A8" w14:paraId="7AE8931A"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AC6979"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35739C0" w14:textId="77777777" w:rsidR="00B86EB8" w:rsidRDefault="00B86EB8">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44F38B7" w14:textId="77777777" w:rsidR="00B86EB8" w:rsidRDefault="00B86EB8">
            <w:pPr>
              <w:jc w:val="right"/>
            </w:pPr>
            <w:r>
              <w:rPr>
                <w:rFonts w:ascii="宋体" w:hAnsi="宋体" w:hint="eastAsia"/>
                <w:szCs w:val="24"/>
                <w:lang w:eastAsia="zh-Hans"/>
              </w:rPr>
              <w:t>4,196,920,840.21</w:t>
            </w:r>
          </w:p>
        </w:tc>
        <w:tc>
          <w:tcPr>
            <w:tcW w:w="2373" w:type="dxa"/>
            <w:tcBorders>
              <w:top w:val="single" w:sz="4" w:space="0" w:color="auto"/>
              <w:left w:val="nil"/>
              <w:bottom w:val="single" w:sz="4" w:space="0" w:color="auto"/>
              <w:right w:val="single" w:sz="4" w:space="0" w:color="auto"/>
            </w:tcBorders>
            <w:vAlign w:val="center"/>
            <w:hideMark/>
          </w:tcPr>
          <w:p w14:paraId="4E3FA6A3" w14:textId="77777777" w:rsidR="00B86EB8" w:rsidRDefault="00B86EB8">
            <w:pPr>
              <w:jc w:val="right"/>
            </w:pPr>
            <w:r>
              <w:rPr>
                <w:rFonts w:ascii="宋体" w:hAnsi="宋体" w:hint="eastAsia"/>
                <w:szCs w:val="24"/>
                <w:lang w:eastAsia="zh-Hans"/>
              </w:rPr>
              <w:t>91.88</w:t>
            </w:r>
          </w:p>
        </w:tc>
      </w:tr>
      <w:tr w:rsidR="007020A8" w14:paraId="77456F65"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7604F1F"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4C829B5" w14:textId="77777777" w:rsidR="00B86EB8" w:rsidRDefault="00B86EB8">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F4EF9B"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898C188" w14:textId="77777777" w:rsidR="00B86EB8" w:rsidRDefault="00B86EB8">
            <w:pPr>
              <w:jc w:val="right"/>
            </w:pPr>
            <w:r>
              <w:rPr>
                <w:rFonts w:ascii="宋体" w:hAnsi="宋体" w:hint="eastAsia"/>
                <w:szCs w:val="24"/>
                <w:lang w:eastAsia="zh-Hans"/>
              </w:rPr>
              <w:t>-</w:t>
            </w:r>
          </w:p>
        </w:tc>
      </w:tr>
      <w:tr w:rsidR="007020A8" w14:paraId="15E9FDA1"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CF7299"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A6C29A1" w14:textId="77777777" w:rsidR="00B86EB8" w:rsidRDefault="00B86EB8">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85DB5C"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3D120A" w14:textId="77777777" w:rsidR="00B86EB8" w:rsidRDefault="00B86EB8">
            <w:pPr>
              <w:jc w:val="right"/>
            </w:pPr>
            <w:r>
              <w:rPr>
                <w:rFonts w:ascii="宋体" w:hAnsi="宋体" w:hint="eastAsia"/>
                <w:szCs w:val="24"/>
                <w:lang w:eastAsia="zh-Hans"/>
              </w:rPr>
              <w:t>-</w:t>
            </w:r>
          </w:p>
        </w:tc>
      </w:tr>
      <w:tr w:rsidR="007020A8" w14:paraId="6579E4A7"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CB3B47F"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5205005" w14:textId="77777777" w:rsidR="00B86EB8" w:rsidRDefault="00B86EB8">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3AA8829"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0367D84" w14:textId="77777777" w:rsidR="00B86EB8" w:rsidRDefault="00B86EB8">
            <w:pPr>
              <w:jc w:val="right"/>
            </w:pPr>
            <w:r>
              <w:rPr>
                <w:rFonts w:ascii="宋体" w:hAnsi="宋体" w:hint="eastAsia"/>
                <w:szCs w:val="24"/>
                <w:lang w:eastAsia="zh-Hans"/>
              </w:rPr>
              <w:t>-</w:t>
            </w:r>
          </w:p>
        </w:tc>
      </w:tr>
      <w:tr w:rsidR="007020A8" w14:paraId="5CEBFF8F"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045C13F" w14:textId="77777777" w:rsidR="00B86EB8" w:rsidRDefault="00B86EB8">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5F135AE9" w14:textId="77777777" w:rsidR="00B86EB8" w:rsidRDefault="00B86EB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93925C"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C62949C" w14:textId="77777777" w:rsidR="00B86EB8" w:rsidRDefault="00B86EB8">
            <w:pPr>
              <w:jc w:val="right"/>
            </w:pPr>
            <w:r>
              <w:rPr>
                <w:rFonts w:ascii="宋体" w:hAnsi="宋体" w:hint="eastAsia"/>
                <w:szCs w:val="24"/>
                <w:lang w:eastAsia="zh-Hans"/>
              </w:rPr>
              <w:t>-</w:t>
            </w:r>
          </w:p>
        </w:tc>
      </w:tr>
      <w:tr w:rsidR="007020A8" w14:paraId="68607C79"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4B7F773" w14:textId="77777777" w:rsidR="00B86EB8" w:rsidRDefault="00B86EB8">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009CE334" w14:textId="77777777" w:rsidR="00B86EB8" w:rsidRDefault="00B86EB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C4EF00"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71193D1" w14:textId="77777777" w:rsidR="00B86EB8" w:rsidRDefault="00B86EB8">
            <w:pPr>
              <w:jc w:val="right"/>
            </w:pPr>
            <w:r>
              <w:rPr>
                <w:rFonts w:ascii="宋体" w:hAnsi="宋体" w:hint="eastAsia"/>
                <w:szCs w:val="24"/>
                <w:lang w:eastAsia="zh-Hans"/>
              </w:rPr>
              <w:t>-</w:t>
            </w:r>
          </w:p>
        </w:tc>
      </w:tr>
      <w:tr w:rsidR="007020A8" w14:paraId="0E932BE5"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8941159"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36A6E54" w14:textId="77777777" w:rsidR="00B86EB8" w:rsidRDefault="00B86EB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517750A"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FF1E962" w14:textId="77777777" w:rsidR="00B86EB8" w:rsidRDefault="00B86EB8">
            <w:pPr>
              <w:jc w:val="right"/>
            </w:pPr>
            <w:r>
              <w:rPr>
                <w:rFonts w:ascii="宋体" w:hAnsi="宋体" w:hint="eastAsia"/>
                <w:szCs w:val="24"/>
                <w:lang w:eastAsia="zh-Hans"/>
              </w:rPr>
              <w:t>-</w:t>
            </w:r>
          </w:p>
        </w:tc>
      </w:tr>
      <w:tr w:rsidR="007020A8" w14:paraId="15F20CCD"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F07BB1F"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6A26051" w14:textId="77777777" w:rsidR="00B86EB8" w:rsidRDefault="00B86EB8">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E55C4EA"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B701567" w14:textId="77777777" w:rsidR="00B86EB8" w:rsidRDefault="00B86EB8">
            <w:pPr>
              <w:jc w:val="right"/>
            </w:pPr>
            <w:r>
              <w:rPr>
                <w:rFonts w:ascii="宋体" w:hAnsi="宋体" w:hint="eastAsia"/>
                <w:szCs w:val="24"/>
                <w:lang w:eastAsia="zh-Hans"/>
              </w:rPr>
              <w:t>-</w:t>
            </w:r>
          </w:p>
        </w:tc>
      </w:tr>
      <w:tr w:rsidR="007020A8" w14:paraId="34CF4046"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1E1DC09" w14:textId="77777777" w:rsidR="00B86EB8" w:rsidRDefault="00B86EB8">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50C2E44A" w14:textId="77777777" w:rsidR="00B86EB8" w:rsidRDefault="00B86EB8">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FBCCC5E"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8F908B0" w14:textId="77777777" w:rsidR="00B86EB8" w:rsidRDefault="00B86EB8">
            <w:pPr>
              <w:jc w:val="right"/>
            </w:pPr>
            <w:r>
              <w:rPr>
                <w:rFonts w:ascii="宋体" w:hAnsi="宋体" w:hint="eastAsia"/>
                <w:szCs w:val="24"/>
                <w:lang w:eastAsia="zh-Hans"/>
              </w:rPr>
              <w:t>-</w:t>
            </w:r>
          </w:p>
        </w:tc>
      </w:tr>
      <w:tr w:rsidR="007020A8" w14:paraId="74C2BD27"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DE18C55"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0D1569F" w14:textId="77777777" w:rsidR="00B86EB8" w:rsidRDefault="00B86EB8">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9F4DF04"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21C5A58" w14:textId="77777777" w:rsidR="00B86EB8" w:rsidRDefault="00B86EB8">
            <w:pPr>
              <w:jc w:val="right"/>
            </w:pPr>
            <w:r>
              <w:rPr>
                <w:rFonts w:ascii="宋体" w:hAnsi="宋体" w:hint="eastAsia"/>
                <w:szCs w:val="24"/>
                <w:lang w:eastAsia="zh-Hans"/>
              </w:rPr>
              <w:t>-</w:t>
            </w:r>
          </w:p>
        </w:tc>
      </w:tr>
      <w:tr w:rsidR="007020A8" w14:paraId="32B8F600"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DDF838A"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2C6476F" w14:textId="77777777" w:rsidR="00B86EB8" w:rsidRDefault="00B86EB8">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BAF425D"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D91F036" w14:textId="77777777" w:rsidR="00B86EB8" w:rsidRDefault="00B86EB8">
            <w:pPr>
              <w:jc w:val="right"/>
            </w:pPr>
            <w:r>
              <w:rPr>
                <w:rFonts w:ascii="宋体" w:hAnsi="宋体" w:hint="eastAsia"/>
                <w:szCs w:val="24"/>
                <w:lang w:eastAsia="zh-Hans"/>
              </w:rPr>
              <w:t>-</w:t>
            </w:r>
          </w:p>
        </w:tc>
      </w:tr>
      <w:tr w:rsidR="007020A8" w14:paraId="206EAE7A"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CC2222E"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EA64A27" w14:textId="77777777" w:rsidR="00B86EB8" w:rsidRDefault="00B86EB8">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77955C"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2A9A012" w14:textId="77777777" w:rsidR="00B86EB8" w:rsidRDefault="00B86EB8">
            <w:pPr>
              <w:jc w:val="right"/>
            </w:pPr>
            <w:r>
              <w:rPr>
                <w:rFonts w:ascii="宋体" w:hAnsi="宋体" w:hint="eastAsia"/>
                <w:szCs w:val="24"/>
                <w:lang w:eastAsia="zh-Hans"/>
              </w:rPr>
              <w:t>-</w:t>
            </w:r>
          </w:p>
        </w:tc>
      </w:tr>
      <w:tr w:rsidR="007020A8" w14:paraId="60861842"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128534A"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31016FA" w14:textId="77777777" w:rsidR="00B86EB8" w:rsidRDefault="00B86EB8">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B4E272B"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0419F39" w14:textId="77777777" w:rsidR="00B86EB8" w:rsidRDefault="00B86EB8">
            <w:pPr>
              <w:jc w:val="right"/>
            </w:pPr>
            <w:r>
              <w:rPr>
                <w:rFonts w:ascii="宋体" w:hAnsi="宋体" w:hint="eastAsia"/>
                <w:szCs w:val="24"/>
                <w:lang w:eastAsia="zh-Hans"/>
              </w:rPr>
              <w:t>-</w:t>
            </w:r>
          </w:p>
        </w:tc>
      </w:tr>
      <w:tr w:rsidR="007020A8" w14:paraId="7A4410B2"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35D91EB" w14:textId="77777777" w:rsidR="00B86EB8" w:rsidRDefault="00B86EB8">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07B3941B" w14:textId="77777777" w:rsidR="00B86EB8" w:rsidRDefault="00B86EB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4577F9"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7184CB7" w14:textId="77777777" w:rsidR="00B86EB8" w:rsidRDefault="00B86EB8">
            <w:pPr>
              <w:jc w:val="right"/>
            </w:pPr>
            <w:r>
              <w:rPr>
                <w:rFonts w:ascii="宋体" w:hAnsi="宋体" w:hint="eastAsia"/>
                <w:szCs w:val="24"/>
                <w:lang w:eastAsia="zh-Hans"/>
              </w:rPr>
              <w:t>-</w:t>
            </w:r>
          </w:p>
        </w:tc>
      </w:tr>
      <w:tr w:rsidR="007020A8" w14:paraId="2DF67906"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041858F" w14:textId="77777777" w:rsidR="00B86EB8" w:rsidRDefault="00B86EB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CAD9366" w14:textId="77777777" w:rsidR="00B86EB8" w:rsidRDefault="00B86EB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9FC585D"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0D6DD59" w14:textId="77777777" w:rsidR="00B86EB8" w:rsidRDefault="00B86EB8">
            <w:pPr>
              <w:jc w:val="right"/>
            </w:pPr>
            <w:r>
              <w:rPr>
                <w:rFonts w:ascii="宋体" w:hAnsi="宋体" w:hint="eastAsia"/>
                <w:szCs w:val="24"/>
                <w:lang w:eastAsia="zh-Hans"/>
              </w:rPr>
              <w:t>-</w:t>
            </w:r>
          </w:p>
        </w:tc>
      </w:tr>
      <w:tr w:rsidR="007020A8" w14:paraId="62A1ECED"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38D9EEA" w14:textId="77777777" w:rsidR="00B86EB8" w:rsidRDefault="00B86EB8">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4B1658A4" w14:textId="77777777" w:rsidR="00B86EB8" w:rsidRDefault="00B86EB8">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353590E" w14:textId="77777777" w:rsidR="00B86EB8" w:rsidRDefault="00B86EB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F8C40E2" w14:textId="77777777" w:rsidR="00B86EB8" w:rsidRDefault="00B86EB8">
            <w:pPr>
              <w:jc w:val="right"/>
            </w:pPr>
            <w:r>
              <w:rPr>
                <w:rFonts w:ascii="宋体" w:hAnsi="宋体" w:hint="eastAsia"/>
                <w:szCs w:val="24"/>
                <w:lang w:eastAsia="zh-Hans"/>
              </w:rPr>
              <w:t>-</w:t>
            </w:r>
          </w:p>
        </w:tc>
      </w:tr>
      <w:tr w:rsidR="007020A8" w14:paraId="2005E3A8"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90B1D3B" w14:textId="77777777" w:rsidR="00B86EB8" w:rsidRDefault="00B86EB8">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3A6D582B" w14:textId="77777777" w:rsidR="00B86EB8" w:rsidRDefault="00B86EB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DC4DA7" w14:textId="77777777" w:rsidR="00B86EB8" w:rsidRDefault="00B86EB8">
            <w:pPr>
              <w:jc w:val="right"/>
            </w:pPr>
            <w:r>
              <w:rPr>
                <w:rFonts w:ascii="宋体" w:hAnsi="宋体" w:hint="eastAsia"/>
                <w:szCs w:val="24"/>
                <w:lang w:eastAsia="zh-Hans"/>
              </w:rPr>
              <w:t>307,766,675.99</w:t>
            </w:r>
          </w:p>
        </w:tc>
        <w:tc>
          <w:tcPr>
            <w:tcW w:w="2373" w:type="dxa"/>
            <w:tcBorders>
              <w:top w:val="single" w:sz="4" w:space="0" w:color="auto"/>
              <w:left w:val="nil"/>
              <w:bottom w:val="single" w:sz="4" w:space="0" w:color="auto"/>
              <w:right w:val="single" w:sz="4" w:space="0" w:color="auto"/>
            </w:tcBorders>
            <w:vAlign w:val="center"/>
            <w:hideMark/>
          </w:tcPr>
          <w:p w14:paraId="119BC5F4" w14:textId="77777777" w:rsidR="00B86EB8" w:rsidRDefault="00B86EB8">
            <w:pPr>
              <w:jc w:val="right"/>
            </w:pPr>
            <w:r>
              <w:rPr>
                <w:rFonts w:ascii="宋体" w:hAnsi="宋体" w:hint="eastAsia"/>
                <w:szCs w:val="24"/>
                <w:lang w:eastAsia="zh-Hans"/>
              </w:rPr>
              <w:t>6.74</w:t>
            </w:r>
          </w:p>
        </w:tc>
      </w:tr>
      <w:tr w:rsidR="007020A8" w14:paraId="212CBD5F"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FB587C" w14:textId="77777777" w:rsidR="00B86EB8" w:rsidRDefault="00B86EB8">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717E4637" w14:textId="77777777" w:rsidR="00B86EB8" w:rsidRDefault="00B86EB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4589C87" w14:textId="77777777" w:rsidR="00B86EB8" w:rsidRDefault="00B86EB8">
            <w:pPr>
              <w:jc w:val="right"/>
            </w:pPr>
            <w:r>
              <w:rPr>
                <w:rFonts w:ascii="宋体" w:hAnsi="宋体" w:hint="eastAsia"/>
                <w:szCs w:val="24"/>
                <w:lang w:eastAsia="zh-Hans"/>
              </w:rPr>
              <w:t>63,166,830.26</w:t>
            </w:r>
          </w:p>
        </w:tc>
        <w:tc>
          <w:tcPr>
            <w:tcW w:w="2373" w:type="dxa"/>
            <w:tcBorders>
              <w:top w:val="single" w:sz="4" w:space="0" w:color="auto"/>
              <w:left w:val="nil"/>
              <w:bottom w:val="single" w:sz="4" w:space="0" w:color="auto"/>
              <w:right w:val="single" w:sz="4" w:space="0" w:color="auto"/>
            </w:tcBorders>
            <w:vAlign w:val="center"/>
            <w:hideMark/>
          </w:tcPr>
          <w:p w14:paraId="267993ED" w14:textId="77777777" w:rsidR="00B86EB8" w:rsidRDefault="00B86EB8">
            <w:pPr>
              <w:jc w:val="right"/>
            </w:pPr>
            <w:r>
              <w:rPr>
                <w:rFonts w:ascii="宋体" w:hAnsi="宋体" w:hint="eastAsia"/>
                <w:szCs w:val="24"/>
                <w:lang w:eastAsia="zh-Hans"/>
              </w:rPr>
              <w:t>1.38</w:t>
            </w:r>
          </w:p>
        </w:tc>
      </w:tr>
      <w:tr w:rsidR="007020A8" w14:paraId="2F3621A5" w14:textId="77777777">
        <w:trPr>
          <w:divId w:val="21319757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C69A9EC" w14:textId="77777777" w:rsidR="00B86EB8" w:rsidRDefault="00B86EB8">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0CA8965C" w14:textId="77777777" w:rsidR="00B86EB8" w:rsidRDefault="00B86EB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A9CEFCF" w14:textId="77777777" w:rsidR="00B86EB8" w:rsidRDefault="00B86EB8">
            <w:pPr>
              <w:jc w:val="right"/>
            </w:pPr>
            <w:r>
              <w:rPr>
                <w:rFonts w:ascii="宋体" w:hAnsi="宋体" w:hint="eastAsia"/>
                <w:szCs w:val="24"/>
                <w:lang w:eastAsia="zh-Hans"/>
              </w:rPr>
              <w:t>4,567,854,346.46</w:t>
            </w:r>
          </w:p>
        </w:tc>
        <w:tc>
          <w:tcPr>
            <w:tcW w:w="2373" w:type="dxa"/>
            <w:tcBorders>
              <w:top w:val="single" w:sz="4" w:space="0" w:color="auto"/>
              <w:left w:val="nil"/>
              <w:bottom w:val="single" w:sz="4" w:space="0" w:color="auto"/>
              <w:right w:val="single" w:sz="4" w:space="0" w:color="auto"/>
            </w:tcBorders>
            <w:vAlign w:val="center"/>
            <w:hideMark/>
          </w:tcPr>
          <w:p w14:paraId="31A8AE5E" w14:textId="77777777" w:rsidR="00B86EB8" w:rsidRDefault="00B86EB8">
            <w:pPr>
              <w:jc w:val="right"/>
            </w:pPr>
            <w:r>
              <w:rPr>
                <w:rFonts w:ascii="宋体" w:hAnsi="宋体" w:hint="eastAsia"/>
                <w:szCs w:val="24"/>
                <w:lang w:eastAsia="zh-Hans"/>
              </w:rPr>
              <w:t>100.00</w:t>
            </w:r>
          </w:p>
        </w:tc>
      </w:tr>
    </w:tbl>
    <w:p w14:paraId="4AB57415" w14:textId="77777777" w:rsidR="00B86EB8" w:rsidRDefault="00B86EB8">
      <w:pPr>
        <w:pStyle w:val="XBRLTitle2"/>
        <w:spacing w:before="156" w:line="360" w:lineRule="auto"/>
        <w:ind w:left="454"/>
        <w:rPr>
          <w:rFonts w:hint="eastAsia"/>
        </w:rPr>
      </w:pPr>
      <w:bookmarkStart w:id="159" w:name="_Toc459213778"/>
      <w:bookmarkStart w:id="160" w:name="_Toc456107132"/>
      <w:bookmarkStart w:id="161" w:name="_Toc438654087"/>
      <w:bookmarkStart w:id="162" w:name="_Toc448480299"/>
      <w:bookmarkStart w:id="163" w:name="_Toc480465433"/>
      <w:bookmarkStart w:id="164" w:name="_Toc512611295"/>
      <w:bookmarkStart w:id="165" w:name="_Toc512612091"/>
      <w:bookmarkStart w:id="166" w:name="_Toc512612267"/>
      <w:bookmarkStart w:id="167" w:name="_Toc513658023"/>
      <w:bookmarkStart w:id="168" w:name="_Toc514178685"/>
      <w:bookmarkEnd w:id="148"/>
      <w:proofErr w:type="spellStart"/>
      <w:r>
        <w:rPr>
          <w:rFonts w:hint="eastAsia"/>
        </w:rPr>
        <w:t>报告期末在各个国家（地区）证券市场的股票及存托凭证投资分布</w:t>
      </w:r>
      <w:bookmarkEnd w:id="159"/>
      <w:bookmarkEnd w:id="160"/>
      <w:bookmarkEnd w:id="161"/>
      <w:bookmarkEnd w:id="162"/>
      <w:bookmarkEnd w:id="163"/>
      <w:bookmarkEnd w:id="164"/>
      <w:bookmarkEnd w:id="165"/>
      <w:bookmarkEnd w:id="166"/>
      <w:bookmarkEnd w:id="167"/>
      <w:bookmarkEnd w:id="168"/>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7020A8" w14:paraId="7E2DC3BA" w14:textId="77777777">
        <w:trPr>
          <w:divId w:val="549344380"/>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E332BDC" w14:textId="77777777" w:rsidR="00B86EB8" w:rsidRDefault="00B86EB8">
            <w:pPr>
              <w:jc w:val="center"/>
            </w:pPr>
            <w:bookmarkStart w:id="169" w:name="m08QD_02"/>
            <w:bookmarkStart w:id="170"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C2675C7" w14:textId="77777777" w:rsidR="00B86EB8" w:rsidRDefault="00B86EB8">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A8151D8" w14:textId="77777777" w:rsidR="00B86EB8" w:rsidRDefault="00B86EB8">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7020A8" w14:paraId="3D909D02" w14:textId="77777777">
        <w:trPr>
          <w:divId w:val="54934438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BAA4DE" w14:textId="77777777" w:rsidR="00B86EB8" w:rsidRDefault="00B86EB8">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539A82" w14:textId="77777777" w:rsidR="00B86EB8" w:rsidRDefault="00B86EB8">
            <w:pPr>
              <w:jc w:val="right"/>
            </w:pPr>
            <w:r>
              <w:rPr>
                <w:rFonts w:ascii="宋体" w:hAnsi="宋体" w:hint="eastAsia"/>
                <w:szCs w:val="21"/>
                <w:lang w:eastAsia="zh-Hans"/>
              </w:rPr>
              <w:t>4,196,920,840.21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5B6078" w14:textId="77777777" w:rsidR="00B86EB8" w:rsidRDefault="00B86EB8">
            <w:pPr>
              <w:jc w:val="right"/>
            </w:pPr>
            <w:r>
              <w:rPr>
                <w:rFonts w:ascii="宋体" w:hAnsi="宋体" w:hint="eastAsia"/>
                <w:szCs w:val="21"/>
                <w:lang w:eastAsia="zh-Hans"/>
              </w:rPr>
              <w:t>92.87</w:t>
            </w:r>
          </w:p>
        </w:tc>
      </w:tr>
      <w:tr w:rsidR="007020A8" w14:paraId="7908B4E5" w14:textId="77777777">
        <w:trPr>
          <w:divId w:val="54934438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E41F27" w14:textId="77777777" w:rsidR="00B86EB8" w:rsidRDefault="00B86EB8">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8C1BAC" w14:textId="77777777" w:rsidR="00B86EB8" w:rsidRDefault="00B86EB8">
            <w:pPr>
              <w:jc w:val="right"/>
            </w:pPr>
            <w:r>
              <w:rPr>
                <w:rFonts w:ascii="宋体" w:hAnsi="宋体" w:hint="eastAsia"/>
                <w:szCs w:val="21"/>
                <w:lang w:eastAsia="zh-Hans"/>
              </w:rPr>
              <w:t>4,196,920,840.21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30E5CBE" w14:textId="77777777" w:rsidR="00B86EB8" w:rsidRDefault="00B86EB8">
            <w:pPr>
              <w:jc w:val="right"/>
            </w:pPr>
            <w:r>
              <w:rPr>
                <w:rFonts w:ascii="宋体" w:hAnsi="宋体" w:hint="eastAsia"/>
                <w:szCs w:val="21"/>
                <w:lang w:eastAsia="zh-Hans"/>
              </w:rPr>
              <w:t>92.87</w:t>
            </w:r>
            <w:bookmarkEnd w:id="169"/>
          </w:p>
        </w:tc>
      </w:tr>
    </w:tbl>
    <w:p w14:paraId="5E10A728" w14:textId="77777777" w:rsidR="00B86EB8" w:rsidRDefault="00B86EB8">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3FE98E03" w14:textId="77777777" w:rsidR="00B86EB8" w:rsidRDefault="00B86EB8">
      <w:pPr>
        <w:pStyle w:val="XBRLTitle2"/>
        <w:spacing w:before="156" w:line="360" w:lineRule="auto"/>
        <w:ind w:left="454"/>
        <w:rPr>
          <w:rFonts w:hint="eastAsia"/>
        </w:rPr>
      </w:pPr>
      <w:bookmarkStart w:id="171" w:name="_Toc459213779"/>
      <w:bookmarkStart w:id="172" w:name="_Toc456107133"/>
      <w:bookmarkStart w:id="173" w:name="_Toc438654088"/>
      <w:bookmarkStart w:id="174" w:name="_Toc448480300"/>
      <w:bookmarkStart w:id="175" w:name="_Toc480465434"/>
      <w:bookmarkStart w:id="176" w:name="_Toc512611296"/>
      <w:bookmarkStart w:id="177" w:name="_Toc512612092"/>
      <w:bookmarkStart w:id="178" w:name="_Toc512612268"/>
      <w:bookmarkStart w:id="179" w:name="_Toc513658024"/>
      <w:bookmarkStart w:id="180" w:name="_Toc514178686"/>
      <w:bookmarkStart w:id="181" w:name="m503"/>
      <w:bookmarkEnd w:id="170"/>
      <w:proofErr w:type="spellStart"/>
      <w:r>
        <w:rPr>
          <w:rFonts w:hint="eastAsia"/>
        </w:rPr>
        <w:t>报告期末按行业分类的股票及存托凭证投资组合</w:t>
      </w:r>
      <w:bookmarkStart w:id="182" w:name="_Toc513637368"/>
      <w:bookmarkEnd w:id="171"/>
      <w:bookmarkEnd w:id="172"/>
      <w:bookmarkEnd w:id="173"/>
      <w:bookmarkEnd w:id="174"/>
      <w:bookmarkEnd w:id="175"/>
      <w:bookmarkEnd w:id="176"/>
      <w:bookmarkEnd w:id="177"/>
      <w:bookmarkEnd w:id="178"/>
      <w:bookmarkEnd w:id="179"/>
      <w:bookmarkEnd w:id="180"/>
      <w:bookmarkEnd w:id="182"/>
      <w:proofErr w:type="spellEnd"/>
      <w:r>
        <w:rPr>
          <w:rFonts w:hint="eastAsia"/>
          <w:lang w:eastAsia="zh-CN"/>
        </w:rPr>
        <w:t xml:space="preserve"> </w:t>
      </w:r>
    </w:p>
    <w:p w14:paraId="7DF9D2D1" w14:textId="77777777" w:rsidR="00B86EB8" w:rsidRDefault="00B86EB8">
      <w:pPr>
        <w:pStyle w:val="XBRLTitle3"/>
        <w:spacing w:before="156"/>
        <w:ind w:left="0"/>
        <w:rPr>
          <w:rFonts w:hint="eastAsia"/>
        </w:rPr>
      </w:pPr>
      <w:bookmarkStart w:id="183" w:name="_Toc513658025"/>
      <w:bookmarkStart w:id="184" w:name="_Toc514178687"/>
      <w:proofErr w:type="spellStart"/>
      <w:r>
        <w:rPr>
          <w:rFonts w:hint="eastAsia"/>
          <w:kern w:val="0"/>
        </w:rPr>
        <w:t>报告期末指数投资按行业分类的股票及存托凭证投资组合</w:t>
      </w:r>
      <w:bookmarkEnd w:id="183"/>
      <w:bookmarkEnd w:id="184"/>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7020A8" w14:paraId="0598BE6F" w14:textId="77777777" w:rsidTr="00E00443">
        <w:trPr>
          <w:divId w:val="989016571"/>
        </w:trPr>
        <w:tc>
          <w:tcPr>
            <w:tcW w:w="3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1991EF" w14:textId="77777777" w:rsidR="00B86EB8" w:rsidRDefault="00B86EB8">
            <w:pPr>
              <w:jc w:val="center"/>
            </w:pPr>
            <w:bookmarkStart w:id="185" w:name="m08QD_03_01_tab"/>
            <w:bookmarkStart w:id="186" w:name="m08QD_03_tab"/>
            <w:bookmarkStart w:id="187" w:name="_Toc247616244"/>
            <w:bookmarkStart w:id="188" w:name="_Toc433036708"/>
            <w:bookmarkStart w:id="189" w:name="_Toc247613259"/>
            <w:bookmarkStart w:id="190" w:name="m08QD_04_01"/>
            <w:r>
              <w:rPr>
                <w:rFonts w:ascii="宋体" w:hAnsi="宋体" w:hint="eastAsia"/>
                <w:color w:val="000000"/>
              </w:rPr>
              <w:t>行业类别</w:t>
            </w:r>
            <w:r>
              <w:rPr>
                <w:rFonts w:ascii="宋体" w:hAnsi="宋体" w:hint="eastAsia"/>
                <w:color w:val="000000"/>
                <w:lang w:eastAsia="zh-Hans"/>
              </w:rPr>
              <w:t xml:space="preserve"> </w:t>
            </w:r>
          </w:p>
        </w:tc>
        <w:tc>
          <w:tcPr>
            <w:tcW w:w="34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4008154" w14:textId="77777777" w:rsidR="00B86EB8" w:rsidRDefault="00B86EB8">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6E1E99" w14:textId="77777777" w:rsidR="00B86EB8" w:rsidRDefault="00B86EB8">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bl>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E00443" w14:paraId="0A77F10A"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E5CB3" w14:textId="77777777" w:rsidR="00E00443" w:rsidRDefault="00E00443" w:rsidP="00E00443">
            <w:pPr>
              <w:jc w:val="left"/>
            </w:pPr>
            <w:r>
              <w:rPr>
                <w:rFonts w:ascii="宋体" w:hAnsi="宋体" w:hint="eastAsia"/>
                <w:color w:val="000000"/>
                <w:lang w:eastAsia="zh-Hans"/>
              </w:rPr>
              <w:t>基础材料</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71798" w14:textId="5864509F" w:rsidR="00E00443" w:rsidRDefault="00E00443" w:rsidP="00E00443">
            <w:pPr>
              <w:jc w:val="right"/>
            </w:pPr>
            <w:r w:rsidRPr="00136B89">
              <w:t>75,685,744.54</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0F086" w14:textId="0FBB05D4" w:rsidR="00E00443" w:rsidRDefault="00E00443" w:rsidP="00E00443">
            <w:pPr>
              <w:jc w:val="right"/>
            </w:pPr>
            <w:r w:rsidRPr="00136B89">
              <w:t>1.67</w:t>
            </w:r>
          </w:p>
        </w:tc>
      </w:tr>
      <w:tr w:rsidR="00E00443" w14:paraId="05152E8D"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6D47E" w14:textId="77777777" w:rsidR="00E00443" w:rsidRDefault="00E00443" w:rsidP="00E00443">
            <w:pPr>
              <w:jc w:val="left"/>
            </w:pPr>
            <w:r>
              <w:rPr>
                <w:rFonts w:ascii="宋体" w:hAnsi="宋体" w:hint="eastAsia"/>
                <w:color w:val="000000"/>
                <w:lang w:eastAsia="zh-Hans"/>
              </w:rPr>
              <w:t>消费者非必需品</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2B7AA" w14:textId="39CD8D66" w:rsidR="00E00443" w:rsidRDefault="00E00443" w:rsidP="00E00443">
            <w:pPr>
              <w:jc w:val="right"/>
            </w:pPr>
            <w:r w:rsidRPr="00136B89">
              <w:t>444,768,886.25</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CAD67" w14:textId="746F5A36" w:rsidR="00E00443" w:rsidRDefault="00E00443" w:rsidP="00E00443">
            <w:pPr>
              <w:jc w:val="right"/>
            </w:pPr>
            <w:r w:rsidRPr="00136B89">
              <w:t>9.84</w:t>
            </w:r>
          </w:p>
        </w:tc>
      </w:tr>
      <w:tr w:rsidR="00E00443" w14:paraId="22F41D60"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77A84" w14:textId="77777777" w:rsidR="00E00443" w:rsidRDefault="00E00443" w:rsidP="00E00443">
            <w:pPr>
              <w:jc w:val="left"/>
            </w:pPr>
            <w:r>
              <w:rPr>
                <w:rFonts w:ascii="宋体" w:hAnsi="宋体" w:hint="eastAsia"/>
                <w:color w:val="000000"/>
                <w:lang w:eastAsia="zh-Hans"/>
              </w:rPr>
              <w:t>消费者常用品</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3E2A2" w14:textId="57452FE2" w:rsidR="00E00443" w:rsidRDefault="00E00443" w:rsidP="00E00443">
            <w:pPr>
              <w:jc w:val="right"/>
            </w:pPr>
            <w:r w:rsidRPr="00136B89">
              <w:t>200,703,919.79</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A4208" w14:textId="16F8F2F7" w:rsidR="00E00443" w:rsidRDefault="00E00443" w:rsidP="00E00443">
            <w:pPr>
              <w:jc w:val="right"/>
            </w:pPr>
            <w:r w:rsidRPr="00136B89">
              <w:t>4.44</w:t>
            </w:r>
          </w:p>
        </w:tc>
      </w:tr>
      <w:tr w:rsidR="00E00443" w14:paraId="4962BB11"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7B801" w14:textId="77777777" w:rsidR="00E00443" w:rsidRDefault="00E00443" w:rsidP="00E00443">
            <w:pPr>
              <w:jc w:val="left"/>
            </w:pPr>
            <w:r>
              <w:rPr>
                <w:rFonts w:ascii="宋体" w:hAnsi="宋体" w:hint="eastAsia"/>
                <w:color w:val="000000"/>
                <w:lang w:eastAsia="zh-Hans"/>
              </w:rPr>
              <w:t>能源</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AC6D2" w14:textId="3E93C9C1" w:rsidR="00E00443" w:rsidRDefault="00E00443" w:rsidP="00E00443">
            <w:pPr>
              <w:jc w:val="right"/>
            </w:pPr>
            <w:r w:rsidRPr="00136B89">
              <w:t>117,554,869.51</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A3292" w14:textId="6F36D37F" w:rsidR="00E00443" w:rsidRDefault="00E00443" w:rsidP="00E00443">
            <w:pPr>
              <w:jc w:val="right"/>
            </w:pPr>
            <w:r w:rsidRPr="00136B89">
              <w:t>2.6</w:t>
            </w:r>
            <w:r w:rsidR="005D2BB8">
              <w:rPr>
                <w:rFonts w:hint="eastAsia"/>
              </w:rPr>
              <w:t>0</w:t>
            </w:r>
          </w:p>
        </w:tc>
      </w:tr>
      <w:tr w:rsidR="00E00443" w14:paraId="0635215D"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F6592" w14:textId="77777777" w:rsidR="00E00443" w:rsidRDefault="00E00443" w:rsidP="00E00443">
            <w:pPr>
              <w:jc w:val="left"/>
            </w:pPr>
            <w:r>
              <w:rPr>
                <w:rFonts w:ascii="宋体" w:hAnsi="宋体" w:hint="eastAsia"/>
                <w:color w:val="000000"/>
                <w:lang w:eastAsia="zh-Hans"/>
              </w:rPr>
              <w:t>金融</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88F8B" w14:textId="4687422E" w:rsidR="00E00443" w:rsidRDefault="00E00443" w:rsidP="00E00443">
            <w:pPr>
              <w:jc w:val="right"/>
            </w:pPr>
            <w:r w:rsidRPr="00136B89">
              <w:t>531,875,327.69</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7AAEE" w14:textId="5C266B99" w:rsidR="00E00443" w:rsidRDefault="00E00443" w:rsidP="00E00443">
            <w:pPr>
              <w:jc w:val="right"/>
            </w:pPr>
            <w:r w:rsidRPr="00136B89">
              <w:t>11.77</w:t>
            </w:r>
          </w:p>
        </w:tc>
      </w:tr>
      <w:tr w:rsidR="00E00443" w14:paraId="057CEDA6"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DA967" w14:textId="77777777" w:rsidR="00E00443" w:rsidRDefault="00E00443" w:rsidP="00E00443">
            <w:pPr>
              <w:jc w:val="left"/>
            </w:pPr>
            <w:r>
              <w:rPr>
                <w:rFonts w:ascii="宋体" w:hAnsi="宋体" w:hint="eastAsia"/>
                <w:color w:val="000000"/>
                <w:lang w:eastAsia="zh-Hans"/>
              </w:rPr>
              <w:t>医疗保健</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8AC3C" w14:textId="52C3CF6C" w:rsidR="00E00443" w:rsidRDefault="00E00443" w:rsidP="00E00443">
            <w:pPr>
              <w:jc w:val="right"/>
            </w:pPr>
            <w:r w:rsidRPr="00136B89">
              <w:t>402,516,730.62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4F24" w14:textId="42E99AE6" w:rsidR="00E00443" w:rsidRDefault="00E00443" w:rsidP="00E00443">
            <w:pPr>
              <w:jc w:val="right"/>
            </w:pPr>
            <w:r w:rsidRPr="00136B89">
              <w:t>8.91</w:t>
            </w:r>
          </w:p>
        </w:tc>
      </w:tr>
      <w:tr w:rsidR="00E00443" w14:paraId="21BB6899"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5BD6B" w14:textId="77777777" w:rsidR="00E00443" w:rsidRDefault="00E00443" w:rsidP="00E00443">
            <w:pPr>
              <w:jc w:val="left"/>
            </w:pPr>
            <w:r>
              <w:rPr>
                <w:rFonts w:ascii="宋体" w:hAnsi="宋体" w:hint="eastAsia"/>
                <w:color w:val="000000"/>
                <w:lang w:eastAsia="zh-Hans"/>
              </w:rPr>
              <w:t>工业</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0699E" w14:textId="676E4B5C" w:rsidR="00E00443" w:rsidRDefault="00E00443" w:rsidP="00E00443">
            <w:pPr>
              <w:jc w:val="right"/>
            </w:pPr>
            <w:r w:rsidRPr="00136B89">
              <w:t>308,051,468.66</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0B1A2" w14:textId="059C7494" w:rsidR="00E00443" w:rsidRDefault="00E00443" w:rsidP="00E00443">
            <w:pPr>
              <w:jc w:val="right"/>
            </w:pPr>
            <w:r w:rsidRPr="00136B89">
              <w:t>6.82</w:t>
            </w:r>
          </w:p>
        </w:tc>
      </w:tr>
      <w:tr w:rsidR="00E00443" w14:paraId="7761DE1B"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879C5" w14:textId="77777777" w:rsidR="00E00443" w:rsidRDefault="00E00443" w:rsidP="00E00443">
            <w:pPr>
              <w:jc w:val="left"/>
            </w:pPr>
            <w:r>
              <w:rPr>
                <w:rFonts w:ascii="宋体" w:hAnsi="宋体" w:hint="eastAsia"/>
                <w:color w:val="000000"/>
                <w:lang w:eastAsia="zh-Hans"/>
              </w:rPr>
              <w:t>信息技术</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43948" w14:textId="17868583" w:rsidR="00E00443" w:rsidRDefault="00E00443" w:rsidP="00E00443">
            <w:pPr>
              <w:jc w:val="right"/>
            </w:pPr>
            <w:r w:rsidRPr="00136B89">
              <w:t>1,489,152,505.13</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65A45" w14:textId="4749DFB1" w:rsidR="00E00443" w:rsidRDefault="00E00443" w:rsidP="00E00443">
            <w:pPr>
              <w:jc w:val="right"/>
            </w:pPr>
            <w:r w:rsidRPr="00136B89">
              <w:t>32.95</w:t>
            </w:r>
          </w:p>
        </w:tc>
      </w:tr>
      <w:tr w:rsidR="00E00443" w14:paraId="3EE0EDC6"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92B83C" w14:textId="77777777" w:rsidR="00E00443" w:rsidRDefault="00E00443" w:rsidP="00E00443">
            <w:pPr>
              <w:jc w:val="left"/>
            </w:pPr>
            <w:r>
              <w:rPr>
                <w:rFonts w:ascii="宋体" w:hAnsi="宋体" w:hint="eastAsia"/>
                <w:color w:val="000000"/>
                <w:lang w:eastAsia="zh-Hans"/>
              </w:rPr>
              <w:t>电信服务</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2842E" w14:textId="33A234FE" w:rsidR="00E00443" w:rsidRDefault="00E00443" w:rsidP="00E00443">
            <w:pPr>
              <w:jc w:val="right"/>
            </w:pPr>
            <w:r w:rsidRPr="00136B89">
              <w:t>458,310,289.64</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59CE6" w14:textId="087290A7" w:rsidR="00E00443" w:rsidRDefault="00E00443" w:rsidP="00E00443">
            <w:pPr>
              <w:jc w:val="right"/>
            </w:pPr>
            <w:r w:rsidRPr="00136B89">
              <w:t>10.1</w:t>
            </w:r>
            <w:r w:rsidR="005D2BB8">
              <w:rPr>
                <w:rFonts w:hint="eastAsia"/>
              </w:rPr>
              <w:t>4</w:t>
            </w:r>
          </w:p>
        </w:tc>
      </w:tr>
      <w:tr w:rsidR="00E00443" w14:paraId="2EBD90D2"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E885D" w14:textId="77777777" w:rsidR="00E00443" w:rsidRDefault="00E00443" w:rsidP="00E00443">
            <w:pPr>
              <w:jc w:val="left"/>
            </w:pPr>
            <w:r>
              <w:rPr>
                <w:rFonts w:ascii="宋体" w:hAnsi="宋体" w:hint="eastAsia"/>
                <w:color w:val="000000"/>
                <w:lang w:eastAsia="zh-Hans"/>
              </w:rPr>
              <w:t>公用事业</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243E9" w14:textId="6E88EAB7" w:rsidR="00E00443" w:rsidRDefault="00E00443" w:rsidP="00E00443">
            <w:pPr>
              <w:jc w:val="right"/>
            </w:pPr>
            <w:r w:rsidRPr="00136B89">
              <w:t>92,225,087.76</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3F93E" w14:textId="6D6ABDF5" w:rsidR="00E00443" w:rsidRDefault="00E00443" w:rsidP="00E00443">
            <w:pPr>
              <w:jc w:val="right"/>
            </w:pPr>
            <w:r w:rsidRPr="00136B89">
              <w:t>2.04</w:t>
            </w:r>
          </w:p>
        </w:tc>
      </w:tr>
      <w:tr w:rsidR="00E00443" w14:paraId="3053068F"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9A533" w14:textId="77777777" w:rsidR="00E00443" w:rsidRDefault="00E00443" w:rsidP="00E00443">
            <w:pPr>
              <w:jc w:val="left"/>
            </w:pPr>
            <w:r>
              <w:rPr>
                <w:rFonts w:ascii="宋体" w:hAnsi="宋体" w:hint="eastAsia"/>
                <w:color w:val="000000"/>
                <w:lang w:eastAsia="zh-Hans"/>
              </w:rPr>
              <w:t>房地产</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3785C" w14:textId="1310AC2F" w:rsidR="00E00443" w:rsidRDefault="00E00443" w:rsidP="00E00443">
            <w:pPr>
              <w:jc w:val="right"/>
            </w:pPr>
            <w:r w:rsidRPr="00136B89">
              <w:t>76,076,010.62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D2B4E" w14:textId="7C0D93F3" w:rsidR="00E00443" w:rsidRDefault="00E00443" w:rsidP="00E00443">
            <w:pPr>
              <w:jc w:val="right"/>
            </w:pPr>
            <w:r w:rsidRPr="00136B89">
              <w:t>1.68</w:t>
            </w:r>
          </w:p>
        </w:tc>
      </w:tr>
      <w:tr w:rsidR="00E00443" w14:paraId="07A83AD6" w14:textId="77777777" w:rsidTr="00E00443">
        <w:trPr>
          <w:divId w:val="116529468"/>
        </w:trPr>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F70C4" w14:textId="77777777" w:rsidR="00E00443" w:rsidRDefault="00E00443" w:rsidP="00E00443">
            <w:pPr>
              <w:jc w:val="center"/>
            </w:pPr>
            <w:r>
              <w:rPr>
                <w:rFonts w:ascii="宋体" w:hAnsi="宋体" w:hint="eastAsia"/>
              </w:rPr>
              <w:t>合计</w:t>
            </w:r>
            <w:r>
              <w:rPr>
                <w:rFonts w:ascii="宋体" w:hAnsi="宋体" w:hint="eastAsia"/>
                <w:color w:val="000000"/>
                <w:lang w:eastAsia="zh-Hans"/>
              </w:rPr>
              <w:t xml:space="preserve"> </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600B8" w14:textId="6A829E74" w:rsidR="00E00443" w:rsidRDefault="00E00443" w:rsidP="00E00443">
            <w:pPr>
              <w:jc w:val="right"/>
            </w:pPr>
            <w:r w:rsidRPr="00136B89">
              <w:t>4,196,920,840.21</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673E0" w14:textId="6679A572" w:rsidR="00E00443" w:rsidRDefault="00E00443" w:rsidP="00E00443">
            <w:pPr>
              <w:jc w:val="right"/>
            </w:pPr>
            <w:r w:rsidRPr="00136B89">
              <w:t>92.87</w:t>
            </w:r>
          </w:p>
        </w:tc>
      </w:tr>
    </w:tbl>
    <w:bookmarkEnd w:id="185"/>
    <w:bookmarkEnd w:id="186"/>
    <w:p w14:paraId="5BE5CAC7" w14:textId="77777777" w:rsidR="00B86EB8" w:rsidRDefault="00B86EB8">
      <w:pPr>
        <w:widowControl/>
        <w:spacing w:line="315" w:lineRule="atLeast"/>
        <w:divId w:val="116529468"/>
      </w:pPr>
      <w:r>
        <w:rPr>
          <w:rFonts w:ascii="宋体" w:hAnsi="宋体" w:cs="宋体" w:hint="eastAsia"/>
          <w:color w:val="000000"/>
          <w:kern w:val="0"/>
          <w:szCs w:val="21"/>
        </w:rPr>
        <w:t>注：以上分类采用全球行业分类标准(GICS)。</w:t>
      </w:r>
    </w:p>
    <w:p w14:paraId="7AD0E483" w14:textId="77777777" w:rsidR="00E00443" w:rsidRDefault="00B86EB8" w:rsidP="00E00443">
      <w:pPr>
        <w:pStyle w:val="XBRLTitle3"/>
        <w:spacing w:before="156"/>
        <w:ind w:left="0"/>
        <w:rPr>
          <w:rFonts w:hint="eastAsia"/>
        </w:rPr>
      </w:pPr>
      <w:bookmarkStart w:id="191" w:name="_Toc513658026"/>
      <w:bookmarkStart w:id="192" w:name="_Toc514178688"/>
      <w:proofErr w:type="spellStart"/>
      <w:r>
        <w:rPr>
          <w:rFonts w:hint="eastAsia"/>
          <w:kern w:val="0"/>
        </w:rPr>
        <w:t>报告期末积极投资按行业分类的股票及存托凭证投资组合</w:t>
      </w:r>
      <w:bookmarkEnd w:id="191"/>
      <w:bookmarkEnd w:id="192"/>
      <w:proofErr w:type="spellEnd"/>
      <w:r>
        <w:rPr>
          <w:rFonts w:hint="eastAsia"/>
        </w:rPr>
        <w:t xml:space="preserve"> </w:t>
      </w:r>
    </w:p>
    <w:p w14:paraId="4688F285" w14:textId="05BE9117" w:rsidR="00E00443" w:rsidRPr="00E00443" w:rsidRDefault="00E00443" w:rsidP="00E00443">
      <w:pPr>
        <w:pStyle w:val="XBRLTitle3"/>
        <w:numPr>
          <w:ilvl w:val="0"/>
          <w:numId w:val="0"/>
        </w:numPr>
        <w:spacing w:before="156"/>
        <w:rPr>
          <w:rFonts w:hint="eastAsia"/>
        </w:rPr>
      </w:pPr>
      <w:r w:rsidRPr="00E00443">
        <w:rPr>
          <w:rFonts w:hint="eastAsia"/>
          <w:b w:val="0"/>
          <w:bCs w:val="0"/>
          <w:color w:val="000000"/>
          <w:sz w:val="21"/>
          <w:szCs w:val="21"/>
          <w:lang w:val="en-US" w:eastAsia="zh-CN"/>
        </w:rPr>
        <w:t>本基金本报告期末未持有积极投资股票。</w:t>
      </w:r>
    </w:p>
    <w:p w14:paraId="2DA1BCC3" w14:textId="77777777" w:rsidR="00B86EB8" w:rsidRDefault="00B86EB8">
      <w:pPr>
        <w:pStyle w:val="XBRLTitle2"/>
        <w:spacing w:before="156" w:line="360" w:lineRule="auto"/>
        <w:ind w:left="454"/>
        <w:rPr>
          <w:rFonts w:hint="eastAsia"/>
        </w:rPr>
      </w:pPr>
      <w:bookmarkStart w:id="193" w:name="_Toc459213780"/>
      <w:bookmarkStart w:id="194" w:name="_Toc456107134"/>
      <w:bookmarkStart w:id="195" w:name="_Toc438654089"/>
      <w:bookmarkStart w:id="196" w:name="_Toc448480301"/>
      <w:bookmarkStart w:id="197" w:name="_Toc480465435"/>
      <w:bookmarkStart w:id="198" w:name="_Toc512611297"/>
      <w:bookmarkStart w:id="199" w:name="_Toc512612093"/>
      <w:bookmarkStart w:id="200" w:name="_Toc512612269"/>
      <w:bookmarkStart w:id="201" w:name="_Toc513658027"/>
      <w:bookmarkStart w:id="202" w:name="_Toc514178689"/>
      <w:bookmarkEnd w:id="187"/>
      <w:bookmarkEnd w:id="188"/>
      <w:bookmarkEnd w:id="189"/>
      <w:bookmarkEnd w:id="181"/>
      <w:proofErr w:type="spellStart"/>
      <w:r>
        <w:rPr>
          <w:rFonts w:hint="eastAsia"/>
        </w:rPr>
        <w:t>期末按公允价值占基金资产净值比例大小排序的权益投资明细</w:t>
      </w:r>
      <w:bookmarkStart w:id="203" w:name="_Toc513637371"/>
      <w:bookmarkEnd w:id="193"/>
      <w:bookmarkEnd w:id="194"/>
      <w:bookmarkEnd w:id="195"/>
      <w:bookmarkEnd w:id="196"/>
      <w:bookmarkEnd w:id="197"/>
      <w:bookmarkEnd w:id="198"/>
      <w:bookmarkEnd w:id="199"/>
      <w:bookmarkEnd w:id="200"/>
      <w:bookmarkEnd w:id="201"/>
      <w:bookmarkEnd w:id="202"/>
      <w:bookmarkEnd w:id="203"/>
      <w:proofErr w:type="spellEnd"/>
      <w:r>
        <w:rPr>
          <w:rFonts w:hint="eastAsia"/>
        </w:rPr>
        <w:t xml:space="preserve"> </w:t>
      </w:r>
    </w:p>
    <w:p w14:paraId="30D3479A" w14:textId="77777777" w:rsidR="00B86EB8" w:rsidRDefault="00B86EB8">
      <w:pPr>
        <w:pStyle w:val="XBRLTitle3"/>
        <w:spacing w:before="156"/>
        <w:ind w:left="0"/>
        <w:rPr>
          <w:rFonts w:hint="eastAsia"/>
        </w:rPr>
      </w:pPr>
      <w:bookmarkStart w:id="204" w:name="_Toc513658028"/>
      <w:bookmarkStart w:id="205" w:name="_Toc514178690"/>
      <w:proofErr w:type="spellStart"/>
      <w:r>
        <w:rPr>
          <w:rFonts w:hint="eastAsia"/>
        </w:rPr>
        <w:t>报告期末指数投资按公允价值占基金资产净值比例大小排序的前十名股票及存托凭证投资明细</w:t>
      </w:r>
      <w:bookmarkEnd w:id="204"/>
      <w:bookmarkEnd w:id="205"/>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7020A8" w14:paraId="75C0142E"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6EB2B7" w14:textId="77777777" w:rsidR="00B86EB8" w:rsidRDefault="00B86EB8">
            <w:pPr>
              <w:jc w:val="center"/>
            </w:pPr>
            <w:bookmarkStart w:id="206" w:name="m08QD_04_01_tab"/>
            <w:bookmarkStart w:id="207" w:name="_Toc433036709"/>
            <w:bookmarkStart w:id="208" w:name="_Toc247616246"/>
            <w:bookmarkStart w:id="209" w:name="_Toc458182097"/>
            <w:bookmarkStart w:id="210" w:name="_Toc443558285"/>
            <w:r>
              <w:rPr>
                <w:rFonts w:ascii="宋体" w:hAnsi="宋体" w:hint="eastAsia"/>
              </w:rPr>
              <w:t>序号</w:t>
            </w:r>
            <w:r>
              <w:rPr>
                <w:rFonts w:ascii="宋体" w:hAnsi="宋体" w:hint="eastAsia"/>
                <w:lang w:eastAsia="zh-Hans"/>
              </w:rPr>
              <w:t xml:space="preserve"> </w:t>
            </w:r>
          </w:p>
        </w:tc>
        <w:tc>
          <w:tcPr>
            <w:tcW w:w="11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CAF32B" w14:textId="77777777" w:rsidR="00B86EB8" w:rsidRDefault="00B86EB8">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DF868C" w14:textId="77777777" w:rsidR="00B86EB8" w:rsidRDefault="00B86EB8">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397F1B" w14:textId="77777777" w:rsidR="00B86EB8" w:rsidRDefault="00B86EB8">
            <w:pPr>
              <w:jc w:val="center"/>
            </w:pPr>
            <w:r>
              <w:rPr>
                <w:rFonts w:ascii="宋体" w:hAnsi="宋体" w:hint="eastAsia"/>
              </w:rPr>
              <w:t>证券代码</w:t>
            </w:r>
            <w:r>
              <w:rPr>
                <w:rFonts w:ascii="宋体" w:hAnsi="宋体" w:hint="eastAsia"/>
                <w:lang w:eastAsia="zh-Hans"/>
              </w:rPr>
              <w:t xml:space="preserve"> </w:t>
            </w:r>
          </w:p>
        </w:tc>
        <w:tc>
          <w:tcPr>
            <w:tcW w:w="9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DE4E8" w14:textId="77777777" w:rsidR="00B86EB8" w:rsidRDefault="00B86EB8">
            <w:pPr>
              <w:jc w:val="center"/>
            </w:pPr>
            <w:r>
              <w:rPr>
                <w:rFonts w:ascii="宋体" w:hAnsi="宋体" w:hint="eastAsia"/>
              </w:rPr>
              <w:t>所在证券市场</w:t>
            </w:r>
            <w:r>
              <w:rPr>
                <w:rFonts w:ascii="宋体" w:hAnsi="宋体" w:hint="eastAsia"/>
                <w:lang w:eastAsia="zh-Hans"/>
              </w:rP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D377AA" w14:textId="77777777" w:rsidR="00B86EB8" w:rsidRDefault="00B86EB8">
            <w:pPr>
              <w:jc w:val="center"/>
            </w:pPr>
            <w:r>
              <w:rPr>
                <w:rFonts w:ascii="宋体" w:hAnsi="宋体" w:hint="eastAsia"/>
              </w:rPr>
              <w:t>所属国家（地区）</w:t>
            </w:r>
            <w:r>
              <w:rPr>
                <w:rFonts w:ascii="宋体" w:hAnsi="宋体" w:hint="eastAsia"/>
                <w:lang w:eastAsia="zh-Hans"/>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A2975C" w14:textId="77777777" w:rsidR="00B86EB8" w:rsidRDefault="00B86EB8">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95A620" w14:textId="77777777" w:rsidR="00B86EB8" w:rsidRDefault="00B86EB8">
            <w:pPr>
              <w:jc w:val="center"/>
            </w:pPr>
            <w:r>
              <w:rPr>
                <w:rFonts w:ascii="宋体" w:hAnsi="宋体" w:hint="eastAsia"/>
              </w:rPr>
              <w:t xml:space="preserve">公允价值（人民币元） </w:t>
            </w:r>
          </w:p>
        </w:tc>
        <w:tc>
          <w:tcPr>
            <w:tcW w:w="9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12DD49" w14:textId="77777777" w:rsidR="00B86EB8" w:rsidRDefault="00B86EB8">
            <w:pPr>
              <w:jc w:val="center"/>
            </w:pPr>
            <w:r>
              <w:rPr>
                <w:rFonts w:ascii="宋体" w:hAnsi="宋体" w:hint="eastAsia"/>
              </w:rPr>
              <w:t>占基金资产净值比例</w:t>
            </w:r>
            <w:r>
              <w:rPr>
                <w:rFonts w:ascii="宋体" w:hAnsi="宋体" w:hint="eastAsia"/>
                <w:lang w:eastAsia="zh-Hans"/>
              </w:rPr>
              <w:t xml:space="preserve">(%) </w:t>
            </w:r>
          </w:p>
        </w:tc>
      </w:tr>
      <w:tr w:rsidR="007020A8" w14:paraId="123EF72D"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4D320AB" w14:textId="77777777" w:rsidR="00B86EB8" w:rsidRDefault="00B86EB8">
            <w:pPr>
              <w:jc w:val="center"/>
            </w:pPr>
            <w:r>
              <w:rPr>
                <w:rFonts w:ascii="宋体" w:hAnsi="宋体" w:hint="eastAsia"/>
                <w:color w:val="000000"/>
                <w:lang w:eastAsia="zh-Hans"/>
              </w:rPr>
              <w:t>1</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129938FC" w14:textId="77777777" w:rsidR="00B86EB8" w:rsidRDefault="00B86EB8">
            <w:pPr>
              <w:jc w:val="center"/>
            </w:pPr>
            <w:r>
              <w:rPr>
                <w:rFonts w:ascii="宋体" w:hAnsi="宋体" w:hint="eastAsia"/>
                <w:color w:val="000000"/>
                <w:lang w:eastAsia="zh-Hans"/>
              </w:rPr>
              <w:t>NVIDIA CORP</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1B2BCE80"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7A9DCBC1" w14:textId="77777777" w:rsidR="00B86EB8" w:rsidRDefault="00B86EB8">
            <w:pPr>
              <w:jc w:val="center"/>
            </w:pPr>
            <w:r>
              <w:rPr>
                <w:rFonts w:ascii="宋体" w:hAnsi="宋体" w:hint="eastAsia"/>
                <w:color w:val="000000"/>
                <w:lang w:eastAsia="zh-Hans"/>
              </w:rPr>
              <w:t>NVDA</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129EA15A"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6AA0C572"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34C398C1" w14:textId="77777777" w:rsidR="00B86EB8" w:rsidRDefault="00B86EB8">
            <w:pPr>
              <w:jc w:val="right"/>
            </w:pPr>
            <w:r>
              <w:rPr>
                <w:rFonts w:ascii="宋体" w:hAnsi="宋体" w:hint="eastAsia"/>
                <w:color w:val="000000"/>
                <w:lang w:eastAsia="zh-Hans"/>
              </w:rPr>
              <w:t>261,075</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4EC804FF" w14:textId="77777777" w:rsidR="00B86EB8" w:rsidRDefault="00B86EB8">
            <w:pPr>
              <w:jc w:val="right"/>
            </w:pPr>
            <w:r>
              <w:rPr>
                <w:rFonts w:ascii="宋体" w:hAnsi="宋体" w:hint="eastAsia"/>
                <w:color w:val="000000"/>
                <w:lang w:eastAsia="zh-Hans"/>
              </w:rPr>
              <w:t>342,235,698.54</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6A747F27" w14:textId="77777777" w:rsidR="00B86EB8" w:rsidRDefault="00B86EB8">
            <w:pPr>
              <w:jc w:val="right"/>
            </w:pPr>
            <w:r>
              <w:rPr>
                <w:rFonts w:ascii="宋体" w:hAnsi="宋体" w:hint="eastAsia"/>
                <w:color w:val="000000"/>
                <w:lang w:eastAsia="zh-Hans"/>
              </w:rPr>
              <w:t>7.57</w:t>
            </w:r>
          </w:p>
        </w:tc>
      </w:tr>
      <w:tr w:rsidR="007020A8" w14:paraId="468CF0CF"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149D446E" w14:textId="77777777" w:rsidR="00B86EB8" w:rsidRDefault="00B86EB8">
            <w:pPr>
              <w:jc w:val="center"/>
            </w:pPr>
            <w:r>
              <w:rPr>
                <w:rFonts w:ascii="宋体" w:hAnsi="宋体" w:hint="eastAsia"/>
                <w:color w:val="000000"/>
                <w:lang w:eastAsia="zh-Hans"/>
              </w:rPr>
              <w:t>2</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7056E395" w14:textId="77777777" w:rsidR="00B86EB8" w:rsidRDefault="00B86EB8">
            <w:pPr>
              <w:jc w:val="center"/>
            </w:pPr>
            <w:r>
              <w:rPr>
                <w:rFonts w:ascii="宋体" w:hAnsi="宋体" w:hint="eastAsia"/>
                <w:color w:val="000000"/>
                <w:lang w:eastAsia="zh-Hans"/>
              </w:rPr>
              <w:t>APPLE INC</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065D11A"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6D13A397" w14:textId="77777777" w:rsidR="00B86EB8" w:rsidRDefault="00B86EB8">
            <w:pPr>
              <w:jc w:val="center"/>
            </w:pPr>
            <w:r>
              <w:rPr>
                <w:rFonts w:ascii="宋体" w:hAnsi="宋体" w:hint="eastAsia"/>
                <w:color w:val="000000"/>
                <w:lang w:eastAsia="zh-Hans"/>
              </w:rPr>
              <w:t>AAPL</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2577CD32"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007BC07"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43C5093F" w14:textId="77777777" w:rsidR="00B86EB8" w:rsidRDefault="00B86EB8">
            <w:pPr>
              <w:jc w:val="right"/>
            </w:pPr>
            <w:r>
              <w:rPr>
                <w:rFonts w:ascii="宋体" w:hAnsi="宋体" w:hint="eastAsia"/>
                <w:color w:val="000000"/>
                <w:lang w:eastAsia="zh-Hans"/>
              </w:rPr>
              <w:t>158,788</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9009246" w14:textId="77777777" w:rsidR="00B86EB8" w:rsidRDefault="00B86EB8">
            <w:pPr>
              <w:jc w:val="right"/>
            </w:pPr>
            <w:r>
              <w:rPr>
                <w:rFonts w:ascii="宋体" w:hAnsi="宋体" w:hint="eastAsia"/>
                <w:color w:val="000000"/>
                <w:lang w:eastAsia="zh-Hans"/>
              </w:rPr>
              <w:t>303,419,981.20</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25F86D7C" w14:textId="77777777" w:rsidR="00B86EB8" w:rsidRDefault="00B86EB8">
            <w:pPr>
              <w:jc w:val="right"/>
            </w:pPr>
            <w:r>
              <w:rPr>
                <w:rFonts w:ascii="宋体" w:hAnsi="宋体" w:hint="eastAsia"/>
                <w:color w:val="000000"/>
                <w:lang w:eastAsia="zh-Hans"/>
              </w:rPr>
              <w:t>6.71</w:t>
            </w:r>
          </w:p>
        </w:tc>
      </w:tr>
      <w:tr w:rsidR="007020A8" w14:paraId="74F8EA0C"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27FF08F9" w14:textId="77777777" w:rsidR="00B86EB8" w:rsidRDefault="00B86EB8">
            <w:pPr>
              <w:jc w:val="center"/>
            </w:pPr>
            <w:r>
              <w:rPr>
                <w:rFonts w:ascii="宋体" w:hAnsi="宋体" w:hint="eastAsia"/>
                <w:color w:val="000000"/>
                <w:lang w:eastAsia="zh-Hans"/>
              </w:rPr>
              <w:t>3</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7E07EEC7" w14:textId="77777777" w:rsidR="00B86EB8" w:rsidRDefault="00B86EB8">
            <w:pPr>
              <w:jc w:val="center"/>
            </w:pPr>
            <w:r>
              <w:rPr>
                <w:rFonts w:ascii="宋体" w:hAnsi="宋体" w:hint="eastAsia"/>
                <w:color w:val="000000"/>
                <w:lang w:eastAsia="zh-Hans"/>
              </w:rPr>
              <w:t>MICROSOFT CORP</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11603C96"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3400F65F" w14:textId="77777777" w:rsidR="00B86EB8" w:rsidRDefault="00B86EB8">
            <w:pPr>
              <w:jc w:val="center"/>
            </w:pPr>
            <w:r>
              <w:rPr>
                <w:rFonts w:ascii="宋体" w:hAnsi="宋体" w:hint="eastAsia"/>
                <w:color w:val="000000"/>
                <w:lang w:eastAsia="zh-Hans"/>
              </w:rPr>
              <w:t>MSFT</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23F876FA"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DF90DD8"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2694D3B7" w14:textId="77777777" w:rsidR="00B86EB8" w:rsidRDefault="00B86EB8">
            <w:pPr>
              <w:jc w:val="right"/>
            </w:pPr>
            <w:r>
              <w:rPr>
                <w:rFonts w:ascii="宋体" w:hAnsi="宋体" w:hint="eastAsia"/>
                <w:color w:val="000000"/>
                <w:lang w:eastAsia="zh-Hans"/>
              </w:rPr>
              <w:t>79,533</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68AC875" w14:textId="77777777" w:rsidR="00B86EB8" w:rsidRDefault="00B86EB8">
            <w:pPr>
              <w:jc w:val="right"/>
            </w:pPr>
            <w:r>
              <w:rPr>
                <w:rFonts w:ascii="宋体" w:hAnsi="宋体" w:hint="eastAsia"/>
                <w:color w:val="000000"/>
                <w:lang w:eastAsia="zh-Hans"/>
              </w:rPr>
              <w:t>270,354,002.20</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0538F418" w14:textId="77777777" w:rsidR="00B86EB8" w:rsidRDefault="00B86EB8">
            <w:pPr>
              <w:jc w:val="right"/>
            </w:pPr>
            <w:r>
              <w:rPr>
                <w:rFonts w:ascii="宋体" w:hAnsi="宋体" w:hint="eastAsia"/>
                <w:color w:val="000000"/>
                <w:lang w:eastAsia="zh-Hans"/>
              </w:rPr>
              <w:t>5.98</w:t>
            </w:r>
          </w:p>
        </w:tc>
      </w:tr>
      <w:tr w:rsidR="007020A8" w14:paraId="6FFAC2D7"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0C37CA72" w14:textId="77777777" w:rsidR="00B86EB8" w:rsidRDefault="00B86EB8">
            <w:pPr>
              <w:jc w:val="center"/>
            </w:pPr>
            <w:r>
              <w:rPr>
                <w:rFonts w:ascii="宋体" w:hAnsi="宋体" w:hint="eastAsia"/>
                <w:color w:val="000000"/>
                <w:lang w:eastAsia="zh-Hans"/>
              </w:rPr>
              <w:t>4</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535E2319" w14:textId="77777777" w:rsidR="00B86EB8" w:rsidRDefault="00B86EB8">
            <w:pPr>
              <w:jc w:val="center"/>
            </w:pPr>
            <w:r>
              <w:rPr>
                <w:rFonts w:ascii="宋体" w:hAnsi="宋体" w:hint="eastAsia"/>
                <w:color w:val="000000"/>
                <w:lang w:eastAsia="zh-Hans"/>
              </w:rPr>
              <w:t>AMAZON.COM INC</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D754BF3"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77EF8942" w14:textId="77777777" w:rsidR="00B86EB8" w:rsidRDefault="00B86EB8">
            <w:pPr>
              <w:jc w:val="center"/>
            </w:pPr>
            <w:r>
              <w:rPr>
                <w:rFonts w:ascii="宋体" w:hAnsi="宋体" w:hint="eastAsia"/>
                <w:color w:val="000000"/>
                <w:lang w:eastAsia="zh-Hans"/>
              </w:rPr>
              <w:t>AMZN</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3B719CF7"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109F9077"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5475EBD0" w14:textId="77777777" w:rsidR="00B86EB8" w:rsidRDefault="00B86EB8">
            <w:pPr>
              <w:jc w:val="right"/>
            </w:pPr>
            <w:r>
              <w:rPr>
                <w:rFonts w:ascii="宋体" w:hAnsi="宋体" w:hint="eastAsia"/>
                <w:color w:val="000000"/>
                <w:lang w:eastAsia="zh-Hans"/>
              </w:rPr>
              <w:t>103,841</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4AE46873" w14:textId="77777777" w:rsidR="00B86EB8" w:rsidRDefault="00B86EB8">
            <w:pPr>
              <w:jc w:val="right"/>
            </w:pPr>
            <w:r>
              <w:rPr>
                <w:rFonts w:ascii="宋体" w:hAnsi="宋体" w:hint="eastAsia"/>
                <w:color w:val="000000"/>
                <w:lang w:eastAsia="zh-Hans"/>
              </w:rPr>
              <w:t>168,470,352.43</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787CE1B" w14:textId="77777777" w:rsidR="00B86EB8" w:rsidRDefault="00B86EB8">
            <w:pPr>
              <w:jc w:val="right"/>
            </w:pPr>
            <w:r>
              <w:rPr>
                <w:rFonts w:ascii="宋体" w:hAnsi="宋体" w:hint="eastAsia"/>
                <w:color w:val="000000"/>
                <w:lang w:eastAsia="zh-Hans"/>
              </w:rPr>
              <w:t>3.73</w:t>
            </w:r>
          </w:p>
        </w:tc>
      </w:tr>
      <w:tr w:rsidR="007020A8" w14:paraId="34A80EED"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02119491" w14:textId="77777777" w:rsidR="00B86EB8" w:rsidRDefault="00B86EB8">
            <w:pPr>
              <w:jc w:val="center"/>
            </w:pPr>
            <w:r>
              <w:rPr>
                <w:rFonts w:ascii="宋体" w:hAnsi="宋体" w:hint="eastAsia"/>
                <w:color w:val="000000"/>
                <w:lang w:eastAsia="zh-Hans"/>
              </w:rPr>
              <w:t>5</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777D25DC" w14:textId="77777777" w:rsidR="00B86EB8" w:rsidRDefault="00B86EB8">
            <w:pPr>
              <w:jc w:val="center"/>
            </w:pPr>
            <w:r>
              <w:rPr>
                <w:rFonts w:ascii="宋体" w:hAnsi="宋体" w:hint="eastAsia"/>
                <w:color w:val="000000"/>
                <w:lang w:eastAsia="zh-Hans"/>
              </w:rPr>
              <w:t>ALPHABET INC-CL 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1722690E"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1E24F982" w14:textId="77777777" w:rsidR="00B86EB8" w:rsidRDefault="00B86EB8">
            <w:pPr>
              <w:jc w:val="center"/>
            </w:pPr>
            <w:r>
              <w:rPr>
                <w:rFonts w:ascii="宋体" w:hAnsi="宋体" w:hint="eastAsia"/>
                <w:color w:val="000000"/>
                <w:lang w:eastAsia="zh-Hans"/>
              </w:rPr>
              <w:t>GOOGL</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0B84A548"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7AC55F58"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00E7A8E9" w14:textId="77777777" w:rsidR="00B86EB8" w:rsidRDefault="00B86EB8">
            <w:pPr>
              <w:jc w:val="right"/>
            </w:pPr>
            <w:r>
              <w:rPr>
                <w:rFonts w:ascii="宋体" w:hAnsi="宋体" w:hint="eastAsia"/>
                <w:color w:val="000000"/>
                <w:lang w:eastAsia="zh-Hans"/>
              </w:rPr>
              <w:t>62,242</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247A286" w14:textId="77777777" w:rsidR="00B86EB8" w:rsidRDefault="00B86EB8">
            <w:pPr>
              <w:jc w:val="right"/>
            </w:pPr>
            <w:r>
              <w:rPr>
                <w:rFonts w:ascii="宋体" w:hAnsi="宋体" w:hint="eastAsia"/>
                <w:color w:val="000000"/>
                <w:lang w:eastAsia="zh-Hans"/>
              </w:rPr>
              <w:t>136,933,296.28</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2132CB25" w14:textId="77777777" w:rsidR="00B86EB8" w:rsidRDefault="00B86EB8">
            <w:pPr>
              <w:jc w:val="right"/>
            </w:pPr>
            <w:r>
              <w:rPr>
                <w:rFonts w:ascii="宋体" w:hAnsi="宋体" w:hint="eastAsia"/>
                <w:color w:val="000000"/>
                <w:lang w:eastAsia="zh-Hans"/>
              </w:rPr>
              <w:t>3.03</w:t>
            </w:r>
          </w:p>
        </w:tc>
      </w:tr>
      <w:tr w:rsidR="007020A8" w14:paraId="6EA06D9D"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2E5174B0" w14:textId="77777777" w:rsidR="00B86EB8" w:rsidRDefault="00B86EB8">
            <w:pPr>
              <w:jc w:val="center"/>
            </w:pPr>
            <w:r>
              <w:rPr>
                <w:rFonts w:ascii="宋体" w:hAnsi="宋体" w:hint="eastAsia"/>
                <w:color w:val="000000"/>
                <w:lang w:eastAsia="zh-Hans"/>
              </w:rPr>
              <w:t>6</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05F64E92" w14:textId="77777777" w:rsidR="00B86EB8" w:rsidRDefault="00B86EB8">
            <w:pPr>
              <w:jc w:val="center"/>
            </w:pPr>
            <w:r>
              <w:rPr>
                <w:rFonts w:ascii="宋体" w:hAnsi="宋体" w:hint="eastAsia"/>
                <w:color w:val="000000"/>
                <w:lang w:eastAsia="zh-Hans"/>
              </w:rPr>
              <w:t>BROADCOM INC</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530E738"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50232151" w14:textId="77777777" w:rsidR="00B86EB8" w:rsidRDefault="00B86EB8">
            <w:pPr>
              <w:jc w:val="center"/>
            </w:pPr>
            <w:r>
              <w:rPr>
                <w:rFonts w:ascii="宋体" w:hAnsi="宋体" w:hint="eastAsia"/>
                <w:color w:val="000000"/>
                <w:lang w:eastAsia="zh-Hans"/>
              </w:rPr>
              <w:t>AVGO</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6EC1EF53"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1072742"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2A79DC3B" w14:textId="77777777" w:rsidR="00B86EB8" w:rsidRDefault="00B86EB8">
            <w:pPr>
              <w:jc w:val="right"/>
            </w:pPr>
            <w:r>
              <w:rPr>
                <w:rFonts w:ascii="宋体" w:hAnsi="宋体" w:hint="eastAsia"/>
                <w:color w:val="000000"/>
                <w:lang w:eastAsia="zh-Hans"/>
              </w:rPr>
              <w:t>49,364</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20028154" w14:textId="77777777" w:rsidR="00B86EB8" w:rsidRDefault="00B86EB8">
            <w:pPr>
              <w:jc w:val="right"/>
            </w:pPr>
            <w:r>
              <w:rPr>
                <w:rFonts w:ascii="宋体" w:hAnsi="宋体" w:hint="eastAsia"/>
                <w:color w:val="000000"/>
                <w:lang w:eastAsia="zh-Hans"/>
              </w:rPr>
              <w:t>120,086,207.36</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1B282858" w14:textId="77777777" w:rsidR="00B86EB8" w:rsidRDefault="00B86EB8">
            <w:pPr>
              <w:jc w:val="right"/>
            </w:pPr>
            <w:r>
              <w:rPr>
                <w:rFonts w:ascii="宋体" w:hAnsi="宋体" w:hint="eastAsia"/>
                <w:color w:val="000000"/>
                <w:lang w:eastAsia="zh-Hans"/>
              </w:rPr>
              <w:t>2.66</w:t>
            </w:r>
          </w:p>
        </w:tc>
      </w:tr>
      <w:tr w:rsidR="007020A8" w14:paraId="1C73D7F8"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1B9A2257" w14:textId="77777777" w:rsidR="00B86EB8" w:rsidRDefault="00B86EB8">
            <w:pPr>
              <w:jc w:val="center"/>
            </w:pPr>
            <w:r>
              <w:rPr>
                <w:rFonts w:ascii="宋体" w:hAnsi="宋体" w:hint="eastAsia"/>
                <w:color w:val="000000"/>
                <w:lang w:eastAsia="zh-Hans"/>
              </w:rPr>
              <w:t>7</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0324124A" w14:textId="77777777" w:rsidR="00B86EB8" w:rsidRDefault="00B86EB8">
            <w:pPr>
              <w:jc w:val="center"/>
            </w:pPr>
            <w:r>
              <w:rPr>
                <w:rFonts w:ascii="宋体" w:hAnsi="宋体" w:hint="eastAsia"/>
                <w:color w:val="000000"/>
                <w:lang w:eastAsia="zh-Hans"/>
              </w:rPr>
              <w:t>ALPHABET INC-CL C</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19DE5A95"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0245B45E" w14:textId="77777777" w:rsidR="00B86EB8" w:rsidRDefault="00B86EB8">
            <w:pPr>
              <w:jc w:val="center"/>
            </w:pPr>
            <w:r>
              <w:rPr>
                <w:rFonts w:ascii="宋体" w:hAnsi="宋体" w:hint="eastAsia"/>
                <w:color w:val="000000"/>
                <w:lang w:eastAsia="zh-Hans"/>
              </w:rPr>
              <w:t>GOOG</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47252109"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76713A86"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70DF18DE" w14:textId="77777777" w:rsidR="00B86EB8" w:rsidRDefault="00B86EB8">
            <w:pPr>
              <w:jc w:val="right"/>
            </w:pPr>
            <w:r>
              <w:rPr>
                <w:rFonts w:ascii="宋体" w:hAnsi="宋体" w:hint="eastAsia"/>
                <w:color w:val="000000"/>
                <w:lang w:eastAsia="zh-Hans"/>
              </w:rPr>
              <w:t>49,967</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9C9F5F5" w14:textId="77777777" w:rsidR="00B86EB8" w:rsidRDefault="00B86EB8">
            <w:pPr>
              <w:jc w:val="right"/>
            </w:pPr>
            <w:r>
              <w:rPr>
                <w:rFonts w:ascii="宋体" w:hAnsi="宋体" w:hint="eastAsia"/>
                <w:color w:val="000000"/>
                <w:lang w:eastAsia="zh-Hans"/>
              </w:rPr>
              <w:t>110,209,085.96</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13ED94D8" w14:textId="77777777" w:rsidR="00B86EB8" w:rsidRDefault="00B86EB8">
            <w:pPr>
              <w:jc w:val="right"/>
            </w:pPr>
            <w:r>
              <w:rPr>
                <w:rFonts w:ascii="宋体" w:hAnsi="宋体" w:hint="eastAsia"/>
                <w:color w:val="000000"/>
                <w:lang w:eastAsia="zh-Hans"/>
              </w:rPr>
              <w:t>2.44</w:t>
            </w:r>
          </w:p>
        </w:tc>
      </w:tr>
      <w:tr w:rsidR="007020A8" w14:paraId="3521AA13"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23311319" w14:textId="77777777" w:rsidR="00B86EB8" w:rsidRDefault="00B86EB8">
            <w:pPr>
              <w:jc w:val="center"/>
            </w:pPr>
            <w:r>
              <w:rPr>
                <w:rFonts w:ascii="宋体" w:hAnsi="宋体" w:hint="eastAsia"/>
                <w:color w:val="000000"/>
                <w:lang w:eastAsia="zh-Hans"/>
              </w:rPr>
              <w:t>8</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2CB65CEE" w14:textId="77777777" w:rsidR="00B86EB8" w:rsidRDefault="00B86EB8">
            <w:pPr>
              <w:jc w:val="center"/>
            </w:pPr>
            <w:r>
              <w:rPr>
                <w:rFonts w:ascii="宋体" w:hAnsi="宋体" w:hint="eastAsia"/>
                <w:color w:val="000000"/>
                <w:lang w:eastAsia="zh-Hans"/>
              </w:rPr>
              <w:t>META PLATFORMS INC-CLASS 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6B17EECD"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10310E3C" w14:textId="77777777" w:rsidR="00B86EB8" w:rsidRDefault="00B86EB8">
            <w:pPr>
              <w:jc w:val="center"/>
            </w:pPr>
            <w:r>
              <w:rPr>
                <w:rFonts w:ascii="宋体" w:hAnsi="宋体" w:hint="eastAsia"/>
                <w:color w:val="000000"/>
                <w:lang w:eastAsia="zh-Hans"/>
              </w:rPr>
              <w:t>META</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44FBCCAB"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AE790CB"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70AA78F6" w14:textId="77777777" w:rsidR="00B86EB8" w:rsidRDefault="00B86EB8">
            <w:pPr>
              <w:jc w:val="right"/>
            </w:pPr>
            <w:r>
              <w:rPr>
                <w:rFonts w:ascii="宋体" w:hAnsi="宋体" w:hint="eastAsia"/>
                <w:color w:val="000000"/>
                <w:lang w:eastAsia="zh-Hans"/>
              </w:rPr>
              <w:t>22,745</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6EF5E91" w14:textId="77777777" w:rsidR="00B86EB8" w:rsidRDefault="00B86EB8">
            <w:pPr>
              <w:jc w:val="right"/>
            </w:pPr>
            <w:r>
              <w:rPr>
                <w:rFonts w:ascii="宋体" w:hAnsi="宋体" w:hint="eastAsia"/>
                <w:color w:val="000000"/>
                <w:lang w:eastAsia="zh-Hans"/>
              </w:rPr>
              <w:t>105,528,625.27</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80BBB6A" w14:textId="77777777" w:rsidR="00B86EB8" w:rsidRDefault="00B86EB8">
            <w:pPr>
              <w:jc w:val="right"/>
            </w:pPr>
            <w:r>
              <w:rPr>
                <w:rFonts w:ascii="宋体" w:hAnsi="宋体" w:hint="eastAsia"/>
                <w:color w:val="000000"/>
                <w:lang w:eastAsia="zh-Hans"/>
              </w:rPr>
              <w:t>2.34</w:t>
            </w:r>
          </w:p>
        </w:tc>
      </w:tr>
      <w:tr w:rsidR="007020A8" w14:paraId="4CCD8E47"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7866933" w14:textId="77777777" w:rsidR="00B86EB8" w:rsidRDefault="00B86EB8">
            <w:pPr>
              <w:jc w:val="center"/>
            </w:pPr>
            <w:r>
              <w:rPr>
                <w:rFonts w:ascii="宋体" w:hAnsi="宋体" w:hint="eastAsia"/>
                <w:color w:val="000000"/>
                <w:lang w:eastAsia="zh-Hans"/>
              </w:rPr>
              <w:t>9</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2A7EC29D" w14:textId="77777777" w:rsidR="00B86EB8" w:rsidRDefault="00B86EB8">
            <w:pPr>
              <w:jc w:val="center"/>
            </w:pPr>
            <w:r>
              <w:rPr>
                <w:rFonts w:ascii="宋体" w:hAnsi="宋体" w:hint="eastAsia"/>
                <w:color w:val="000000"/>
                <w:lang w:eastAsia="zh-Hans"/>
              </w:rPr>
              <w:t>TESLA INC</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BFCC8E4" w14:textId="77777777" w:rsidR="00B86EB8" w:rsidRDefault="00B86EB8">
            <w:pPr>
              <w:jc w:val="center"/>
            </w:pPr>
            <w:r>
              <w:rPr>
                <w:rFonts w:ascii="宋体" w:hAnsi="宋体" w:hint="eastAsia"/>
                <w:color w:val="000000"/>
                <w:lang w:eastAsia="zh-Hans"/>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0BB3B417" w14:textId="77777777" w:rsidR="00B86EB8" w:rsidRDefault="00B86EB8">
            <w:pPr>
              <w:jc w:val="center"/>
            </w:pPr>
            <w:r>
              <w:rPr>
                <w:rFonts w:ascii="宋体" w:hAnsi="宋体" w:hint="eastAsia"/>
                <w:color w:val="000000"/>
                <w:lang w:eastAsia="zh-Hans"/>
              </w:rPr>
              <w:t>TSLA</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081080FE" w14:textId="77777777" w:rsidR="00B86EB8" w:rsidRDefault="00B86EB8">
            <w:r>
              <w:rPr>
                <w:rFonts w:ascii="宋体" w:hAnsi="宋体" w:hint="eastAsia"/>
                <w:color w:val="000000"/>
                <w:lang w:eastAsia="zh-Hans"/>
              </w:rPr>
              <w:t>纳斯达克交易所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7C31514F" w14:textId="77777777" w:rsidR="00B86EB8" w:rsidRDefault="00B86EB8">
            <w:r>
              <w:rPr>
                <w:rFonts w:ascii="宋体" w:hAnsi="宋体" w:hint="eastAsia"/>
                <w:color w:val="000000"/>
                <w:lang w:eastAsia="zh-Hans"/>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0B093704" w14:textId="77777777" w:rsidR="00B86EB8" w:rsidRDefault="00B86EB8">
            <w:pPr>
              <w:jc w:val="right"/>
            </w:pPr>
            <w:r>
              <w:rPr>
                <w:rFonts w:ascii="宋体" w:hAnsi="宋体" w:hint="eastAsia"/>
                <w:color w:val="000000"/>
                <w:lang w:eastAsia="zh-Hans"/>
              </w:rPr>
              <w:t>29,013</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B905CE8" w14:textId="77777777" w:rsidR="00B86EB8" w:rsidRDefault="00B86EB8">
            <w:pPr>
              <w:jc w:val="right"/>
            </w:pPr>
            <w:r>
              <w:rPr>
                <w:rFonts w:ascii="宋体" w:hAnsi="宋体" w:hint="eastAsia"/>
                <w:color w:val="000000"/>
                <w:lang w:eastAsia="zh-Hans"/>
              </w:rPr>
              <w:t>91,709,859.04</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6C4922EB" w14:textId="77777777" w:rsidR="00B86EB8" w:rsidRDefault="00B86EB8">
            <w:pPr>
              <w:jc w:val="right"/>
            </w:pPr>
            <w:r>
              <w:rPr>
                <w:rFonts w:ascii="宋体" w:hAnsi="宋体" w:hint="eastAsia"/>
                <w:color w:val="000000"/>
                <w:lang w:eastAsia="zh-Hans"/>
              </w:rPr>
              <w:t>2.03</w:t>
            </w:r>
          </w:p>
        </w:tc>
      </w:tr>
      <w:tr w:rsidR="001E64F5" w14:paraId="6487E07D" w14:textId="77777777" w:rsidTr="001E64F5">
        <w:trPr>
          <w:divId w:val="835651088"/>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04D80BD8" w14:textId="77777777" w:rsidR="001E64F5" w:rsidRDefault="001E64F5" w:rsidP="001E64F5">
            <w:pPr>
              <w:jc w:val="center"/>
            </w:pPr>
            <w:r>
              <w:rPr>
                <w:rFonts w:ascii="宋体" w:hAnsi="宋体" w:hint="eastAsia"/>
                <w:color w:val="000000"/>
                <w:lang w:eastAsia="zh-Hans"/>
              </w:rPr>
              <w:t>10</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6F4B0CF9" w14:textId="4C341A5A" w:rsidR="001E64F5" w:rsidRDefault="001E64F5" w:rsidP="001E64F5">
            <w:pPr>
              <w:jc w:val="center"/>
            </w:pPr>
            <w:r>
              <w:rPr>
                <w:rStyle w:val="spelle"/>
                <w:rFonts w:ascii="宋体" w:hAnsi="宋体" w:cstheme="minorBidi" w:hint="eastAsia"/>
              </w:rPr>
              <w:t>BERKSHIRE HATHAWAY INC-CL B</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2D3D8C71" w14:textId="1100C561" w:rsidR="001E64F5" w:rsidRDefault="001E64F5" w:rsidP="001E64F5">
            <w:pPr>
              <w:jc w:val="center"/>
            </w:pPr>
            <w:r>
              <w:rPr>
                <w:rStyle w:val="spelle"/>
                <w:rFonts w:ascii="宋体" w:hAnsi="宋体" w:cstheme="minorBidi" w:hint="eastAsia"/>
              </w:rPr>
              <w:t>-</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2D4198C1" w14:textId="68E62A46" w:rsidR="001E64F5" w:rsidRDefault="001E64F5" w:rsidP="001E64F5">
            <w:pPr>
              <w:jc w:val="center"/>
            </w:pPr>
            <w:r>
              <w:rPr>
                <w:rStyle w:val="spelle"/>
                <w:rFonts w:ascii="宋体" w:hAnsi="宋体" w:cstheme="minorBidi" w:hint="eastAsia"/>
              </w:rPr>
              <w:t>BRK/B</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488DE573" w14:textId="0D4DEE8A" w:rsidR="001E64F5" w:rsidRDefault="001E64F5" w:rsidP="001E64F5">
            <w:r>
              <w:rPr>
                <w:rStyle w:val="spelle"/>
                <w:rFonts w:ascii="宋体" w:hAnsi="宋体" w:cstheme="minorBidi" w:hint="eastAsia"/>
              </w:rPr>
              <w:t>纽约证券交易所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6A8559B" w14:textId="764B7BF4" w:rsidR="001E64F5" w:rsidRDefault="001E64F5" w:rsidP="001E64F5">
            <w:r>
              <w:rPr>
                <w:rStyle w:val="spelle"/>
                <w:rFonts w:ascii="宋体" w:hAnsi="宋体" w:cstheme="minorBidi" w:hint="eastAsia"/>
              </w:rPr>
              <w:t>美国</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02E8D336" w14:textId="385C01D0" w:rsidR="001E64F5" w:rsidRDefault="001E64F5" w:rsidP="001E64F5">
            <w:pPr>
              <w:jc w:val="right"/>
            </w:pPr>
            <w:r>
              <w:rPr>
                <w:rFonts w:ascii="宋体" w:hAnsi="宋体" w:hint="eastAsia"/>
              </w:rPr>
              <w:t>19,022</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8FB5F10" w14:textId="6E89FE52" w:rsidR="001E64F5" w:rsidRDefault="001E64F5" w:rsidP="001E64F5">
            <w:pPr>
              <w:jc w:val="right"/>
            </w:pPr>
            <w:r>
              <w:rPr>
                <w:rFonts w:ascii="宋体" w:hAnsi="宋体" w:hint="eastAsia"/>
              </w:rPr>
              <w:t>67,205,226.66</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1E7AB53E" w14:textId="5F36CA8B" w:rsidR="001E64F5" w:rsidRDefault="001E64F5" w:rsidP="001E64F5">
            <w:pPr>
              <w:jc w:val="right"/>
            </w:pPr>
            <w:r>
              <w:rPr>
                <w:rFonts w:ascii="宋体" w:hAnsi="宋体" w:hint="eastAsia"/>
              </w:rPr>
              <w:t>1.49</w:t>
            </w:r>
          </w:p>
        </w:tc>
      </w:tr>
    </w:tbl>
    <w:p w14:paraId="4BBC1ADD" w14:textId="77777777" w:rsidR="00B86EB8" w:rsidRDefault="00B86EB8">
      <w:pPr>
        <w:spacing w:line="360" w:lineRule="auto"/>
        <w:divId w:val="199632453"/>
      </w:pPr>
      <w:bookmarkStart w:id="211" w:name="m07_04_07_02"/>
      <w:bookmarkEnd w:id="206"/>
      <w:r>
        <w:rPr>
          <w:rFonts w:ascii="宋体" w:hAnsi="宋体" w:hint="eastAsia"/>
          <w:kern w:val="0"/>
          <w:szCs w:val="21"/>
        </w:rPr>
        <w:t>注：</w:t>
      </w:r>
      <w:r>
        <w:rPr>
          <w:rFonts w:ascii="宋体" w:hAnsi="宋体" w:hint="eastAsia"/>
          <w:lang w:eastAsia="zh-Hans"/>
        </w:rPr>
        <w:t>此处所用证券代码的类别是当地市场代码。</w:t>
      </w:r>
      <w:bookmarkEnd w:id="190"/>
      <w:bookmarkEnd w:id="207"/>
      <w:bookmarkEnd w:id="208"/>
      <w:bookmarkEnd w:id="209"/>
      <w:bookmarkEnd w:id="210"/>
    </w:p>
    <w:p w14:paraId="0A5F6901" w14:textId="77777777" w:rsidR="00B86EB8" w:rsidRDefault="00B86EB8">
      <w:pPr>
        <w:pStyle w:val="XBRLTitle3"/>
        <w:spacing w:before="156"/>
        <w:ind w:left="0"/>
        <w:rPr>
          <w:rFonts w:hint="eastAsia"/>
        </w:rPr>
      </w:pPr>
      <w:bookmarkStart w:id="212" w:name="_Toc513658029"/>
      <w:bookmarkStart w:id="213" w:name="_Toc514178691"/>
      <w:proofErr w:type="spellStart"/>
      <w:r>
        <w:rPr>
          <w:rFonts w:hint="eastAsia"/>
        </w:rPr>
        <w:t>报告期末积极投资按公允价值占基金资产净值比例大小排序的前五名股票及存托凭证投资明细</w:t>
      </w:r>
      <w:bookmarkEnd w:id="212"/>
      <w:bookmarkEnd w:id="213"/>
      <w:proofErr w:type="spellEnd"/>
      <w:r>
        <w:rPr>
          <w:rFonts w:hint="eastAsia"/>
        </w:rPr>
        <w:t xml:space="preserve"> </w:t>
      </w:r>
    </w:p>
    <w:p w14:paraId="6C291439" w14:textId="096D241E" w:rsidR="00B86EB8" w:rsidRDefault="00B86EB8">
      <w:pPr>
        <w:spacing w:line="360" w:lineRule="auto"/>
        <w:jc w:val="left"/>
      </w:pPr>
      <w:r>
        <w:rPr>
          <w:rFonts w:ascii="宋体" w:hAnsi="宋体" w:hint="eastAsia"/>
        </w:rPr>
        <w:t>本基金本报告期末未持有积极投资股票。</w:t>
      </w:r>
    </w:p>
    <w:p w14:paraId="7EF9BF05" w14:textId="77777777" w:rsidR="00B86EB8" w:rsidRDefault="00B86EB8">
      <w:pPr>
        <w:pStyle w:val="XBRLTitle2"/>
        <w:spacing w:before="156" w:line="360" w:lineRule="auto"/>
        <w:ind w:left="454"/>
        <w:rPr>
          <w:rFonts w:hint="eastAsia"/>
        </w:rPr>
      </w:pPr>
      <w:bookmarkStart w:id="214" w:name="_Toc459213781"/>
      <w:bookmarkStart w:id="215" w:name="_Toc456107135"/>
      <w:bookmarkStart w:id="216" w:name="_Toc438654090"/>
      <w:bookmarkStart w:id="217" w:name="_Toc448480302"/>
      <w:bookmarkStart w:id="218" w:name="_Toc480465436"/>
      <w:bookmarkStart w:id="219" w:name="_Toc512611298"/>
      <w:bookmarkStart w:id="220" w:name="_Toc512612094"/>
      <w:bookmarkStart w:id="221" w:name="_Toc512612270"/>
      <w:bookmarkStart w:id="222" w:name="_Toc513658030"/>
      <w:bookmarkStart w:id="223" w:name="_Toc514178692"/>
      <w:bookmarkStart w:id="224" w:name="m505"/>
      <w:proofErr w:type="spellStart"/>
      <w:r>
        <w:rPr>
          <w:rFonts w:hint="eastAsia"/>
        </w:rPr>
        <w:t>报告期末按债券信用等级分类的债券投资组合</w:t>
      </w:r>
      <w:bookmarkEnd w:id="214"/>
      <w:bookmarkEnd w:id="215"/>
      <w:bookmarkEnd w:id="216"/>
      <w:bookmarkEnd w:id="217"/>
      <w:bookmarkEnd w:id="218"/>
      <w:bookmarkEnd w:id="219"/>
      <w:bookmarkEnd w:id="220"/>
      <w:bookmarkEnd w:id="221"/>
      <w:bookmarkEnd w:id="222"/>
      <w:bookmarkEnd w:id="223"/>
      <w:proofErr w:type="spellEnd"/>
      <w:r>
        <w:rPr>
          <w:rFonts w:hint="eastAsia"/>
        </w:rPr>
        <w:t xml:space="preserve"> </w:t>
      </w:r>
    </w:p>
    <w:p w14:paraId="4E222DCF" w14:textId="77777777" w:rsidR="00B86EB8" w:rsidRDefault="00B86EB8">
      <w:pPr>
        <w:spacing w:line="360" w:lineRule="auto"/>
        <w:ind w:firstLineChars="200" w:firstLine="420"/>
        <w:jc w:val="left"/>
      </w:pPr>
      <w:r>
        <w:rPr>
          <w:rFonts w:ascii="宋体" w:hAnsi="宋体" w:hint="eastAsia"/>
        </w:rPr>
        <w:t>本基金本报告期末未持有债券。</w:t>
      </w:r>
    </w:p>
    <w:p w14:paraId="104435F2" w14:textId="77777777" w:rsidR="00B86EB8" w:rsidRDefault="00B86EB8">
      <w:pPr>
        <w:pStyle w:val="XBRLTitle2"/>
        <w:spacing w:before="156" w:line="360" w:lineRule="auto"/>
        <w:ind w:left="454"/>
        <w:rPr>
          <w:rFonts w:hint="eastAsia"/>
        </w:rPr>
      </w:pPr>
      <w:bookmarkStart w:id="225" w:name="_Toc459213782"/>
      <w:bookmarkStart w:id="226" w:name="_Toc456107136"/>
      <w:bookmarkStart w:id="227" w:name="_Toc438654091"/>
      <w:bookmarkStart w:id="228" w:name="_Toc448480303"/>
      <w:bookmarkStart w:id="229" w:name="_Toc480465437"/>
      <w:bookmarkStart w:id="230" w:name="_Toc514178693"/>
      <w:bookmarkStart w:id="231" w:name="_Toc512611299"/>
      <w:bookmarkStart w:id="232" w:name="_Toc512612095"/>
      <w:bookmarkStart w:id="233" w:name="_Toc512612271"/>
      <w:bookmarkStart w:id="234" w:name="_Toc513658031"/>
      <w:bookmarkStart w:id="235" w:name="m506"/>
      <w:bookmarkEnd w:id="224"/>
      <w:proofErr w:type="spellStart"/>
      <w:r>
        <w:rPr>
          <w:rFonts w:hint="eastAsia"/>
        </w:rPr>
        <w:t>报告期末按公允价值占基金资产净值比例大小排名的前五名债券投资明细</w:t>
      </w:r>
      <w:bookmarkEnd w:id="225"/>
      <w:bookmarkEnd w:id="226"/>
      <w:bookmarkEnd w:id="227"/>
      <w:bookmarkEnd w:id="228"/>
      <w:bookmarkEnd w:id="229"/>
      <w:bookmarkEnd w:id="230"/>
      <w:proofErr w:type="spellEnd"/>
      <w:r>
        <w:rPr>
          <w:rFonts w:hint="eastAsia"/>
        </w:rPr>
        <w:t xml:space="preserve"> </w:t>
      </w:r>
      <w:bookmarkEnd w:id="231"/>
      <w:bookmarkEnd w:id="232"/>
      <w:bookmarkEnd w:id="233"/>
      <w:bookmarkEnd w:id="234"/>
    </w:p>
    <w:p w14:paraId="23D62CEE" w14:textId="77777777" w:rsidR="00B86EB8" w:rsidRDefault="00B86EB8">
      <w:pPr>
        <w:spacing w:line="360" w:lineRule="auto"/>
        <w:ind w:firstLineChars="200" w:firstLine="420"/>
        <w:jc w:val="left"/>
        <w:divId w:val="2013364133"/>
      </w:pPr>
      <w:r>
        <w:rPr>
          <w:rFonts w:ascii="宋体" w:hAnsi="宋体" w:hint="eastAsia"/>
          <w:color w:val="000000"/>
          <w:szCs w:val="21"/>
          <w:lang w:eastAsia="zh-Hans"/>
        </w:rPr>
        <w:t>本基金本报告期末未持有债券。</w:t>
      </w:r>
    </w:p>
    <w:p w14:paraId="6A8659C9" w14:textId="77777777" w:rsidR="00B86EB8" w:rsidRDefault="00B86EB8">
      <w:pPr>
        <w:pStyle w:val="XBRLTitle2"/>
        <w:spacing w:before="156" w:line="360" w:lineRule="auto"/>
        <w:ind w:left="454"/>
        <w:rPr>
          <w:rFonts w:hint="eastAsia"/>
        </w:rPr>
      </w:pPr>
      <w:bookmarkStart w:id="236" w:name="_Toc459213783"/>
      <w:bookmarkStart w:id="237" w:name="_Toc456107137"/>
      <w:bookmarkStart w:id="238" w:name="_Toc438654092"/>
      <w:bookmarkStart w:id="239" w:name="_Toc448480304"/>
      <w:bookmarkStart w:id="240" w:name="_Toc480465438"/>
      <w:bookmarkStart w:id="241" w:name="_Toc514178694"/>
      <w:bookmarkStart w:id="242" w:name="_Toc512611300"/>
      <w:bookmarkStart w:id="243" w:name="_Toc512612096"/>
      <w:bookmarkStart w:id="244" w:name="_Toc512612272"/>
      <w:bookmarkStart w:id="245" w:name="_Toc513658032"/>
      <w:bookmarkStart w:id="246" w:name="m507"/>
      <w:bookmarkEnd w:id="235"/>
      <w:proofErr w:type="spellStart"/>
      <w:r>
        <w:rPr>
          <w:rFonts w:hint="eastAsia"/>
        </w:rPr>
        <w:t>报告期末按公允价值占基金资产净值比例大小排名的前十名资产支持证券投资明细</w:t>
      </w:r>
      <w:bookmarkEnd w:id="236"/>
      <w:bookmarkEnd w:id="237"/>
      <w:bookmarkEnd w:id="238"/>
      <w:bookmarkEnd w:id="239"/>
      <w:bookmarkEnd w:id="240"/>
      <w:bookmarkEnd w:id="241"/>
      <w:proofErr w:type="spellEnd"/>
      <w:r>
        <w:rPr>
          <w:rFonts w:hint="eastAsia"/>
        </w:rPr>
        <w:t xml:space="preserve"> </w:t>
      </w:r>
      <w:bookmarkEnd w:id="242"/>
      <w:bookmarkEnd w:id="243"/>
      <w:bookmarkEnd w:id="244"/>
      <w:bookmarkEnd w:id="245"/>
    </w:p>
    <w:p w14:paraId="3F2F5E1E" w14:textId="77777777" w:rsidR="00B86EB8" w:rsidRDefault="00B86EB8">
      <w:pPr>
        <w:spacing w:line="360" w:lineRule="auto"/>
        <w:ind w:firstLineChars="200" w:firstLine="420"/>
        <w:jc w:val="left"/>
        <w:divId w:val="281962701"/>
      </w:pPr>
      <w:r>
        <w:rPr>
          <w:rFonts w:ascii="宋体" w:hAnsi="宋体" w:hint="eastAsia"/>
          <w:color w:val="000000"/>
          <w:szCs w:val="21"/>
          <w:lang w:eastAsia="zh-Hans"/>
        </w:rPr>
        <w:t>本基金本报告期末未持有资产支持证券。</w:t>
      </w:r>
    </w:p>
    <w:p w14:paraId="173A8688" w14:textId="77777777" w:rsidR="00B86EB8" w:rsidRDefault="00B86EB8">
      <w:pPr>
        <w:pStyle w:val="XBRLTitle2"/>
        <w:spacing w:before="156" w:line="360" w:lineRule="auto"/>
        <w:ind w:left="454"/>
        <w:rPr>
          <w:rFonts w:hint="eastAsia"/>
        </w:rPr>
      </w:pPr>
      <w:bookmarkStart w:id="247" w:name="_Toc448480305"/>
      <w:bookmarkStart w:id="248" w:name="_Toc438654093"/>
      <w:bookmarkStart w:id="249" w:name="_Toc456107138"/>
      <w:bookmarkStart w:id="250" w:name="_Toc459213784"/>
      <w:bookmarkStart w:id="251" w:name="_Toc480465439"/>
      <w:bookmarkStart w:id="252" w:name="_Toc514178695"/>
      <w:bookmarkStart w:id="253" w:name="_Toc512611301"/>
      <w:bookmarkStart w:id="254" w:name="_Toc512612097"/>
      <w:bookmarkStart w:id="255" w:name="_Toc512612273"/>
      <w:bookmarkStart w:id="256" w:name="_Toc513658033"/>
      <w:bookmarkStart w:id="257" w:name="m508"/>
      <w:bookmarkEnd w:id="246"/>
      <w:proofErr w:type="spellStart"/>
      <w:r>
        <w:rPr>
          <w:rFonts w:hint="eastAsia"/>
        </w:rPr>
        <w:t>报告期末按公允价值占基金资产净值比例大小排名的前五名金融衍生品投资明细</w:t>
      </w:r>
      <w:bookmarkEnd w:id="247"/>
      <w:bookmarkEnd w:id="248"/>
      <w:bookmarkEnd w:id="249"/>
      <w:bookmarkEnd w:id="250"/>
      <w:bookmarkEnd w:id="251"/>
      <w:bookmarkEnd w:id="252"/>
      <w:proofErr w:type="spellEnd"/>
      <w:r>
        <w:rPr>
          <w:rFonts w:hint="eastAsia"/>
        </w:rPr>
        <w:t xml:space="preserve"> </w:t>
      </w:r>
      <w:bookmarkEnd w:id="253"/>
      <w:bookmarkEnd w:id="254"/>
      <w:bookmarkEnd w:id="255"/>
      <w:bookmarkEnd w:id="256"/>
    </w:p>
    <w:p w14:paraId="3B47DCE2" w14:textId="77777777" w:rsidR="00B86EB8" w:rsidRDefault="00B86EB8">
      <w:pPr>
        <w:spacing w:line="360" w:lineRule="auto"/>
        <w:ind w:firstLineChars="200" w:firstLine="420"/>
        <w:divId w:val="590507169"/>
      </w:pPr>
      <w:bookmarkStart w:id="258"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8"/>
      <w:r>
        <w:rPr>
          <w:rFonts w:ascii="宋体" w:hAnsi="宋体" w:hint="eastAsia"/>
          <w:szCs w:val="24"/>
          <w:lang w:eastAsia="zh-Hans"/>
        </w:rPr>
        <w:t xml:space="preserve"> </w:t>
      </w:r>
    </w:p>
    <w:p w14:paraId="4EF19CE6" w14:textId="77777777" w:rsidR="00B86EB8" w:rsidRDefault="00B86EB8">
      <w:pPr>
        <w:pStyle w:val="XBRLTitle2"/>
        <w:spacing w:before="156" w:line="360" w:lineRule="auto"/>
        <w:ind w:left="454"/>
        <w:rPr>
          <w:rFonts w:hint="eastAsia"/>
        </w:rPr>
      </w:pPr>
      <w:bookmarkStart w:id="259" w:name="_Toc448480306"/>
      <w:bookmarkStart w:id="260" w:name="_Toc438654094"/>
      <w:bookmarkStart w:id="261" w:name="_Toc456107139"/>
      <w:bookmarkStart w:id="262" w:name="_Toc459213785"/>
      <w:bookmarkStart w:id="263" w:name="_Toc480465440"/>
      <w:bookmarkStart w:id="264" w:name="_Toc514178696"/>
      <w:bookmarkStart w:id="265" w:name="_Toc512611302"/>
      <w:bookmarkStart w:id="266" w:name="_Toc512612098"/>
      <w:bookmarkStart w:id="267" w:name="_Toc512612274"/>
      <w:bookmarkStart w:id="268" w:name="_Toc513658034"/>
      <w:bookmarkStart w:id="269" w:name="m509"/>
      <w:bookmarkEnd w:id="257"/>
      <w:proofErr w:type="spellStart"/>
      <w:r>
        <w:rPr>
          <w:rFonts w:hint="eastAsia"/>
        </w:rPr>
        <w:t>报告期末按公允价值占基金资产净值比例大小排序的前十名基金投资明细</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p>
    <w:p w14:paraId="261CF262" w14:textId="77777777" w:rsidR="00B86EB8" w:rsidRDefault="00B86EB8">
      <w:pPr>
        <w:spacing w:line="360" w:lineRule="auto"/>
        <w:ind w:firstLineChars="200" w:firstLine="420"/>
      </w:pPr>
      <w:bookmarkStart w:id="270" w:name="m08QD_10"/>
      <w:bookmarkEnd w:id="211"/>
      <w:r>
        <w:rPr>
          <w:rFonts w:ascii="宋体" w:hAnsi="宋体" w:hint="eastAsia"/>
          <w:szCs w:val="21"/>
          <w:lang w:eastAsia="zh-Hans"/>
        </w:rPr>
        <w:t>本基金本报告期末未持有基金。</w:t>
      </w:r>
      <w:r>
        <w:rPr>
          <w:rFonts w:ascii="宋体" w:hAnsi="宋体" w:hint="eastAsia"/>
          <w:lang w:eastAsia="zh-Hans"/>
        </w:rPr>
        <w:t xml:space="preserve"> </w:t>
      </w:r>
      <w:bookmarkEnd w:id="270"/>
      <w:bookmarkEnd w:id="155"/>
      <w:bookmarkEnd w:id="156"/>
      <w:bookmarkEnd w:id="157"/>
      <w:bookmarkEnd w:id="158"/>
    </w:p>
    <w:p w14:paraId="3F8B5060" w14:textId="77777777" w:rsidR="00B86EB8" w:rsidRDefault="00B86EB8">
      <w:pPr>
        <w:pStyle w:val="XBRLTitle2"/>
        <w:spacing w:before="156" w:line="360" w:lineRule="auto"/>
        <w:ind w:left="454"/>
        <w:rPr>
          <w:rFonts w:hint="eastAsia"/>
        </w:rPr>
      </w:pPr>
      <w:bookmarkStart w:id="271" w:name="_Toc448480307"/>
      <w:bookmarkStart w:id="272" w:name="_Toc438654095"/>
      <w:bookmarkStart w:id="273" w:name="_Toc456107140"/>
      <w:bookmarkStart w:id="274" w:name="_Toc459213786"/>
      <w:bookmarkStart w:id="275" w:name="_Toc480465441"/>
      <w:bookmarkStart w:id="276" w:name="_Toc512611303"/>
      <w:bookmarkStart w:id="277" w:name="_Toc512612099"/>
      <w:bookmarkStart w:id="278" w:name="_Toc512612275"/>
      <w:bookmarkStart w:id="279" w:name="_Toc513658035"/>
      <w:bookmarkStart w:id="280" w:name="_Toc514178697"/>
      <w:bookmarkEnd w:id="269"/>
      <w:proofErr w:type="spellStart"/>
      <w:r>
        <w:rPr>
          <w:rFonts w:hint="eastAsia"/>
        </w:rPr>
        <w:t>投资组合报告附注</w:t>
      </w:r>
      <w:bookmarkEnd w:id="271"/>
      <w:bookmarkEnd w:id="272"/>
      <w:bookmarkEnd w:id="273"/>
      <w:bookmarkEnd w:id="274"/>
      <w:bookmarkEnd w:id="275"/>
      <w:bookmarkEnd w:id="276"/>
      <w:bookmarkEnd w:id="277"/>
      <w:bookmarkEnd w:id="278"/>
      <w:bookmarkEnd w:id="279"/>
      <w:bookmarkEnd w:id="280"/>
      <w:proofErr w:type="spellEnd"/>
      <w:r>
        <w:rPr>
          <w:rFonts w:hint="eastAsia"/>
        </w:rPr>
        <w:t xml:space="preserve"> </w:t>
      </w:r>
    </w:p>
    <w:p w14:paraId="69F58882" w14:textId="77777777" w:rsidR="00FE1FBC" w:rsidRDefault="00B86EB8">
      <w:pPr>
        <w:pStyle w:val="XBRLTitle3"/>
        <w:spacing w:before="156"/>
        <w:ind w:left="0"/>
        <w:rPr>
          <w:rFonts w:hint="eastAsia"/>
        </w:rPr>
      </w:pPr>
      <w:bookmarkStart w:id="281" w:name="m510_01_1597"/>
      <w:r>
        <w:rPr>
          <w:rFonts w:hint="eastAsia"/>
          <w:lang w:eastAsia="zh-CN"/>
        </w:rPr>
        <w:t xml:space="preserve"> </w:t>
      </w:r>
      <w:bookmarkStart w:id="282" w:name="_Toc514088270"/>
      <w:bookmarkStart w:id="283" w:name="_Toc513542671"/>
      <w:bookmarkStart w:id="284" w:name="_Toc480465442"/>
      <w:bookmarkEnd w:id="282"/>
      <w:bookmarkEnd w:id="283"/>
      <w:bookmarkEnd w:id="284"/>
      <w:r>
        <w:rPr>
          <w:rFonts w:hint="eastAsia"/>
        </w:rPr>
        <w:t xml:space="preserve"> </w:t>
      </w:r>
    </w:p>
    <w:p w14:paraId="5E97443F" w14:textId="48C28859" w:rsidR="00B86EB8" w:rsidRDefault="00FE1FBC" w:rsidP="00FE1FBC">
      <w:pPr>
        <w:pStyle w:val="XBRLTitle3"/>
        <w:numPr>
          <w:ilvl w:val="0"/>
          <w:numId w:val="0"/>
        </w:numPr>
        <w:spacing w:before="156"/>
        <w:ind w:firstLine="420"/>
        <w:rPr>
          <w:rFonts w:hint="eastAsia"/>
        </w:rPr>
      </w:pPr>
      <w:r w:rsidRPr="00FE1FBC">
        <w:rPr>
          <w:rFonts w:hint="eastAsia"/>
          <w:b w:val="0"/>
          <w:bCs w:val="0"/>
          <w:kern w:val="2"/>
          <w:sz w:val="21"/>
          <w:szCs w:val="20"/>
          <w:lang w:val="en-US" w:eastAsia="zh-CN"/>
        </w:rPr>
        <w:t>报告期内，本基金投资决策程序符合相关法律法规的要求，未发现本基金投资的前十名证券的发行主体本期出现被监管部门立案调查，或者在报告编制日前一年内受到公开谴责、处罚的情形。</w:t>
      </w:r>
    </w:p>
    <w:p w14:paraId="6C2208C4" w14:textId="77777777" w:rsidR="00B86EB8" w:rsidRDefault="00B86EB8">
      <w:pPr>
        <w:pStyle w:val="XBRLTitle3"/>
        <w:spacing w:before="156"/>
        <w:ind w:left="0"/>
        <w:rPr>
          <w:rFonts w:hint="eastAsia"/>
        </w:rPr>
      </w:pPr>
      <w:bookmarkStart w:id="285" w:name="m510_01_1598"/>
      <w:bookmarkEnd w:id="281"/>
      <w:r>
        <w:rPr>
          <w:rFonts w:hint="eastAsia"/>
          <w:lang w:eastAsia="zh-CN"/>
        </w:rPr>
        <w:t xml:space="preserve"> </w:t>
      </w:r>
      <w:bookmarkStart w:id="286" w:name="_Toc514088271"/>
      <w:bookmarkStart w:id="287" w:name="_Toc513542672"/>
      <w:bookmarkStart w:id="288" w:name="_Toc480465443"/>
      <w:bookmarkEnd w:id="286"/>
      <w:bookmarkEnd w:id="287"/>
      <w:bookmarkEnd w:id="288"/>
      <w:r>
        <w:rPr>
          <w:rFonts w:hint="eastAsia"/>
        </w:rPr>
        <w:t xml:space="preserve"> </w:t>
      </w:r>
    </w:p>
    <w:p w14:paraId="70B725E9" w14:textId="77777777" w:rsidR="00B86EB8" w:rsidRDefault="00B86EB8">
      <w:pPr>
        <w:spacing w:line="360" w:lineRule="auto"/>
        <w:ind w:firstLineChars="200" w:firstLine="420"/>
      </w:pPr>
      <w:r>
        <w:rPr>
          <w:rFonts w:ascii="宋体" w:hAnsi="宋体" w:hint="eastAsia"/>
        </w:rPr>
        <w:t>报告期内本基金投资的前十名股票中没有在基金合同规定备选股票库之外的股票。</w:t>
      </w:r>
    </w:p>
    <w:p w14:paraId="3D364C43" w14:textId="77777777" w:rsidR="00B86EB8" w:rsidRDefault="00B86EB8">
      <w:pPr>
        <w:pStyle w:val="XBRLTitle3"/>
        <w:spacing w:before="156"/>
        <w:ind w:left="0"/>
        <w:rPr>
          <w:rFonts w:hint="eastAsia"/>
        </w:rPr>
      </w:pPr>
      <w:bookmarkStart w:id="289" w:name="_Toc480465444"/>
      <w:bookmarkStart w:id="290" w:name="_Toc514178700"/>
      <w:bookmarkStart w:id="291" w:name="_Toc513658038"/>
      <w:bookmarkStart w:id="292" w:name="m510_02"/>
      <w:bookmarkEnd w:id="285"/>
      <w:proofErr w:type="spellStart"/>
      <w:r>
        <w:rPr>
          <w:rFonts w:hint="eastAsia"/>
        </w:rPr>
        <w:t>其他资产构成</w:t>
      </w:r>
      <w:bookmarkEnd w:id="289"/>
      <w:bookmarkEnd w:id="290"/>
      <w:proofErr w:type="spellEnd"/>
      <w:r>
        <w:rPr>
          <w:rFonts w:hint="eastAsia"/>
        </w:rPr>
        <w:t xml:space="preserve"> </w:t>
      </w:r>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020A8" w14:paraId="58E6ED4F" w14:textId="77777777">
        <w:trPr>
          <w:divId w:val="41486205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8807A" w14:textId="77777777" w:rsidR="00B86EB8" w:rsidRDefault="00B86EB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5B5DE" w14:textId="77777777" w:rsidR="00B86EB8" w:rsidRDefault="00B86EB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ECE8E" w14:textId="77777777" w:rsidR="00B86EB8" w:rsidRDefault="00B86EB8">
            <w:pPr>
              <w:jc w:val="center"/>
            </w:pPr>
            <w:r>
              <w:rPr>
                <w:rFonts w:ascii="宋体" w:hAnsi="宋体" w:hint="eastAsia"/>
              </w:rPr>
              <w:t>金额（人民币元）</w:t>
            </w:r>
            <w:r>
              <w:t xml:space="preserve"> </w:t>
            </w:r>
          </w:p>
        </w:tc>
      </w:tr>
      <w:tr w:rsidR="007020A8" w14:paraId="7FBF96DE"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AD3BB" w14:textId="77777777" w:rsidR="00B86EB8" w:rsidRDefault="00B86EB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97338" w14:textId="77777777" w:rsidR="00B86EB8" w:rsidRDefault="00B86EB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5ED5B" w14:textId="77777777" w:rsidR="00B86EB8" w:rsidRDefault="00B86EB8">
            <w:pPr>
              <w:jc w:val="right"/>
            </w:pPr>
            <w:r>
              <w:rPr>
                <w:rFonts w:ascii="宋体" w:hAnsi="宋体" w:hint="eastAsia"/>
              </w:rPr>
              <w:t>-</w:t>
            </w:r>
          </w:p>
        </w:tc>
      </w:tr>
      <w:tr w:rsidR="007020A8" w14:paraId="05417309"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BC88B" w14:textId="77777777" w:rsidR="00B86EB8" w:rsidRDefault="00B86EB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96D1E" w14:textId="77777777" w:rsidR="00B86EB8" w:rsidRDefault="00B86EB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BCBAE" w14:textId="77777777" w:rsidR="00B86EB8" w:rsidRDefault="00B86EB8">
            <w:pPr>
              <w:jc w:val="right"/>
            </w:pPr>
            <w:r>
              <w:rPr>
                <w:rFonts w:ascii="宋体" w:hAnsi="宋体" w:hint="eastAsia"/>
              </w:rPr>
              <w:t>-</w:t>
            </w:r>
          </w:p>
        </w:tc>
      </w:tr>
      <w:tr w:rsidR="007020A8" w14:paraId="5726D21C"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6D9CF" w14:textId="77777777" w:rsidR="00B86EB8" w:rsidRDefault="00B86EB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EB418" w14:textId="77777777" w:rsidR="00B86EB8" w:rsidRDefault="00B86EB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FDD3B" w14:textId="77777777" w:rsidR="00B86EB8" w:rsidRDefault="00B86EB8">
            <w:pPr>
              <w:jc w:val="right"/>
            </w:pPr>
            <w:r>
              <w:rPr>
                <w:rFonts w:ascii="宋体" w:hAnsi="宋体" w:hint="eastAsia"/>
              </w:rPr>
              <w:t>1,558,133.80</w:t>
            </w:r>
          </w:p>
        </w:tc>
      </w:tr>
      <w:tr w:rsidR="007020A8" w14:paraId="10D5DE11"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7666D" w14:textId="77777777" w:rsidR="00B86EB8" w:rsidRDefault="00B86EB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10671" w14:textId="77777777" w:rsidR="00B86EB8" w:rsidRDefault="00B86EB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0E249" w14:textId="77777777" w:rsidR="00B86EB8" w:rsidRDefault="00B86EB8">
            <w:pPr>
              <w:jc w:val="right"/>
            </w:pPr>
            <w:r>
              <w:rPr>
                <w:rFonts w:ascii="宋体" w:hAnsi="宋体" w:hint="eastAsia"/>
              </w:rPr>
              <w:t>-</w:t>
            </w:r>
          </w:p>
        </w:tc>
      </w:tr>
      <w:tr w:rsidR="007020A8" w14:paraId="1A90F6C3"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4F9F4" w14:textId="77777777" w:rsidR="00B86EB8" w:rsidRDefault="00B86EB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6064A" w14:textId="77777777" w:rsidR="00B86EB8" w:rsidRDefault="00B86EB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C4071" w14:textId="77777777" w:rsidR="00B86EB8" w:rsidRDefault="00B86EB8">
            <w:pPr>
              <w:jc w:val="right"/>
            </w:pPr>
            <w:r>
              <w:rPr>
                <w:rFonts w:ascii="宋体" w:hAnsi="宋体" w:hint="eastAsia"/>
              </w:rPr>
              <w:t>61,608,696.46</w:t>
            </w:r>
          </w:p>
        </w:tc>
      </w:tr>
      <w:tr w:rsidR="007020A8" w14:paraId="55C4B58A"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743CC" w14:textId="77777777" w:rsidR="00B86EB8" w:rsidRDefault="00B86EB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0C25A" w14:textId="77777777" w:rsidR="00B86EB8" w:rsidRDefault="00B86EB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CB6FD" w14:textId="77777777" w:rsidR="00B86EB8" w:rsidRDefault="00B86EB8">
            <w:pPr>
              <w:jc w:val="right"/>
            </w:pPr>
            <w:r>
              <w:rPr>
                <w:rFonts w:ascii="宋体" w:hAnsi="宋体" w:hint="eastAsia"/>
              </w:rPr>
              <w:t>-</w:t>
            </w:r>
          </w:p>
        </w:tc>
      </w:tr>
      <w:tr w:rsidR="007020A8" w14:paraId="2E37609D"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560B9" w14:textId="77777777" w:rsidR="00B86EB8" w:rsidRDefault="00B86EB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C8123" w14:textId="77777777" w:rsidR="00B86EB8" w:rsidRDefault="00B86EB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2CCCB" w14:textId="77777777" w:rsidR="00B86EB8" w:rsidRDefault="00B86EB8">
            <w:pPr>
              <w:jc w:val="right"/>
            </w:pPr>
            <w:r>
              <w:rPr>
                <w:rFonts w:ascii="宋体" w:hAnsi="宋体" w:hint="eastAsia"/>
              </w:rPr>
              <w:t>-</w:t>
            </w:r>
          </w:p>
        </w:tc>
      </w:tr>
      <w:tr w:rsidR="007020A8" w14:paraId="5B63645C" w14:textId="77777777">
        <w:trPr>
          <w:divId w:val="41486205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22AD9" w14:textId="77777777" w:rsidR="00B86EB8" w:rsidRDefault="00B86EB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28912" w14:textId="77777777" w:rsidR="00B86EB8" w:rsidRDefault="00B86EB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140E5" w14:textId="77777777" w:rsidR="00B86EB8" w:rsidRDefault="00B86EB8">
            <w:pPr>
              <w:jc w:val="right"/>
            </w:pPr>
            <w:r>
              <w:rPr>
                <w:rFonts w:ascii="宋体" w:hAnsi="宋体" w:hint="eastAsia"/>
              </w:rPr>
              <w:t>63,166,830.26</w:t>
            </w:r>
          </w:p>
        </w:tc>
      </w:tr>
    </w:tbl>
    <w:p w14:paraId="0F0E0F17" w14:textId="77777777" w:rsidR="00B86EB8" w:rsidRDefault="00B86EB8">
      <w:pPr>
        <w:pStyle w:val="XBRLTitle3"/>
        <w:spacing w:before="156"/>
        <w:ind w:left="0"/>
        <w:rPr>
          <w:rFonts w:hint="eastAsia"/>
        </w:rPr>
      </w:pPr>
      <w:bookmarkStart w:id="293" w:name="_Toc480465445"/>
      <w:bookmarkStart w:id="294" w:name="_Toc514178701"/>
      <w:bookmarkStart w:id="295" w:name="_Toc513658039"/>
      <w:bookmarkStart w:id="296" w:name="m510_03"/>
      <w:bookmarkEnd w:id="292"/>
      <w:proofErr w:type="spellStart"/>
      <w:r>
        <w:rPr>
          <w:rFonts w:hint="eastAsia"/>
        </w:rPr>
        <w:t>报告期末持有的处于转股期的可转换债券明细</w:t>
      </w:r>
      <w:bookmarkEnd w:id="293"/>
      <w:bookmarkEnd w:id="294"/>
      <w:proofErr w:type="spellEnd"/>
      <w:r>
        <w:rPr>
          <w:rFonts w:hint="eastAsia"/>
        </w:rPr>
        <w:t xml:space="preserve"> </w:t>
      </w:r>
      <w:bookmarkEnd w:id="295"/>
    </w:p>
    <w:p w14:paraId="2965ADE3" w14:textId="77777777" w:rsidR="00B86EB8" w:rsidRDefault="00B86EB8">
      <w:pPr>
        <w:spacing w:line="360" w:lineRule="auto"/>
        <w:ind w:firstLineChars="200" w:firstLine="420"/>
        <w:jc w:val="left"/>
        <w:divId w:val="1176920456"/>
      </w:pPr>
      <w:r>
        <w:rPr>
          <w:rFonts w:ascii="宋体" w:hAnsi="宋体" w:hint="eastAsia"/>
        </w:rPr>
        <w:t xml:space="preserve">本基金本报告期末未持有处于转股期的可转换债券。 </w:t>
      </w:r>
    </w:p>
    <w:p w14:paraId="3CCCB0B6" w14:textId="77777777" w:rsidR="00B86EB8" w:rsidRDefault="00B86EB8">
      <w:pPr>
        <w:pStyle w:val="XBRLTitle3"/>
        <w:spacing w:before="156"/>
        <w:ind w:left="0"/>
        <w:rPr>
          <w:rFonts w:hint="eastAsia"/>
        </w:rPr>
      </w:pPr>
      <w:bookmarkStart w:id="297" w:name="_Toc480465446"/>
      <w:bookmarkStart w:id="298" w:name="_Toc513658040"/>
      <w:bookmarkStart w:id="299" w:name="_Toc514178702"/>
      <w:bookmarkStart w:id="300" w:name="m510_04"/>
      <w:bookmarkEnd w:id="296"/>
      <w:proofErr w:type="spellStart"/>
      <w:r>
        <w:rPr>
          <w:rFonts w:hint="eastAsia"/>
        </w:rPr>
        <w:t>报告期末前十名股票中存在流通受限情况的说明</w:t>
      </w:r>
      <w:bookmarkEnd w:id="297"/>
      <w:bookmarkEnd w:id="298"/>
      <w:bookmarkEnd w:id="299"/>
      <w:proofErr w:type="spellEnd"/>
    </w:p>
    <w:p w14:paraId="13A40864" w14:textId="77777777" w:rsidR="00B86EB8" w:rsidRDefault="00B86EB8">
      <w:pPr>
        <w:pStyle w:val="XBRLTitle4"/>
        <w:numPr>
          <w:ilvl w:val="0"/>
          <w:numId w:val="0"/>
        </w:numPr>
        <w:spacing w:before="156"/>
        <w:rPr>
          <w:rFonts w:hint="eastAsia"/>
        </w:rPr>
      </w:pPr>
      <w:bookmarkStart w:id="301" w:name="_Toc513658041"/>
      <w:bookmarkStart w:id="302" w:name="_Toc514178703"/>
      <w:r>
        <w:rPr>
          <w:rFonts w:hint="eastAsia"/>
        </w:rPr>
        <w:t xml:space="preserve">5.10.5.1 </w:t>
      </w:r>
      <w:proofErr w:type="spellStart"/>
      <w:r>
        <w:rPr>
          <w:rFonts w:hint="eastAsia"/>
        </w:rPr>
        <w:t>报告期末指数投资前十名股票中存在流通受限情况的说明</w:t>
      </w:r>
      <w:bookmarkEnd w:id="301"/>
      <w:bookmarkEnd w:id="302"/>
      <w:proofErr w:type="spellEnd"/>
      <w:r>
        <w:rPr>
          <w:rFonts w:hint="eastAsia"/>
        </w:rPr>
        <w:t xml:space="preserve"> </w:t>
      </w:r>
    </w:p>
    <w:p w14:paraId="16E2A8BE" w14:textId="77777777" w:rsidR="00B86EB8" w:rsidRDefault="00B86EB8">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10702E49" w14:textId="77777777" w:rsidR="00B86EB8" w:rsidRDefault="00B86EB8">
      <w:pPr>
        <w:pStyle w:val="XBRLTitle4"/>
        <w:numPr>
          <w:ilvl w:val="0"/>
          <w:numId w:val="0"/>
        </w:numPr>
        <w:spacing w:before="156"/>
        <w:rPr>
          <w:rFonts w:hint="eastAsia"/>
        </w:rPr>
      </w:pPr>
      <w:bookmarkStart w:id="303" w:name="_Toc513658042"/>
      <w:bookmarkStart w:id="304" w:name="_Toc514178704"/>
      <w:r>
        <w:rPr>
          <w:rFonts w:hint="eastAsia"/>
        </w:rPr>
        <w:t xml:space="preserve">5.10.5.2 </w:t>
      </w:r>
      <w:proofErr w:type="spellStart"/>
      <w:r>
        <w:rPr>
          <w:rFonts w:hint="eastAsia"/>
        </w:rPr>
        <w:t>报告期末积极投资前五名股票中存在流通受限情况的说明</w:t>
      </w:r>
      <w:bookmarkEnd w:id="303"/>
      <w:bookmarkEnd w:id="304"/>
      <w:proofErr w:type="spellEnd"/>
      <w:r>
        <w:rPr>
          <w:rFonts w:hint="eastAsia"/>
        </w:rPr>
        <w:t xml:space="preserve"> </w:t>
      </w:r>
    </w:p>
    <w:p w14:paraId="3AAC4EE8" w14:textId="77777777" w:rsidR="00B86EB8" w:rsidRDefault="00B86EB8">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7F5BF072" w14:textId="77777777" w:rsidR="00B86EB8" w:rsidRDefault="00B86EB8">
      <w:pPr>
        <w:pStyle w:val="XBRLTitle3"/>
        <w:spacing w:before="156"/>
        <w:ind w:left="0"/>
        <w:rPr>
          <w:rFonts w:hint="eastAsia"/>
        </w:rPr>
      </w:pPr>
      <w:bookmarkStart w:id="305" w:name="_Toc480465447"/>
      <w:bookmarkStart w:id="306" w:name="_Toc513658043"/>
      <w:bookmarkStart w:id="307" w:name="_Toc514178705"/>
      <w:bookmarkEnd w:id="300"/>
      <w:proofErr w:type="spellStart"/>
      <w:r>
        <w:rPr>
          <w:rFonts w:hint="eastAsia"/>
        </w:rPr>
        <w:t>投资组合报告附注的其他文字描述部分</w:t>
      </w:r>
      <w:bookmarkEnd w:id="305"/>
      <w:bookmarkEnd w:id="306"/>
      <w:bookmarkEnd w:id="307"/>
      <w:proofErr w:type="spellEnd"/>
    </w:p>
    <w:p w14:paraId="05244146" w14:textId="77777777" w:rsidR="00B86EB8" w:rsidRDefault="00B86EB8">
      <w:pPr>
        <w:spacing w:line="360" w:lineRule="auto"/>
        <w:ind w:firstLineChars="200" w:firstLine="420"/>
        <w:jc w:val="left"/>
      </w:pPr>
      <w:r>
        <w:rPr>
          <w:rFonts w:ascii="宋体" w:hAnsi="宋体" w:hint="eastAsia"/>
        </w:rPr>
        <w:t>因四舍五入原因，投资组合报告中分项之和与合计可能存在尾差。</w:t>
      </w:r>
    </w:p>
    <w:p w14:paraId="5AE8D7A5" w14:textId="77777777" w:rsidR="00B86EB8" w:rsidRDefault="00B86EB8">
      <w:pPr>
        <w:pStyle w:val="XBRLTitle1"/>
        <w:spacing w:before="156" w:line="360" w:lineRule="auto"/>
        <w:ind w:left="425"/>
        <w:rPr>
          <w:rFonts w:hint="eastAsia"/>
        </w:rPr>
      </w:pPr>
      <w:bookmarkStart w:id="308" w:name="_Toc514178706"/>
      <w:proofErr w:type="spellStart"/>
      <w:r>
        <w:rPr>
          <w:rFonts w:hint="eastAsia"/>
        </w:rPr>
        <w:t>开放式基金份额变动</w:t>
      </w:r>
      <w:bookmarkStart w:id="309" w:name="m601_tab"/>
      <w:bookmarkEnd w:id="308"/>
      <w:bookmarkEnd w:id="149"/>
      <w:bookmarkEnd w:id="150"/>
      <w:bookmarkEnd w:id="151"/>
      <w:bookmarkEnd w:id="152"/>
      <w:proofErr w:type="spellEnd"/>
    </w:p>
    <w:p w14:paraId="31A5BE24" w14:textId="77777777" w:rsidR="00B86EB8" w:rsidRDefault="00B86EB8">
      <w:pPr>
        <w:wordWrap w:val="0"/>
        <w:spacing w:line="360" w:lineRule="auto"/>
        <w:jc w:val="right"/>
      </w:pPr>
      <w:bookmarkStart w:id="310"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7020A8" w14:paraId="1DB6EEA0"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E7C45D1" w14:textId="77777777" w:rsidR="00B86EB8" w:rsidRDefault="00B86EB8">
            <w:pPr>
              <w:pStyle w:val="xl33"/>
              <w:widowControl w:val="0"/>
              <w:pBdr>
                <w:left w:val="none" w:sz="0" w:space="0" w:color="auto"/>
                <w:bottom w:val="none" w:sz="0" w:space="0" w:color="auto"/>
                <w:right w:val="none" w:sz="0" w:space="0" w:color="auto"/>
              </w:pBdr>
              <w:spacing w:before="0" w:beforeAutospacing="0" w:after="0" w:afterAutospacing="0"/>
              <w:jc w:val="both"/>
            </w:pPr>
            <w:bookmarkStart w:id="311" w:name="m10_01" w:colFirst="1" w:colLast="2"/>
            <w:bookmarkEnd w:id="310"/>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F3B7E" w14:textId="77777777" w:rsidR="00B86EB8" w:rsidRDefault="00B86EB8">
            <w:pPr>
              <w:ind w:right="3"/>
              <w:jc w:val="center"/>
            </w:pPr>
            <w:r>
              <w:rPr>
                <w:rFonts w:ascii="宋体" w:hAnsi="宋体" w:hint="eastAsia"/>
                <w:lang w:eastAsia="zh-Hans"/>
              </w:rPr>
              <w:t>摩根标普500指数(QDII)人民币A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EA1F13" w14:textId="77777777" w:rsidR="00B86EB8" w:rsidRDefault="00B86EB8">
            <w:pPr>
              <w:ind w:right="3"/>
              <w:jc w:val="center"/>
            </w:pPr>
            <w:r>
              <w:rPr>
                <w:rFonts w:ascii="宋体" w:hAnsi="宋体" w:hint="eastAsia"/>
                <w:lang w:eastAsia="zh-Hans"/>
              </w:rPr>
              <w:t>摩根标普500指数(QDII)人民币C</w:t>
            </w:r>
            <w:r>
              <w:rPr>
                <w:rFonts w:ascii="宋体" w:hAnsi="宋体" w:hint="eastAsia"/>
                <w:kern w:val="0"/>
                <w:szCs w:val="24"/>
                <w:lang w:eastAsia="zh-Hans"/>
              </w:rPr>
              <w:t xml:space="preserve"> </w:t>
            </w:r>
          </w:p>
        </w:tc>
      </w:tr>
      <w:tr w:rsidR="007020A8" w14:paraId="70A274C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ED37FC" w14:textId="77777777" w:rsidR="00B86EB8" w:rsidRDefault="00B86E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97970" w14:textId="77777777" w:rsidR="00B86EB8" w:rsidRDefault="00B86EB8">
            <w:pPr>
              <w:jc w:val="right"/>
            </w:pPr>
            <w:r>
              <w:rPr>
                <w:rFonts w:ascii="宋体" w:hAnsi="宋体" w:hint="eastAsia"/>
              </w:rPr>
              <w:t>1,259,534,646.43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4B50D" w14:textId="77777777" w:rsidR="00B86EB8" w:rsidRDefault="00B86EB8">
            <w:pPr>
              <w:jc w:val="right"/>
            </w:pPr>
            <w:r>
              <w:rPr>
                <w:rFonts w:ascii="宋体" w:hAnsi="宋体" w:hint="eastAsia"/>
              </w:rPr>
              <w:t>532,677,267.52</w:t>
            </w:r>
          </w:p>
        </w:tc>
      </w:tr>
      <w:tr w:rsidR="007020A8" w14:paraId="524EC40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6629CB" w14:textId="77777777" w:rsidR="00B86EB8" w:rsidRDefault="00B86E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5E1934" w14:textId="77777777" w:rsidR="00B86EB8" w:rsidRDefault="00B86EB8">
            <w:pPr>
              <w:jc w:val="right"/>
            </w:pPr>
            <w:r>
              <w:rPr>
                <w:rFonts w:ascii="宋体" w:hAnsi="宋体" w:hint="eastAsia"/>
              </w:rPr>
              <w:t>869,094,058.99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F9AC2B" w14:textId="77777777" w:rsidR="00B86EB8" w:rsidRDefault="00B86EB8">
            <w:pPr>
              <w:jc w:val="right"/>
            </w:pPr>
            <w:r>
              <w:rPr>
                <w:rFonts w:ascii="宋体" w:hAnsi="宋体" w:hint="eastAsia"/>
              </w:rPr>
              <w:t>448,308,419.88</w:t>
            </w:r>
          </w:p>
        </w:tc>
      </w:tr>
      <w:tr w:rsidR="007020A8" w14:paraId="0DBEED3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C2917D" w14:textId="77777777" w:rsidR="00B86EB8" w:rsidRDefault="00B86E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43F8D" w14:textId="77777777" w:rsidR="00B86EB8" w:rsidRDefault="00B86EB8">
            <w:pPr>
              <w:jc w:val="right"/>
            </w:pPr>
            <w:r>
              <w:rPr>
                <w:rFonts w:ascii="宋体" w:hAnsi="宋体" w:hint="eastAsia"/>
              </w:rPr>
              <w:t>119,136,601.55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16E794" w14:textId="77777777" w:rsidR="00B86EB8" w:rsidRDefault="00B86EB8">
            <w:pPr>
              <w:jc w:val="right"/>
            </w:pPr>
            <w:r>
              <w:rPr>
                <w:rFonts w:ascii="宋体" w:hAnsi="宋体" w:hint="eastAsia"/>
              </w:rPr>
              <w:t>106,635,946.40</w:t>
            </w:r>
          </w:p>
        </w:tc>
      </w:tr>
      <w:tr w:rsidR="007020A8" w14:paraId="787B098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EFF4A" w14:textId="77777777" w:rsidR="00B86EB8" w:rsidRDefault="00B86E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B4AF73" w14:textId="77777777" w:rsidR="00B86EB8" w:rsidRDefault="00B86EB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BB821B" w14:textId="77777777" w:rsidR="00B86EB8" w:rsidRDefault="00B86EB8">
            <w:pPr>
              <w:jc w:val="right"/>
            </w:pPr>
            <w:r>
              <w:rPr>
                <w:rFonts w:ascii="宋体" w:hAnsi="宋体" w:hint="eastAsia"/>
              </w:rPr>
              <w:t>-</w:t>
            </w:r>
          </w:p>
        </w:tc>
      </w:tr>
      <w:tr w:rsidR="007020A8" w14:paraId="29432B4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9FB21" w14:textId="77777777" w:rsidR="00B86EB8" w:rsidRDefault="00B86E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3EE8B" w14:textId="77777777" w:rsidR="00B86EB8" w:rsidRDefault="00B86EB8">
            <w:pPr>
              <w:jc w:val="right"/>
            </w:pPr>
            <w:r>
              <w:rPr>
                <w:rFonts w:ascii="宋体" w:hAnsi="宋体" w:hint="eastAsia"/>
              </w:rPr>
              <w:t>2,009,492,103.87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32FDE5" w14:textId="77777777" w:rsidR="00B86EB8" w:rsidRDefault="00B86EB8">
            <w:pPr>
              <w:jc w:val="right"/>
            </w:pPr>
            <w:r>
              <w:rPr>
                <w:rFonts w:ascii="宋体" w:hAnsi="宋体" w:hint="eastAsia"/>
              </w:rPr>
              <w:t>874,349,741.00</w:t>
            </w:r>
          </w:p>
        </w:tc>
      </w:tr>
    </w:tbl>
    <w:p w14:paraId="10DF6091" w14:textId="77777777" w:rsidR="00B86EB8" w:rsidRDefault="00B86EB8">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1"/>
      <w:r>
        <w:rPr>
          <w:rFonts w:ascii="宋体" w:hAnsi="宋体" w:hint="eastAsia"/>
        </w:rPr>
        <w:t xml:space="preserve"> </w:t>
      </w:r>
    </w:p>
    <w:p w14:paraId="64884921" w14:textId="77777777" w:rsidR="00B86EB8" w:rsidRDefault="00B86EB8">
      <w:pPr>
        <w:pStyle w:val="XBRLTitle1"/>
        <w:spacing w:before="156" w:line="360" w:lineRule="auto"/>
        <w:ind w:left="425"/>
        <w:rPr>
          <w:rFonts w:hint="eastAsia"/>
        </w:rPr>
      </w:pPr>
      <w:bookmarkStart w:id="312" w:name="m7manage01"/>
      <w:bookmarkStart w:id="313" w:name="_Toc512519522"/>
      <w:bookmarkStart w:id="314" w:name="_Toc481075090"/>
      <w:bookmarkStart w:id="315" w:name="_Toc438646478"/>
      <w:bookmarkStart w:id="316" w:name="_Toc490050043"/>
      <w:bookmarkStart w:id="317" w:name="_Toc514178707"/>
      <w:bookmarkEnd w:id="153"/>
      <w:bookmarkEnd w:id="309"/>
      <w:proofErr w:type="spellStart"/>
      <w:r>
        <w:rPr>
          <w:rFonts w:hint="eastAsia"/>
        </w:rPr>
        <w:t>基金管理人运用固有资金投资本基金交易明细</w:t>
      </w:r>
      <w:bookmarkEnd w:id="312"/>
      <w:bookmarkEnd w:id="313"/>
      <w:bookmarkEnd w:id="314"/>
      <w:bookmarkEnd w:id="315"/>
      <w:bookmarkEnd w:id="316"/>
      <w:bookmarkEnd w:id="317"/>
      <w:proofErr w:type="spellEnd"/>
      <w:r>
        <w:rPr>
          <w:rFonts w:hint="eastAsia"/>
        </w:rPr>
        <w:t xml:space="preserve"> </w:t>
      </w:r>
    </w:p>
    <w:p w14:paraId="5B6A6881" w14:textId="77777777" w:rsidR="00B86EB8" w:rsidRDefault="00B86EB8">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C37FDD3" w14:textId="77777777" w:rsidR="00B86EB8" w:rsidRDefault="00B86EB8">
      <w:pPr>
        <w:pStyle w:val="XBRLTitle1"/>
        <w:spacing w:before="156" w:line="360" w:lineRule="auto"/>
        <w:ind w:left="425"/>
        <w:rPr>
          <w:rFonts w:hint="eastAsia"/>
        </w:rPr>
      </w:pPr>
      <w:bookmarkStart w:id="318" w:name="_Toc513295937"/>
      <w:bookmarkStart w:id="319" w:name="_Toc513295874"/>
      <w:bookmarkStart w:id="320" w:name="_Toc490050053"/>
      <w:bookmarkStart w:id="321" w:name="_Toc481074873"/>
      <w:bookmarkStart w:id="322" w:name="_Toc512519525"/>
      <w:bookmarkStart w:id="323" w:name="_Toc514507557"/>
      <w:proofErr w:type="spellStart"/>
      <w:r>
        <w:rPr>
          <w:rFonts w:hint="eastAsia"/>
        </w:rPr>
        <w:t>报告期末发起式基金发起资金持有份额情况</w:t>
      </w:r>
      <w:bookmarkEnd w:id="318"/>
      <w:bookmarkEnd w:id="319"/>
      <w:bookmarkEnd w:id="320"/>
      <w:bookmarkEnd w:id="321"/>
      <w:bookmarkEnd w:id="322"/>
      <w:bookmarkEnd w:id="32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7020A8" w14:paraId="787A21DD" w14:textId="77777777">
        <w:trPr>
          <w:divId w:val="423649790"/>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113CC7" w14:textId="77777777" w:rsidR="00B86EB8" w:rsidRDefault="00B86EB8">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556FD0" w14:textId="77777777" w:rsidR="00B86EB8" w:rsidRDefault="00B86EB8">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AF7062" w14:textId="77777777" w:rsidR="00B86EB8" w:rsidRDefault="00B86EB8">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770FB5" w14:textId="77777777" w:rsidR="00B86EB8" w:rsidRDefault="00B86EB8">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A25DC2" w14:textId="77777777" w:rsidR="00B86EB8" w:rsidRDefault="00B86EB8">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F3AE80" w14:textId="77777777" w:rsidR="00B86EB8" w:rsidRDefault="00B86EB8">
            <w:pPr>
              <w:jc w:val="center"/>
            </w:pPr>
            <w:r>
              <w:rPr>
                <w:rFonts w:hint="eastAsia"/>
                <w:color w:val="000000"/>
                <w:szCs w:val="21"/>
              </w:rPr>
              <w:t>发起份额承诺持有期限</w:t>
            </w:r>
            <w:r>
              <w:rPr>
                <w:rFonts w:ascii="宋体" w:hAnsi="宋体" w:hint="eastAsia"/>
                <w:color w:val="000000"/>
              </w:rPr>
              <w:t xml:space="preserve"> </w:t>
            </w:r>
          </w:p>
        </w:tc>
      </w:tr>
      <w:tr w:rsidR="007020A8" w14:paraId="26A146A6" w14:textId="77777777">
        <w:trPr>
          <w:divId w:val="42364979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72126D" w14:textId="77777777" w:rsidR="00B86EB8" w:rsidRDefault="00B86EB8">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398BE2" w14:textId="77777777" w:rsidR="00B86EB8" w:rsidRDefault="00B86EB8">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B81DFE" w14:textId="77777777" w:rsidR="00B86EB8" w:rsidRDefault="00B86EB8">
            <w:pPr>
              <w:widowControl/>
              <w:jc w:val="right"/>
            </w:pPr>
            <w:r>
              <w:rPr>
                <w:rFonts w:ascii="宋体" w:hAnsi="宋体" w:hint="eastAsia"/>
                <w:color w:val="000000"/>
                <w:szCs w:val="21"/>
              </w:rPr>
              <w:t>0.35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6363CA" w14:textId="77777777" w:rsidR="00B86EB8" w:rsidRDefault="00B86EB8">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F81BB1" w14:textId="77777777" w:rsidR="00B86EB8" w:rsidRDefault="00B86EB8">
            <w:pPr>
              <w:widowControl/>
              <w:jc w:val="right"/>
            </w:pPr>
            <w:r>
              <w:rPr>
                <w:rFonts w:ascii="宋体" w:hAnsi="宋体" w:hint="eastAsia"/>
                <w:color w:val="000000"/>
                <w:szCs w:val="21"/>
              </w:rPr>
              <w:t>0.35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4B30EF" w14:textId="77777777" w:rsidR="00B86EB8" w:rsidRDefault="00B86EB8">
            <w:pPr>
              <w:widowControl/>
              <w:jc w:val="right"/>
            </w:pPr>
            <w:r>
              <w:rPr>
                <w:rFonts w:ascii="宋体" w:hAnsi="宋体" w:hint="eastAsia"/>
                <w:color w:val="000000"/>
                <w:szCs w:val="21"/>
              </w:rPr>
              <w:t>3年</w:t>
            </w:r>
          </w:p>
        </w:tc>
      </w:tr>
      <w:tr w:rsidR="007020A8" w14:paraId="5E7CD585" w14:textId="77777777">
        <w:trPr>
          <w:divId w:val="42364979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2011AB" w14:textId="77777777" w:rsidR="00B86EB8" w:rsidRDefault="00B86EB8">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528BEA"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CE4BBA"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3BEF7E"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5F9535"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EBE353" w14:textId="77777777" w:rsidR="00B86EB8" w:rsidRDefault="00B86EB8">
            <w:pPr>
              <w:widowControl/>
              <w:jc w:val="right"/>
            </w:pPr>
            <w:r>
              <w:rPr>
                <w:rFonts w:ascii="宋体" w:hAnsi="宋体" w:hint="eastAsia"/>
                <w:color w:val="000000"/>
                <w:szCs w:val="21"/>
              </w:rPr>
              <w:t>-</w:t>
            </w:r>
          </w:p>
        </w:tc>
      </w:tr>
      <w:tr w:rsidR="007020A8" w14:paraId="189646F7" w14:textId="77777777">
        <w:trPr>
          <w:divId w:val="42364979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183E95" w14:textId="77777777" w:rsidR="00B86EB8" w:rsidRDefault="00B86EB8">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25D038"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B1B203"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06E360"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34D9BE4"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622E47" w14:textId="77777777" w:rsidR="00B86EB8" w:rsidRDefault="00B86EB8">
            <w:pPr>
              <w:widowControl/>
              <w:jc w:val="right"/>
            </w:pPr>
            <w:r>
              <w:rPr>
                <w:rFonts w:ascii="宋体" w:hAnsi="宋体" w:hint="eastAsia"/>
                <w:color w:val="000000"/>
                <w:szCs w:val="21"/>
              </w:rPr>
              <w:t>-</w:t>
            </w:r>
          </w:p>
        </w:tc>
      </w:tr>
      <w:tr w:rsidR="007020A8" w14:paraId="1C126E03" w14:textId="77777777">
        <w:trPr>
          <w:divId w:val="42364979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2D3E3B" w14:textId="77777777" w:rsidR="00B86EB8" w:rsidRDefault="00B86EB8">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B948BB"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280BF9"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60015C"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20FF37"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EB9DD2" w14:textId="77777777" w:rsidR="00B86EB8" w:rsidRDefault="00B86EB8">
            <w:pPr>
              <w:widowControl/>
              <w:jc w:val="right"/>
            </w:pPr>
            <w:r>
              <w:rPr>
                <w:rFonts w:ascii="宋体" w:hAnsi="宋体" w:hint="eastAsia"/>
                <w:color w:val="000000"/>
                <w:szCs w:val="21"/>
              </w:rPr>
              <w:t>-</w:t>
            </w:r>
          </w:p>
        </w:tc>
      </w:tr>
      <w:tr w:rsidR="007020A8" w14:paraId="0E7F1A5A" w14:textId="77777777">
        <w:trPr>
          <w:divId w:val="42364979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133213" w14:textId="77777777" w:rsidR="00B86EB8" w:rsidRDefault="00B86EB8">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74B33C"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0CBE58"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EEFCA1"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5E6AFA" w14:textId="77777777" w:rsidR="00B86EB8" w:rsidRDefault="00B86EB8">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3AE565" w14:textId="77777777" w:rsidR="00B86EB8" w:rsidRDefault="00B86EB8">
            <w:pPr>
              <w:widowControl/>
              <w:jc w:val="right"/>
            </w:pPr>
            <w:r>
              <w:rPr>
                <w:rFonts w:ascii="宋体" w:hAnsi="宋体" w:hint="eastAsia"/>
                <w:color w:val="000000"/>
                <w:szCs w:val="21"/>
              </w:rPr>
              <w:t>-</w:t>
            </w:r>
          </w:p>
        </w:tc>
      </w:tr>
      <w:tr w:rsidR="007020A8" w14:paraId="45BEF53F" w14:textId="77777777">
        <w:trPr>
          <w:divId w:val="42364979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22AD30" w14:textId="77777777" w:rsidR="00B86EB8" w:rsidRDefault="00B86EB8">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5AD0A4" w14:textId="77777777" w:rsidR="00B86EB8" w:rsidRDefault="00B86EB8">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032B5A" w14:textId="77777777" w:rsidR="00B86EB8" w:rsidRDefault="00B86EB8">
            <w:pPr>
              <w:widowControl/>
              <w:jc w:val="right"/>
            </w:pPr>
            <w:r>
              <w:rPr>
                <w:rFonts w:ascii="宋体" w:hAnsi="宋体" w:hint="eastAsia"/>
                <w:color w:val="000000"/>
                <w:szCs w:val="21"/>
              </w:rPr>
              <w:t>0.35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A2D444" w14:textId="77777777" w:rsidR="00B86EB8" w:rsidRDefault="00B86EB8">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B613DD" w14:textId="77777777" w:rsidR="00B86EB8" w:rsidRDefault="00B86EB8">
            <w:pPr>
              <w:widowControl/>
              <w:jc w:val="right"/>
            </w:pPr>
            <w:r>
              <w:rPr>
                <w:rFonts w:ascii="宋体" w:hAnsi="宋体" w:hint="eastAsia"/>
                <w:color w:val="000000"/>
                <w:szCs w:val="21"/>
              </w:rPr>
              <w:t>0.35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E24D2FC" w14:textId="77777777" w:rsidR="00B86EB8" w:rsidRDefault="00B86EB8">
            <w:pPr>
              <w:widowControl/>
              <w:jc w:val="right"/>
            </w:pPr>
            <w:r>
              <w:rPr>
                <w:rFonts w:ascii="宋体" w:hAnsi="宋体" w:hint="eastAsia"/>
                <w:color w:val="000000"/>
                <w:szCs w:val="21"/>
              </w:rPr>
              <w:t>3年</w:t>
            </w:r>
          </w:p>
        </w:tc>
      </w:tr>
    </w:tbl>
    <w:p w14:paraId="49D35AB6" w14:textId="77777777" w:rsidR="00B86EB8" w:rsidRDefault="00B86EB8">
      <w:pPr>
        <w:pStyle w:val="XBRLTitle1"/>
        <w:spacing w:before="156" w:line="360" w:lineRule="auto"/>
        <w:ind w:left="425"/>
        <w:rPr>
          <w:rFonts w:hint="eastAsia"/>
        </w:rPr>
      </w:pPr>
      <w:bookmarkStart w:id="324" w:name="_Toc512519526"/>
      <w:bookmarkStart w:id="325" w:name="_Toc490050046"/>
      <w:bookmarkStart w:id="326" w:name="_Toc481075094"/>
      <w:bookmarkStart w:id="327" w:name="_Toc479856294"/>
      <w:bookmarkStart w:id="328" w:name="_Toc514178710"/>
      <w:bookmarkStart w:id="329" w:name="m701"/>
      <w:proofErr w:type="spellStart"/>
      <w:r>
        <w:rPr>
          <w:rFonts w:hint="eastAsia"/>
        </w:rPr>
        <w:t>影响投资者决策的其他重要信息</w:t>
      </w:r>
      <w:bookmarkEnd w:id="324"/>
      <w:bookmarkEnd w:id="325"/>
      <w:bookmarkEnd w:id="326"/>
      <w:bookmarkEnd w:id="327"/>
      <w:bookmarkEnd w:id="328"/>
      <w:proofErr w:type="spellEnd"/>
      <w:r>
        <w:rPr>
          <w:rFonts w:hint="eastAsia"/>
          <w:lang w:eastAsia="zh-CN"/>
        </w:rPr>
        <w:t xml:space="preserve"> </w:t>
      </w:r>
    </w:p>
    <w:p w14:paraId="4C4BD660" w14:textId="77777777" w:rsidR="00B86EB8" w:rsidRDefault="00B86EB8">
      <w:pPr>
        <w:pStyle w:val="XBRLTitle2"/>
        <w:spacing w:before="156" w:line="360" w:lineRule="auto"/>
        <w:ind w:left="454"/>
        <w:rPr>
          <w:rFonts w:hint="eastAsia"/>
        </w:rPr>
      </w:pPr>
      <w:bookmarkStart w:id="330" w:name="_Toc512519527"/>
      <w:bookmarkStart w:id="331" w:name="_Toc481075095"/>
      <w:bookmarkStart w:id="332" w:name="_Toc490050047"/>
      <w:bookmarkStart w:id="333" w:name="_Toc514178711"/>
      <w:r>
        <w:rPr>
          <w:rFonts w:hint="eastAsia"/>
          <w:kern w:val="0"/>
        </w:rPr>
        <w:t>报告期内单一投资者持有基金份额比例达到或超过20%的情况</w:t>
      </w:r>
      <w:bookmarkEnd w:id="330"/>
      <w:bookmarkEnd w:id="331"/>
      <w:bookmarkEnd w:id="332"/>
      <w:bookmarkEnd w:id="333"/>
      <w:r>
        <w:rPr>
          <w:rFonts w:hint="eastAsia"/>
          <w:kern w:val="0"/>
          <w:lang w:eastAsia="zh-CN"/>
        </w:rPr>
        <w:t xml:space="preserve"> </w:t>
      </w:r>
    </w:p>
    <w:bookmarkEnd w:id="18"/>
    <w:bookmarkEnd w:id="32"/>
    <w:bookmarkEnd w:id="33"/>
    <w:p w14:paraId="146C0E0C" w14:textId="77777777" w:rsidR="00B86EB8" w:rsidRDefault="00B86EB8">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1063AECA" w14:textId="77777777" w:rsidR="00B86EB8" w:rsidRDefault="00B86EB8">
      <w:pPr>
        <w:pStyle w:val="XBRLTitle1"/>
        <w:spacing w:before="156" w:line="360" w:lineRule="auto"/>
        <w:ind w:left="425"/>
        <w:rPr>
          <w:rFonts w:hint="eastAsia"/>
        </w:rPr>
      </w:pPr>
      <w:bookmarkStart w:id="334" w:name="_Toc512519529"/>
      <w:bookmarkStart w:id="335" w:name="_Toc490050049"/>
      <w:bookmarkStart w:id="336" w:name="_Toc481075097"/>
      <w:bookmarkStart w:id="337" w:name="_Toc438646481"/>
      <w:bookmarkStart w:id="338" w:name="_Toc514178713"/>
      <w:bookmarkEnd w:id="329"/>
      <w:proofErr w:type="spellStart"/>
      <w:r>
        <w:rPr>
          <w:rFonts w:hint="eastAsia"/>
        </w:rPr>
        <w:t>备查文件目录</w:t>
      </w:r>
      <w:bookmarkEnd w:id="334"/>
      <w:bookmarkEnd w:id="335"/>
      <w:bookmarkEnd w:id="336"/>
      <w:bookmarkEnd w:id="337"/>
      <w:bookmarkEnd w:id="338"/>
      <w:proofErr w:type="spellEnd"/>
      <w:r>
        <w:rPr>
          <w:rFonts w:hint="eastAsia"/>
        </w:rPr>
        <w:t xml:space="preserve"> </w:t>
      </w:r>
    </w:p>
    <w:p w14:paraId="5B353959" w14:textId="77777777" w:rsidR="00B86EB8" w:rsidRDefault="00B86EB8">
      <w:pPr>
        <w:pStyle w:val="XBRLTitle2"/>
        <w:spacing w:before="156" w:line="360" w:lineRule="auto"/>
        <w:ind w:left="454"/>
        <w:rPr>
          <w:rFonts w:hint="eastAsia"/>
        </w:rPr>
      </w:pPr>
      <w:bookmarkStart w:id="339" w:name="_Toc438646482"/>
      <w:bookmarkStart w:id="340" w:name="_Toc512519530"/>
      <w:bookmarkStart w:id="341" w:name="_Toc481075098"/>
      <w:bookmarkStart w:id="342" w:name="_Toc490050050"/>
      <w:bookmarkStart w:id="343" w:name="_Toc514178714"/>
      <w:bookmarkStart w:id="344" w:name="m801_01_1733"/>
      <w:proofErr w:type="spellStart"/>
      <w:r>
        <w:rPr>
          <w:rFonts w:hint="eastAsia"/>
        </w:rPr>
        <w:t>备查文件目录</w:t>
      </w:r>
      <w:bookmarkEnd w:id="339"/>
      <w:bookmarkEnd w:id="340"/>
      <w:bookmarkEnd w:id="341"/>
      <w:bookmarkEnd w:id="342"/>
      <w:bookmarkEnd w:id="343"/>
      <w:proofErr w:type="spellEnd"/>
      <w:r>
        <w:rPr>
          <w:rFonts w:hint="eastAsia"/>
        </w:rPr>
        <w:t xml:space="preserve"> </w:t>
      </w:r>
    </w:p>
    <w:p w14:paraId="23E5ED7D" w14:textId="77777777" w:rsidR="00B86EB8" w:rsidRDefault="00B86EB8">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500指数型发起式证券投资基金(QDII)基金合同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6D4AC4D" w14:textId="77777777" w:rsidR="00B86EB8" w:rsidRDefault="00B86EB8">
      <w:pPr>
        <w:pStyle w:val="XBRLTitle2"/>
        <w:spacing w:before="156" w:line="360" w:lineRule="auto"/>
        <w:ind w:left="454"/>
        <w:rPr>
          <w:rFonts w:hint="eastAsia"/>
        </w:rPr>
      </w:pPr>
      <w:bookmarkStart w:id="345" w:name="_Toc438646483"/>
      <w:bookmarkStart w:id="346" w:name="_Toc512519531"/>
      <w:bookmarkStart w:id="347" w:name="_Toc481075099"/>
      <w:bookmarkStart w:id="348" w:name="_Toc490050051"/>
      <w:bookmarkStart w:id="349" w:name="_Toc514178715"/>
      <w:bookmarkStart w:id="350" w:name="m801_01_1734"/>
      <w:bookmarkEnd w:id="344"/>
      <w:proofErr w:type="spellStart"/>
      <w:r>
        <w:rPr>
          <w:rFonts w:hint="eastAsia"/>
        </w:rPr>
        <w:t>存放地点</w:t>
      </w:r>
      <w:bookmarkEnd w:id="345"/>
      <w:bookmarkEnd w:id="346"/>
      <w:bookmarkEnd w:id="347"/>
      <w:bookmarkEnd w:id="348"/>
      <w:bookmarkEnd w:id="349"/>
      <w:proofErr w:type="spellEnd"/>
      <w:r>
        <w:rPr>
          <w:rFonts w:hint="eastAsia"/>
        </w:rPr>
        <w:t xml:space="preserve"> </w:t>
      </w:r>
    </w:p>
    <w:p w14:paraId="67E2E248" w14:textId="77777777" w:rsidR="00B86EB8" w:rsidRDefault="00B86EB8">
      <w:pPr>
        <w:spacing w:line="360" w:lineRule="auto"/>
        <w:ind w:firstLineChars="200" w:firstLine="420"/>
        <w:jc w:val="left"/>
      </w:pPr>
      <w:r>
        <w:rPr>
          <w:rFonts w:ascii="宋体" w:hAnsi="宋体" w:cs="宋体" w:hint="eastAsia"/>
          <w:color w:val="000000"/>
          <w:kern w:val="0"/>
        </w:rPr>
        <w:t>基金管理人或基金托管人住所。</w:t>
      </w:r>
    </w:p>
    <w:p w14:paraId="060FDBF8" w14:textId="77777777" w:rsidR="00B86EB8" w:rsidRDefault="00B86EB8">
      <w:pPr>
        <w:pStyle w:val="XBRLTitle2"/>
        <w:spacing w:before="156" w:line="360" w:lineRule="auto"/>
        <w:ind w:left="454"/>
        <w:rPr>
          <w:rFonts w:hint="eastAsia"/>
        </w:rPr>
      </w:pPr>
      <w:bookmarkStart w:id="351" w:name="_Toc438646484"/>
      <w:bookmarkStart w:id="352" w:name="_Toc512519532"/>
      <w:bookmarkStart w:id="353" w:name="_Toc481075100"/>
      <w:bookmarkStart w:id="354" w:name="_Toc490050052"/>
      <w:bookmarkStart w:id="355" w:name="_Toc514178716"/>
      <w:bookmarkStart w:id="356" w:name="m801_01_1735"/>
      <w:bookmarkEnd w:id="350"/>
      <w:proofErr w:type="spellStart"/>
      <w:r>
        <w:rPr>
          <w:rFonts w:hint="eastAsia"/>
        </w:rPr>
        <w:t>查阅方式</w:t>
      </w:r>
      <w:bookmarkEnd w:id="351"/>
      <w:bookmarkEnd w:id="352"/>
      <w:bookmarkEnd w:id="353"/>
      <w:bookmarkEnd w:id="354"/>
      <w:bookmarkEnd w:id="355"/>
      <w:proofErr w:type="spellEnd"/>
      <w:r>
        <w:rPr>
          <w:rFonts w:hint="eastAsia"/>
        </w:rPr>
        <w:t xml:space="preserve"> </w:t>
      </w:r>
    </w:p>
    <w:p w14:paraId="29767D94" w14:textId="77777777" w:rsidR="00B86EB8" w:rsidRDefault="00B86EB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6"/>
    <w:p w14:paraId="41BC715B" w14:textId="77777777" w:rsidR="00B86EB8" w:rsidRDefault="00B86EB8">
      <w:pPr>
        <w:spacing w:line="360" w:lineRule="auto"/>
        <w:ind w:firstLineChars="600" w:firstLine="1687"/>
        <w:jc w:val="left"/>
      </w:pPr>
      <w:r>
        <w:rPr>
          <w:rFonts w:ascii="宋体" w:hAnsi="宋体" w:hint="eastAsia"/>
          <w:b/>
          <w:bCs/>
          <w:sz w:val="28"/>
          <w:szCs w:val="30"/>
        </w:rPr>
        <w:t xml:space="preserve">　 </w:t>
      </w:r>
    </w:p>
    <w:p w14:paraId="75557AAF" w14:textId="77777777" w:rsidR="00B86EB8" w:rsidRDefault="00B86EB8">
      <w:pPr>
        <w:spacing w:line="360" w:lineRule="auto"/>
        <w:ind w:firstLineChars="600" w:firstLine="1687"/>
        <w:jc w:val="left"/>
      </w:pPr>
      <w:r>
        <w:rPr>
          <w:rFonts w:ascii="宋体" w:hAnsi="宋体" w:hint="eastAsia"/>
          <w:b/>
          <w:bCs/>
          <w:sz w:val="28"/>
          <w:szCs w:val="30"/>
        </w:rPr>
        <w:t xml:space="preserve">　 </w:t>
      </w:r>
    </w:p>
    <w:p w14:paraId="6B50887A" w14:textId="77777777" w:rsidR="00B86EB8" w:rsidRDefault="00B86EB8">
      <w:pPr>
        <w:spacing w:line="360" w:lineRule="auto"/>
        <w:ind w:firstLineChars="600" w:firstLine="1446"/>
        <w:jc w:val="right"/>
      </w:pPr>
      <w:r>
        <w:rPr>
          <w:rFonts w:ascii="宋体" w:hAnsi="宋体" w:hint="eastAsia"/>
          <w:b/>
          <w:bCs/>
          <w:sz w:val="24"/>
          <w:szCs w:val="24"/>
        </w:rPr>
        <w:t>摩根基金管理（中国）有限公司</w:t>
      </w:r>
    </w:p>
    <w:p w14:paraId="0B90A8BC" w14:textId="77777777" w:rsidR="00B86EB8" w:rsidRDefault="00B86EB8">
      <w:pPr>
        <w:spacing w:line="360" w:lineRule="auto"/>
        <w:ind w:firstLineChars="600" w:firstLine="1446"/>
        <w:jc w:val="right"/>
      </w:pPr>
      <w:r>
        <w:rPr>
          <w:rFonts w:ascii="宋体" w:hAnsi="宋体" w:hint="eastAsia"/>
          <w:b/>
          <w:bCs/>
          <w:sz w:val="24"/>
          <w:szCs w:val="24"/>
        </w:rPr>
        <w:t>2026年1月22日</w:t>
      </w:r>
      <w:bookmarkEnd w:id="19"/>
    </w:p>
    <w:sectPr w:rsidR="00B86EB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AF35" w14:textId="77777777" w:rsidR="00B86EB8" w:rsidRDefault="00B86EB8">
      <w:pPr>
        <w:rPr>
          <w:szCs w:val="21"/>
        </w:rPr>
      </w:pPr>
      <w:r>
        <w:rPr>
          <w:szCs w:val="21"/>
        </w:rPr>
        <w:separator/>
      </w:r>
      <w:r>
        <w:rPr>
          <w:szCs w:val="21"/>
        </w:rPr>
        <w:t xml:space="preserve"> </w:t>
      </w:r>
    </w:p>
  </w:endnote>
  <w:endnote w:type="continuationSeparator" w:id="0">
    <w:p w14:paraId="3E522388" w14:textId="77777777" w:rsidR="00B86EB8" w:rsidRDefault="00B86EB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0312" w14:textId="77777777" w:rsidR="00B86EB8" w:rsidRDefault="00B86EB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5840" w14:textId="77777777" w:rsidR="00B86EB8" w:rsidRDefault="00B86EB8">
      <w:pPr>
        <w:rPr>
          <w:szCs w:val="21"/>
        </w:rPr>
      </w:pPr>
      <w:r>
        <w:rPr>
          <w:szCs w:val="21"/>
        </w:rPr>
        <w:separator/>
      </w:r>
      <w:r>
        <w:rPr>
          <w:szCs w:val="21"/>
        </w:rPr>
        <w:t xml:space="preserve"> </w:t>
      </w:r>
    </w:p>
  </w:footnote>
  <w:footnote w:type="continuationSeparator" w:id="0">
    <w:p w14:paraId="352C7469" w14:textId="77777777" w:rsidR="00B86EB8" w:rsidRDefault="00B86EB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7410" w14:textId="77777777" w:rsidR="00B86EB8" w:rsidRDefault="00B86EB8">
    <w:pPr>
      <w:pStyle w:val="a8"/>
      <w:jc w:val="right"/>
    </w:pPr>
    <w:proofErr w:type="gramStart"/>
    <w:r>
      <w:rPr>
        <w:rFonts w:ascii="宋体" w:hAnsi="宋体" w:hint="eastAsia"/>
      </w:rPr>
      <w:t>摩根标普</w:t>
    </w:r>
    <w:proofErr w:type="gramEnd"/>
    <w:r>
      <w:rPr>
        <w:rFonts w:ascii="宋体" w:hAnsi="宋体" w:hint="eastAsia"/>
      </w:rPr>
      <w:t>500指数型发起式证券投资基金(QDII)2025年第4季度报告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54755630">
    <w:abstractNumId w:val="0"/>
  </w:num>
  <w:num w:numId="2" w16cid:durableId="929585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993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B8"/>
    <w:rsid w:val="001E64F5"/>
    <w:rsid w:val="00294CA7"/>
    <w:rsid w:val="00353C7B"/>
    <w:rsid w:val="005D2BB8"/>
    <w:rsid w:val="007020A8"/>
    <w:rsid w:val="00740316"/>
    <w:rsid w:val="008F3AD8"/>
    <w:rsid w:val="009B6E74"/>
    <w:rsid w:val="00B86EB8"/>
    <w:rsid w:val="00E00443"/>
    <w:rsid w:val="00E52138"/>
    <w:rsid w:val="00FE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4155009"/>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5D2BB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9468">
      <w:marLeft w:val="0"/>
      <w:marRight w:val="0"/>
      <w:marTop w:val="0"/>
      <w:marBottom w:val="0"/>
      <w:divBdr>
        <w:top w:val="none" w:sz="0" w:space="0" w:color="auto"/>
        <w:left w:val="none" w:sz="0" w:space="0" w:color="auto"/>
        <w:bottom w:val="none" w:sz="0" w:space="0" w:color="auto"/>
        <w:right w:val="none" w:sz="0" w:space="0" w:color="auto"/>
      </w:divBdr>
      <w:divsChild>
        <w:div w:id="989016571">
          <w:marLeft w:val="0"/>
          <w:marRight w:val="0"/>
          <w:marTop w:val="0"/>
          <w:marBottom w:val="0"/>
          <w:divBdr>
            <w:top w:val="none" w:sz="0" w:space="0" w:color="auto"/>
            <w:left w:val="none" w:sz="0" w:space="0" w:color="auto"/>
            <w:bottom w:val="none" w:sz="0" w:space="0" w:color="auto"/>
            <w:right w:val="none" w:sz="0" w:space="0" w:color="auto"/>
          </w:divBdr>
        </w:div>
      </w:divsChild>
    </w:div>
    <w:div w:id="199632453">
      <w:marLeft w:val="0"/>
      <w:marRight w:val="0"/>
      <w:marTop w:val="0"/>
      <w:marBottom w:val="0"/>
      <w:divBdr>
        <w:top w:val="none" w:sz="0" w:space="0" w:color="auto"/>
        <w:left w:val="none" w:sz="0" w:space="0" w:color="auto"/>
        <w:bottom w:val="none" w:sz="0" w:space="0" w:color="auto"/>
        <w:right w:val="none" w:sz="0" w:space="0" w:color="auto"/>
      </w:divBdr>
      <w:divsChild>
        <w:div w:id="835651088">
          <w:marLeft w:val="0"/>
          <w:marRight w:val="0"/>
          <w:marTop w:val="0"/>
          <w:marBottom w:val="0"/>
          <w:divBdr>
            <w:top w:val="none" w:sz="0" w:space="0" w:color="auto"/>
            <w:left w:val="none" w:sz="0" w:space="0" w:color="auto"/>
            <w:bottom w:val="none" w:sz="0" w:space="0" w:color="auto"/>
            <w:right w:val="none" w:sz="0" w:space="0" w:color="auto"/>
          </w:divBdr>
        </w:div>
      </w:divsChild>
    </w:div>
    <w:div w:id="281962701">
      <w:marLeft w:val="0"/>
      <w:marRight w:val="0"/>
      <w:marTop w:val="0"/>
      <w:marBottom w:val="0"/>
      <w:divBdr>
        <w:top w:val="none" w:sz="0" w:space="0" w:color="auto"/>
        <w:left w:val="none" w:sz="0" w:space="0" w:color="auto"/>
        <w:bottom w:val="none" w:sz="0" w:space="0" w:color="auto"/>
        <w:right w:val="none" w:sz="0" w:space="0" w:color="auto"/>
      </w:divBdr>
    </w:div>
    <w:div w:id="414862056">
      <w:marLeft w:val="0"/>
      <w:marRight w:val="0"/>
      <w:marTop w:val="0"/>
      <w:marBottom w:val="0"/>
      <w:divBdr>
        <w:top w:val="none" w:sz="0" w:space="0" w:color="auto"/>
        <w:left w:val="none" w:sz="0" w:space="0" w:color="auto"/>
        <w:bottom w:val="none" w:sz="0" w:space="0" w:color="auto"/>
        <w:right w:val="none" w:sz="0" w:space="0" w:color="auto"/>
      </w:divBdr>
    </w:div>
    <w:div w:id="423649790">
      <w:marLeft w:val="0"/>
      <w:marRight w:val="0"/>
      <w:marTop w:val="0"/>
      <w:marBottom w:val="0"/>
      <w:divBdr>
        <w:top w:val="none" w:sz="0" w:space="0" w:color="auto"/>
        <w:left w:val="none" w:sz="0" w:space="0" w:color="auto"/>
        <w:bottom w:val="none" w:sz="0" w:space="0" w:color="auto"/>
        <w:right w:val="none" w:sz="0" w:space="0" w:color="auto"/>
      </w:divBdr>
    </w:div>
    <w:div w:id="549344380">
      <w:marLeft w:val="0"/>
      <w:marRight w:val="0"/>
      <w:marTop w:val="0"/>
      <w:marBottom w:val="0"/>
      <w:divBdr>
        <w:top w:val="none" w:sz="0" w:space="0" w:color="auto"/>
        <w:left w:val="none" w:sz="0" w:space="0" w:color="auto"/>
        <w:bottom w:val="none" w:sz="0" w:space="0" w:color="auto"/>
        <w:right w:val="none" w:sz="0" w:space="0" w:color="auto"/>
      </w:divBdr>
    </w:div>
    <w:div w:id="590507169">
      <w:marLeft w:val="0"/>
      <w:marRight w:val="0"/>
      <w:marTop w:val="0"/>
      <w:marBottom w:val="0"/>
      <w:divBdr>
        <w:top w:val="none" w:sz="0" w:space="0" w:color="auto"/>
        <w:left w:val="none" w:sz="0" w:space="0" w:color="auto"/>
        <w:bottom w:val="none" w:sz="0" w:space="0" w:color="auto"/>
        <w:right w:val="none" w:sz="0" w:space="0" w:color="auto"/>
      </w:divBdr>
    </w:div>
    <w:div w:id="611936938">
      <w:marLeft w:val="0"/>
      <w:marRight w:val="0"/>
      <w:marTop w:val="0"/>
      <w:marBottom w:val="0"/>
      <w:divBdr>
        <w:top w:val="none" w:sz="0" w:space="0" w:color="auto"/>
        <w:left w:val="none" w:sz="0" w:space="0" w:color="auto"/>
        <w:bottom w:val="none" w:sz="0" w:space="0" w:color="auto"/>
        <w:right w:val="none" w:sz="0" w:space="0" w:color="auto"/>
      </w:divBdr>
      <w:divsChild>
        <w:div w:id="1679649787">
          <w:marLeft w:val="0"/>
          <w:marRight w:val="0"/>
          <w:marTop w:val="0"/>
          <w:marBottom w:val="0"/>
          <w:divBdr>
            <w:top w:val="none" w:sz="0" w:space="0" w:color="auto"/>
            <w:left w:val="none" w:sz="0" w:space="0" w:color="auto"/>
            <w:bottom w:val="none" w:sz="0" w:space="0" w:color="auto"/>
            <w:right w:val="none" w:sz="0" w:space="0" w:color="auto"/>
          </w:divBdr>
          <w:divsChild>
            <w:div w:id="7361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9385">
      <w:marLeft w:val="0"/>
      <w:marRight w:val="0"/>
      <w:marTop w:val="0"/>
      <w:marBottom w:val="0"/>
      <w:divBdr>
        <w:top w:val="none" w:sz="0" w:space="0" w:color="auto"/>
        <w:left w:val="none" w:sz="0" w:space="0" w:color="auto"/>
        <w:bottom w:val="none" w:sz="0" w:space="0" w:color="auto"/>
        <w:right w:val="none" w:sz="0" w:space="0" w:color="auto"/>
      </w:divBdr>
    </w:div>
    <w:div w:id="662857873">
      <w:marLeft w:val="0"/>
      <w:marRight w:val="0"/>
      <w:marTop w:val="0"/>
      <w:marBottom w:val="0"/>
      <w:divBdr>
        <w:top w:val="none" w:sz="0" w:space="0" w:color="auto"/>
        <w:left w:val="none" w:sz="0" w:space="0" w:color="auto"/>
        <w:bottom w:val="none" w:sz="0" w:space="0" w:color="auto"/>
        <w:right w:val="none" w:sz="0" w:space="0" w:color="auto"/>
      </w:divBdr>
    </w:div>
    <w:div w:id="1176920456">
      <w:marLeft w:val="0"/>
      <w:marRight w:val="0"/>
      <w:marTop w:val="0"/>
      <w:marBottom w:val="0"/>
      <w:divBdr>
        <w:top w:val="none" w:sz="0" w:space="0" w:color="auto"/>
        <w:left w:val="none" w:sz="0" w:space="0" w:color="auto"/>
        <w:bottom w:val="none" w:sz="0" w:space="0" w:color="auto"/>
        <w:right w:val="none" w:sz="0" w:space="0" w:color="auto"/>
      </w:divBdr>
    </w:div>
    <w:div w:id="1249267494">
      <w:marLeft w:val="0"/>
      <w:marRight w:val="0"/>
      <w:marTop w:val="0"/>
      <w:marBottom w:val="0"/>
      <w:divBdr>
        <w:top w:val="none" w:sz="0" w:space="0" w:color="auto"/>
        <w:left w:val="none" w:sz="0" w:space="0" w:color="auto"/>
        <w:bottom w:val="none" w:sz="0" w:space="0" w:color="auto"/>
        <w:right w:val="none" w:sz="0" w:space="0" w:color="auto"/>
      </w:divBdr>
    </w:div>
    <w:div w:id="1261791533">
      <w:marLeft w:val="0"/>
      <w:marRight w:val="0"/>
      <w:marTop w:val="0"/>
      <w:marBottom w:val="0"/>
      <w:divBdr>
        <w:top w:val="none" w:sz="0" w:space="0" w:color="auto"/>
        <w:left w:val="none" w:sz="0" w:space="0" w:color="auto"/>
        <w:bottom w:val="none" w:sz="0" w:space="0" w:color="auto"/>
        <w:right w:val="none" w:sz="0" w:space="0" w:color="auto"/>
      </w:divBdr>
      <w:divsChild>
        <w:div w:id="542055665">
          <w:marLeft w:val="0"/>
          <w:marRight w:val="0"/>
          <w:marTop w:val="0"/>
          <w:marBottom w:val="0"/>
          <w:divBdr>
            <w:top w:val="none" w:sz="0" w:space="0" w:color="auto"/>
            <w:left w:val="none" w:sz="0" w:space="0" w:color="auto"/>
            <w:bottom w:val="none" w:sz="0" w:space="0" w:color="auto"/>
            <w:right w:val="none" w:sz="0" w:space="0" w:color="auto"/>
          </w:divBdr>
        </w:div>
      </w:divsChild>
    </w:div>
    <w:div w:id="1483279272">
      <w:marLeft w:val="0"/>
      <w:marRight w:val="0"/>
      <w:marTop w:val="0"/>
      <w:marBottom w:val="0"/>
      <w:divBdr>
        <w:top w:val="none" w:sz="0" w:space="0" w:color="auto"/>
        <w:left w:val="none" w:sz="0" w:space="0" w:color="auto"/>
        <w:bottom w:val="none" w:sz="0" w:space="0" w:color="auto"/>
        <w:right w:val="none" w:sz="0" w:space="0" w:color="auto"/>
      </w:divBdr>
      <w:divsChild>
        <w:div w:id="892304138">
          <w:marLeft w:val="0"/>
          <w:marRight w:val="0"/>
          <w:marTop w:val="0"/>
          <w:marBottom w:val="0"/>
          <w:divBdr>
            <w:top w:val="none" w:sz="0" w:space="0" w:color="auto"/>
            <w:left w:val="none" w:sz="0" w:space="0" w:color="auto"/>
            <w:bottom w:val="none" w:sz="0" w:space="0" w:color="auto"/>
            <w:right w:val="none" w:sz="0" w:space="0" w:color="auto"/>
          </w:divBdr>
        </w:div>
      </w:divsChild>
    </w:div>
    <w:div w:id="1534925044">
      <w:marLeft w:val="0"/>
      <w:marRight w:val="0"/>
      <w:marTop w:val="0"/>
      <w:marBottom w:val="0"/>
      <w:divBdr>
        <w:top w:val="none" w:sz="0" w:space="0" w:color="auto"/>
        <w:left w:val="none" w:sz="0" w:space="0" w:color="auto"/>
        <w:bottom w:val="none" w:sz="0" w:space="0" w:color="auto"/>
        <w:right w:val="none" w:sz="0" w:space="0" w:color="auto"/>
      </w:divBdr>
    </w:div>
    <w:div w:id="1699426267">
      <w:marLeft w:val="0"/>
      <w:marRight w:val="0"/>
      <w:marTop w:val="0"/>
      <w:marBottom w:val="0"/>
      <w:divBdr>
        <w:top w:val="none" w:sz="0" w:space="0" w:color="auto"/>
        <w:left w:val="none" w:sz="0" w:space="0" w:color="auto"/>
        <w:bottom w:val="none" w:sz="0" w:space="0" w:color="auto"/>
        <w:right w:val="none" w:sz="0" w:space="0" w:color="auto"/>
      </w:divBdr>
    </w:div>
    <w:div w:id="1796557775">
      <w:marLeft w:val="0"/>
      <w:marRight w:val="0"/>
      <w:marTop w:val="0"/>
      <w:marBottom w:val="0"/>
      <w:divBdr>
        <w:top w:val="none" w:sz="0" w:space="0" w:color="auto"/>
        <w:left w:val="none" w:sz="0" w:space="0" w:color="auto"/>
        <w:bottom w:val="none" w:sz="0" w:space="0" w:color="auto"/>
        <w:right w:val="none" w:sz="0" w:space="0" w:color="auto"/>
      </w:divBdr>
    </w:div>
    <w:div w:id="1898737292">
      <w:marLeft w:val="0"/>
      <w:marRight w:val="0"/>
      <w:marTop w:val="0"/>
      <w:marBottom w:val="0"/>
      <w:divBdr>
        <w:top w:val="none" w:sz="0" w:space="0" w:color="auto"/>
        <w:left w:val="none" w:sz="0" w:space="0" w:color="auto"/>
        <w:bottom w:val="none" w:sz="0" w:space="0" w:color="auto"/>
        <w:right w:val="none" w:sz="0" w:space="0" w:color="auto"/>
      </w:divBdr>
    </w:div>
    <w:div w:id="1899827264">
      <w:marLeft w:val="0"/>
      <w:marRight w:val="0"/>
      <w:marTop w:val="0"/>
      <w:marBottom w:val="0"/>
      <w:divBdr>
        <w:top w:val="none" w:sz="0" w:space="0" w:color="auto"/>
        <w:left w:val="none" w:sz="0" w:space="0" w:color="auto"/>
        <w:bottom w:val="none" w:sz="0" w:space="0" w:color="auto"/>
        <w:right w:val="none" w:sz="0" w:space="0" w:color="auto"/>
      </w:divBdr>
    </w:div>
    <w:div w:id="1942568310">
      <w:marLeft w:val="0"/>
      <w:marRight w:val="0"/>
      <w:marTop w:val="0"/>
      <w:marBottom w:val="0"/>
      <w:divBdr>
        <w:top w:val="none" w:sz="0" w:space="0" w:color="auto"/>
        <w:left w:val="none" w:sz="0" w:space="0" w:color="auto"/>
        <w:bottom w:val="none" w:sz="0" w:space="0" w:color="auto"/>
        <w:right w:val="none" w:sz="0" w:space="0" w:color="auto"/>
      </w:divBdr>
    </w:div>
    <w:div w:id="2013364133">
      <w:marLeft w:val="0"/>
      <w:marRight w:val="0"/>
      <w:marTop w:val="0"/>
      <w:marBottom w:val="0"/>
      <w:divBdr>
        <w:top w:val="none" w:sz="0" w:space="0" w:color="auto"/>
        <w:left w:val="none" w:sz="0" w:space="0" w:color="auto"/>
        <w:bottom w:val="none" w:sz="0" w:space="0" w:color="auto"/>
        <w:right w:val="none" w:sz="0" w:space="0" w:color="auto"/>
      </w:divBdr>
    </w:div>
    <w:div w:id="213197575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Melody.Ling@FA</cp:lastModifiedBy>
  <cp:revision>7</cp:revision>
  <dcterms:created xsi:type="dcterms:W3CDTF">2026-01-14T13:49:00Z</dcterms:created>
  <dcterms:modified xsi:type="dcterms:W3CDTF">2026-01-21T06:23:00Z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