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1ED2A2" w14:textId="77777777" w:rsidR="00EB155E" w:rsidRDefault="00EB155E">
      <w:pPr>
        <w:spacing w:line="360" w:lineRule="auto"/>
        <w:rPr>
          <w:rFonts w:ascii="宋体" w:hAnsi="宋体" w:hint="eastAsia"/>
          <w:sz w:val="48"/>
        </w:rPr>
      </w:pPr>
      <w:r>
        <w:rPr>
          <w:rFonts w:ascii="宋体" w:hAnsi="宋体" w:hint="eastAsia"/>
          <w:sz w:val="48"/>
        </w:rPr>
        <w:t xml:space="preserve">　 </w:t>
      </w:r>
    </w:p>
    <w:p w14:paraId="248389CA" w14:textId="77777777" w:rsidR="00EB155E" w:rsidRDefault="00EB155E">
      <w:pPr>
        <w:spacing w:line="360" w:lineRule="auto"/>
        <w:rPr>
          <w:rFonts w:ascii="宋体" w:hAnsi="宋体" w:hint="eastAsia"/>
          <w:sz w:val="48"/>
        </w:rPr>
      </w:pPr>
      <w:r>
        <w:rPr>
          <w:rFonts w:ascii="宋体" w:hAnsi="宋体" w:hint="eastAsia"/>
          <w:sz w:val="48"/>
        </w:rPr>
        <w:t xml:space="preserve">　 </w:t>
      </w:r>
    </w:p>
    <w:p w14:paraId="6549C44D" w14:textId="77777777" w:rsidR="00EB155E" w:rsidRDefault="00EB155E">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proofErr w:type="gramStart"/>
      <w:r>
        <w:rPr>
          <w:rFonts w:ascii="宋体" w:hAnsi="宋体" w:hint="eastAsia"/>
          <w:b/>
          <w:bCs/>
          <w:sz w:val="48"/>
          <w:szCs w:val="48"/>
        </w:rPr>
        <w:t>摩根标普</w:t>
      </w:r>
      <w:proofErr w:type="gramEnd"/>
      <w:r>
        <w:rPr>
          <w:rFonts w:ascii="宋体" w:hAnsi="宋体" w:hint="eastAsia"/>
          <w:b/>
          <w:bCs/>
          <w:sz w:val="48"/>
          <w:szCs w:val="48"/>
        </w:rPr>
        <w:t>500指数型发起式证券投资基金(QDII)</w:t>
      </w:r>
      <w:r>
        <w:rPr>
          <w:rFonts w:ascii="宋体" w:hAnsi="宋体" w:hint="eastAsia"/>
          <w:b/>
          <w:bCs/>
          <w:sz w:val="48"/>
          <w:szCs w:val="48"/>
        </w:rPr>
        <w:br/>
        <w:t>2025年第2季度报告</w:t>
      </w:r>
    </w:p>
    <w:p w14:paraId="59FCA778" w14:textId="77777777" w:rsidR="00EB155E" w:rsidRDefault="00EB155E">
      <w:pPr>
        <w:spacing w:line="360" w:lineRule="auto"/>
        <w:jc w:val="center"/>
        <w:rPr>
          <w:rFonts w:ascii="宋体" w:hAnsi="宋体" w:hint="eastAsia"/>
          <w:sz w:val="28"/>
          <w:szCs w:val="30"/>
        </w:rPr>
      </w:pPr>
      <w:r>
        <w:rPr>
          <w:rFonts w:ascii="宋体" w:hAnsi="宋体" w:hint="eastAsia"/>
          <w:sz w:val="28"/>
          <w:szCs w:val="30"/>
        </w:rPr>
        <w:t xml:space="preserve">　 </w:t>
      </w:r>
    </w:p>
    <w:p w14:paraId="4CB19D34" w14:textId="77777777" w:rsidR="00EB155E" w:rsidRDefault="00EB155E">
      <w:pPr>
        <w:spacing w:line="360" w:lineRule="auto"/>
        <w:jc w:val="center"/>
      </w:pPr>
      <w:r>
        <w:rPr>
          <w:rFonts w:ascii="宋体" w:hAnsi="宋体" w:hint="eastAsia"/>
          <w:b/>
          <w:bCs/>
          <w:sz w:val="28"/>
          <w:szCs w:val="30"/>
        </w:rPr>
        <w:t>2025年6月30日</w:t>
      </w:r>
    </w:p>
    <w:p w14:paraId="54E8C255" w14:textId="77777777" w:rsidR="00EB155E" w:rsidRDefault="00EB155E">
      <w:pPr>
        <w:spacing w:line="360" w:lineRule="auto"/>
        <w:jc w:val="center"/>
        <w:rPr>
          <w:rFonts w:ascii="宋体" w:hAnsi="宋体" w:hint="eastAsia"/>
          <w:sz w:val="28"/>
          <w:szCs w:val="30"/>
        </w:rPr>
      </w:pPr>
      <w:r>
        <w:rPr>
          <w:rFonts w:ascii="宋体" w:hAnsi="宋体" w:hint="eastAsia"/>
          <w:sz w:val="28"/>
          <w:szCs w:val="30"/>
        </w:rPr>
        <w:t xml:space="preserve">　 </w:t>
      </w:r>
    </w:p>
    <w:p w14:paraId="00742D0C" w14:textId="77777777" w:rsidR="00EB155E" w:rsidRDefault="00EB155E">
      <w:pPr>
        <w:spacing w:line="360" w:lineRule="auto"/>
        <w:jc w:val="center"/>
        <w:rPr>
          <w:rFonts w:ascii="宋体" w:hAnsi="宋体" w:hint="eastAsia"/>
          <w:sz w:val="28"/>
          <w:szCs w:val="30"/>
        </w:rPr>
      </w:pPr>
      <w:r>
        <w:rPr>
          <w:rFonts w:ascii="宋体" w:hAnsi="宋体" w:hint="eastAsia"/>
          <w:sz w:val="28"/>
          <w:szCs w:val="30"/>
        </w:rPr>
        <w:t xml:space="preserve">　 </w:t>
      </w:r>
    </w:p>
    <w:p w14:paraId="03F0C3A2" w14:textId="77777777" w:rsidR="00EB155E" w:rsidRDefault="00EB155E">
      <w:pPr>
        <w:spacing w:line="360" w:lineRule="auto"/>
        <w:jc w:val="center"/>
        <w:rPr>
          <w:rFonts w:ascii="宋体" w:hAnsi="宋体" w:hint="eastAsia"/>
          <w:sz w:val="28"/>
          <w:szCs w:val="30"/>
        </w:rPr>
      </w:pPr>
      <w:r>
        <w:rPr>
          <w:rFonts w:ascii="宋体" w:hAnsi="宋体" w:hint="eastAsia"/>
          <w:sz w:val="28"/>
          <w:szCs w:val="30"/>
        </w:rPr>
        <w:t xml:space="preserve">　 </w:t>
      </w:r>
    </w:p>
    <w:p w14:paraId="468DE004" w14:textId="77777777" w:rsidR="00EB155E" w:rsidRDefault="00EB155E">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BD7C756" w14:textId="77777777" w:rsidR="00EB155E" w:rsidRDefault="00EB155E">
      <w:pPr>
        <w:spacing w:line="360" w:lineRule="auto"/>
        <w:jc w:val="center"/>
        <w:rPr>
          <w:rFonts w:ascii="宋体" w:hAnsi="宋体" w:hint="eastAsia"/>
          <w:sz w:val="28"/>
          <w:szCs w:val="30"/>
        </w:rPr>
      </w:pPr>
      <w:r>
        <w:rPr>
          <w:rFonts w:ascii="宋体" w:hAnsi="宋体" w:hint="eastAsia"/>
          <w:sz w:val="28"/>
          <w:szCs w:val="30"/>
        </w:rPr>
        <w:t xml:space="preserve">　 </w:t>
      </w:r>
    </w:p>
    <w:p w14:paraId="30070C94" w14:textId="77777777" w:rsidR="00EB155E" w:rsidRDefault="00EB155E">
      <w:pPr>
        <w:spacing w:line="360" w:lineRule="auto"/>
        <w:jc w:val="center"/>
        <w:rPr>
          <w:rFonts w:ascii="宋体" w:hAnsi="宋体" w:hint="eastAsia"/>
          <w:sz w:val="28"/>
          <w:szCs w:val="30"/>
        </w:rPr>
      </w:pPr>
      <w:r>
        <w:rPr>
          <w:rFonts w:ascii="宋体" w:hAnsi="宋体" w:hint="eastAsia"/>
          <w:sz w:val="28"/>
          <w:szCs w:val="30"/>
        </w:rPr>
        <w:t xml:space="preserve">　 </w:t>
      </w:r>
    </w:p>
    <w:p w14:paraId="197A578B" w14:textId="77777777" w:rsidR="00EB155E" w:rsidRDefault="00EB155E">
      <w:pPr>
        <w:spacing w:line="360" w:lineRule="auto"/>
        <w:jc w:val="center"/>
        <w:rPr>
          <w:rFonts w:ascii="宋体" w:hAnsi="宋体" w:hint="eastAsia"/>
          <w:sz w:val="28"/>
          <w:szCs w:val="30"/>
        </w:rPr>
      </w:pPr>
      <w:r>
        <w:rPr>
          <w:rFonts w:ascii="宋体" w:hAnsi="宋体" w:hint="eastAsia"/>
          <w:sz w:val="28"/>
          <w:szCs w:val="30"/>
        </w:rPr>
        <w:t xml:space="preserve">　 </w:t>
      </w:r>
    </w:p>
    <w:p w14:paraId="057D37CE" w14:textId="77777777" w:rsidR="00EB155E" w:rsidRDefault="00EB155E">
      <w:pPr>
        <w:spacing w:line="360" w:lineRule="auto"/>
        <w:jc w:val="center"/>
        <w:rPr>
          <w:rFonts w:ascii="宋体" w:hAnsi="宋体" w:hint="eastAsia"/>
          <w:sz w:val="28"/>
          <w:szCs w:val="30"/>
        </w:rPr>
      </w:pPr>
      <w:r>
        <w:rPr>
          <w:rFonts w:ascii="宋体" w:hAnsi="宋体" w:hint="eastAsia"/>
          <w:sz w:val="28"/>
          <w:szCs w:val="30"/>
        </w:rPr>
        <w:t xml:space="preserve">　 </w:t>
      </w:r>
    </w:p>
    <w:p w14:paraId="2FD2982D" w14:textId="77777777" w:rsidR="00EB155E" w:rsidRDefault="00EB155E">
      <w:pPr>
        <w:spacing w:line="360" w:lineRule="auto"/>
        <w:jc w:val="center"/>
        <w:rPr>
          <w:rFonts w:ascii="宋体" w:hAnsi="宋体" w:hint="eastAsia"/>
          <w:sz w:val="28"/>
          <w:szCs w:val="30"/>
        </w:rPr>
      </w:pPr>
      <w:r>
        <w:rPr>
          <w:rFonts w:ascii="宋体" w:hAnsi="宋体" w:hint="eastAsia"/>
          <w:sz w:val="28"/>
          <w:szCs w:val="30"/>
        </w:rPr>
        <w:t xml:space="preserve">　 </w:t>
      </w:r>
    </w:p>
    <w:p w14:paraId="3D24D4FC" w14:textId="77777777" w:rsidR="00EB155E" w:rsidRDefault="00EB155E">
      <w:pPr>
        <w:spacing w:line="360" w:lineRule="auto"/>
        <w:jc w:val="center"/>
        <w:rPr>
          <w:rFonts w:ascii="宋体" w:hAnsi="宋体" w:hint="eastAsia"/>
          <w:sz w:val="28"/>
          <w:szCs w:val="30"/>
        </w:rPr>
      </w:pPr>
      <w:r>
        <w:rPr>
          <w:rFonts w:ascii="宋体" w:hAnsi="宋体" w:hint="eastAsia"/>
          <w:sz w:val="28"/>
          <w:szCs w:val="30"/>
        </w:rPr>
        <w:t xml:space="preserve">　 </w:t>
      </w:r>
    </w:p>
    <w:p w14:paraId="490B8AD5" w14:textId="77777777" w:rsidR="00EB155E" w:rsidRDefault="00EB155E">
      <w:pPr>
        <w:spacing w:line="360" w:lineRule="auto"/>
        <w:ind w:firstLineChars="800" w:firstLine="2249"/>
        <w:jc w:val="left"/>
      </w:pPr>
      <w:r>
        <w:rPr>
          <w:rFonts w:ascii="宋体" w:hAnsi="宋体" w:hint="eastAsia"/>
          <w:b/>
          <w:bCs/>
          <w:sz w:val="28"/>
          <w:szCs w:val="30"/>
        </w:rPr>
        <w:t>基金管理人：摩根基金管理（中国）有限公司</w:t>
      </w:r>
    </w:p>
    <w:p w14:paraId="5AD9EB90" w14:textId="77777777" w:rsidR="00EB155E" w:rsidRDefault="00EB155E">
      <w:pPr>
        <w:spacing w:line="360" w:lineRule="auto"/>
        <w:ind w:firstLineChars="800" w:firstLine="2249"/>
        <w:jc w:val="left"/>
      </w:pPr>
      <w:r>
        <w:rPr>
          <w:rFonts w:ascii="宋体" w:hAnsi="宋体" w:hint="eastAsia"/>
          <w:b/>
          <w:bCs/>
          <w:sz w:val="28"/>
          <w:szCs w:val="30"/>
        </w:rPr>
        <w:t>基金托管人：招商银行股份有限公司</w:t>
      </w:r>
    </w:p>
    <w:p w14:paraId="752ED983" w14:textId="77777777" w:rsidR="00EB155E" w:rsidRDefault="00EB155E">
      <w:pPr>
        <w:spacing w:line="360" w:lineRule="auto"/>
        <w:ind w:firstLineChars="800" w:firstLine="2249"/>
        <w:jc w:val="left"/>
      </w:pPr>
      <w:r>
        <w:rPr>
          <w:rFonts w:ascii="宋体" w:hAnsi="宋体" w:hint="eastAsia"/>
          <w:b/>
          <w:bCs/>
          <w:sz w:val="28"/>
          <w:szCs w:val="30"/>
        </w:rPr>
        <w:t>报告送出日期：2025年7月21日</w:t>
      </w:r>
    </w:p>
    <w:p w14:paraId="215B6D81" w14:textId="77777777" w:rsidR="00EB155E" w:rsidRDefault="00EB155E">
      <w:pPr>
        <w:pStyle w:val="XBRLTitle1"/>
        <w:spacing w:before="156" w:line="360" w:lineRule="auto"/>
        <w:ind w:left="425"/>
        <w:rPr>
          <w:rFonts w:hint="eastAsia"/>
        </w:rPr>
      </w:pPr>
      <w:r>
        <w:rPr>
          <w:rFonts w:cs="宋体" w:hint="eastAsia"/>
          <w:color w:val="404040"/>
          <w:kern w:val="0"/>
        </w:rPr>
        <w:br w:type="page"/>
      </w:r>
      <w:bookmarkStart w:id="7" w:name="_Toc512519480"/>
      <w:bookmarkStart w:id="8" w:name="_Toc481075046"/>
      <w:bookmarkStart w:id="9" w:name="_Toc438646451"/>
      <w:bookmarkStart w:id="10" w:name="_Toc490050000"/>
      <w:bookmarkStart w:id="11" w:name="_Toc514178667"/>
      <w:bookmarkStart w:id="12" w:name="m101"/>
      <w:r>
        <w:rPr>
          <w:rFonts w:hint="eastAsia"/>
        </w:rPr>
        <w:lastRenderedPageBreak/>
        <w:t>重要提示</w:t>
      </w:r>
      <w:bookmarkEnd w:id="7"/>
      <w:bookmarkEnd w:id="8"/>
      <w:bookmarkEnd w:id="9"/>
      <w:bookmarkEnd w:id="10"/>
      <w:bookmarkEnd w:id="11"/>
      <w:r>
        <w:rPr>
          <w:rFonts w:hint="eastAsia"/>
        </w:rPr>
        <w:t xml:space="preserve"> </w:t>
      </w:r>
    </w:p>
    <w:p w14:paraId="4B84AB87" w14:textId="77777777" w:rsidR="00EB155E" w:rsidRDefault="00EB155E">
      <w:pPr>
        <w:spacing w:line="360" w:lineRule="auto"/>
        <w:ind w:firstLineChars="200" w:firstLine="420"/>
        <w:divId w:val="2093693581"/>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基金托管人招商银行股份有限公司根据本基金合同规定，于2025年7月18日复核了本报告中的财务指标、净值表现和投资组合报告等内容，保证复核内容不存在虚假记载、误导性陈述或者重大遗漏。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本报告期自2025年4月1日起至6月30日止。</w:t>
      </w:r>
    </w:p>
    <w:p w14:paraId="3BB546B1" w14:textId="77777777" w:rsidR="00EB155E" w:rsidRDefault="00EB155E">
      <w:pPr>
        <w:pStyle w:val="XBRLTitle1"/>
        <w:spacing w:before="156" w:line="360" w:lineRule="auto"/>
        <w:ind w:left="425"/>
        <w:rPr>
          <w:rFonts w:hint="eastAsia"/>
        </w:rPr>
      </w:pPr>
      <w:bookmarkStart w:id="20" w:name="_Toc512519481"/>
      <w:bookmarkStart w:id="21" w:name="_Toc481075047"/>
      <w:bookmarkStart w:id="22" w:name="_Toc438646452"/>
      <w:bookmarkStart w:id="23" w:name="_Toc490050001"/>
      <w:bookmarkStart w:id="24" w:name="_Toc514178668"/>
      <w:r>
        <w:rPr>
          <w:rFonts w:hint="eastAsia"/>
        </w:rPr>
        <w:t>基金产品概况</w:t>
      </w:r>
      <w:bookmarkEnd w:id="20"/>
      <w:bookmarkEnd w:id="21"/>
      <w:bookmarkEnd w:id="22"/>
      <w:bookmarkEnd w:id="23"/>
      <w:bookmarkEnd w:id="24"/>
      <w:r>
        <w:rPr>
          <w:rFonts w:hint="eastAsia"/>
        </w:rPr>
        <w:t xml:space="preserve"> </w:t>
      </w:r>
    </w:p>
    <w:tbl>
      <w:tblPr>
        <w:tblW w:w="4909"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750"/>
        <w:gridCol w:w="3310"/>
        <w:gridCol w:w="2614"/>
      </w:tblGrid>
      <w:tr w:rsidR="007E39FA" w14:paraId="285871E9" w14:textId="77777777">
        <w:trPr>
          <w:divId w:val="268707832"/>
          <w:trHeight w:val="40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65B650" w14:textId="77777777" w:rsidR="00EB155E" w:rsidRDefault="00EB155E">
            <w:pPr>
              <w:spacing w:line="360" w:lineRule="auto"/>
              <w:jc w:val="left"/>
            </w:pPr>
            <w:bookmarkStart w:id="25" w:name="OLE_LINK1"/>
            <w:r>
              <w:rPr>
                <w:rFonts w:ascii="宋体" w:hAnsi="宋体" w:hint="eastAsia"/>
              </w:rPr>
              <w:t>基金简称</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0FF5E0" w14:textId="77777777" w:rsidR="00EB155E" w:rsidRDefault="00EB155E">
            <w:pPr>
              <w:spacing w:line="360" w:lineRule="auto"/>
              <w:jc w:val="left"/>
            </w:pPr>
            <w:r>
              <w:rPr>
                <w:rFonts w:ascii="宋体" w:hAnsi="宋体" w:hint="eastAsia"/>
                <w:szCs w:val="24"/>
                <w:lang w:eastAsia="zh-Hans"/>
              </w:rPr>
              <w:t>摩根标普500指数(QDII)</w:t>
            </w:r>
            <w:r>
              <w:rPr>
                <w:rFonts w:ascii="宋体" w:hAnsi="宋体" w:hint="eastAsia"/>
                <w:lang w:eastAsia="zh-Hans"/>
              </w:rPr>
              <w:t xml:space="preserve"> </w:t>
            </w:r>
          </w:p>
        </w:tc>
      </w:tr>
      <w:tr w:rsidR="007E39FA" w14:paraId="746F2015" w14:textId="77777777">
        <w:trPr>
          <w:divId w:val="26870783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16C1D2" w14:textId="77777777" w:rsidR="00EB155E" w:rsidRDefault="00EB155E">
            <w:pPr>
              <w:spacing w:line="360" w:lineRule="auto"/>
              <w:jc w:val="left"/>
            </w:pPr>
            <w:r>
              <w:rPr>
                <w:rFonts w:ascii="宋体" w:hAnsi="宋体" w:hint="eastAsia"/>
              </w:rPr>
              <w:t>基金主代码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168EBF" w14:textId="77777777" w:rsidR="00EB155E" w:rsidRDefault="00EB155E">
            <w:pPr>
              <w:spacing w:line="360" w:lineRule="auto"/>
              <w:jc w:val="left"/>
            </w:pPr>
            <w:r>
              <w:rPr>
                <w:rFonts w:ascii="宋体" w:hAnsi="宋体" w:hint="eastAsia"/>
                <w:lang w:eastAsia="zh-Hans"/>
              </w:rPr>
              <w:t>017641</w:t>
            </w:r>
          </w:p>
        </w:tc>
      </w:tr>
      <w:tr w:rsidR="007E39FA" w14:paraId="0B21353B" w14:textId="77777777">
        <w:trPr>
          <w:divId w:val="26870783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2EB8A4" w14:textId="77777777" w:rsidR="00EB155E" w:rsidRDefault="00EB155E">
            <w:pPr>
              <w:spacing w:line="360" w:lineRule="auto"/>
              <w:jc w:val="left"/>
            </w:pPr>
            <w:r>
              <w:rPr>
                <w:rFonts w:ascii="宋体" w:hAnsi="宋体" w:hint="eastAsia"/>
              </w:rPr>
              <w:t>基金运作方式</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6E64E4" w14:textId="77777777" w:rsidR="00EB155E" w:rsidRDefault="00EB155E">
            <w:pPr>
              <w:spacing w:line="360" w:lineRule="auto"/>
              <w:jc w:val="left"/>
            </w:pPr>
            <w:r>
              <w:rPr>
                <w:rFonts w:ascii="宋体" w:hAnsi="宋体" w:hint="eastAsia"/>
                <w:lang w:eastAsia="zh-Hans"/>
              </w:rPr>
              <w:t>契约型开放式</w:t>
            </w:r>
          </w:p>
        </w:tc>
      </w:tr>
      <w:tr w:rsidR="007E39FA" w14:paraId="1C0A5F09" w14:textId="77777777">
        <w:trPr>
          <w:divId w:val="26870783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03C6F8" w14:textId="77777777" w:rsidR="00EB155E" w:rsidRDefault="00EB155E">
            <w:pPr>
              <w:spacing w:line="360" w:lineRule="auto"/>
              <w:jc w:val="left"/>
            </w:pPr>
            <w:r>
              <w:rPr>
                <w:rFonts w:ascii="宋体" w:hAnsi="宋体" w:hint="eastAsia"/>
              </w:rPr>
              <w:t>基金合同生效日</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F4C3D9" w14:textId="77777777" w:rsidR="00EB155E" w:rsidRDefault="00EB155E">
            <w:pPr>
              <w:spacing w:line="360" w:lineRule="auto"/>
              <w:jc w:val="left"/>
            </w:pPr>
            <w:r>
              <w:rPr>
                <w:rFonts w:ascii="宋体" w:hAnsi="宋体" w:hint="eastAsia"/>
                <w:lang w:eastAsia="zh-Hans"/>
              </w:rPr>
              <w:t>2023年4月6日</w:t>
            </w:r>
          </w:p>
        </w:tc>
      </w:tr>
      <w:tr w:rsidR="007E39FA" w14:paraId="33E601C7" w14:textId="77777777">
        <w:trPr>
          <w:divId w:val="26870783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EC91D8" w14:textId="77777777" w:rsidR="00EB155E" w:rsidRDefault="00EB155E">
            <w:pPr>
              <w:spacing w:line="360" w:lineRule="auto"/>
              <w:jc w:val="left"/>
            </w:pPr>
            <w:r>
              <w:rPr>
                <w:rFonts w:ascii="宋体" w:hAnsi="宋体" w:hint="eastAsia"/>
              </w:rPr>
              <w:t>报告期末基金份额总额</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A3E071" w14:textId="77777777" w:rsidR="00EB155E" w:rsidRDefault="00EB155E">
            <w:pPr>
              <w:spacing w:line="360" w:lineRule="auto"/>
              <w:jc w:val="left"/>
            </w:pPr>
            <w:r>
              <w:rPr>
                <w:rFonts w:ascii="宋体" w:hAnsi="宋体" w:hint="eastAsia"/>
                <w:lang w:eastAsia="zh-Hans"/>
              </w:rPr>
              <w:t>1,400,547,261.47</w:t>
            </w:r>
            <w:r>
              <w:rPr>
                <w:rFonts w:asciiTheme="minorHAnsi" w:eastAsiaTheme="minorEastAsia" w:hAnsiTheme="minorHAnsi" w:hint="eastAsia"/>
              </w:rPr>
              <w:t>份</w:t>
            </w:r>
            <w:r>
              <w:rPr>
                <w:rFonts w:ascii="宋体" w:hAnsi="宋体" w:hint="eastAsia"/>
                <w:lang w:eastAsia="zh-Hans"/>
              </w:rPr>
              <w:t xml:space="preserve"> </w:t>
            </w:r>
          </w:p>
        </w:tc>
      </w:tr>
      <w:tr w:rsidR="007E39FA" w14:paraId="53EE9E35" w14:textId="77777777">
        <w:trPr>
          <w:divId w:val="26870783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DF0803" w14:textId="77777777" w:rsidR="00EB155E" w:rsidRDefault="00EB155E">
            <w:pPr>
              <w:spacing w:line="360" w:lineRule="auto"/>
              <w:jc w:val="left"/>
            </w:pPr>
            <w:r>
              <w:rPr>
                <w:rFonts w:ascii="宋体" w:hAnsi="宋体" w:hint="eastAsia"/>
              </w:rPr>
              <w:t>投资目标</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4310F7" w14:textId="77777777" w:rsidR="00EB155E" w:rsidRDefault="00EB155E">
            <w:pPr>
              <w:spacing w:line="360" w:lineRule="auto"/>
              <w:jc w:val="left"/>
            </w:pPr>
            <w:r>
              <w:rPr>
                <w:rFonts w:ascii="宋体" w:hAnsi="宋体" w:hint="eastAsia"/>
                <w:lang w:eastAsia="zh-Hans"/>
              </w:rPr>
              <w:t>本基金进行被动指数化投资，紧密跟踪标的指数，追求跟踪偏离度和跟踪误差最小化。</w:t>
            </w:r>
          </w:p>
        </w:tc>
      </w:tr>
      <w:tr w:rsidR="007E39FA" w14:paraId="34AA75E3" w14:textId="77777777">
        <w:trPr>
          <w:divId w:val="26870783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38463A" w14:textId="77777777" w:rsidR="00EB155E" w:rsidRDefault="00EB155E">
            <w:pPr>
              <w:spacing w:line="360" w:lineRule="auto"/>
              <w:jc w:val="left"/>
            </w:pPr>
            <w:r>
              <w:rPr>
                <w:rFonts w:ascii="宋体" w:hAnsi="宋体" w:hint="eastAsia"/>
              </w:rPr>
              <w:t>投资策略</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EAD2EB" w14:textId="77777777" w:rsidR="00EB155E" w:rsidRDefault="00EB155E">
            <w:pPr>
              <w:spacing w:line="360" w:lineRule="auto"/>
              <w:jc w:val="left"/>
            </w:pPr>
            <w:r>
              <w:rPr>
                <w:rFonts w:ascii="宋体" w:hAnsi="宋体" w:hint="eastAsia"/>
                <w:lang w:eastAsia="zh-Hans"/>
              </w:rPr>
              <w:t>本基金采用完全复制策略，按照标的指数成份股构成及其权重构建股票资产组合，并根据标的指数成份股及其权重的变化对股票组合进行动态调整。但因特殊情况导致基金无法有效跟踪标的指数时，本基金将运用其他方法建立实际组合，力求实现基金相对业绩比较基准的跟踪误差最小化。</w:t>
            </w:r>
            <w:r>
              <w:rPr>
                <w:rFonts w:ascii="宋体" w:hAnsi="宋体" w:hint="eastAsia"/>
                <w:lang w:eastAsia="zh-Hans"/>
              </w:rPr>
              <w:br/>
              <w:t>1、资产配置策略</w:t>
            </w:r>
            <w:r>
              <w:rPr>
                <w:rFonts w:ascii="宋体" w:hAnsi="宋体" w:hint="eastAsia"/>
                <w:lang w:eastAsia="zh-Hans"/>
              </w:rPr>
              <w:br/>
              <w:t>为了实现追踪误差最小化，本基金投资于标的指数成份股及其备选成份股的比例不低于基金资产净值的80%，且不低于非现金基金资产80%。</w:t>
            </w:r>
            <w:r>
              <w:rPr>
                <w:rFonts w:ascii="宋体" w:hAnsi="宋体" w:hint="eastAsia"/>
                <w:lang w:eastAsia="zh-Hans"/>
              </w:rPr>
              <w:br/>
              <w:t>在正常市场情况下，本基金力争控制基金净值增长率与业绩比</w:t>
            </w:r>
            <w:r>
              <w:rPr>
                <w:rFonts w:ascii="宋体" w:hAnsi="宋体" w:hint="eastAsia"/>
                <w:lang w:eastAsia="zh-Hans"/>
              </w:rPr>
              <w:lastRenderedPageBreak/>
              <w:t>较基准之间的日均跟踪偏离度小于0.35%，基金净值增长率与业绩比较基准之间的年跟踪误差不超过4%。</w:t>
            </w:r>
            <w:r>
              <w:rPr>
                <w:rFonts w:ascii="宋体" w:hAnsi="宋体" w:hint="eastAsia"/>
                <w:lang w:eastAsia="zh-Hans"/>
              </w:rPr>
              <w:br/>
              <w:t>2、股票投资策略</w:t>
            </w:r>
            <w:r>
              <w:rPr>
                <w:rFonts w:ascii="宋体" w:hAnsi="宋体" w:hint="eastAsia"/>
                <w:lang w:eastAsia="zh-Hans"/>
              </w:rPr>
              <w:br/>
              <w:t>（1）投资组合构建</w:t>
            </w:r>
            <w:r>
              <w:rPr>
                <w:rFonts w:ascii="宋体" w:hAnsi="宋体" w:hint="eastAsia"/>
                <w:lang w:eastAsia="zh-Hans"/>
              </w:rPr>
              <w:br/>
              <w:t>本基金通过完全复制策略进行被动式指数化投资，根据标普500指数成份股的基准权重构建股票资产组合，对于因法规限制、流动性限制而无法交易的成份股，将采用与被限制股预期收益率相近的股票或股票组合进行相应的替代。在初始建仓期或者为申购资金建仓时，本基金按照标普500指数各成份股所占权重逐步买入。在投资运作过程中，本基金以标的指数权重为标准配置个股，并根据成份股构成及其权重的变动进行动态调整。</w:t>
            </w:r>
            <w:r>
              <w:rPr>
                <w:rFonts w:ascii="宋体" w:hAnsi="宋体" w:hint="eastAsia"/>
                <w:lang w:eastAsia="zh-Hans"/>
              </w:rPr>
              <w:br/>
              <w:t>（2）投资组合调整</w:t>
            </w:r>
            <w:r>
              <w:rPr>
                <w:rFonts w:ascii="宋体" w:hAnsi="宋体" w:hint="eastAsia"/>
                <w:lang w:eastAsia="zh-Hans"/>
              </w:rPr>
              <w:br/>
              <w:t>1）定期调整</w:t>
            </w:r>
            <w:r>
              <w:rPr>
                <w:rFonts w:ascii="宋体" w:hAnsi="宋体" w:hint="eastAsia"/>
                <w:lang w:eastAsia="zh-Hans"/>
              </w:rPr>
              <w:br/>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宋体" w:hAnsi="宋体" w:hint="eastAsia"/>
                <w:lang w:eastAsia="zh-Hans"/>
              </w:rPr>
              <w:br/>
              <w:t>2）不定期调整</w:t>
            </w:r>
            <w:r>
              <w:rPr>
                <w:rFonts w:ascii="宋体" w:hAnsi="宋体" w:hint="eastAsia"/>
                <w:lang w:eastAsia="zh-Hans"/>
              </w:rPr>
              <w:br/>
              <w:t>①根据指数编制规则，当标的指数成份股因增发、送配等股权变动而需进行成份股权重调整时，本基金将根据标的指数权重比例的变化，进行相应调整。</w:t>
            </w:r>
            <w:r>
              <w:rPr>
                <w:rFonts w:ascii="宋体" w:hAnsi="宋体" w:hint="eastAsia"/>
                <w:lang w:eastAsia="zh-Hans"/>
              </w:rPr>
              <w:br/>
              <w:t>②当标的指数成份股因停牌、流动性不足等因素导致基金无法按照指数权重进行配置，基金管理人将综合考虑跟踪误差和投资者利益，选择相关股票进行适当的替代。</w:t>
            </w:r>
            <w:r>
              <w:rPr>
                <w:rFonts w:ascii="宋体" w:hAnsi="宋体" w:hint="eastAsia"/>
                <w:lang w:eastAsia="zh-Hans"/>
              </w:rPr>
              <w:br/>
              <w:t xml:space="preserve">③本基金将根据申购和赎回情况对股票投资组合进行调整，保证基金正常运行，从而有效跟踪标的指数。　</w:t>
            </w:r>
            <w:r>
              <w:rPr>
                <w:rFonts w:ascii="宋体" w:hAnsi="宋体" w:hint="eastAsia"/>
                <w:lang w:eastAsia="zh-Hans"/>
              </w:rPr>
              <w:br/>
              <w:t>3）股票替代</w:t>
            </w:r>
            <w:r>
              <w:rPr>
                <w:rFonts w:ascii="宋体" w:hAnsi="宋体" w:hint="eastAsia"/>
                <w:lang w:eastAsia="zh-Hans"/>
              </w:rPr>
              <w:br/>
              <w:t>通常情况下，本基金根据标的指数成份股票在指数中的权重确定成份股票的买卖数量。但在如标的指数成份股流动性严重不</w:t>
            </w:r>
            <w:r>
              <w:rPr>
                <w:rFonts w:ascii="宋体" w:hAnsi="宋体" w:hint="eastAsia"/>
                <w:lang w:eastAsia="zh-Hans"/>
              </w:rPr>
              <w:lastRenderedPageBreak/>
              <w:t>足或停牌、标的指数成份股因法律法规的相关规定而为本基金限制投资的股票等特殊情况下，本基金可以选择其他股票或股票组合对标的指数中的成份股进行替换。</w:t>
            </w:r>
            <w:r>
              <w:rPr>
                <w:rFonts w:ascii="宋体" w:hAnsi="宋体" w:hint="eastAsia"/>
                <w:lang w:eastAsia="zh-Hans"/>
              </w:rPr>
              <w:br/>
              <w:t>3、其他投资策略：包括基金投资策略、金融衍生品投资策略、债券投资策略、资产支持证券投资策略。</w:t>
            </w:r>
          </w:p>
        </w:tc>
      </w:tr>
      <w:tr w:rsidR="007E39FA" w14:paraId="2EAB25BB" w14:textId="77777777">
        <w:trPr>
          <w:divId w:val="26870783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794A54" w14:textId="77777777" w:rsidR="00EB155E" w:rsidRDefault="00EB155E">
            <w:pPr>
              <w:spacing w:line="360" w:lineRule="auto"/>
              <w:jc w:val="left"/>
            </w:pPr>
            <w:r>
              <w:rPr>
                <w:rFonts w:ascii="宋体" w:hAnsi="宋体" w:hint="eastAsia"/>
              </w:rPr>
              <w:lastRenderedPageBreak/>
              <w:t>业绩比较基准</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252937" w14:textId="77777777" w:rsidR="00EB155E" w:rsidRDefault="00EB155E">
            <w:pPr>
              <w:spacing w:line="360" w:lineRule="auto"/>
              <w:jc w:val="left"/>
            </w:pPr>
            <w:r>
              <w:rPr>
                <w:rFonts w:ascii="宋体" w:hAnsi="宋体" w:hint="eastAsia"/>
                <w:lang w:eastAsia="zh-Hans"/>
              </w:rPr>
              <w:t>标普500指数收益率(经汇率调整后)×95%+银行活期存款利率(税后)×5%</w:t>
            </w:r>
          </w:p>
        </w:tc>
      </w:tr>
      <w:tr w:rsidR="007E39FA" w14:paraId="16E14A7D" w14:textId="77777777">
        <w:trPr>
          <w:divId w:val="26870783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D34F59" w14:textId="77777777" w:rsidR="00EB155E" w:rsidRDefault="00EB155E">
            <w:pPr>
              <w:spacing w:line="360" w:lineRule="auto"/>
              <w:jc w:val="left"/>
            </w:pPr>
            <w:r>
              <w:rPr>
                <w:rFonts w:ascii="宋体" w:hAnsi="宋体" w:hint="eastAsia"/>
              </w:rPr>
              <w:t>风险收益特征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97F010" w14:textId="77777777" w:rsidR="00EB155E" w:rsidRDefault="00EB155E">
            <w:pPr>
              <w:spacing w:line="360" w:lineRule="auto"/>
              <w:jc w:val="left"/>
            </w:pPr>
            <w:r>
              <w:rPr>
                <w:rFonts w:ascii="宋体" w:hAnsi="宋体" w:hint="eastAsia"/>
                <w:lang w:eastAsia="zh-Hans"/>
              </w:rPr>
              <w:t>本基金属于股票型基金产品，预期风险和收益水平高于混合型基金、债券型基金和货币市场基金。本基金为被动管理的指数型基金，具有与标的指数、以及标的指数所代表的股票市场相似的风险收益特征。</w:t>
            </w:r>
            <w:r>
              <w:rPr>
                <w:rFonts w:ascii="宋体" w:hAnsi="宋体" w:hint="eastAsia"/>
                <w:lang w:eastAsia="zh-Hans"/>
              </w:rPr>
              <w:br/>
              <w:t>本基金投资于境外证券市场，因此还面临汇率风险等境外证券市场投资所面临的特别投资风险。</w:t>
            </w:r>
          </w:p>
        </w:tc>
      </w:tr>
      <w:tr w:rsidR="007E39FA" w14:paraId="5E987D4A" w14:textId="77777777">
        <w:trPr>
          <w:divId w:val="268707832"/>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F36B7C" w14:textId="77777777" w:rsidR="00EB155E" w:rsidRDefault="00EB155E">
            <w:pPr>
              <w:spacing w:line="360" w:lineRule="auto"/>
              <w:jc w:val="left"/>
            </w:pPr>
            <w:r>
              <w:rPr>
                <w:rFonts w:ascii="宋体" w:hAnsi="宋体" w:hint="eastAsia"/>
              </w:rPr>
              <w:t>基金管理人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6F583A" w14:textId="77777777" w:rsidR="00EB155E" w:rsidRDefault="00EB155E">
            <w:pPr>
              <w:spacing w:line="360" w:lineRule="auto"/>
              <w:jc w:val="left"/>
            </w:pPr>
            <w:r>
              <w:rPr>
                <w:rFonts w:ascii="宋体" w:hAnsi="宋体" w:hint="eastAsia"/>
                <w:lang w:eastAsia="zh-Hans"/>
              </w:rPr>
              <w:t>摩根基金管理（中国）有限公司</w:t>
            </w:r>
          </w:p>
        </w:tc>
      </w:tr>
      <w:tr w:rsidR="007E39FA" w14:paraId="301D52F2" w14:textId="77777777">
        <w:trPr>
          <w:divId w:val="268707832"/>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0B6005" w14:textId="77777777" w:rsidR="00EB155E" w:rsidRDefault="00EB155E">
            <w:pPr>
              <w:spacing w:line="360" w:lineRule="auto"/>
              <w:jc w:val="left"/>
            </w:pPr>
            <w:r>
              <w:rPr>
                <w:rFonts w:ascii="宋体" w:hAnsi="宋体" w:hint="eastAsia"/>
              </w:rPr>
              <w:t>基金托管人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6F5505" w14:textId="77777777" w:rsidR="00EB155E" w:rsidRDefault="00EB155E">
            <w:pPr>
              <w:spacing w:line="360" w:lineRule="auto"/>
              <w:jc w:val="left"/>
            </w:pPr>
            <w:r>
              <w:rPr>
                <w:rFonts w:ascii="宋体" w:hAnsi="宋体" w:hint="eastAsia"/>
                <w:lang w:eastAsia="zh-Hans"/>
              </w:rPr>
              <w:t>招商银行股份有限公司</w:t>
            </w:r>
          </w:p>
        </w:tc>
      </w:tr>
      <w:tr w:rsidR="007E39FA" w14:paraId="74C40827" w14:textId="77777777">
        <w:trPr>
          <w:divId w:val="268707832"/>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03D53E" w14:textId="77777777" w:rsidR="00EB155E" w:rsidRDefault="00EB155E">
            <w:pPr>
              <w:spacing w:line="360" w:lineRule="auto"/>
              <w:jc w:val="left"/>
            </w:pPr>
            <w:bookmarkStart w:id="26"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E18A8BA" w14:textId="77777777" w:rsidR="00EB155E" w:rsidRDefault="00EB155E">
            <w:pPr>
              <w:spacing w:line="360" w:lineRule="auto"/>
              <w:jc w:val="center"/>
            </w:pPr>
            <w:r>
              <w:rPr>
                <w:rFonts w:ascii="宋体" w:hAnsi="宋体" w:hint="eastAsia"/>
                <w:lang w:eastAsia="zh-Hans"/>
              </w:rPr>
              <w:t>摩根标普500指数(QDII)人民币A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30DD57D" w14:textId="77777777" w:rsidR="00EB155E" w:rsidRDefault="00EB155E">
            <w:pPr>
              <w:spacing w:line="360" w:lineRule="auto"/>
              <w:jc w:val="center"/>
            </w:pPr>
            <w:r>
              <w:rPr>
                <w:rFonts w:ascii="宋体" w:hAnsi="宋体" w:hint="eastAsia"/>
                <w:lang w:eastAsia="zh-Hans"/>
              </w:rPr>
              <w:t>摩根标普500指数(QDII)人民币C</w:t>
            </w:r>
            <w:r>
              <w:rPr>
                <w:rFonts w:ascii="宋体" w:hAnsi="宋体" w:hint="eastAsia"/>
                <w:kern w:val="0"/>
                <w:sz w:val="20"/>
                <w:lang w:eastAsia="zh-Hans"/>
              </w:rPr>
              <w:t xml:space="preserve"> </w:t>
            </w:r>
          </w:p>
        </w:tc>
      </w:tr>
      <w:tr w:rsidR="007E39FA" w14:paraId="596C346F" w14:textId="77777777">
        <w:trPr>
          <w:divId w:val="268707832"/>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79C82A" w14:textId="77777777" w:rsidR="00EB155E" w:rsidRDefault="00EB155E">
            <w:pPr>
              <w:spacing w:line="360" w:lineRule="auto"/>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E00C0D0" w14:textId="77777777" w:rsidR="00EB155E" w:rsidRDefault="00EB155E">
            <w:pPr>
              <w:spacing w:line="360" w:lineRule="auto"/>
              <w:jc w:val="center"/>
            </w:pPr>
            <w:r>
              <w:rPr>
                <w:rFonts w:ascii="宋体" w:hAnsi="宋体" w:hint="eastAsia"/>
                <w:lang w:eastAsia="zh-Hans"/>
              </w:rPr>
              <w:t>017641</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DF19EF7" w14:textId="77777777" w:rsidR="00EB155E" w:rsidRDefault="00EB155E">
            <w:pPr>
              <w:spacing w:line="360" w:lineRule="auto"/>
              <w:jc w:val="center"/>
            </w:pPr>
            <w:r>
              <w:rPr>
                <w:rFonts w:ascii="宋体" w:hAnsi="宋体" w:hint="eastAsia"/>
                <w:lang w:eastAsia="zh-Hans"/>
              </w:rPr>
              <w:t>019305</w:t>
            </w:r>
            <w:r>
              <w:rPr>
                <w:rFonts w:ascii="宋体" w:hAnsi="宋体" w:hint="eastAsia"/>
                <w:kern w:val="0"/>
                <w:sz w:val="20"/>
                <w:lang w:eastAsia="zh-Hans"/>
              </w:rPr>
              <w:t xml:space="preserve"> </w:t>
            </w:r>
          </w:p>
        </w:tc>
      </w:tr>
      <w:bookmarkEnd w:id="26"/>
      <w:tr w:rsidR="007E39FA" w14:paraId="613D465B" w14:textId="77777777">
        <w:trPr>
          <w:divId w:val="268707832"/>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2463D6" w14:textId="77777777" w:rsidR="00EB155E" w:rsidRDefault="00EB155E">
            <w:pPr>
              <w:spacing w:line="360" w:lineRule="auto"/>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16D698" w14:textId="77777777" w:rsidR="00EB155E" w:rsidRDefault="00EB155E">
            <w:pPr>
              <w:spacing w:line="360" w:lineRule="auto"/>
              <w:jc w:val="center"/>
            </w:pPr>
            <w:r>
              <w:rPr>
                <w:rFonts w:ascii="宋体" w:hAnsi="宋体" w:hint="eastAsia"/>
                <w:lang w:eastAsia="zh-Hans"/>
              </w:rPr>
              <w:t>982,899,297.36</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33547F" w14:textId="77777777" w:rsidR="00EB155E" w:rsidRDefault="00EB155E">
            <w:pPr>
              <w:spacing w:line="360" w:lineRule="auto"/>
              <w:jc w:val="center"/>
            </w:pPr>
            <w:r>
              <w:rPr>
                <w:rFonts w:ascii="宋体" w:hAnsi="宋体" w:hint="eastAsia"/>
                <w:lang w:eastAsia="zh-Hans"/>
              </w:rPr>
              <w:t>417,647,964.11</w:t>
            </w:r>
            <w:r>
              <w:rPr>
                <w:rFonts w:hint="eastAsia"/>
              </w:rPr>
              <w:t>份</w:t>
            </w:r>
            <w:r>
              <w:rPr>
                <w:rFonts w:ascii="宋体" w:hAnsi="宋体" w:hint="eastAsia"/>
                <w:lang w:eastAsia="zh-Hans"/>
              </w:rPr>
              <w:t xml:space="preserve"> </w:t>
            </w:r>
          </w:p>
        </w:tc>
      </w:tr>
      <w:tr w:rsidR="007E39FA" w14:paraId="094D53EB" w14:textId="77777777">
        <w:trPr>
          <w:divId w:val="268707832"/>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C0F012" w14:textId="77777777" w:rsidR="00EB155E" w:rsidRDefault="00EB155E">
            <w:pPr>
              <w:spacing w:line="360" w:lineRule="auto"/>
              <w:jc w:val="left"/>
            </w:pPr>
            <w:r>
              <w:rPr>
                <w:rFonts w:ascii="宋体" w:hAnsi="宋体" w:hint="eastAsia"/>
              </w:rPr>
              <w:t>境外资产托管人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C6A24E" w14:textId="77777777" w:rsidR="00EB155E" w:rsidRDefault="00EB155E">
            <w:pPr>
              <w:spacing w:line="360" w:lineRule="auto"/>
              <w:jc w:val="left"/>
            </w:pPr>
            <w:r>
              <w:rPr>
                <w:rFonts w:ascii="宋体" w:hAnsi="宋体" w:hint="eastAsia"/>
                <w:lang w:eastAsia="zh-Hans"/>
              </w:rPr>
              <w:t>英文名称：The Hong Kong and Shanghai Banking Corporation Limited</w:t>
            </w:r>
          </w:p>
        </w:tc>
      </w:tr>
      <w:tr w:rsidR="007E39FA" w14:paraId="5C5A5C7A" w14:textId="77777777">
        <w:trPr>
          <w:divId w:val="268707832"/>
          <w:trHeight w:val="34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992015" w14:textId="77777777" w:rsidR="00EB155E" w:rsidRDefault="00EB155E">
            <w:pPr>
              <w:widowControl/>
              <w:jc w:val="left"/>
            </w:pP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0AAEE" w14:textId="77777777" w:rsidR="00EB155E" w:rsidRDefault="00EB155E">
            <w:pPr>
              <w:widowControl/>
              <w:spacing w:line="315" w:lineRule="atLeast"/>
              <w:jc w:val="left"/>
            </w:pPr>
            <w:r>
              <w:rPr>
                <w:rFonts w:ascii="宋体" w:hAnsi="宋体" w:hint="eastAsia"/>
                <w:lang w:eastAsia="zh-Hans"/>
              </w:rPr>
              <w:t>中文名称：香港上海汇丰银行有限公司</w:t>
            </w:r>
            <w:r>
              <w:rPr>
                <w:rFonts w:asciiTheme="minorEastAsia" w:eastAsiaTheme="minorEastAsia" w:hAnsiTheme="minorEastAsia" w:hint="eastAsia"/>
              </w:rPr>
              <w:t xml:space="preserve"> </w:t>
            </w:r>
          </w:p>
        </w:tc>
      </w:tr>
    </w:tbl>
    <w:p w14:paraId="119AA371" w14:textId="77777777" w:rsidR="00EB155E" w:rsidRDefault="00EB155E">
      <w:pPr>
        <w:pStyle w:val="XBRLTitle1"/>
        <w:spacing w:before="156" w:line="360" w:lineRule="auto"/>
        <w:ind w:left="425"/>
        <w:rPr>
          <w:rFonts w:hint="eastAsia"/>
        </w:rPr>
      </w:pPr>
      <w:bookmarkStart w:id="27" w:name="_Toc512519482"/>
      <w:bookmarkStart w:id="28" w:name="_Toc481075049"/>
      <w:bookmarkStart w:id="29" w:name="_Toc438646455"/>
      <w:bookmarkStart w:id="30" w:name="_Toc490050003"/>
      <w:bookmarkStart w:id="31" w:name="_Toc514178669"/>
      <w:bookmarkStart w:id="32" w:name="m401_tab"/>
      <w:bookmarkStart w:id="33" w:name="m401"/>
      <w:bookmarkEnd w:id="25"/>
      <w:r>
        <w:rPr>
          <w:rFonts w:hint="eastAsia"/>
        </w:rPr>
        <w:t>主要财务指标和基金净值表现</w:t>
      </w:r>
      <w:bookmarkEnd w:id="27"/>
      <w:bookmarkEnd w:id="28"/>
      <w:bookmarkEnd w:id="29"/>
      <w:bookmarkEnd w:id="30"/>
      <w:bookmarkEnd w:id="31"/>
      <w:r>
        <w:rPr>
          <w:rFonts w:hint="eastAsia"/>
        </w:rPr>
        <w:t xml:space="preserve"> </w:t>
      </w:r>
    </w:p>
    <w:p w14:paraId="747CE7D6" w14:textId="77777777" w:rsidR="00EB155E" w:rsidRDefault="00EB155E">
      <w:pPr>
        <w:pStyle w:val="XBRLTitle2"/>
        <w:spacing w:before="156" w:line="360" w:lineRule="auto"/>
        <w:ind w:left="454"/>
        <w:rPr>
          <w:rFonts w:hint="eastAsia"/>
        </w:rPr>
      </w:pPr>
      <w:bookmarkStart w:id="34" w:name="_Toc512519483"/>
      <w:bookmarkStart w:id="35" w:name="_Toc481075050"/>
      <w:bookmarkStart w:id="36" w:name="_Toc438646456"/>
      <w:bookmarkStart w:id="37" w:name="_Toc490050004"/>
      <w:bookmarkStart w:id="38" w:name="_Toc514178670"/>
      <w:r>
        <w:rPr>
          <w:rFonts w:hint="eastAsia"/>
        </w:rPr>
        <w:t>主要财务指标</w:t>
      </w:r>
      <w:bookmarkEnd w:id="34"/>
      <w:bookmarkEnd w:id="35"/>
      <w:bookmarkEnd w:id="36"/>
      <w:bookmarkEnd w:id="37"/>
      <w:bookmarkEnd w:id="38"/>
      <w:r>
        <w:rPr>
          <w:rFonts w:hint="eastAsia"/>
        </w:rPr>
        <w:t xml:space="preserve"> </w:t>
      </w:r>
    </w:p>
    <w:p w14:paraId="76D6E903" w14:textId="77777777" w:rsidR="00EB155E" w:rsidRDefault="00EB155E">
      <w:pPr>
        <w:jc w:val="right"/>
        <w:divId w:val="143485914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5"/>
        <w:gridCol w:w="3077"/>
        <w:gridCol w:w="3073"/>
      </w:tblGrid>
      <w:tr w:rsidR="007E39FA" w14:paraId="72713026" w14:textId="77777777">
        <w:trPr>
          <w:divId w:val="1434859149"/>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DB60410" w14:textId="77777777" w:rsidR="00EB155E" w:rsidRDefault="00EB155E">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AC6A9E9" w14:textId="77777777" w:rsidR="00EB155E" w:rsidRDefault="00EB155E">
            <w:pPr>
              <w:pStyle w:val="a5"/>
              <w:jc w:val="center"/>
              <w:rPr>
                <w:rFonts w:hint="eastAsia"/>
              </w:rPr>
            </w:pPr>
            <w:r>
              <w:rPr>
                <w:rFonts w:hint="eastAsia"/>
                <w:kern w:val="2"/>
                <w:sz w:val="21"/>
                <w:szCs w:val="24"/>
                <w:lang w:eastAsia="zh-Hans"/>
              </w:rPr>
              <w:t xml:space="preserve">报告期（2025年4月1日-2025年6月30日） </w:t>
            </w:r>
          </w:p>
        </w:tc>
      </w:tr>
      <w:tr w:rsidR="007E39FA" w14:paraId="601C3A9C" w14:textId="77777777">
        <w:trPr>
          <w:divId w:val="143485914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512035" w14:textId="77777777" w:rsidR="00EB155E" w:rsidRDefault="00EB155E">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24D7B93" w14:textId="77777777" w:rsidR="00EB155E" w:rsidRDefault="00EB155E">
            <w:pPr>
              <w:jc w:val="center"/>
            </w:pPr>
            <w:r>
              <w:rPr>
                <w:rFonts w:ascii="宋体" w:hAnsi="宋体" w:hint="eastAsia"/>
                <w:szCs w:val="24"/>
                <w:lang w:eastAsia="zh-Hans"/>
              </w:rPr>
              <w:t>摩根标普500指数(QDII)人民币A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18AAD04" w14:textId="77777777" w:rsidR="00EB155E" w:rsidRDefault="00EB155E">
            <w:pPr>
              <w:jc w:val="center"/>
            </w:pPr>
            <w:r>
              <w:rPr>
                <w:rFonts w:ascii="宋体" w:hAnsi="宋体" w:hint="eastAsia"/>
                <w:szCs w:val="24"/>
                <w:lang w:eastAsia="zh-Hans"/>
              </w:rPr>
              <w:t>摩根标普500指数(QDII)人民币C</w:t>
            </w:r>
          </w:p>
        </w:tc>
      </w:tr>
      <w:tr w:rsidR="007E39FA" w14:paraId="14BA39D9" w14:textId="77777777">
        <w:trPr>
          <w:divId w:val="143485914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014971" w14:textId="77777777" w:rsidR="00EB155E" w:rsidRDefault="00EB155E">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6B3490" w14:textId="77777777" w:rsidR="00EB155E" w:rsidRDefault="00EB155E">
            <w:pPr>
              <w:jc w:val="right"/>
            </w:pPr>
            <w:r>
              <w:rPr>
                <w:rFonts w:ascii="宋体" w:hAnsi="宋体" w:hint="eastAsia"/>
                <w:szCs w:val="24"/>
                <w:lang w:eastAsia="zh-Hans"/>
              </w:rPr>
              <w:t>3,135,034.29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CC6137" w14:textId="77777777" w:rsidR="00EB155E" w:rsidRDefault="00EB155E">
            <w:pPr>
              <w:jc w:val="right"/>
            </w:pPr>
            <w:r>
              <w:rPr>
                <w:rFonts w:ascii="宋体" w:hAnsi="宋体" w:hint="eastAsia"/>
                <w:szCs w:val="24"/>
                <w:lang w:eastAsia="zh-Hans"/>
              </w:rPr>
              <w:t>962,847.79</w:t>
            </w:r>
          </w:p>
        </w:tc>
      </w:tr>
      <w:tr w:rsidR="007E39FA" w14:paraId="65A52F4D" w14:textId="77777777">
        <w:trPr>
          <w:divId w:val="143485914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749FC85" w14:textId="77777777" w:rsidR="00EB155E" w:rsidRDefault="00EB155E">
            <w:pPr>
              <w:pStyle w:val="a5"/>
              <w:rPr>
                <w:rFonts w:hint="eastAsia"/>
              </w:rPr>
            </w:pPr>
            <w:r>
              <w:rPr>
                <w:rFonts w:hint="eastAsia"/>
                <w:kern w:val="2"/>
                <w:sz w:val="21"/>
              </w:rPr>
              <w:lastRenderedPageBreak/>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69471D" w14:textId="77777777" w:rsidR="00EB155E" w:rsidRDefault="00EB155E">
            <w:pPr>
              <w:jc w:val="right"/>
            </w:pPr>
            <w:r>
              <w:rPr>
                <w:rFonts w:ascii="宋体" w:hAnsi="宋体" w:hint="eastAsia"/>
                <w:szCs w:val="24"/>
                <w:lang w:eastAsia="zh-Hans"/>
              </w:rPr>
              <w:t>122,012,638.78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DDA2AB4" w14:textId="77777777" w:rsidR="00EB155E" w:rsidRDefault="00EB155E">
            <w:pPr>
              <w:jc w:val="right"/>
            </w:pPr>
            <w:r>
              <w:rPr>
                <w:rFonts w:ascii="宋体" w:hAnsi="宋体" w:hint="eastAsia"/>
                <w:szCs w:val="24"/>
                <w:lang w:eastAsia="zh-Hans"/>
              </w:rPr>
              <w:t>52,502,476.19</w:t>
            </w:r>
          </w:p>
        </w:tc>
      </w:tr>
      <w:tr w:rsidR="007E39FA" w14:paraId="5A76758D" w14:textId="77777777">
        <w:trPr>
          <w:divId w:val="143485914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149D2E" w14:textId="77777777" w:rsidR="00EB155E" w:rsidRDefault="00EB155E">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DE9904" w14:textId="77777777" w:rsidR="00EB155E" w:rsidRDefault="00EB155E">
            <w:pPr>
              <w:jc w:val="right"/>
            </w:pPr>
            <w:r>
              <w:rPr>
                <w:rFonts w:ascii="宋体" w:hAnsi="宋体" w:hint="eastAsia"/>
                <w:szCs w:val="24"/>
                <w:lang w:eastAsia="zh-Hans"/>
              </w:rPr>
              <w:t>0.1298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8A12E34" w14:textId="77777777" w:rsidR="00EB155E" w:rsidRDefault="00EB155E">
            <w:pPr>
              <w:jc w:val="right"/>
            </w:pPr>
            <w:r>
              <w:rPr>
                <w:rFonts w:ascii="宋体" w:hAnsi="宋体" w:hint="eastAsia"/>
                <w:szCs w:val="24"/>
                <w:lang w:eastAsia="zh-Hans"/>
              </w:rPr>
              <w:t>0.1258</w:t>
            </w:r>
          </w:p>
        </w:tc>
      </w:tr>
      <w:tr w:rsidR="007E39FA" w14:paraId="1E8F1CAC" w14:textId="77777777">
        <w:trPr>
          <w:divId w:val="143485914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889B63" w14:textId="77777777" w:rsidR="00EB155E" w:rsidRDefault="00EB155E">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CBDCD6D" w14:textId="77777777" w:rsidR="00EB155E" w:rsidRDefault="00EB155E">
            <w:pPr>
              <w:jc w:val="right"/>
            </w:pPr>
            <w:r>
              <w:rPr>
                <w:rFonts w:ascii="宋体" w:hAnsi="宋体" w:hint="eastAsia"/>
                <w:szCs w:val="24"/>
                <w:lang w:eastAsia="zh-Hans"/>
              </w:rPr>
              <w:t>1,435,711,147.50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87EABBC" w14:textId="77777777" w:rsidR="00EB155E" w:rsidRDefault="00EB155E">
            <w:pPr>
              <w:jc w:val="right"/>
            </w:pPr>
            <w:r>
              <w:rPr>
                <w:rFonts w:ascii="宋体" w:hAnsi="宋体" w:hint="eastAsia"/>
                <w:szCs w:val="24"/>
                <w:lang w:eastAsia="zh-Hans"/>
              </w:rPr>
              <w:t>606,408,427.56</w:t>
            </w:r>
          </w:p>
        </w:tc>
      </w:tr>
      <w:tr w:rsidR="007E39FA" w14:paraId="3C03A493" w14:textId="77777777">
        <w:trPr>
          <w:divId w:val="143485914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34BAFFF" w14:textId="77777777" w:rsidR="00EB155E" w:rsidRDefault="00EB155E">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9ABCEB6" w14:textId="77777777" w:rsidR="00EB155E" w:rsidRDefault="00EB155E">
            <w:pPr>
              <w:jc w:val="right"/>
            </w:pPr>
            <w:r>
              <w:rPr>
                <w:rFonts w:ascii="宋体" w:hAnsi="宋体" w:hint="eastAsia"/>
                <w:szCs w:val="24"/>
                <w:lang w:eastAsia="zh-Hans"/>
              </w:rPr>
              <w:t>1.4607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F25E660" w14:textId="77777777" w:rsidR="00EB155E" w:rsidRDefault="00EB155E">
            <w:pPr>
              <w:jc w:val="right"/>
            </w:pPr>
            <w:r>
              <w:rPr>
                <w:rFonts w:ascii="宋体" w:hAnsi="宋体" w:hint="eastAsia"/>
                <w:szCs w:val="24"/>
                <w:lang w:eastAsia="zh-Hans"/>
              </w:rPr>
              <w:t>1.4520</w:t>
            </w:r>
          </w:p>
        </w:tc>
      </w:tr>
    </w:tbl>
    <w:p w14:paraId="72CD81FA" w14:textId="77777777" w:rsidR="00EB155E" w:rsidRDefault="00EB155E">
      <w:pPr>
        <w:wordWrap w:val="0"/>
        <w:spacing w:line="360" w:lineRule="auto"/>
        <w:jc w:val="left"/>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51004736" w14:textId="77777777" w:rsidR="00EB155E" w:rsidRDefault="00EB155E">
      <w:pPr>
        <w:pStyle w:val="XBRLTitle2"/>
        <w:spacing w:before="156" w:line="360" w:lineRule="auto"/>
        <w:ind w:left="454"/>
        <w:rPr>
          <w:rFonts w:hint="eastAsia"/>
        </w:rPr>
      </w:pPr>
      <w:bookmarkStart w:id="39" w:name="_Toc512519484"/>
      <w:bookmarkStart w:id="40" w:name="_Toc481075051"/>
      <w:bookmarkStart w:id="41" w:name="_Toc438646457"/>
      <w:bookmarkStart w:id="42" w:name="_Toc490050005"/>
      <w:bookmarkStart w:id="43" w:name="_Toc514178671"/>
      <w:r>
        <w:rPr>
          <w:rFonts w:hint="eastAsia"/>
        </w:rPr>
        <w:t>基金净值表现</w:t>
      </w:r>
      <w:bookmarkEnd w:id="39"/>
      <w:bookmarkEnd w:id="40"/>
      <w:bookmarkEnd w:id="41"/>
      <w:bookmarkEnd w:id="42"/>
      <w:bookmarkEnd w:id="43"/>
      <w:r>
        <w:rPr>
          <w:rFonts w:hint="eastAsia"/>
        </w:rPr>
        <w:t xml:space="preserve"> </w:t>
      </w:r>
    </w:p>
    <w:p w14:paraId="12B8B1F8" w14:textId="77777777" w:rsidR="00EB155E" w:rsidRDefault="00EB155E">
      <w:pPr>
        <w:pStyle w:val="XBRLTitle3"/>
        <w:spacing w:before="156"/>
        <w:ind w:left="0"/>
        <w:rPr>
          <w:rFonts w:hint="eastAsia"/>
        </w:rPr>
      </w:pPr>
      <w:bookmarkStart w:id="44" w:name="_Toc512519485"/>
      <w:bookmarkStart w:id="45" w:name="_Toc481075052"/>
      <w:bookmarkStart w:id="46" w:name="_Toc490050006"/>
      <w:bookmarkStart w:id="47" w:name="_Toc514178672"/>
      <w:r>
        <w:rPr>
          <w:rFonts w:hint="eastAsia"/>
        </w:rPr>
        <w:t>基金份额净值增长率及其与同期业绩比较基准收益率的比较</w:t>
      </w:r>
      <w:bookmarkEnd w:id="44"/>
      <w:bookmarkEnd w:id="45"/>
      <w:bookmarkEnd w:id="46"/>
      <w:bookmarkEnd w:id="47"/>
      <w:r>
        <w:rPr>
          <w:rFonts w:hint="eastAsia"/>
          <w:lang w:eastAsia="zh-CN"/>
        </w:rPr>
        <w:t xml:space="preserve"> </w:t>
      </w:r>
    </w:p>
    <w:p w14:paraId="52903848" w14:textId="77777777" w:rsidR="00EB155E" w:rsidRDefault="00EB155E">
      <w:pPr>
        <w:spacing w:line="360" w:lineRule="auto"/>
        <w:jc w:val="center"/>
        <w:divId w:val="2005547054"/>
      </w:pPr>
      <w:proofErr w:type="gramStart"/>
      <w:r>
        <w:rPr>
          <w:rFonts w:ascii="宋体" w:hAnsi="宋体" w:hint="eastAsia"/>
        </w:rPr>
        <w:t>摩根标普</w:t>
      </w:r>
      <w:proofErr w:type="gramEnd"/>
      <w:r>
        <w:rPr>
          <w:rFonts w:ascii="宋体" w:hAnsi="宋体" w:hint="eastAsia"/>
        </w:rPr>
        <w:t>500指数(QDII)人民币A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7E39FA" w14:paraId="049F6C68" w14:textId="77777777">
        <w:trPr>
          <w:divId w:val="200554705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CBFD0C" w14:textId="77777777" w:rsidR="00EB155E" w:rsidRDefault="00EB155E">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9B77580" w14:textId="77777777" w:rsidR="00EB155E" w:rsidRDefault="00EB155E">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E23758F" w14:textId="77777777" w:rsidR="00EB155E" w:rsidRDefault="00EB155E">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61D96B" w14:textId="77777777" w:rsidR="00EB155E" w:rsidRDefault="00EB155E">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DE8654" w14:textId="77777777" w:rsidR="00EB155E" w:rsidRDefault="00EB155E">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D44805" w14:textId="77777777" w:rsidR="00EB155E" w:rsidRDefault="00EB155E">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DB92E6" w14:textId="77777777" w:rsidR="00EB155E" w:rsidRDefault="00EB155E">
            <w:pPr>
              <w:spacing w:line="360" w:lineRule="auto"/>
              <w:jc w:val="center"/>
            </w:pPr>
            <w:r>
              <w:rPr>
                <w:rFonts w:ascii="宋体" w:hAnsi="宋体" w:hint="eastAsia"/>
              </w:rPr>
              <w:t xml:space="preserve">②－④ </w:t>
            </w:r>
          </w:p>
        </w:tc>
      </w:tr>
      <w:tr w:rsidR="007E39FA" w14:paraId="0D6110C9" w14:textId="77777777">
        <w:trPr>
          <w:divId w:val="200554705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0E918B" w14:textId="77777777" w:rsidR="00EB155E" w:rsidRDefault="00EB155E">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F27171" w14:textId="77777777" w:rsidR="00EB155E" w:rsidRDefault="00EB155E">
            <w:pPr>
              <w:spacing w:line="360" w:lineRule="auto"/>
              <w:jc w:val="right"/>
            </w:pPr>
            <w:r>
              <w:rPr>
                <w:rFonts w:ascii="宋体" w:hAnsi="宋体" w:hint="eastAsia"/>
              </w:rPr>
              <w:t xml:space="preserve">9.92%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F6BDEA" w14:textId="77777777" w:rsidR="00EB155E" w:rsidRDefault="00EB155E">
            <w:pPr>
              <w:spacing w:line="360" w:lineRule="auto"/>
              <w:jc w:val="right"/>
            </w:pPr>
            <w:r>
              <w:rPr>
                <w:rFonts w:ascii="宋体" w:hAnsi="宋体" w:hint="eastAsia"/>
              </w:rPr>
              <w:t xml:space="preserve">1.82%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E086E2" w14:textId="77777777" w:rsidR="00EB155E" w:rsidRDefault="00EB155E">
            <w:pPr>
              <w:spacing w:line="360" w:lineRule="auto"/>
              <w:jc w:val="right"/>
            </w:pPr>
            <w:r>
              <w:rPr>
                <w:rFonts w:ascii="宋体" w:hAnsi="宋体" w:hint="eastAsia"/>
              </w:rPr>
              <w:t xml:space="preserve">9.76%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A373E0" w14:textId="77777777" w:rsidR="00EB155E" w:rsidRDefault="00EB155E">
            <w:pPr>
              <w:spacing w:line="360" w:lineRule="auto"/>
              <w:jc w:val="right"/>
            </w:pPr>
            <w:r>
              <w:rPr>
                <w:rFonts w:ascii="宋体" w:hAnsi="宋体" w:hint="eastAsia"/>
              </w:rPr>
              <w:t xml:space="preserve">1.84%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8A1483E" w14:textId="77777777" w:rsidR="00EB155E" w:rsidRDefault="00EB155E">
            <w:pPr>
              <w:spacing w:line="360" w:lineRule="auto"/>
              <w:jc w:val="right"/>
            </w:pPr>
            <w:r>
              <w:rPr>
                <w:rFonts w:ascii="宋体" w:hAnsi="宋体" w:hint="eastAsia"/>
              </w:rPr>
              <w:t xml:space="preserve">0.16%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5D53B4" w14:textId="77777777" w:rsidR="00EB155E" w:rsidRDefault="00EB155E">
            <w:pPr>
              <w:spacing w:line="360" w:lineRule="auto"/>
              <w:jc w:val="right"/>
            </w:pPr>
            <w:r>
              <w:rPr>
                <w:rFonts w:ascii="宋体" w:hAnsi="宋体" w:hint="eastAsia"/>
              </w:rPr>
              <w:t xml:space="preserve">-0.02% </w:t>
            </w:r>
          </w:p>
        </w:tc>
      </w:tr>
      <w:tr w:rsidR="007E39FA" w14:paraId="7A87F431" w14:textId="77777777">
        <w:trPr>
          <w:divId w:val="200554705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DB42D" w14:textId="77777777" w:rsidR="00EB155E" w:rsidRDefault="00EB155E">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861549" w14:textId="77777777" w:rsidR="00EB155E" w:rsidRDefault="00EB155E">
            <w:pPr>
              <w:spacing w:line="360" w:lineRule="auto"/>
              <w:jc w:val="right"/>
            </w:pPr>
            <w:r>
              <w:rPr>
                <w:rFonts w:ascii="宋体" w:hAnsi="宋体" w:hint="eastAsia"/>
              </w:rPr>
              <w:t xml:space="preserve">5.10%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EB83C9" w14:textId="77777777" w:rsidR="00EB155E" w:rsidRDefault="00EB155E">
            <w:pPr>
              <w:spacing w:line="360" w:lineRule="auto"/>
              <w:jc w:val="right"/>
            </w:pPr>
            <w:r>
              <w:rPr>
                <w:rFonts w:ascii="宋体" w:hAnsi="宋体" w:hint="eastAsia"/>
              </w:rPr>
              <w:t xml:space="preserve">1.47%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2B9002" w14:textId="77777777" w:rsidR="00EB155E" w:rsidRDefault="00EB155E">
            <w:pPr>
              <w:spacing w:line="360" w:lineRule="auto"/>
              <w:jc w:val="right"/>
            </w:pPr>
            <w:r>
              <w:rPr>
                <w:rFonts w:ascii="宋体" w:hAnsi="宋体" w:hint="eastAsia"/>
              </w:rPr>
              <w:t xml:space="preserve">4.82%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407C56" w14:textId="77777777" w:rsidR="00EB155E" w:rsidRDefault="00EB155E">
            <w:pPr>
              <w:spacing w:line="360" w:lineRule="auto"/>
              <w:jc w:val="right"/>
            </w:pPr>
            <w:r>
              <w:rPr>
                <w:rFonts w:ascii="宋体" w:hAnsi="宋体" w:hint="eastAsia"/>
              </w:rPr>
              <w:t xml:space="preserve">1.48%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FEEC063" w14:textId="77777777" w:rsidR="00EB155E" w:rsidRDefault="00EB155E">
            <w:pPr>
              <w:spacing w:line="360" w:lineRule="auto"/>
              <w:jc w:val="right"/>
            </w:pPr>
            <w:r>
              <w:rPr>
                <w:rFonts w:ascii="宋体" w:hAnsi="宋体" w:hint="eastAsia"/>
              </w:rPr>
              <w:t xml:space="preserve">0.28%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578B4E" w14:textId="77777777" w:rsidR="00EB155E" w:rsidRDefault="00EB155E">
            <w:pPr>
              <w:spacing w:line="360" w:lineRule="auto"/>
              <w:jc w:val="right"/>
            </w:pPr>
            <w:r>
              <w:rPr>
                <w:rFonts w:ascii="宋体" w:hAnsi="宋体" w:hint="eastAsia"/>
              </w:rPr>
              <w:t xml:space="preserve">-0.01% </w:t>
            </w:r>
          </w:p>
        </w:tc>
      </w:tr>
      <w:tr w:rsidR="007E39FA" w14:paraId="3989AAA5" w14:textId="77777777">
        <w:trPr>
          <w:divId w:val="200554705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AFF93B" w14:textId="77777777" w:rsidR="00EB155E" w:rsidRDefault="00EB155E">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F928F9" w14:textId="77777777" w:rsidR="00EB155E" w:rsidRDefault="00EB155E">
            <w:pPr>
              <w:spacing w:line="360" w:lineRule="auto"/>
              <w:jc w:val="right"/>
            </w:pPr>
            <w:r>
              <w:rPr>
                <w:rFonts w:ascii="宋体" w:hAnsi="宋体" w:hint="eastAsia"/>
              </w:rPr>
              <w:t xml:space="preserve">13.41%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A59873" w14:textId="77777777" w:rsidR="00EB155E" w:rsidRDefault="00EB155E">
            <w:pPr>
              <w:spacing w:line="360" w:lineRule="auto"/>
              <w:jc w:val="right"/>
            </w:pPr>
            <w:r>
              <w:rPr>
                <w:rFonts w:ascii="宋体" w:hAnsi="宋体" w:hint="eastAsia"/>
              </w:rPr>
              <w:t xml:space="preserve">1.21%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D62BE5" w14:textId="77777777" w:rsidR="00EB155E" w:rsidRDefault="00EB155E">
            <w:pPr>
              <w:spacing w:line="360" w:lineRule="auto"/>
              <w:jc w:val="right"/>
            </w:pPr>
            <w:r>
              <w:rPr>
                <w:rFonts w:ascii="宋体" w:hAnsi="宋体" w:hint="eastAsia"/>
              </w:rPr>
              <w:t xml:space="preserve">13.45%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5EF245" w14:textId="77777777" w:rsidR="00EB155E" w:rsidRDefault="00EB155E">
            <w:pPr>
              <w:spacing w:line="360" w:lineRule="auto"/>
              <w:jc w:val="right"/>
            </w:pPr>
            <w:r>
              <w:rPr>
                <w:rFonts w:ascii="宋体" w:hAnsi="宋体" w:hint="eastAsia"/>
              </w:rPr>
              <w:t xml:space="preserve">1.22%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9810121" w14:textId="77777777" w:rsidR="00EB155E" w:rsidRDefault="00EB155E">
            <w:pPr>
              <w:spacing w:line="360" w:lineRule="auto"/>
              <w:jc w:val="right"/>
            </w:pPr>
            <w:r>
              <w:rPr>
                <w:rFonts w:ascii="宋体" w:hAnsi="宋体" w:hint="eastAsia"/>
              </w:rPr>
              <w:t xml:space="preserve">-0.04%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153471" w14:textId="77777777" w:rsidR="00EB155E" w:rsidRDefault="00EB155E">
            <w:pPr>
              <w:spacing w:line="360" w:lineRule="auto"/>
              <w:jc w:val="right"/>
            </w:pPr>
            <w:r>
              <w:rPr>
                <w:rFonts w:ascii="宋体" w:hAnsi="宋体" w:hint="eastAsia"/>
              </w:rPr>
              <w:t xml:space="preserve">-0.01% </w:t>
            </w:r>
          </w:p>
        </w:tc>
      </w:tr>
      <w:tr w:rsidR="007E39FA" w14:paraId="6C4834C9" w14:textId="77777777">
        <w:trPr>
          <w:divId w:val="200554705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43C61" w14:textId="77777777" w:rsidR="00EB155E" w:rsidRDefault="00EB155E">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6D372C" w14:textId="77777777" w:rsidR="00EB155E" w:rsidRDefault="00EB155E">
            <w:pPr>
              <w:spacing w:line="360" w:lineRule="auto"/>
              <w:jc w:val="right"/>
            </w:pPr>
            <w:r>
              <w:rPr>
                <w:rFonts w:ascii="宋体" w:hAnsi="宋体" w:hint="eastAsia"/>
              </w:rPr>
              <w:t xml:space="preserve">46.07%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A560B" w14:textId="77777777" w:rsidR="00EB155E" w:rsidRDefault="00EB155E">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F3D3A4" w14:textId="77777777" w:rsidR="00EB155E" w:rsidRDefault="00EB155E">
            <w:pPr>
              <w:spacing w:line="360" w:lineRule="auto"/>
              <w:jc w:val="right"/>
            </w:pPr>
            <w:r>
              <w:rPr>
                <w:rFonts w:ascii="宋体" w:hAnsi="宋体" w:hint="eastAsia"/>
              </w:rPr>
              <w:t xml:space="preserve">54.83%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B06C8" w14:textId="77777777" w:rsidR="00EB155E" w:rsidRDefault="00EB155E">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00FF615" w14:textId="77777777" w:rsidR="00EB155E" w:rsidRDefault="00EB155E">
            <w:pPr>
              <w:spacing w:line="360" w:lineRule="auto"/>
              <w:jc w:val="right"/>
            </w:pPr>
            <w:r>
              <w:rPr>
                <w:rFonts w:ascii="宋体" w:hAnsi="宋体" w:hint="eastAsia"/>
              </w:rPr>
              <w:t xml:space="preserve">-8.76%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604BC9" w14:textId="77777777" w:rsidR="00EB155E" w:rsidRDefault="00EB155E">
            <w:pPr>
              <w:spacing w:line="360" w:lineRule="auto"/>
              <w:jc w:val="right"/>
            </w:pPr>
            <w:r>
              <w:rPr>
                <w:rFonts w:ascii="宋体" w:hAnsi="宋体" w:hint="eastAsia"/>
              </w:rPr>
              <w:t xml:space="preserve">-0.03% </w:t>
            </w:r>
          </w:p>
        </w:tc>
      </w:tr>
    </w:tbl>
    <w:p w14:paraId="291DE9E6" w14:textId="77777777" w:rsidR="00EB155E" w:rsidRDefault="00EB155E">
      <w:pPr>
        <w:spacing w:line="360" w:lineRule="auto"/>
        <w:jc w:val="center"/>
        <w:divId w:val="540171455"/>
      </w:pPr>
      <w:proofErr w:type="gramStart"/>
      <w:r>
        <w:rPr>
          <w:rFonts w:ascii="宋体" w:hAnsi="宋体" w:hint="eastAsia"/>
        </w:rPr>
        <w:t>摩根标普</w:t>
      </w:r>
      <w:proofErr w:type="gramEnd"/>
      <w:r>
        <w:rPr>
          <w:rFonts w:ascii="宋体" w:hAnsi="宋体" w:hint="eastAsia"/>
        </w:rPr>
        <w:t>500指数(QDII)人民币C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7E39FA" w14:paraId="4974C902" w14:textId="77777777">
        <w:trPr>
          <w:divId w:val="54017145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BA2DF2A" w14:textId="77777777" w:rsidR="00EB155E" w:rsidRDefault="00EB155E">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583A75" w14:textId="77777777" w:rsidR="00EB155E" w:rsidRDefault="00EB155E">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C75911" w14:textId="77777777" w:rsidR="00EB155E" w:rsidRDefault="00EB155E">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B0D4B7" w14:textId="77777777" w:rsidR="00EB155E" w:rsidRDefault="00EB155E">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DD4DEB" w14:textId="77777777" w:rsidR="00EB155E" w:rsidRDefault="00EB155E">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02F740" w14:textId="77777777" w:rsidR="00EB155E" w:rsidRDefault="00EB155E">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D44C01" w14:textId="77777777" w:rsidR="00EB155E" w:rsidRDefault="00EB155E">
            <w:pPr>
              <w:spacing w:line="360" w:lineRule="auto"/>
              <w:jc w:val="center"/>
            </w:pPr>
            <w:r>
              <w:rPr>
                <w:rFonts w:ascii="宋体" w:hAnsi="宋体" w:hint="eastAsia"/>
              </w:rPr>
              <w:t xml:space="preserve">②－④ </w:t>
            </w:r>
          </w:p>
        </w:tc>
      </w:tr>
      <w:tr w:rsidR="007E39FA" w14:paraId="55C37596" w14:textId="77777777">
        <w:trPr>
          <w:divId w:val="5401714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503B4E" w14:textId="77777777" w:rsidR="00EB155E" w:rsidRDefault="00EB155E">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FFD031" w14:textId="77777777" w:rsidR="00EB155E" w:rsidRDefault="00EB155E">
            <w:pPr>
              <w:spacing w:line="360" w:lineRule="auto"/>
              <w:jc w:val="right"/>
            </w:pPr>
            <w:r>
              <w:rPr>
                <w:rFonts w:ascii="宋体" w:hAnsi="宋体" w:hint="eastAsia"/>
              </w:rPr>
              <w:t xml:space="preserve">9.84%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2ABC3" w14:textId="77777777" w:rsidR="00EB155E" w:rsidRDefault="00EB155E">
            <w:pPr>
              <w:spacing w:line="360" w:lineRule="auto"/>
              <w:jc w:val="right"/>
            </w:pPr>
            <w:r>
              <w:rPr>
                <w:rFonts w:ascii="宋体" w:hAnsi="宋体" w:hint="eastAsia"/>
              </w:rPr>
              <w:t xml:space="preserve">1.82%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E42804" w14:textId="77777777" w:rsidR="00EB155E" w:rsidRDefault="00EB155E">
            <w:pPr>
              <w:spacing w:line="360" w:lineRule="auto"/>
              <w:jc w:val="right"/>
            </w:pPr>
            <w:r>
              <w:rPr>
                <w:rFonts w:ascii="宋体" w:hAnsi="宋体" w:hint="eastAsia"/>
              </w:rPr>
              <w:t xml:space="preserve">9.76%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DFE292" w14:textId="77777777" w:rsidR="00EB155E" w:rsidRDefault="00EB155E">
            <w:pPr>
              <w:spacing w:line="360" w:lineRule="auto"/>
              <w:jc w:val="right"/>
            </w:pPr>
            <w:r>
              <w:rPr>
                <w:rFonts w:ascii="宋体" w:hAnsi="宋体" w:hint="eastAsia"/>
              </w:rPr>
              <w:t xml:space="preserve">1.84%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903A898" w14:textId="77777777" w:rsidR="00EB155E" w:rsidRDefault="00EB155E">
            <w:pPr>
              <w:spacing w:line="360" w:lineRule="auto"/>
              <w:jc w:val="right"/>
            </w:pPr>
            <w:r>
              <w:rPr>
                <w:rFonts w:ascii="宋体" w:hAnsi="宋体" w:hint="eastAsia"/>
              </w:rPr>
              <w:t xml:space="preserve">0.08%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7D0D6" w14:textId="77777777" w:rsidR="00EB155E" w:rsidRDefault="00EB155E">
            <w:pPr>
              <w:spacing w:line="360" w:lineRule="auto"/>
              <w:jc w:val="right"/>
            </w:pPr>
            <w:r>
              <w:rPr>
                <w:rFonts w:ascii="宋体" w:hAnsi="宋体" w:hint="eastAsia"/>
              </w:rPr>
              <w:t xml:space="preserve">-0.02% </w:t>
            </w:r>
          </w:p>
        </w:tc>
      </w:tr>
      <w:tr w:rsidR="007E39FA" w14:paraId="0F933917" w14:textId="77777777">
        <w:trPr>
          <w:divId w:val="5401714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82DF26" w14:textId="77777777" w:rsidR="00EB155E" w:rsidRDefault="00EB155E">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B77E9C" w14:textId="77777777" w:rsidR="00EB155E" w:rsidRDefault="00EB155E">
            <w:pPr>
              <w:spacing w:line="360" w:lineRule="auto"/>
              <w:jc w:val="right"/>
            </w:pPr>
            <w:r>
              <w:rPr>
                <w:rFonts w:ascii="宋体" w:hAnsi="宋体" w:hint="eastAsia"/>
              </w:rPr>
              <w:t xml:space="preserve">4.94%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80FD4B" w14:textId="77777777" w:rsidR="00EB155E" w:rsidRDefault="00EB155E">
            <w:pPr>
              <w:spacing w:line="360" w:lineRule="auto"/>
              <w:jc w:val="right"/>
            </w:pPr>
            <w:r>
              <w:rPr>
                <w:rFonts w:ascii="宋体" w:hAnsi="宋体" w:hint="eastAsia"/>
              </w:rPr>
              <w:t xml:space="preserve">1.47%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81D8D2" w14:textId="77777777" w:rsidR="00EB155E" w:rsidRDefault="00EB155E">
            <w:pPr>
              <w:spacing w:line="360" w:lineRule="auto"/>
              <w:jc w:val="right"/>
            </w:pPr>
            <w:r>
              <w:rPr>
                <w:rFonts w:ascii="宋体" w:hAnsi="宋体" w:hint="eastAsia"/>
              </w:rPr>
              <w:t xml:space="preserve">4.82%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7E16F" w14:textId="77777777" w:rsidR="00EB155E" w:rsidRDefault="00EB155E">
            <w:pPr>
              <w:spacing w:line="360" w:lineRule="auto"/>
              <w:jc w:val="right"/>
            </w:pPr>
            <w:r>
              <w:rPr>
                <w:rFonts w:ascii="宋体" w:hAnsi="宋体" w:hint="eastAsia"/>
              </w:rPr>
              <w:t xml:space="preserve">1.48%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A401D97" w14:textId="77777777" w:rsidR="00EB155E" w:rsidRDefault="00EB155E">
            <w:pPr>
              <w:spacing w:line="360" w:lineRule="auto"/>
              <w:jc w:val="right"/>
            </w:pPr>
            <w:r>
              <w:rPr>
                <w:rFonts w:ascii="宋体" w:hAnsi="宋体" w:hint="eastAsia"/>
              </w:rPr>
              <w:t xml:space="preserve">0.12%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BC0185" w14:textId="77777777" w:rsidR="00EB155E" w:rsidRDefault="00EB155E">
            <w:pPr>
              <w:spacing w:line="360" w:lineRule="auto"/>
              <w:jc w:val="right"/>
            </w:pPr>
            <w:r>
              <w:rPr>
                <w:rFonts w:ascii="宋体" w:hAnsi="宋体" w:hint="eastAsia"/>
              </w:rPr>
              <w:t xml:space="preserve">-0.01% </w:t>
            </w:r>
          </w:p>
        </w:tc>
      </w:tr>
      <w:tr w:rsidR="007E39FA" w14:paraId="746088AC" w14:textId="77777777">
        <w:trPr>
          <w:divId w:val="5401714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01DECE" w14:textId="77777777" w:rsidR="00EB155E" w:rsidRDefault="00EB155E">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CD4832" w14:textId="77777777" w:rsidR="00EB155E" w:rsidRDefault="00EB155E">
            <w:pPr>
              <w:spacing w:line="360" w:lineRule="auto"/>
              <w:jc w:val="right"/>
            </w:pPr>
            <w:r>
              <w:rPr>
                <w:rFonts w:ascii="宋体" w:hAnsi="宋体" w:hint="eastAsia"/>
              </w:rPr>
              <w:t xml:space="preserve">13.03%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578B52" w14:textId="77777777" w:rsidR="00EB155E" w:rsidRDefault="00EB155E">
            <w:pPr>
              <w:spacing w:line="360" w:lineRule="auto"/>
              <w:jc w:val="right"/>
            </w:pPr>
            <w:r>
              <w:rPr>
                <w:rFonts w:ascii="宋体" w:hAnsi="宋体" w:hint="eastAsia"/>
              </w:rPr>
              <w:t xml:space="preserve">1.21%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888481" w14:textId="77777777" w:rsidR="00EB155E" w:rsidRDefault="00EB155E">
            <w:pPr>
              <w:spacing w:line="360" w:lineRule="auto"/>
              <w:jc w:val="right"/>
            </w:pPr>
            <w:r>
              <w:rPr>
                <w:rFonts w:ascii="宋体" w:hAnsi="宋体" w:hint="eastAsia"/>
              </w:rPr>
              <w:t xml:space="preserve">13.45%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504025" w14:textId="77777777" w:rsidR="00EB155E" w:rsidRDefault="00EB155E">
            <w:pPr>
              <w:spacing w:line="360" w:lineRule="auto"/>
              <w:jc w:val="right"/>
            </w:pPr>
            <w:r>
              <w:rPr>
                <w:rFonts w:ascii="宋体" w:hAnsi="宋体" w:hint="eastAsia"/>
              </w:rPr>
              <w:t xml:space="preserve">1.22%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0B9D23D" w14:textId="77777777" w:rsidR="00EB155E" w:rsidRDefault="00EB155E">
            <w:pPr>
              <w:spacing w:line="360" w:lineRule="auto"/>
              <w:jc w:val="right"/>
            </w:pPr>
            <w:r>
              <w:rPr>
                <w:rFonts w:ascii="宋体" w:hAnsi="宋体" w:hint="eastAsia"/>
              </w:rPr>
              <w:t xml:space="preserve">-0.42%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C33F50" w14:textId="77777777" w:rsidR="00EB155E" w:rsidRDefault="00EB155E">
            <w:pPr>
              <w:spacing w:line="360" w:lineRule="auto"/>
              <w:jc w:val="right"/>
            </w:pPr>
            <w:r>
              <w:rPr>
                <w:rFonts w:ascii="宋体" w:hAnsi="宋体" w:hint="eastAsia"/>
              </w:rPr>
              <w:t xml:space="preserve">-0.01% </w:t>
            </w:r>
          </w:p>
        </w:tc>
      </w:tr>
      <w:tr w:rsidR="007E39FA" w14:paraId="4AB495AF" w14:textId="77777777">
        <w:trPr>
          <w:divId w:val="54017145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68198F" w14:textId="77777777" w:rsidR="00EB155E" w:rsidRDefault="00EB155E">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A94C27" w14:textId="77777777" w:rsidR="00EB155E" w:rsidRDefault="00EB155E">
            <w:pPr>
              <w:spacing w:line="360" w:lineRule="auto"/>
              <w:jc w:val="right"/>
            </w:pPr>
            <w:r>
              <w:rPr>
                <w:rFonts w:ascii="宋体" w:hAnsi="宋体" w:hint="eastAsia"/>
              </w:rPr>
              <w:t xml:space="preserve">30.83%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DB5FC4" w14:textId="77777777" w:rsidR="00EB155E" w:rsidRDefault="00EB155E">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F5B5BF" w14:textId="77777777" w:rsidR="00EB155E" w:rsidRDefault="00EB155E">
            <w:pPr>
              <w:spacing w:line="360" w:lineRule="auto"/>
              <w:jc w:val="right"/>
            </w:pPr>
            <w:r>
              <w:rPr>
                <w:rFonts w:ascii="宋体" w:hAnsi="宋体" w:hint="eastAsia"/>
              </w:rPr>
              <w:t xml:space="preserve">35.20%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4A4E88" w14:textId="77777777" w:rsidR="00EB155E" w:rsidRDefault="00EB155E">
            <w:pPr>
              <w:spacing w:line="360" w:lineRule="auto"/>
              <w:jc w:val="right"/>
            </w:pPr>
            <w:r>
              <w:rPr>
                <w:rFonts w:ascii="宋体" w:hAnsi="宋体" w:hint="eastAsia"/>
              </w:rPr>
              <w:t xml:space="preserve">1.01%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FB391B1" w14:textId="77777777" w:rsidR="00EB155E" w:rsidRDefault="00EB155E">
            <w:pPr>
              <w:spacing w:line="360" w:lineRule="auto"/>
              <w:jc w:val="right"/>
            </w:pPr>
            <w:r>
              <w:rPr>
                <w:rFonts w:ascii="宋体" w:hAnsi="宋体" w:hint="eastAsia"/>
              </w:rPr>
              <w:t xml:space="preserve">-4.37%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E92EC8" w14:textId="77777777" w:rsidR="00EB155E" w:rsidRDefault="00EB155E">
            <w:pPr>
              <w:spacing w:line="360" w:lineRule="auto"/>
              <w:jc w:val="right"/>
            </w:pPr>
            <w:r>
              <w:rPr>
                <w:rFonts w:ascii="宋体" w:hAnsi="宋体" w:hint="eastAsia"/>
              </w:rPr>
              <w:t xml:space="preserve">-0.01% </w:t>
            </w:r>
          </w:p>
        </w:tc>
      </w:tr>
    </w:tbl>
    <w:p w14:paraId="68834858" w14:textId="07C01015" w:rsidR="00EB155E" w:rsidRDefault="00EB155E" w:rsidP="00010AC5">
      <w:pPr>
        <w:pStyle w:val="XBRLTitle3"/>
        <w:spacing w:before="156"/>
        <w:ind w:left="0"/>
        <w:rPr>
          <w:rFonts w:hint="eastAsia"/>
        </w:rPr>
      </w:pPr>
      <w:bookmarkStart w:id="48" w:name="_Toc512519486"/>
      <w:bookmarkStart w:id="49" w:name="_Toc481075053"/>
      <w:bookmarkStart w:id="50" w:name="_Toc490050007"/>
      <w:bookmarkStart w:id="51" w:name="_Toc514178673"/>
      <w:r>
        <w:rPr>
          <w:rFonts w:hint="eastAsia"/>
        </w:rPr>
        <w:t>自基金合同生效以来基金累计净值增长率变动及其与同期业绩比较基准收益</w:t>
      </w:r>
      <w:r>
        <w:rPr>
          <w:rFonts w:hint="eastAsia"/>
        </w:rPr>
        <w:lastRenderedPageBreak/>
        <w:t>率变动的比较</w:t>
      </w:r>
      <w:bookmarkEnd w:id="48"/>
      <w:bookmarkEnd w:id="49"/>
      <w:bookmarkEnd w:id="50"/>
      <w:bookmarkEnd w:id="51"/>
      <w:r>
        <w:rPr>
          <w:rFonts w:hint="eastAsia"/>
          <w:kern w:val="2"/>
          <w:sz w:val="21"/>
          <w:szCs w:val="20"/>
          <w:lang w:val="en-US" w:eastAsia="zh-CN"/>
        </w:rPr>
        <w:t xml:space="preserve"> </w:t>
      </w:r>
      <w:bookmarkStart w:id="52" w:name="m07_04_07_09_tab"/>
      <w:bookmarkStart w:id="53" w:name="m07_04_07_09"/>
      <w:bookmarkStart w:id="54" w:name="m01_01"/>
    </w:p>
    <w:p w14:paraId="0BAD48A9" w14:textId="77777777" w:rsidR="00010AC5" w:rsidRDefault="00010AC5" w:rsidP="00010AC5">
      <w:pPr>
        <w:spacing w:line="360" w:lineRule="auto"/>
        <w:jc w:val="left"/>
        <w:divId w:val="1270815967"/>
      </w:pPr>
      <w:r>
        <w:rPr>
          <w:rFonts w:ascii="宋体" w:hAnsi="宋体" w:hint="eastAsia"/>
          <w:noProof/>
        </w:rPr>
        <w:drawing>
          <wp:inline distT="0" distB="0" distL="0" distR="0" wp14:anchorId="6F9EE118" wp14:editId="3D2E3E18">
            <wp:extent cx="5229225" cy="30099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14:paraId="0F7B41C5" w14:textId="11C93910" w:rsidR="00EB155E" w:rsidRDefault="00010AC5" w:rsidP="00010AC5">
      <w:pPr>
        <w:spacing w:line="360" w:lineRule="auto"/>
        <w:jc w:val="left"/>
        <w:divId w:val="1270815967"/>
      </w:pPr>
      <w:r>
        <w:rPr>
          <w:rFonts w:ascii="宋体" w:hAnsi="宋体" w:hint="eastAsia"/>
          <w:noProof/>
        </w:rPr>
        <w:drawing>
          <wp:inline distT="0" distB="0" distL="0" distR="0" wp14:anchorId="3210F99C" wp14:editId="504495CF">
            <wp:extent cx="5229225" cy="30099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14:paraId="0696E854" w14:textId="77777777" w:rsidR="00EB155E" w:rsidRDefault="00EB155E">
      <w:pPr>
        <w:spacing w:line="360" w:lineRule="auto"/>
      </w:pPr>
      <w:r>
        <w:rPr>
          <w:rFonts w:ascii="宋体" w:hAnsi="宋体" w:hint="eastAsia"/>
        </w:rPr>
        <w:t>注：</w:t>
      </w:r>
      <w:r>
        <w:rPr>
          <w:rFonts w:ascii="宋体" w:hAnsi="宋体" w:hint="eastAsia"/>
          <w:lang w:eastAsia="zh-Hans"/>
        </w:rPr>
        <w:t>本基金合同生效日为2023年4月6日，图示的时间段为合同生效日至本报告期末。</w:t>
      </w:r>
      <w:r>
        <w:rPr>
          <w:rFonts w:ascii="宋体" w:hAnsi="宋体" w:hint="eastAsia"/>
          <w:lang w:eastAsia="zh-Hans"/>
        </w:rPr>
        <w:br/>
        <w:t xml:space="preserve">　　本基金自2023年9月1日起增加C类份额，相关数据按实际存续期计算。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2"/>
      <w:bookmarkEnd w:id="53"/>
    </w:p>
    <w:p w14:paraId="665B961C" w14:textId="77777777" w:rsidR="00EB155E" w:rsidRDefault="00EB155E">
      <w:pPr>
        <w:pStyle w:val="XBRLTitle1"/>
        <w:spacing w:before="156" w:line="360" w:lineRule="auto"/>
        <w:ind w:left="425"/>
        <w:rPr>
          <w:rFonts w:hint="eastAsia"/>
        </w:rPr>
      </w:pPr>
      <w:bookmarkStart w:id="55" w:name="_Toc481075054"/>
      <w:bookmarkStart w:id="56" w:name="_Toc438646458"/>
      <w:bookmarkStart w:id="57" w:name="_Toc490050008"/>
      <w:bookmarkStart w:id="58" w:name="_Toc512519487"/>
      <w:bookmarkStart w:id="59" w:name="_Toc514178674"/>
      <w:r>
        <w:rPr>
          <w:rFonts w:hint="eastAsia"/>
        </w:rPr>
        <w:t>管理人报告</w:t>
      </w:r>
      <w:bookmarkEnd w:id="55"/>
      <w:bookmarkEnd w:id="56"/>
      <w:bookmarkEnd w:id="57"/>
      <w:bookmarkEnd w:id="58"/>
      <w:bookmarkEnd w:id="59"/>
      <w:r>
        <w:rPr>
          <w:rFonts w:hint="eastAsia"/>
        </w:rPr>
        <w:t xml:space="preserve"> </w:t>
      </w:r>
    </w:p>
    <w:p w14:paraId="629AA7D5" w14:textId="77777777" w:rsidR="00EB155E" w:rsidRDefault="00EB155E">
      <w:pPr>
        <w:pStyle w:val="XBRLTitle2"/>
        <w:spacing w:before="156" w:line="360" w:lineRule="auto"/>
        <w:ind w:left="454"/>
        <w:rPr>
          <w:rFonts w:hint="eastAsia"/>
        </w:rPr>
      </w:pPr>
      <w:bookmarkStart w:id="60" w:name="_Toc459213770"/>
      <w:bookmarkStart w:id="61" w:name="_Toc456107124"/>
      <w:bookmarkStart w:id="62" w:name="_Toc438654078"/>
      <w:bookmarkStart w:id="63" w:name="_Toc448480290"/>
      <w:bookmarkStart w:id="64" w:name="_Toc480465421"/>
      <w:bookmarkStart w:id="65" w:name="_Toc514178675"/>
      <w:bookmarkStart w:id="66" w:name="_Toc512611287"/>
      <w:bookmarkStart w:id="67" w:name="_Toc512612083"/>
      <w:bookmarkStart w:id="68" w:name="_Toc512612259"/>
      <w:bookmarkStart w:id="69" w:name="_Toc513658013"/>
      <w:bookmarkStart w:id="70" w:name="_Toc512519496"/>
      <w:bookmarkStart w:id="71" w:name="_Toc481075064"/>
      <w:bookmarkStart w:id="72" w:name="_Toc438646466"/>
      <w:bookmarkStart w:id="73" w:name="_Toc490050017"/>
      <w:r>
        <w:rPr>
          <w:rFonts w:hint="eastAsia"/>
        </w:rPr>
        <w:t>基金经理（或基金经理小组）简介</w:t>
      </w:r>
      <w:bookmarkEnd w:id="60"/>
      <w:bookmarkEnd w:id="61"/>
      <w:bookmarkEnd w:id="62"/>
      <w:bookmarkEnd w:id="63"/>
      <w:bookmarkEnd w:id="64"/>
      <w:bookmarkEnd w:id="65"/>
      <w:r>
        <w:rPr>
          <w:rFonts w:hint="eastAsia"/>
          <w:szCs w:val="21"/>
        </w:rPr>
        <w:t xml:space="preserve"> </w:t>
      </w:r>
      <w:bookmarkEnd w:id="66"/>
      <w:bookmarkEnd w:id="67"/>
      <w:bookmarkEnd w:id="68"/>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7E39FA" w14:paraId="4EDEB003" w14:textId="77777777">
        <w:trPr>
          <w:divId w:val="865678319"/>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25734A" w14:textId="77777777" w:rsidR="00EB155E" w:rsidRDefault="00EB155E">
            <w:pPr>
              <w:snapToGrid w:val="0"/>
              <w:jc w:val="center"/>
            </w:pPr>
            <w:bookmarkStart w:id="74" w:name="m04_02"/>
            <w:bookmarkEnd w:id="7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C4C0B6" w14:textId="77777777" w:rsidR="00EB155E" w:rsidRDefault="00EB155E">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21F65D" w14:textId="77777777" w:rsidR="00EB155E" w:rsidRDefault="00EB155E">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F50502" w14:textId="77777777" w:rsidR="00EB155E" w:rsidRDefault="00EB155E">
            <w:pPr>
              <w:snapToGrid w:val="0"/>
              <w:jc w:val="center"/>
            </w:pPr>
            <w:r>
              <w:rPr>
                <w:rFonts w:ascii="宋体" w:hAnsi="宋体" w:hint="eastAsia"/>
                <w:szCs w:val="24"/>
              </w:rPr>
              <w:t>证券从业</w:t>
            </w:r>
            <w:r>
              <w:rPr>
                <w:rFonts w:ascii="宋体" w:hAnsi="宋体" w:hint="eastAsia"/>
                <w:szCs w:val="24"/>
              </w:rPr>
              <w:lastRenderedPageBreak/>
              <w:t>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CDF28C" w14:textId="77777777" w:rsidR="00EB155E" w:rsidRDefault="00EB155E">
            <w:pPr>
              <w:snapToGrid w:val="0"/>
              <w:ind w:firstLineChars="100" w:firstLine="210"/>
              <w:jc w:val="center"/>
            </w:pPr>
            <w:r>
              <w:rPr>
                <w:rFonts w:ascii="宋体" w:hAnsi="宋体" w:hint="eastAsia"/>
                <w:szCs w:val="24"/>
              </w:rPr>
              <w:lastRenderedPageBreak/>
              <w:t>说明</w:t>
            </w:r>
            <w:r>
              <w:rPr>
                <w:rFonts w:ascii="宋体" w:hAnsi="宋体" w:hint="eastAsia"/>
                <w:szCs w:val="24"/>
                <w:lang w:eastAsia="zh-Hans"/>
              </w:rPr>
              <w:t xml:space="preserve"> </w:t>
            </w:r>
          </w:p>
        </w:tc>
      </w:tr>
      <w:tr w:rsidR="007E39FA" w14:paraId="09D5140E" w14:textId="77777777">
        <w:trPr>
          <w:divId w:val="865678319"/>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3440C" w14:textId="77777777" w:rsidR="00EB155E" w:rsidRDefault="00EB155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265BDA" w14:textId="77777777" w:rsidR="00EB155E" w:rsidRDefault="00EB155E">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9E655A" w14:textId="77777777" w:rsidR="00EB155E" w:rsidRDefault="00EB155E">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A31F84" w14:textId="77777777" w:rsidR="00EB155E" w:rsidRDefault="00EB155E">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CBB23" w14:textId="77777777" w:rsidR="00EB155E" w:rsidRDefault="00EB155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A3D952" w14:textId="77777777" w:rsidR="00EB155E" w:rsidRDefault="00EB155E">
            <w:pPr>
              <w:widowControl/>
              <w:jc w:val="left"/>
            </w:pPr>
          </w:p>
        </w:tc>
      </w:tr>
      <w:tr w:rsidR="007E39FA" w14:paraId="4B0B7B78" w14:textId="77777777">
        <w:trPr>
          <w:divId w:val="86567831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6F1AD4" w14:textId="77777777" w:rsidR="00EB155E" w:rsidRDefault="00EB155E">
            <w:pPr>
              <w:jc w:val="center"/>
            </w:pPr>
            <w:r>
              <w:rPr>
                <w:rFonts w:ascii="宋体" w:hAnsi="宋体" w:hint="eastAsia"/>
                <w:szCs w:val="24"/>
                <w:lang w:eastAsia="zh-Hans"/>
              </w:rPr>
              <w:t>张军</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650445" w14:textId="77777777" w:rsidR="00EB155E" w:rsidRDefault="00EB155E">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6188F6" w14:textId="77777777" w:rsidR="00EB155E" w:rsidRDefault="00EB155E">
            <w:pPr>
              <w:jc w:val="center"/>
            </w:pPr>
            <w:r>
              <w:rPr>
                <w:rFonts w:ascii="宋体" w:hAnsi="宋体" w:hint="eastAsia"/>
                <w:szCs w:val="24"/>
                <w:lang w:eastAsia="zh-Hans"/>
              </w:rPr>
              <w:t>2023年4月6日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CFFA31" w14:textId="77777777" w:rsidR="00EB155E" w:rsidRDefault="00EB155E">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BE05D0" w14:textId="77777777" w:rsidR="00EB155E" w:rsidRDefault="00EB155E">
            <w:pPr>
              <w:jc w:val="center"/>
            </w:pPr>
            <w:r>
              <w:rPr>
                <w:rFonts w:ascii="宋体" w:hAnsi="宋体" w:hint="eastAsia"/>
                <w:szCs w:val="24"/>
                <w:lang w:eastAsia="zh-Hans"/>
              </w:rPr>
              <w:t>21年（金融领域从业经验32年）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F1D881" w14:textId="77777777" w:rsidR="00EB155E" w:rsidRDefault="00EB155E">
            <w:pPr>
              <w:jc w:val="left"/>
            </w:pPr>
            <w:r>
              <w:rPr>
                <w:rFonts w:ascii="宋体" w:hAnsi="宋体" w:hint="eastAsia"/>
                <w:szCs w:val="24"/>
                <w:lang w:eastAsia="zh-Hans"/>
              </w:rPr>
              <w:t>张军先生曾任上海国际信托有限公司国际业务部经理、交易部经理。2004年6月起加入摩根基金管理(中国)有限公司(原上投摩根基金管理有限公司)，先后担任交易部总监、基金经理、投资绩效评估总监、国际投资部总监、组合基金投资部总监，现任高级基金经理。</w:t>
            </w:r>
          </w:p>
        </w:tc>
      </w:tr>
    </w:tbl>
    <w:p w14:paraId="128C83B0" w14:textId="77777777" w:rsidR="00EB155E" w:rsidRDefault="00EB155E">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3A4A94A" w14:textId="77777777" w:rsidR="00EB155E" w:rsidRDefault="00EB155E">
      <w:pPr>
        <w:pStyle w:val="XBRLTitle3"/>
        <w:spacing w:before="156"/>
        <w:ind w:left="0"/>
        <w:divId w:val="1514303959"/>
        <w:rPr>
          <w:rFonts w:hint="eastAsia"/>
        </w:rPr>
      </w:pPr>
      <w:bookmarkStart w:id="75" w:name="_Toc512519488"/>
      <w:bookmarkStart w:id="76" w:name="_Toc490050009"/>
      <w:bookmarkStart w:id="77" w:name="_Toc438646459"/>
      <w:bookmarkStart w:id="78" w:name="_Toc481075055"/>
      <w:bookmarkStart w:id="79" w:name="_Toc5134656621"/>
      <w:r>
        <w:rPr>
          <w:rFonts w:hint="eastAsia"/>
        </w:rPr>
        <w:t>期末兼任私募资产管理计划投资经理的基金经理同时管理的产品情况</w:t>
      </w:r>
      <w:bookmarkEnd w:id="75"/>
      <w:bookmarkEnd w:id="76"/>
      <w:bookmarkEnd w:id="77"/>
      <w:bookmarkEnd w:id="78"/>
      <w:bookmarkEnd w:id="79"/>
      <w:r>
        <w:rPr>
          <w:rFonts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7E39FA" w14:paraId="4C388A48" w14:textId="77777777">
        <w:trPr>
          <w:divId w:val="1726371128"/>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EFF581E" w14:textId="77777777" w:rsidR="00EB155E" w:rsidRDefault="00EB155E">
            <w:pPr>
              <w:snapToGrid w:val="0"/>
              <w:jc w:val="center"/>
            </w:pPr>
            <w:bookmarkStart w:id="8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4E467BE" w14:textId="77777777" w:rsidR="00EB155E" w:rsidRDefault="00EB155E">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96CACA1" w14:textId="77777777" w:rsidR="00EB155E" w:rsidRDefault="00EB155E">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92776B4" w14:textId="77777777" w:rsidR="00EB155E" w:rsidRDefault="00EB155E">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A01A58B" w14:textId="77777777" w:rsidR="00EB155E" w:rsidRDefault="00EB155E">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7E39FA" w14:paraId="42FDF622" w14:textId="77777777">
        <w:trPr>
          <w:divId w:val="1726371128"/>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1DBC42" w14:textId="77777777" w:rsidR="00EB155E" w:rsidRDefault="00EB155E">
            <w:pPr>
              <w:jc w:val="center"/>
            </w:pPr>
            <w:r>
              <w:rPr>
                <w:rFonts w:ascii="宋体" w:hAnsi="宋体" w:hint="eastAsia"/>
                <w:szCs w:val="24"/>
              </w:rPr>
              <w:t>张军</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CBEA1E" w14:textId="77777777" w:rsidR="00EB155E" w:rsidRDefault="00EB155E">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E17F4D" w14:textId="77777777" w:rsidR="00EB155E" w:rsidRDefault="00EB155E">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DD974D" w14:textId="77777777" w:rsidR="00EB155E" w:rsidRDefault="00EB155E">
            <w:pPr>
              <w:jc w:val="right"/>
            </w:pPr>
            <w:r>
              <w:rPr>
                <w:rFonts w:ascii="宋体" w:hAnsi="宋体" w:hint="eastAsia"/>
                <w:szCs w:val="24"/>
              </w:rPr>
              <w:t>10,637,595,607.52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020EC9" w14:textId="77777777" w:rsidR="00EB155E" w:rsidRDefault="00EB155E">
            <w:pPr>
              <w:jc w:val="center"/>
            </w:pPr>
            <w:r>
              <w:rPr>
                <w:rFonts w:ascii="宋体" w:hAnsi="宋体" w:hint="eastAsia"/>
                <w:szCs w:val="24"/>
              </w:rPr>
              <w:t>2008-03-08</w:t>
            </w:r>
          </w:p>
        </w:tc>
      </w:tr>
      <w:tr w:rsidR="007E39FA" w14:paraId="54E3C509" w14:textId="77777777">
        <w:trPr>
          <w:divId w:val="1726371128"/>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3D86147" w14:textId="77777777" w:rsidR="00EB155E" w:rsidRDefault="00EB155E">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189BFD" w14:textId="77777777" w:rsidR="00EB155E" w:rsidRDefault="00EB155E">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24FF6B" w14:textId="77777777" w:rsidR="00EB155E" w:rsidRDefault="00EB155E">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6782C9" w14:textId="77777777" w:rsidR="00EB155E" w:rsidRDefault="00EB155E">
            <w:pPr>
              <w:jc w:val="right"/>
            </w:pPr>
            <w:r>
              <w:rPr>
                <w:rFonts w:ascii="宋体" w:hAnsi="宋体" w:hint="eastAsia"/>
                <w:szCs w:val="24"/>
              </w:rPr>
              <w:t>26,424,711.73</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14DD6" w14:textId="77777777" w:rsidR="00EB155E" w:rsidRDefault="00EB155E">
            <w:pPr>
              <w:jc w:val="center"/>
            </w:pPr>
            <w:r>
              <w:rPr>
                <w:rFonts w:ascii="宋体" w:hAnsi="宋体" w:hint="eastAsia"/>
                <w:szCs w:val="24"/>
              </w:rPr>
              <w:t>2021-07-09</w:t>
            </w:r>
          </w:p>
        </w:tc>
      </w:tr>
      <w:tr w:rsidR="007E39FA" w14:paraId="341C2983" w14:textId="77777777">
        <w:trPr>
          <w:divId w:val="1726371128"/>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10AD03F" w14:textId="77777777" w:rsidR="00EB155E" w:rsidRDefault="00EB155E">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E3E2E4" w14:textId="77777777" w:rsidR="00EB155E" w:rsidRDefault="00EB155E">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843524" w14:textId="77777777" w:rsidR="00EB155E" w:rsidRDefault="00EB155E">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F7B100" w14:textId="77777777" w:rsidR="00EB155E" w:rsidRDefault="00EB155E">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4DF77B" w14:textId="77777777" w:rsidR="00EB155E" w:rsidRDefault="00EB155E">
            <w:pPr>
              <w:jc w:val="center"/>
            </w:pPr>
            <w:r>
              <w:rPr>
                <w:rFonts w:ascii="宋体" w:hAnsi="宋体" w:hint="eastAsia"/>
                <w:szCs w:val="24"/>
              </w:rPr>
              <w:t>-</w:t>
            </w:r>
          </w:p>
        </w:tc>
      </w:tr>
      <w:tr w:rsidR="007E39FA" w14:paraId="74EF5474" w14:textId="77777777">
        <w:trPr>
          <w:divId w:val="1726371128"/>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7715BEF" w14:textId="77777777" w:rsidR="00EB155E" w:rsidRDefault="00EB155E">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E0B565" w14:textId="77777777" w:rsidR="00EB155E" w:rsidRDefault="00EB155E">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9BA7CD" w14:textId="77777777" w:rsidR="00EB155E" w:rsidRDefault="00EB155E">
            <w:pPr>
              <w:jc w:val="right"/>
            </w:pPr>
            <w:r>
              <w:rPr>
                <w:rFonts w:ascii="宋体" w:hAnsi="宋体" w:hint="eastAsia"/>
                <w:szCs w:val="24"/>
              </w:rPr>
              <w:t>10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814195" w14:textId="77777777" w:rsidR="00EB155E" w:rsidRDefault="00EB155E">
            <w:pPr>
              <w:jc w:val="right"/>
            </w:pPr>
            <w:r>
              <w:rPr>
                <w:rFonts w:ascii="宋体" w:hAnsi="宋体" w:hint="eastAsia"/>
                <w:szCs w:val="24"/>
              </w:rPr>
              <w:t>10,664,020,319.25</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BDD05E" w14:textId="77777777" w:rsidR="00EB155E" w:rsidRDefault="00EB155E">
            <w:pPr>
              <w:jc w:val="center"/>
            </w:pPr>
            <w:r>
              <w:rPr>
                <w:rFonts w:ascii="宋体" w:hAnsi="宋体" w:hint="eastAsia"/>
                <w:szCs w:val="24"/>
              </w:rPr>
              <w:t xml:space="preserve">- </w:t>
            </w:r>
          </w:p>
        </w:tc>
      </w:tr>
    </w:tbl>
    <w:p w14:paraId="1C87C9B9" w14:textId="77777777" w:rsidR="00EB155E" w:rsidRDefault="00EB155E">
      <w:pPr>
        <w:pStyle w:val="XBRLTitle2"/>
        <w:spacing w:before="156" w:line="360" w:lineRule="auto"/>
        <w:ind w:left="454"/>
        <w:rPr>
          <w:rFonts w:hint="eastAsia"/>
        </w:rPr>
      </w:pPr>
      <w:bookmarkStart w:id="81" w:name="m402"/>
      <w:bookmarkStart w:id="82" w:name="_Toc459213772"/>
      <w:bookmarkStart w:id="83" w:name="_Toc456107126"/>
      <w:bookmarkStart w:id="84" w:name="_Toc438654080"/>
      <w:bookmarkStart w:id="85" w:name="_Toc448480292"/>
      <w:bookmarkStart w:id="86" w:name="_Toc480465423"/>
      <w:bookmarkStart w:id="87" w:name="_Toc512611289"/>
      <w:bookmarkStart w:id="88" w:name="_Toc512612085"/>
      <w:bookmarkStart w:id="89" w:name="_Toc512612261"/>
      <w:bookmarkStart w:id="90" w:name="_Toc513658015"/>
      <w:bookmarkStart w:id="91" w:name="_Toc514178677"/>
      <w:bookmarkStart w:id="92" w:name="m403"/>
      <w:bookmarkEnd w:id="80"/>
      <w:bookmarkEnd w:id="81"/>
      <w:r>
        <w:rPr>
          <w:rFonts w:hint="eastAsia"/>
        </w:rPr>
        <w:t>报告期内本基金运作遵规守信情况说明</w:t>
      </w:r>
      <w:bookmarkEnd w:id="82"/>
      <w:bookmarkEnd w:id="83"/>
      <w:bookmarkEnd w:id="84"/>
      <w:bookmarkEnd w:id="85"/>
      <w:bookmarkEnd w:id="86"/>
      <w:bookmarkEnd w:id="87"/>
      <w:bookmarkEnd w:id="88"/>
      <w:bookmarkEnd w:id="89"/>
      <w:bookmarkEnd w:id="90"/>
      <w:bookmarkEnd w:id="91"/>
      <w:r>
        <w:rPr>
          <w:rFonts w:hint="eastAsia"/>
        </w:rPr>
        <w:t xml:space="preserve"> </w:t>
      </w:r>
    </w:p>
    <w:p w14:paraId="2052811F" w14:textId="77777777" w:rsidR="00EB155E" w:rsidRDefault="00EB155E">
      <w:pPr>
        <w:spacing w:line="360" w:lineRule="auto"/>
        <w:ind w:firstLineChars="200" w:firstLine="420"/>
        <w:jc w:val="left"/>
      </w:pPr>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18303D9C" w14:textId="77777777" w:rsidR="00EB155E" w:rsidRDefault="00EB155E">
      <w:pPr>
        <w:pStyle w:val="XBRLTitle2"/>
        <w:spacing w:before="156" w:line="360" w:lineRule="auto"/>
        <w:ind w:left="454"/>
        <w:rPr>
          <w:rFonts w:hint="eastAsia"/>
        </w:rPr>
      </w:pPr>
      <w:bookmarkStart w:id="93" w:name="_Toc459213773"/>
      <w:bookmarkStart w:id="94" w:name="_Toc456107127"/>
      <w:bookmarkStart w:id="95" w:name="_Toc438654081"/>
      <w:bookmarkStart w:id="96" w:name="_Toc448480293"/>
      <w:bookmarkStart w:id="97" w:name="_Toc480465424"/>
      <w:bookmarkStart w:id="98" w:name="_Toc512611290"/>
      <w:bookmarkStart w:id="99" w:name="_Toc512612086"/>
      <w:bookmarkStart w:id="100" w:name="_Toc512612262"/>
      <w:bookmarkStart w:id="101" w:name="_Toc513658016"/>
      <w:bookmarkStart w:id="102" w:name="_Toc514178678"/>
      <w:bookmarkEnd w:id="92"/>
      <w:r>
        <w:rPr>
          <w:rFonts w:hint="eastAsia"/>
        </w:rPr>
        <w:t>公平交易专项说明</w:t>
      </w:r>
      <w:bookmarkEnd w:id="93"/>
      <w:bookmarkEnd w:id="94"/>
      <w:bookmarkEnd w:id="95"/>
      <w:bookmarkEnd w:id="96"/>
      <w:bookmarkEnd w:id="97"/>
      <w:bookmarkEnd w:id="98"/>
      <w:bookmarkEnd w:id="99"/>
      <w:bookmarkEnd w:id="100"/>
      <w:bookmarkEnd w:id="101"/>
      <w:bookmarkEnd w:id="102"/>
      <w:r>
        <w:rPr>
          <w:rFonts w:hint="eastAsia"/>
        </w:rPr>
        <w:t xml:space="preserve"> </w:t>
      </w:r>
    </w:p>
    <w:p w14:paraId="0DB837C2" w14:textId="77777777" w:rsidR="00EB155E" w:rsidRDefault="00EB155E">
      <w:pPr>
        <w:pStyle w:val="XBRLTitle3"/>
        <w:spacing w:before="156"/>
        <w:ind w:left="0"/>
        <w:rPr>
          <w:rFonts w:hint="eastAsia"/>
        </w:rPr>
      </w:pPr>
      <w:bookmarkStart w:id="103" w:name="_Toc513658017"/>
      <w:bookmarkStart w:id="104" w:name="_Toc514178679"/>
      <w:bookmarkStart w:id="105" w:name="_Toc480465425"/>
      <w:bookmarkStart w:id="106" w:name="m404_01_0570"/>
      <w:r>
        <w:rPr>
          <w:rFonts w:hint="eastAsia"/>
        </w:rPr>
        <w:t>公平交易制度的执行情况</w:t>
      </w:r>
      <w:bookmarkEnd w:id="103"/>
      <w:bookmarkEnd w:id="104"/>
    </w:p>
    <w:p w14:paraId="184C7429" w14:textId="77777777" w:rsidR="00137B4B" w:rsidRDefault="00EB155E">
      <w:pPr>
        <w:spacing w:line="360" w:lineRule="auto"/>
        <w:ind w:firstLineChars="200" w:firstLine="420"/>
        <w:jc w:val="left"/>
        <w:rPr>
          <w:rFonts w:ascii="宋体" w:hAnsi="宋体" w:cs="宋体" w:hint="eastAsia"/>
          <w:color w:val="000000"/>
          <w:kern w:val="0"/>
        </w:rPr>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境内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p>
    <w:p w14:paraId="6F3FB5C9" w14:textId="7D148C04" w:rsidR="00EB155E" w:rsidRDefault="00EB155E">
      <w:pPr>
        <w:spacing w:line="360" w:lineRule="auto"/>
        <w:ind w:firstLineChars="200" w:firstLine="420"/>
        <w:jc w:val="left"/>
      </w:pPr>
      <w:r>
        <w:rPr>
          <w:rFonts w:ascii="宋体" w:hAnsi="宋体" w:cs="宋体" w:hint="eastAsia"/>
          <w:color w:val="000000"/>
          <w:kern w:val="0"/>
        </w:rPr>
        <w:t>对于交易所市场投资活动，本公司执行集中交易制度，确保不同投资组合在买卖同一证券时，按照时间优先、比例分配的原则在各投资组合间公平分配交易量；对于银行间市场投资活</w:t>
      </w:r>
      <w:r>
        <w:rPr>
          <w:rFonts w:ascii="宋体" w:hAnsi="宋体" w:cs="宋体" w:hint="eastAsia"/>
          <w:color w:val="000000"/>
          <w:kern w:val="0"/>
        </w:rPr>
        <w:lastRenderedPageBreak/>
        <w:t xml:space="preserve">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7A2DD594" w14:textId="77777777" w:rsidR="00EB155E" w:rsidRDefault="00EB155E">
      <w:pPr>
        <w:pStyle w:val="XBRLTitle3"/>
        <w:spacing w:before="156"/>
        <w:ind w:left="0"/>
        <w:rPr>
          <w:rFonts w:hint="eastAsia"/>
        </w:rPr>
      </w:pPr>
      <w:bookmarkStart w:id="107" w:name="_Toc513658018"/>
      <w:bookmarkStart w:id="108" w:name="_Toc514178680"/>
      <w:bookmarkStart w:id="109" w:name="_Toc480465426"/>
      <w:bookmarkStart w:id="110" w:name="m404_01_0578"/>
      <w:r>
        <w:rPr>
          <w:rFonts w:hint="eastAsia"/>
        </w:rPr>
        <w:t>异常交易行为的专项说明</w:t>
      </w:r>
      <w:bookmarkEnd w:id="107"/>
      <w:bookmarkEnd w:id="108"/>
    </w:p>
    <w:p w14:paraId="4B678ED1" w14:textId="77777777" w:rsidR="00EB155E" w:rsidRDefault="00EB155E">
      <w:pPr>
        <w:spacing w:line="360" w:lineRule="auto"/>
        <w:ind w:firstLineChars="200" w:firstLine="420"/>
        <w:jc w:val="left"/>
      </w:pPr>
      <w:r>
        <w:rPr>
          <w:rFonts w:ascii="宋体" w:hAnsi="宋体" w:cs="宋体" w:hint="eastAsia"/>
          <w:color w:val="000000"/>
          <w:kern w:val="0"/>
        </w:rPr>
        <w:t xml:space="preserve">报告期内，通过对交易价格、交易时间、交易方向等的分析，未发现有可能导致不公平交易和利益输送的异常交易行为。　　</w:t>
      </w:r>
      <w:r>
        <w:rPr>
          <w:rFonts w:ascii="宋体" w:hAnsi="宋体" w:cs="宋体" w:hint="eastAsia"/>
          <w:color w:val="000000"/>
          <w:kern w:val="0"/>
        </w:rPr>
        <w:br/>
        <w:t xml:space="preserve">　　所有投资组合参与的交易所公开竞价同日反向交易成交较少的单边交易量超过该证券当日成交量的5%的情形：无。</w:t>
      </w:r>
    </w:p>
    <w:p w14:paraId="5EDED219" w14:textId="77777777" w:rsidR="00EB155E" w:rsidRDefault="00EB155E">
      <w:pPr>
        <w:pStyle w:val="XBRLTitle2"/>
        <w:spacing w:before="156" w:line="360" w:lineRule="auto"/>
        <w:ind w:left="454"/>
        <w:rPr>
          <w:rFonts w:hint="eastAsia"/>
        </w:rPr>
      </w:pPr>
      <w:bookmarkStart w:id="111" w:name="_Toc459213774"/>
      <w:bookmarkStart w:id="112" w:name="_Toc456107128"/>
      <w:bookmarkStart w:id="113" w:name="_Toc438654082"/>
      <w:bookmarkStart w:id="114" w:name="_Toc448480294"/>
      <w:bookmarkStart w:id="115" w:name="_Toc480465427"/>
      <w:bookmarkStart w:id="116" w:name="_Toc512611291"/>
      <w:bookmarkStart w:id="117" w:name="_Toc512612087"/>
      <w:bookmarkStart w:id="118" w:name="_Toc512612263"/>
      <w:bookmarkStart w:id="119" w:name="_Toc513658019"/>
      <w:bookmarkStart w:id="120" w:name="_Toc514178681"/>
      <w:r>
        <w:rPr>
          <w:rFonts w:hint="eastAsia"/>
        </w:rPr>
        <w:t>报告期内基金的投资策略和业绩表现说明</w:t>
      </w:r>
      <w:bookmarkEnd w:id="111"/>
      <w:bookmarkEnd w:id="112"/>
      <w:bookmarkEnd w:id="113"/>
      <w:bookmarkEnd w:id="114"/>
      <w:bookmarkEnd w:id="115"/>
      <w:bookmarkEnd w:id="116"/>
      <w:bookmarkEnd w:id="117"/>
      <w:bookmarkEnd w:id="118"/>
      <w:bookmarkEnd w:id="119"/>
      <w:bookmarkEnd w:id="120"/>
      <w:r>
        <w:rPr>
          <w:rFonts w:hint="eastAsia"/>
        </w:rPr>
        <w:t xml:space="preserve"> </w:t>
      </w:r>
    </w:p>
    <w:p w14:paraId="252EF1AF" w14:textId="77777777" w:rsidR="00EB155E" w:rsidRDefault="00EB155E">
      <w:pPr>
        <w:pStyle w:val="XBRLTitle3"/>
        <w:spacing w:before="156"/>
        <w:ind w:left="0"/>
        <w:rPr>
          <w:rFonts w:hint="eastAsia"/>
        </w:rPr>
      </w:pPr>
      <w:bookmarkStart w:id="121" w:name="_Toc51408825711"/>
      <w:bookmarkStart w:id="122" w:name="_Toc513542656"/>
      <w:r>
        <w:rPr>
          <w:rFonts w:hint="eastAsia"/>
        </w:rPr>
        <w:t>报告期内基金投资策略和运作分析</w:t>
      </w:r>
      <w:bookmarkEnd w:id="105"/>
      <w:bookmarkEnd w:id="121"/>
      <w:bookmarkEnd w:id="122"/>
      <w:r>
        <w:rPr>
          <w:rFonts w:hint="eastAsia"/>
        </w:rPr>
        <w:t xml:space="preserve"> </w:t>
      </w:r>
    </w:p>
    <w:p w14:paraId="14FA8FEF" w14:textId="77777777" w:rsidR="00EB155E" w:rsidRDefault="00EB155E">
      <w:pPr>
        <w:spacing w:line="360" w:lineRule="auto"/>
        <w:ind w:firstLineChars="200" w:firstLine="420"/>
        <w:divId w:val="2105372067"/>
      </w:pPr>
      <w:r>
        <w:rPr>
          <w:rFonts w:ascii="宋体" w:hAnsi="宋体" w:hint="eastAsia"/>
          <w:color w:val="000000"/>
          <w:kern w:val="0"/>
          <w:szCs w:val="21"/>
          <w:lang w:eastAsia="zh-Hans"/>
        </w:rPr>
        <w:t>报告期内，标普500指数在4月初回落后触底反弹，收于年内新高。</w:t>
      </w:r>
      <w:r>
        <w:rPr>
          <w:rFonts w:ascii="宋体" w:hAnsi="宋体" w:hint="eastAsia"/>
          <w:color w:val="000000"/>
          <w:kern w:val="0"/>
          <w:szCs w:val="21"/>
          <w:lang w:eastAsia="zh-Hans"/>
        </w:rPr>
        <w:br/>
        <w:t xml:space="preserve">　　美国4月2日宣布了远超市场预期的对等关税计划，主要贸易伙伴的关税水平上涨了约10%-49%不等，引发股指下跌。美国劳动力市场暂未表露出受关税升级和市场风险情绪恶化预期带来的拖累，年初以来经济基本面的良好表现再次束缚了美联储的操作空间，鲍威尔继续表态美联储仍需观望，待经济形势明朗化再考虑进一步行动。而美国公布的一系列经济数据提振了市场信心，美国总体经济背景似乎有利于美联储采取宽松政策。</w:t>
      </w:r>
      <w:r>
        <w:rPr>
          <w:rFonts w:ascii="宋体" w:hAnsi="宋体" w:hint="eastAsia"/>
          <w:color w:val="000000"/>
          <w:kern w:val="0"/>
          <w:szCs w:val="21"/>
          <w:lang w:eastAsia="zh-Hans"/>
        </w:rPr>
        <w:br/>
        <w:t xml:space="preserve">　　展望后市，由于近期的波动主要源于对全球宏观经济的担忧和科技股估值下修风险，标普500指数在今年剩余时间的走势取决于这两个方面的最新消息。美国政府政策议程的不确定性导致企业和家庭都持“观望”态度，使消费者更加谨慎。鉴于家庭和企业的资产负债表看起来都相对健康，这种行为应该与美国经济活动放缓而非衰退相一致。但如果政策不确定性开始损害劳动力市场，衰退风险或将上升。</w:t>
      </w:r>
      <w:r>
        <w:rPr>
          <w:rFonts w:ascii="宋体" w:hAnsi="宋体" w:hint="eastAsia"/>
          <w:color w:val="000000"/>
          <w:kern w:val="0"/>
          <w:szCs w:val="21"/>
          <w:lang w:eastAsia="zh-Hans"/>
        </w:rPr>
        <w:br/>
        <w:t xml:space="preserve">　　特朗普的贸易保护主义与美联储的抗通胀目标形成政策冲突，导致市场在“滞胀交易”与“衰退交易”间摇摆。对于美国联邦基金利率未来的水平，当前的利率市场定价到2025年底，美联储或有2-3次降息。指数的估值进一步扩张的可能性不大，但是正回报的公司范围或将扩大，因为在降息环境下，一些杠杆率较高的低估值公司会获益更多。</w:t>
      </w:r>
      <w:r>
        <w:rPr>
          <w:rFonts w:ascii="宋体" w:hAnsi="宋体" w:hint="eastAsia"/>
          <w:color w:val="000000"/>
          <w:kern w:val="0"/>
          <w:szCs w:val="21"/>
          <w:lang w:eastAsia="zh-Hans"/>
        </w:rPr>
        <w:br/>
        <w:t xml:space="preserve">　　本基金在报告期内持续采取被动复制的投资策略，紧密跟踪指数表现。报告期间，管理人严格依据指数成分股的变动信息进行股票组合的调整，基于申购赎回情况增减股票组合，保持股票</w:t>
      </w:r>
      <w:r>
        <w:rPr>
          <w:rFonts w:ascii="宋体" w:hAnsi="宋体" w:hint="eastAsia"/>
          <w:color w:val="000000"/>
          <w:kern w:val="0"/>
          <w:szCs w:val="21"/>
          <w:lang w:eastAsia="zh-Hans"/>
        </w:rPr>
        <w:lastRenderedPageBreak/>
        <w:t>资产权重处于90%以上的高仓位区间。</w:t>
      </w:r>
      <w:r>
        <w:rPr>
          <w:rFonts w:ascii="宋体" w:hAnsi="宋体" w:hint="eastAsia"/>
          <w:color w:val="000000"/>
          <w:kern w:val="0"/>
          <w:sz w:val="24"/>
        </w:rPr>
        <w:t xml:space="preserve"> </w:t>
      </w:r>
      <w:bookmarkEnd w:id="54"/>
    </w:p>
    <w:p w14:paraId="6B7070A1" w14:textId="77777777" w:rsidR="00EB155E" w:rsidRDefault="00EB155E">
      <w:pPr>
        <w:pStyle w:val="XBRLTitle3"/>
        <w:spacing w:before="156"/>
        <w:ind w:left="0"/>
        <w:rPr>
          <w:rFonts w:hint="eastAsia"/>
        </w:rPr>
      </w:pPr>
      <w:bookmarkStart w:id="123" w:name="_Toc51408825712"/>
      <w:bookmarkStart w:id="124" w:name="_Toc513542657"/>
      <w:bookmarkEnd w:id="106"/>
      <w:r>
        <w:rPr>
          <w:rFonts w:hint="eastAsia"/>
        </w:rPr>
        <w:t>报告期内基金的业绩表现</w:t>
      </w:r>
      <w:bookmarkEnd w:id="109"/>
      <w:bookmarkEnd w:id="123"/>
      <w:bookmarkEnd w:id="124"/>
      <w:r>
        <w:rPr>
          <w:rFonts w:hint="eastAsia"/>
        </w:rPr>
        <w:t xml:space="preserve"> </w:t>
      </w:r>
    </w:p>
    <w:p w14:paraId="539DC227" w14:textId="77777777" w:rsidR="00EB155E" w:rsidRDefault="00EB155E">
      <w:pPr>
        <w:spacing w:line="360" w:lineRule="auto"/>
        <w:ind w:firstLineChars="200" w:firstLine="420"/>
        <w:jc w:val="left"/>
      </w:pPr>
      <w:r>
        <w:rPr>
          <w:rFonts w:ascii="宋体" w:hAnsi="宋体" w:cs="宋体" w:hint="eastAsia"/>
          <w:color w:val="000000"/>
          <w:kern w:val="0"/>
        </w:rPr>
        <w:t>本报告期</w:t>
      </w:r>
      <w:proofErr w:type="gramStart"/>
      <w:r>
        <w:rPr>
          <w:rFonts w:ascii="宋体" w:hAnsi="宋体" w:cs="宋体" w:hint="eastAsia"/>
          <w:color w:val="000000"/>
          <w:kern w:val="0"/>
        </w:rPr>
        <w:t>摩根标普</w:t>
      </w:r>
      <w:proofErr w:type="gramEnd"/>
      <w:r>
        <w:rPr>
          <w:rFonts w:ascii="宋体" w:hAnsi="宋体" w:cs="宋体" w:hint="eastAsia"/>
          <w:color w:val="000000"/>
          <w:kern w:val="0"/>
        </w:rPr>
        <w:t>500指数(QDII)人民币A份额净值增长率为：9.92%，同期业绩比较基准收益率为：9.76%；</w:t>
      </w:r>
      <w:r>
        <w:rPr>
          <w:rFonts w:ascii="宋体" w:hAnsi="宋体" w:cs="宋体" w:hint="eastAsia"/>
          <w:color w:val="000000"/>
          <w:kern w:val="0"/>
        </w:rPr>
        <w:br/>
        <w:t xml:space="preserve">　　</w:t>
      </w:r>
      <w:proofErr w:type="gramStart"/>
      <w:r>
        <w:rPr>
          <w:rFonts w:ascii="宋体" w:hAnsi="宋体" w:cs="宋体" w:hint="eastAsia"/>
          <w:color w:val="000000"/>
          <w:kern w:val="0"/>
        </w:rPr>
        <w:t>摩根标普</w:t>
      </w:r>
      <w:proofErr w:type="gramEnd"/>
      <w:r>
        <w:rPr>
          <w:rFonts w:ascii="宋体" w:hAnsi="宋体" w:cs="宋体" w:hint="eastAsia"/>
          <w:color w:val="000000"/>
          <w:kern w:val="0"/>
        </w:rPr>
        <w:t>500指数(QDII)人民币C份额净值增长率为：9.84%，同期业绩比较基准收益率为：9.76%。</w:t>
      </w:r>
      <w:bookmarkEnd w:id="110"/>
    </w:p>
    <w:p w14:paraId="662E4122" w14:textId="77777777" w:rsidR="00EB155E" w:rsidRDefault="00EB155E">
      <w:pPr>
        <w:pStyle w:val="XBRLTitle2"/>
        <w:spacing w:before="156" w:line="360" w:lineRule="auto"/>
        <w:ind w:left="454"/>
        <w:rPr>
          <w:rFonts w:hint="eastAsia"/>
        </w:rPr>
      </w:pPr>
      <w:bookmarkStart w:id="125" w:name="m405_01_2550"/>
      <w:bookmarkStart w:id="126" w:name="_Toc459213775"/>
      <w:bookmarkStart w:id="127" w:name="_Toc456107129"/>
      <w:bookmarkStart w:id="128" w:name="_Toc438654084"/>
      <w:bookmarkStart w:id="129" w:name="_Toc448480296"/>
      <w:bookmarkStart w:id="130" w:name="_Toc480465430"/>
      <w:bookmarkStart w:id="131" w:name="_Toc512611292"/>
      <w:bookmarkStart w:id="132" w:name="_Toc512612088"/>
      <w:bookmarkStart w:id="133" w:name="_Toc512612264"/>
      <w:bookmarkStart w:id="134" w:name="_Toc513658020"/>
      <w:bookmarkStart w:id="135" w:name="_Toc514178682"/>
      <w:bookmarkStart w:id="136" w:name="m407"/>
      <w:bookmarkEnd w:id="125"/>
      <w:r>
        <w:rPr>
          <w:rFonts w:hint="eastAsia"/>
        </w:rPr>
        <w:t>报告期内基金持有人数或基金资产净值预警说明</w:t>
      </w:r>
      <w:bookmarkEnd w:id="126"/>
      <w:bookmarkEnd w:id="127"/>
      <w:bookmarkEnd w:id="128"/>
      <w:bookmarkEnd w:id="129"/>
      <w:bookmarkEnd w:id="130"/>
      <w:bookmarkEnd w:id="131"/>
      <w:bookmarkEnd w:id="132"/>
      <w:bookmarkEnd w:id="133"/>
      <w:bookmarkEnd w:id="134"/>
      <w:bookmarkEnd w:id="135"/>
      <w:r>
        <w:rPr>
          <w:rFonts w:hint="eastAsia"/>
        </w:rPr>
        <w:t xml:space="preserve"> </w:t>
      </w:r>
    </w:p>
    <w:p w14:paraId="1785B5EE" w14:textId="77777777" w:rsidR="00EB155E" w:rsidRDefault="00EB155E">
      <w:pPr>
        <w:spacing w:line="360" w:lineRule="auto"/>
        <w:ind w:firstLineChars="200" w:firstLine="420"/>
        <w:jc w:val="left"/>
      </w:pPr>
      <w:r>
        <w:rPr>
          <w:rFonts w:ascii="宋体" w:hAnsi="宋体" w:hint="eastAsia"/>
        </w:rPr>
        <w:t>无。</w:t>
      </w:r>
    </w:p>
    <w:p w14:paraId="7FA1399C" w14:textId="77777777" w:rsidR="00EB155E" w:rsidRDefault="00EB155E">
      <w:pPr>
        <w:pStyle w:val="XBRLTitle1"/>
        <w:spacing w:before="156" w:line="360" w:lineRule="auto"/>
        <w:ind w:left="425"/>
        <w:rPr>
          <w:rFonts w:hint="eastAsia"/>
        </w:rPr>
      </w:pPr>
      <w:bookmarkStart w:id="137" w:name="_Toc514178683"/>
      <w:bookmarkEnd w:id="136"/>
      <w:r>
        <w:rPr>
          <w:rFonts w:hint="eastAsia"/>
        </w:rPr>
        <w:t>投资组合报告</w:t>
      </w:r>
      <w:bookmarkEnd w:id="70"/>
      <w:bookmarkEnd w:id="71"/>
      <w:bookmarkEnd w:id="72"/>
      <w:bookmarkEnd w:id="73"/>
      <w:bookmarkEnd w:id="137"/>
      <w:r>
        <w:rPr>
          <w:rFonts w:hint="eastAsia"/>
        </w:rPr>
        <w:t xml:space="preserve"> </w:t>
      </w:r>
    </w:p>
    <w:p w14:paraId="672C00D1" w14:textId="77777777" w:rsidR="00EB155E" w:rsidRDefault="00EB155E">
      <w:pPr>
        <w:pStyle w:val="XBRLTitle2"/>
        <w:spacing w:before="156" w:line="360" w:lineRule="auto"/>
        <w:ind w:left="454"/>
        <w:rPr>
          <w:rFonts w:hint="eastAsia"/>
        </w:rPr>
      </w:pPr>
      <w:bookmarkStart w:id="138" w:name="_Toc459213777"/>
      <w:bookmarkStart w:id="139" w:name="_Toc456107131"/>
      <w:bookmarkStart w:id="140" w:name="_Toc438654086"/>
      <w:bookmarkStart w:id="141" w:name="_Toc448480298"/>
      <w:bookmarkStart w:id="142" w:name="_Toc480465432"/>
      <w:bookmarkStart w:id="143" w:name="_Toc514178684"/>
      <w:bookmarkStart w:id="144" w:name="_Toc512611294"/>
      <w:bookmarkStart w:id="145" w:name="_Toc512612090"/>
      <w:bookmarkStart w:id="146" w:name="_Toc512612266"/>
      <w:bookmarkStart w:id="147" w:name="_Toc513658022"/>
      <w:bookmarkStart w:id="148" w:name="m501"/>
      <w:bookmarkStart w:id="149" w:name="_Toc490050042"/>
      <w:bookmarkStart w:id="150" w:name="_Toc438646477"/>
      <w:bookmarkStart w:id="151" w:name="_Toc481075089"/>
      <w:bookmarkStart w:id="152" w:name="_Toc512519521"/>
      <w:bookmarkStart w:id="153" w:name="m601"/>
      <w:r>
        <w:rPr>
          <w:rFonts w:hint="eastAsia"/>
        </w:rPr>
        <w:t>报告期末基金资产组合情况</w:t>
      </w:r>
      <w:bookmarkEnd w:id="138"/>
      <w:bookmarkEnd w:id="139"/>
      <w:bookmarkEnd w:id="140"/>
      <w:bookmarkEnd w:id="141"/>
      <w:bookmarkEnd w:id="142"/>
      <w:bookmarkEnd w:id="143"/>
      <w:r>
        <w:rPr>
          <w:rFonts w:hint="eastAsia"/>
        </w:rPr>
        <w:t xml:space="preserve"> </w:t>
      </w:r>
      <w:bookmarkEnd w:id="144"/>
      <w:bookmarkEnd w:id="145"/>
      <w:bookmarkEnd w:id="146"/>
      <w:bookmarkEnd w:id="147"/>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02"/>
        <w:gridCol w:w="3503"/>
        <w:gridCol w:w="2375"/>
        <w:gridCol w:w="2355"/>
      </w:tblGrid>
      <w:tr w:rsidR="007E39FA" w14:paraId="147EF369" w14:textId="77777777">
        <w:trPr>
          <w:divId w:val="1488014291"/>
          <w:trHeight w:val="20"/>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28488A" w14:textId="77777777" w:rsidR="00EB155E" w:rsidRDefault="00EB155E">
            <w:pPr>
              <w:jc w:val="center"/>
            </w:pPr>
            <w:bookmarkStart w:id="154" w:name="m08QD_01_tab"/>
            <w:bookmarkStart w:id="155" w:name="OLE_LINK46"/>
            <w:bookmarkStart w:id="156" w:name="OLE_LINK45"/>
            <w:bookmarkStart w:id="157" w:name="OLE_LINK42"/>
            <w:bookmarkStart w:id="158" w:name="OLE_LINK41"/>
            <w:bookmarkEnd w:id="154"/>
            <w:r>
              <w:rPr>
                <w:rFonts w:ascii="宋体" w:hAnsi="宋体" w:hint="eastAsia"/>
                <w:color w:val="000000"/>
              </w:rPr>
              <w:t>序号</w:t>
            </w: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shd w:val="clear" w:color="auto" w:fill="D9D9D9"/>
            <w:vAlign w:val="center"/>
            <w:hideMark/>
          </w:tcPr>
          <w:p w14:paraId="0A739E38" w14:textId="77777777" w:rsidR="00EB155E" w:rsidRDefault="00EB155E">
            <w:pPr>
              <w:jc w:val="center"/>
            </w:pPr>
            <w:r>
              <w:rPr>
                <w:rFonts w:ascii="宋体" w:hAnsi="宋体" w:hint="eastAsia"/>
                <w:color w:val="000000"/>
              </w:rPr>
              <w:t>项目</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shd w:val="clear" w:color="auto" w:fill="D9D9D9"/>
            <w:vAlign w:val="center"/>
            <w:hideMark/>
          </w:tcPr>
          <w:p w14:paraId="108973C8" w14:textId="77777777" w:rsidR="00EB155E" w:rsidRDefault="00EB155E">
            <w:pPr>
              <w:jc w:val="center"/>
            </w:pPr>
            <w:r>
              <w:rPr>
                <w:rFonts w:ascii="宋体" w:hAnsi="宋体" w:hint="eastAsia"/>
                <w:color w:val="000000"/>
              </w:rPr>
              <w:t>金额（人民币元）</w:t>
            </w:r>
            <w:r>
              <w:rPr>
                <w:rFonts w:ascii="宋体" w:hAnsi="宋体" w:hint="eastAsia"/>
                <w:color w:val="000000"/>
                <w:lang w:eastAsia="zh-Hans"/>
              </w:rPr>
              <w:t xml:space="preserve"> </w:t>
            </w:r>
          </w:p>
        </w:tc>
        <w:tc>
          <w:tcPr>
            <w:tcW w:w="2373" w:type="dxa"/>
            <w:tcBorders>
              <w:top w:val="single" w:sz="4" w:space="0" w:color="auto"/>
              <w:left w:val="nil"/>
              <w:bottom w:val="single" w:sz="4" w:space="0" w:color="auto"/>
              <w:right w:val="single" w:sz="4" w:space="0" w:color="auto"/>
            </w:tcBorders>
            <w:shd w:val="clear" w:color="auto" w:fill="D9D9D9"/>
            <w:vAlign w:val="center"/>
            <w:hideMark/>
          </w:tcPr>
          <w:p w14:paraId="042B844B" w14:textId="77777777" w:rsidR="00EB155E" w:rsidRDefault="00EB155E">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7E39FA" w14:paraId="63D6C9EF" w14:textId="77777777">
        <w:trPr>
          <w:divId w:val="148801429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54CC587" w14:textId="77777777" w:rsidR="00EB155E" w:rsidRDefault="00EB155E">
            <w:pPr>
              <w:jc w:val="center"/>
            </w:pPr>
            <w:r>
              <w:rPr>
                <w:rFonts w:ascii="宋体" w:hAnsi="宋体" w:hint="eastAsia"/>
                <w:color w:val="000000"/>
                <w:lang w:eastAsia="zh-Hans"/>
              </w:rPr>
              <w:t xml:space="preserve">1 </w:t>
            </w:r>
          </w:p>
        </w:tc>
        <w:tc>
          <w:tcPr>
            <w:tcW w:w="3529" w:type="dxa"/>
            <w:tcBorders>
              <w:top w:val="single" w:sz="4" w:space="0" w:color="auto"/>
              <w:left w:val="nil"/>
              <w:bottom w:val="single" w:sz="4" w:space="0" w:color="auto"/>
              <w:right w:val="single" w:sz="4" w:space="0" w:color="auto"/>
            </w:tcBorders>
            <w:vAlign w:val="center"/>
            <w:hideMark/>
          </w:tcPr>
          <w:p w14:paraId="4D42C9B2" w14:textId="77777777" w:rsidR="00EB155E" w:rsidRDefault="00EB155E">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640A2F5" w14:textId="77777777" w:rsidR="00EB155E" w:rsidRDefault="00EB155E">
            <w:pPr>
              <w:jc w:val="right"/>
            </w:pPr>
            <w:r>
              <w:rPr>
                <w:rFonts w:ascii="宋体" w:hAnsi="宋体" w:hint="eastAsia"/>
                <w:szCs w:val="24"/>
                <w:lang w:eastAsia="zh-Hans"/>
              </w:rPr>
              <w:t>1,882,922,437.70</w:t>
            </w:r>
          </w:p>
        </w:tc>
        <w:tc>
          <w:tcPr>
            <w:tcW w:w="2373" w:type="dxa"/>
            <w:tcBorders>
              <w:top w:val="single" w:sz="4" w:space="0" w:color="auto"/>
              <w:left w:val="nil"/>
              <w:bottom w:val="single" w:sz="4" w:space="0" w:color="auto"/>
              <w:right w:val="single" w:sz="4" w:space="0" w:color="auto"/>
            </w:tcBorders>
            <w:vAlign w:val="center"/>
            <w:hideMark/>
          </w:tcPr>
          <w:p w14:paraId="48B85D0E" w14:textId="77777777" w:rsidR="00EB155E" w:rsidRDefault="00EB155E">
            <w:pPr>
              <w:jc w:val="right"/>
            </w:pPr>
            <w:r>
              <w:rPr>
                <w:rFonts w:ascii="宋体" w:hAnsi="宋体" w:hint="eastAsia"/>
                <w:szCs w:val="24"/>
                <w:lang w:eastAsia="zh-Hans"/>
              </w:rPr>
              <w:t>90.51</w:t>
            </w:r>
          </w:p>
        </w:tc>
      </w:tr>
      <w:tr w:rsidR="007E39FA" w14:paraId="47F2DB12" w14:textId="77777777">
        <w:trPr>
          <w:divId w:val="148801429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20DCC96" w14:textId="77777777" w:rsidR="00EB155E" w:rsidRDefault="00EB155E">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66E6C83" w14:textId="77777777" w:rsidR="00EB155E" w:rsidRDefault="00EB155E">
            <w:pPr>
              <w:ind w:leftChars="50" w:left="105"/>
            </w:pPr>
            <w:r>
              <w:rPr>
                <w:rFonts w:ascii="宋体" w:hAnsi="宋体" w:hint="eastAsia"/>
                <w:color w:val="000000"/>
              </w:rPr>
              <w:t>其中：普通股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545A525" w14:textId="77777777" w:rsidR="00EB155E" w:rsidRDefault="00EB155E">
            <w:pPr>
              <w:jc w:val="right"/>
            </w:pPr>
            <w:r>
              <w:rPr>
                <w:rFonts w:ascii="宋体" w:hAnsi="宋体" w:hint="eastAsia"/>
                <w:szCs w:val="24"/>
                <w:lang w:eastAsia="zh-Hans"/>
              </w:rPr>
              <w:t>1,882,922,437.70</w:t>
            </w:r>
          </w:p>
        </w:tc>
        <w:tc>
          <w:tcPr>
            <w:tcW w:w="2373" w:type="dxa"/>
            <w:tcBorders>
              <w:top w:val="single" w:sz="4" w:space="0" w:color="auto"/>
              <w:left w:val="nil"/>
              <w:bottom w:val="single" w:sz="4" w:space="0" w:color="auto"/>
              <w:right w:val="single" w:sz="4" w:space="0" w:color="auto"/>
            </w:tcBorders>
            <w:vAlign w:val="center"/>
            <w:hideMark/>
          </w:tcPr>
          <w:p w14:paraId="0BDD6831" w14:textId="77777777" w:rsidR="00EB155E" w:rsidRDefault="00EB155E">
            <w:pPr>
              <w:jc w:val="right"/>
            </w:pPr>
            <w:r>
              <w:rPr>
                <w:rFonts w:ascii="宋体" w:hAnsi="宋体" w:hint="eastAsia"/>
                <w:szCs w:val="24"/>
                <w:lang w:eastAsia="zh-Hans"/>
              </w:rPr>
              <w:t>90.51</w:t>
            </w:r>
          </w:p>
        </w:tc>
      </w:tr>
      <w:tr w:rsidR="007E39FA" w14:paraId="571EE001" w14:textId="77777777">
        <w:trPr>
          <w:divId w:val="148801429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ACB0F04" w14:textId="77777777" w:rsidR="00EB155E" w:rsidRDefault="00EB155E">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6B0BDF3F" w14:textId="77777777" w:rsidR="00EB155E" w:rsidRDefault="00EB155E">
            <w:pPr>
              <w:ind w:firstLineChars="350" w:firstLine="735"/>
            </w:pPr>
            <w:r>
              <w:rPr>
                <w:rFonts w:ascii="宋体" w:hAnsi="宋体" w:hint="eastAsia"/>
                <w:color w:val="000000"/>
              </w:rPr>
              <w:t>优先股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1806913" w14:textId="77777777" w:rsidR="00EB155E" w:rsidRDefault="00EB155E">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64BDB09" w14:textId="77777777" w:rsidR="00EB155E" w:rsidRDefault="00EB155E">
            <w:pPr>
              <w:jc w:val="right"/>
            </w:pPr>
            <w:r>
              <w:rPr>
                <w:rFonts w:ascii="宋体" w:hAnsi="宋体" w:hint="eastAsia"/>
                <w:szCs w:val="24"/>
                <w:lang w:eastAsia="zh-Hans"/>
              </w:rPr>
              <w:t>-</w:t>
            </w:r>
          </w:p>
        </w:tc>
      </w:tr>
      <w:tr w:rsidR="007E39FA" w14:paraId="0B0E2F57" w14:textId="77777777">
        <w:trPr>
          <w:divId w:val="148801429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6846A64" w14:textId="77777777" w:rsidR="00EB155E" w:rsidRDefault="00EB155E">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0F26AFA" w14:textId="77777777" w:rsidR="00EB155E" w:rsidRDefault="00EB155E">
            <w:pPr>
              <w:ind w:firstLineChars="350" w:firstLine="735"/>
            </w:pPr>
            <w:r>
              <w:rPr>
                <w:rFonts w:ascii="宋体" w:hAnsi="宋体" w:hint="eastAsia"/>
                <w:color w:val="000000"/>
              </w:rPr>
              <w:t>存托凭证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EFEBAD5" w14:textId="77777777" w:rsidR="00EB155E" w:rsidRDefault="00EB155E">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D525831" w14:textId="77777777" w:rsidR="00EB155E" w:rsidRDefault="00EB155E">
            <w:pPr>
              <w:jc w:val="right"/>
            </w:pPr>
            <w:r>
              <w:rPr>
                <w:rFonts w:ascii="宋体" w:hAnsi="宋体" w:hint="eastAsia"/>
                <w:szCs w:val="24"/>
                <w:lang w:eastAsia="zh-Hans"/>
              </w:rPr>
              <w:t>-</w:t>
            </w:r>
          </w:p>
        </w:tc>
      </w:tr>
      <w:tr w:rsidR="007E39FA" w14:paraId="768485F5" w14:textId="77777777">
        <w:trPr>
          <w:divId w:val="148801429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A3AC07F" w14:textId="77777777" w:rsidR="00EB155E" w:rsidRDefault="00EB155E">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AF7A232" w14:textId="77777777" w:rsidR="00EB155E" w:rsidRDefault="00EB155E">
            <w:pPr>
              <w:ind w:firstLineChars="350" w:firstLine="735"/>
            </w:pPr>
            <w:r>
              <w:rPr>
                <w:rFonts w:ascii="宋体" w:hAnsi="宋体" w:hint="eastAsia"/>
              </w:rPr>
              <w:t>房地产信托凭证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916651C" w14:textId="77777777" w:rsidR="00EB155E" w:rsidRDefault="00EB155E">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B3189E9" w14:textId="77777777" w:rsidR="00EB155E" w:rsidRDefault="00EB155E">
            <w:pPr>
              <w:jc w:val="right"/>
            </w:pPr>
            <w:r>
              <w:rPr>
                <w:rFonts w:ascii="宋体" w:hAnsi="宋体" w:hint="eastAsia"/>
                <w:szCs w:val="24"/>
                <w:lang w:eastAsia="zh-Hans"/>
              </w:rPr>
              <w:t>-</w:t>
            </w:r>
          </w:p>
        </w:tc>
      </w:tr>
      <w:tr w:rsidR="007E39FA" w14:paraId="11DA1425" w14:textId="77777777">
        <w:trPr>
          <w:divId w:val="148801429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51411CC" w14:textId="77777777" w:rsidR="00EB155E" w:rsidRDefault="00EB155E">
            <w:pPr>
              <w:jc w:val="center"/>
            </w:pPr>
            <w:r>
              <w:rPr>
                <w:rFonts w:ascii="宋体" w:hAnsi="宋体" w:hint="eastAsia"/>
                <w:color w:val="000000"/>
                <w:lang w:eastAsia="zh-Hans"/>
              </w:rPr>
              <w:t xml:space="preserve">2 </w:t>
            </w:r>
          </w:p>
        </w:tc>
        <w:tc>
          <w:tcPr>
            <w:tcW w:w="3529" w:type="dxa"/>
            <w:tcBorders>
              <w:top w:val="single" w:sz="4" w:space="0" w:color="auto"/>
              <w:left w:val="nil"/>
              <w:bottom w:val="single" w:sz="4" w:space="0" w:color="auto"/>
              <w:right w:val="single" w:sz="4" w:space="0" w:color="auto"/>
            </w:tcBorders>
            <w:vAlign w:val="center"/>
            <w:hideMark/>
          </w:tcPr>
          <w:p w14:paraId="7DFB9A72" w14:textId="77777777" w:rsidR="00EB155E" w:rsidRDefault="00EB155E">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860F15D" w14:textId="77777777" w:rsidR="00EB155E" w:rsidRDefault="00EB155E">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A1850A0" w14:textId="77777777" w:rsidR="00EB155E" w:rsidRDefault="00EB155E">
            <w:pPr>
              <w:jc w:val="right"/>
            </w:pPr>
            <w:r>
              <w:rPr>
                <w:rFonts w:ascii="宋体" w:hAnsi="宋体" w:hint="eastAsia"/>
                <w:szCs w:val="24"/>
                <w:lang w:eastAsia="zh-Hans"/>
              </w:rPr>
              <w:t>-</w:t>
            </w:r>
          </w:p>
        </w:tc>
      </w:tr>
      <w:tr w:rsidR="007E39FA" w14:paraId="5307F408" w14:textId="77777777">
        <w:trPr>
          <w:divId w:val="148801429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6439965" w14:textId="77777777" w:rsidR="00EB155E" w:rsidRDefault="00EB155E">
            <w:pPr>
              <w:jc w:val="center"/>
            </w:pPr>
            <w:r>
              <w:rPr>
                <w:rFonts w:ascii="宋体" w:hAnsi="宋体" w:hint="eastAsia"/>
                <w:color w:val="000000"/>
                <w:lang w:eastAsia="zh-Hans"/>
              </w:rPr>
              <w:t xml:space="preserve">3 </w:t>
            </w:r>
          </w:p>
        </w:tc>
        <w:tc>
          <w:tcPr>
            <w:tcW w:w="3529" w:type="dxa"/>
            <w:tcBorders>
              <w:top w:val="single" w:sz="4" w:space="0" w:color="auto"/>
              <w:left w:val="nil"/>
              <w:bottom w:val="single" w:sz="4" w:space="0" w:color="auto"/>
              <w:right w:val="single" w:sz="4" w:space="0" w:color="auto"/>
            </w:tcBorders>
            <w:vAlign w:val="center"/>
            <w:hideMark/>
          </w:tcPr>
          <w:p w14:paraId="1A609C3F" w14:textId="77777777" w:rsidR="00EB155E" w:rsidRDefault="00EB155E">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756EDBD" w14:textId="77777777" w:rsidR="00EB155E" w:rsidRDefault="00EB155E">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CEB1EC3" w14:textId="77777777" w:rsidR="00EB155E" w:rsidRDefault="00EB155E">
            <w:pPr>
              <w:jc w:val="right"/>
            </w:pPr>
            <w:r>
              <w:rPr>
                <w:rFonts w:ascii="宋体" w:hAnsi="宋体" w:hint="eastAsia"/>
                <w:szCs w:val="24"/>
                <w:lang w:eastAsia="zh-Hans"/>
              </w:rPr>
              <w:t>-</w:t>
            </w:r>
          </w:p>
        </w:tc>
      </w:tr>
      <w:tr w:rsidR="007E39FA" w14:paraId="30232BC9" w14:textId="77777777">
        <w:trPr>
          <w:divId w:val="148801429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329C4E6" w14:textId="77777777" w:rsidR="00EB155E" w:rsidRDefault="00EB155E">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4739E46" w14:textId="77777777" w:rsidR="00EB155E" w:rsidRDefault="00EB155E">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28B9A82" w14:textId="77777777" w:rsidR="00EB155E" w:rsidRDefault="00EB155E">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0B30DBF" w14:textId="77777777" w:rsidR="00EB155E" w:rsidRDefault="00EB155E">
            <w:pPr>
              <w:jc w:val="right"/>
            </w:pPr>
            <w:r>
              <w:rPr>
                <w:rFonts w:ascii="宋体" w:hAnsi="宋体" w:hint="eastAsia"/>
                <w:szCs w:val="24"/>
                <w:lang w:eastAsia="zh-Hans"/>
              </w:rPr>
              <w:t>-</w:t>
            </w:r>
          </w:p>
        </w:tc>
      </w:tr>
      <w:tr w:rsidR="007E39FA" w14:paraId="44C7D907" w14:textId="77777777">
        <w:trPr>
          <w:divId w:val="148801429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0538EDE" w14:textId="77777777" w:rsidR="00EB155E" w:rsidRDefault="00EB155E">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09CB41D" w14:textId="77777777" w:rsidR="00EB155E" w:rsidRDefault="00EB155E">
            <w:pPr>
              <w:ind w:leftChars="50" w:left="105"/>
            </w:pPr>
            <w:r>
              <w:rPr>
                <w:rFonts w:ascii="宋体" w:hAnsi="宋体" w:hint="eastAsia"/>
                <w:color w:val="000000"/>
              </w:rPr>
              <w:t>资产支持证券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6B691BC" w14:textId="77777777" w:rsidR="00EB155E" w:rsidRDefault="00EB155E">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5017A91" w14:textId="77777777" w:rsidR="00EB155E" w:rsidRDefault="00EB155E">
            <w:pPr>
              <w:jc w:val="right"/>
            </w:pPr>
            <w:r>
              <w:rPr>
                <w:rFonts w:ascii="宋体" w:hAnsi="宋体" w:hint="eastAsia"/>
                <w:szCs w:val="24"/>
                <w:lang w:eastAsia="zh-Hans"/>
              </w:rPr>
              <w:t>-</w:t>
            </w:r>
          </w:p>
        </w:tc>
      </w:tr>
      <w:tr w:rsidR="007E39FA" w14:paraId="2186420D" w14:textId="77777777">
        <w:trPr>
          <w:divId w:val="148801429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1DDBEE7" w14:textId="77777777" w:rsidR="00EB155E" w:rsidRDefault="00EB155E">
            <w:pPr>
              <w:jc w:val="center"/>
            </w:pPr>
            <w:r>
              <w:rPr>
                <w:rFonts w:ascii="宋体" w:hAnsi="宋体" w:hint="eastAsia"/>
                <w:color w:val="000000"/>
                <w:lang w:eastAsia="zh-Hans"/>
              </w:rPr>
              <w:t xml:space="preserve">4 </w:t>
            </w:r>
          </w:p>
        </w:tc>
        <w:tc>
          <w:tcPr>
            <w:tcW w:w="3529" w:type="dxa"/>
            <w:tcBorders>
              <w:top w:val="single" w:sz="4" w:space="0" w:color="auto"/>
              <w:left w:val="nil"/>
              <w:bottom w:val="single" w:sz="4" w:space="0" w:color="auto"/>
              <w:right w:val="single" w:sz="4" w:space="0" w:color="auto"/>
            </w:tcBorders>
            <w:vAlign w:val="center"/>
            <w:hideMark/>
          </w:tcPr>
          <w:p w14:paraId="72F18A31" w14:textId="77777777" w:rsidR="00EB155E" w:rsidRDefault="00EB155E">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74F77AE" w14:textId="77777777" w:rsidR="00EB155E" w:rsidRDefault="00EB155E">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EAF2E0A" w14:textId="77777777" w:rsidR="00EB155E" w:rsidRDefault="00EB155E">
            <w:pPr>
              <w:jc w:val="right"/>
            </w:pPr>
            <w:r>
              <w:rPr>
                <w:rFonts w:ascii="宋体" w:hAnsi="宋体" w:hint="eastAsia"/>
                <w:szCs w:val="24"/>
                <w:lang w:eastAsia="zh-Hans"/>
              </w:rPr>
              <w:t>-</w:t>
            </w:r>
          </w:p>
        </w:tc>
      </w:tr>
      <w:tr w:rsidR="007E39FA" w14:paraId="09F73C9D" w14:textId="77777777">
        <w:trPr>
          <w:divId w:val="148801429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6A0AF7C" w14:textId="77777777" w:rsidR="00EB155E" w:rsidRDefault="00EB155E">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D78FBD1" w14:textId="77777777" w:rsidR="00EB155E" w:rsidRDefault="00EB155E">
            <w:pPr>
              <w:ind w:leftChars="50" w:left="105"/>
            </w:pPr>
            <w:r>
              <w:rPr>
                <w:rFonts w:ascii="宋体" w:hAnsi="宋体" w:hint="eastAsia"/>
                <w:color w:val="000000"/>
              </w:rPr>
              <w:t>其中：远期</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5615D9D" w14:textId="77777777" w:rsidR="00EB155E" w:rsidRDefault="00EB155E">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3511DF5" w14:textId="77777777" w:rsidR="00EB155E" w:rsidRDefault="00EB155E">
            <w:pPr>
              <w:jc w:val="right"/>
            </w:pPr>
            <w:r>
              <w:rPr>
                <w:rFonts w:ascii="宋体" w:hAnsi="宋体" w:hint="eastAsia"/>
                <w:szCs w:val="24"/>
                <w:lang w:eastAsia="zh-Hans"/>
              </w:rPr>
              <w:t>-</w:t>
            </w:r>
          </w:p>
        </w:tc>
      </w:tr>
      <w:tr w:rsidR="007E39FA" w14:paraId="13735196" w14:textId="77777777">
        <w:trPr>
          <w:divId w:val="148801429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CDD0935" w14:textId="77777777" w:rsidR="00EB155E" w:rsidRDefault="00EB155E">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6B71C9A" w14:textId="77777777" w:rsidR="00EB155E" w:rsidRDefault="00EB155E">
            <w:pPr>
              <w:ind w:firstLineChars="350" w:firstLine="735"/>
            </w:pPr>
            <w:r>
              <w:rPr>
                <w:rFonts w:ascii="宋体" w:hAnsi="宋体" w:hint="eastAsia"/>
                <w:color w:val="000000"/>
              </w:rPr>
              <w:t>期货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9D144F1" w14:textId="77777777" w:rsidR="00EB155E" w:rsidRDefault="00EB155E">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C4EBB47" w14:textId="77777777" w:rsidR="00EB155E" w:rsidRDefault="00EB155E">
            <w:pPr>
              <w:jc w:val="right"/>
            </w:pPr>
            <w:r>
              <w:rPr>
                <w:rFonts w:ascii="宋体" w:hAnsi="宋体" w:hint="eastAsia"/>
                <w:szCs w:val="24"/>
                <w:lang w:eastAsia="zh-Hans"/>
              </w:rPr>
              <w:t>-</w:t>
            </w:r>
          </w:p>
        </w:tc>
      </w:tr>
      <w:tr w:rsidR="007E39FA" w14:paraId="02E625C3" w14:textId="77777777">
        <w:trPr>
          <w:divId w:val="148801429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A0DA336" w14:textId="77777777" w:rsidR="00EB155E" w:rsidRDefault="00EB155E">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83B1F8B" w14:textId="77777777" w:rsidR="00EB155E" w:rsidRDefault="00EB155E">
            <w:pPr>
              <w:ind w:firstLineChars="350" w:firstLine="735"/>
            </w:pPr>
            <w:r>
              <w:rPr>
                <w:rFonts w:ascii="宋体" w:hAnsi="宋体" w:hint="eastAsia"/>
                <w:color w:val="000000"/>
              </w:rPr>
              <w:t>期权</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F35D190" w14:textId="77777777" w:rsidR="00EB155E" w:rsidRDefault="00EB155E">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EB578C0" w14:textId="77777777" w:rsidR="00EB155E" w:rsidRDefault="00EB155E">
            <w:pPr>
              <w:jc w:val="right"/>
            </w:pPr>
            <w:r>
              <w:rPr>
                <w:rFonts w:ascii="宋体" w:hAnsi="宋体" w:hint="eastAsia"/>
                <w:szCs w:val="24"/>
                <w:lang w:eastAsia="zh-Hans"/>
              </w:rPr>
              <w:t>-</w:t>
            </w:r>
          </w:p>
        </w:tc>
      </w:tr>
      <w:tr w:rsidR="007E39FA" w14:paraId="2C53F85F" w14:textId="77777777">
        <w:trPr>
          <w:divId w:val="148801429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2434C4E" w14:textId="77777777" w:rsidR="00EB155E" w:rsidRDefault="00EB155E">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AD33B74" w14:textId="77777777" w:rsidR="00EB155E" w:rsidRDefault="00EB155E">
            <w:pPr>
              <w:ind w:firstLineChars="350" w:firstLine="735"/>
            </w:pPr>
            <w:r>
              <w:rPr>
                <w:rFonts w:ascii="宋体" w:hAnsi="宋体" w:hint="eastAsia"/>
                <w:color w:val="000000"/>
              </w:rPr>
              <w:t>权证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49CD04C" w14:textId="77777777" w:rsidR="00EB155E" w:rsidRDefault="00EB155E">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EEFB086" w14:textId="77777777" w:rsidR="00EB155E" w:rsidRDefault="00EB155E">
            <w:pPr>
              <w:jc w:val="right"/>
            </w:pPr>
            <w:r>
              <w:rPr>
                <w:rFonts w:ascii="宋体" w:hAnsi="宋体" w:hint="eastAsia"/>
                <w:szCs w:val="24"/>
                <w:lang w:eastAsia="zh-Hans"/>
              </w:rPr>
              <w:t>-</w:t>
            </w:r>
          </w:p>
        </w:tc>
      </w:tr>
      <w:tr w:rsidR="007E39FA" w14:paraId="13A0CCDC" w14:textId="77777777">
        <w:trPr>
          <w:divId w:val="148801429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C6C195F" w14:textId="77777777" w:rsidR="00EB155E" w:rsidRDefault="00EB155E">
            <w:pPr>
              <w:jc w:val="center"/>
            </w:pPr>
            <w:r>
              <w:rPr>
                <w:rFonts w:ascii="宋体" w:hAnsi="宋体" w:hint="eastAsia"/>
                <w:color w:val="000000"/>
                <w:lang w:eastAsia="zh-Hans"/>
              </w:rPr>
              <w:t xml:space="preserve">5 </w:t>
            </w:r>
          </w:p>
        </w:tc>
        <w:tc>
          <w:tcPr>
            <w:tcW w:w="3529" w:type="dxa"/>
            <w:tcBorders>
              <w:top w:val="single" w:sz="4" w:space="0" w:color="auto"/>
              <w:left w:val="nil"/>
              <w:bottom w:val="single" w:sz="4" w:space="0" w:color="auto"/>
              <w:right w:val="single" w:sz="4" w:space="0" w:color="auto"/>
            </w:tcBorders>
            <w:vAlign w:val="center"/>
            <w:hideMark/>
          </w:tcPr>
          <w:p w14:paraId="4A162894" w14:textId="77777777" w:rsidR="00EB155E" w:rsidRDefault="00EB155E">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F1F9227" w14:textId="77777777" w:rsidR="00EB155E" w:rsidRDefault="00EB155E">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936BA96" w14:textId="77777777" w:rsidR="00EB155E" w:rsidRDefault="00EB155E">
            <w:pPr>
              <w:jc w:val="right"/>
            </w:pPr>
            <w:r>
              <w:rPr>
                <w:rFonts w:ascii="宋体" w:hAnsi="宋体" w:hint="eastAsia"/>
                <w:szCs w:val="24"/>
                <w:lang w:eastAsia="zh-Hans"/>
              </w:rPr>
              <w:t>-</w:t>
            </w:r>
          </w:p>
        </w:tc>
      </w:tr>
      <w:tr w:rsidR="007E39FA" w14:paraId="2D6CC182" w14:textId="77777777">
        <w:trPr>
          <w:divId w:val="148801429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ADFC886" w14:textId="77777777" w:rsidR="00EB155E" w:rsidRDefault="00EB155E">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61C83CA" w14:textId="77777777" w:rsidR="00EB155E" w:rsidRDefault="00EB155E">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EF89E51" w14:textId="77777777" w:rsidR="00EB155E" w:rsidRDefault="00EB155E">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2DE83A3" w14:textId="77777777" w:rsidR="00EB155E" w:rsidRDefault="00EB155E">
            <w:pPr>
              <w:jc w:val="right"/>
            </w:pPr>
            <w:r>
              <w:rPr>
                <w:rFonts w:ascii="宋体" w:hAnsi="宋体" w:hint="eastAsia"/>
                <w:szCs w:val="24"/>
                <w:lang w:eastAsia="zh-Hans"/>
              </w:rPr>
              <w:t>-</w:t>
            </w:r>
          </w:p>
        </w:tc>
      </w:tr>
      <w:tr w:rsidR="007E39FA" w14:paraId="0E0E6ADD" w14:textId="77777777">
        <w:trPr>
          <w:divId w:val="148801429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0486209" w14:textId="77777777" w:rsidR="00EB155E" w:rsidRDefault="00EB155E">
            <w:pPr>
              <w:jc w:val="center"/>
            </w:pPr>
            <w:r>
              <w:rPr>
                <w:rFonts w:ascii="宋体" w:hAnsi="宋体" w:hint="eastAsia"/>
                <w:color w:val="000000"/>
                <w:lang w:eastAsia="zh-Hans"/>
              </w:rPr>
              <w:t xml:space="preserve">6 </w:t>
            </w:r>
          </w:p>
        </w:tc>
        <w:tc>
          <w:tcPr>
            <w:tcW w:w="3529" w:type="dxa"/>
            <w:tcBorders>
              <w:top w:val="single" w:sz="4" w:space="0" w:color="auto"/>
              <w:left w:val="nil"/>
              <w:bottom w:val="single" w:sz="4" w:space="0" w:color="auto"/>
              <w:right w:val="single" w:sz="4" w:space="0" w:color="auto"/>
            </w:tcBorders>
            <w:vAlign w:val="center"/>
            <w:hideMark/>
          </w:tcPr>
          <w:p w14:paraId="33E5BA87" w14:textId="77777777" w:rsidR="00EB155E" w:rsidRDefault="00EB155E">
            <w:pPr>
              <w:ind w:leftChars="50" w:left="105"/>
            </w:pPr>
            <w:r>
              <w:rPr>
                <w:rFonts w:ascii="宋体" w:hAnsi="宋体" w:hint="eastAsia"/>
                <w:color w:val="000000"/>
              </w:rPr>
              <w:t>货币市场工具</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F319CEB" w14:textId="77777777" w:rsidR="00EB155E" w:rsidRDefault="00EB155E">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D5DAEF8" w14:textId="77777777" w:rsidR="00EB155E" w:rsidRDefault="00EB155E">
            <w:pPr>
              <w:jc w:val="right"/>
            </w:pPr>
            <w:r>
              <w:rPr>
                <w:rFonts w:ascii="宋体" w:hAnsi="宋体" w:hint="eastAsia"/>
                <w:szCs w:val="24"/>
                <w:lang w:eastAsia="zh-Hans"/>
              </w:rPr>
              <w:t>-</w:t>
            </w:r>
          </w:p>
        </w:tc>
      </w:tr>
      <w:tr w:rsidR="007E39FA" w14:paraId="0F5DC52D" w14:textId="77777777">
        <w:trPr>
          <w:divId w:val="148801429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A26630C" w14:textId="77777777" w:rsidR="00EB155E" w:rsidRDefault="00EB155E">
            <w:pPr>
              <w:jc w:val="center"/>
            </w:pPr>
            <w:r>
              <w:rPr>
                <w:rFonts w:ascii="宋体" w:hAnsi="宋体" w:hint="eastAsia"/>
                <w:color w:val="000000"/>
                <w:lang w:eastAsia="zh-Hans"/>
              </w:rPr>
              <w:t xml:space="preserve">7 </w:t>
            </w:r>
          </w:p>
        </w:tc>
        <w:tc>
          <w:tcPr>
            <w:tcW w:w="3529" w:type="dxa"/>
            <w:tcBorders>
              <w:top w:val="single" w:sz="4" w:space="0" w:color="auto"/>
              <w:left w:val="nil"/>
              <w:bottom w:val="single" w:sz="4" w:space="0" w:color="auto"/>
              <w:right w:val="single" w:sz="4" w:space="0" w:color="auto"/>
            </w:tcBorders>
            <w:vAlign w:val="center"/>
            <w:hideMark/>
          </w:tcPr>
          <w:p w14:paraId="0DB29722" w14:textId="77777777" w:rsidR="00EB155E" w:rsidRDefault="00EB155E">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75CA9AD" w14:textId="77777777" w:rsidR="00EB155E" w:rsidRDefault="00EB155E">
            <w:pPr>
              <w:jc w:val="right"/>
            </w:pPr>
            <w:r>
              <w:rPr>
                <w:rFonts w:ascii="宋体" w:hAnsi="宋体" w:hint="eastAsia"/>
                <w:szCs w:val="24"/>
                <w:lang w:eastAsia="zh-Hans"/>
              </w:rPr>
              <w:t>179,245,497.12</w:t>
            </w:r>
          </w:p>
        </w:tc>
        <w:tc>
          <w:tcPr>
            <w:tcW w:w="2373" w:type="dxa"/>
            <w:tcBorders>
              <w:top w:val="single" w:sz="4" w:space="0" w:color="auto"/>
              <w:left w:val="nil"/>
              <w:bottom w:val="single" w:sz="4" w:space="0" w:color="auto"/>
              <w:right w:val="single" w:sz="4" w:space="0" w:color="auto"/>
            </w:tcBorders>
            <w:vAlign w:val="center"/>
            <w:hideMark/>
          </w:tcPr>
          <w:p w14:paraId="58E61FC6" w14:textId="77777777" w:rsidR="00EB155E" w:rsidRDefault="00EB155E">
            <w:pPr>
              <w:jc w:val="right"/>
            </w:pPr>
            <w:r>
              <w:rPr>
                <w:rFonts w:ascii="宋体" w:hAnsi="宋体" w:hint="eastAsia"/>
                <w:szCs w:val="24"/>
                <w:lang w:eastAsia="zh-Hans"/>
              </w:rPr>
              <w:t>8.62</w:t>
            </w:r>
          </w:p>
        </w:tc>
      </w:tr>
      <w:tr w:rsidR="007E39FA" w14:paraId="5E58F3F3" w14:textId="77777777">
        <w:trPr>
          <w:divId w:val="148801429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B620573" w14:textId="77777777" w:rsidR="00EB155E" w:rsidRDefault="00EB155E">
            <w:pPr>
              <w:jc w:val="center"/>
            </w:pPr>
            <w:r>
              <w:rPr>
                <w:rFonts w:ascii="宋体" w:hAnsi="宋体" w:hint="eastAsia"/>
                <w:color w:val="000000"/>
                <w:lang w:eastAsia="zh-Hans"/>
              </w:rPr>
              <w:t xml:space="preserve">8 </w:t>
            </w:r>
          </w:p>
        </w:tc>
        <w:tc>
          <w:tcPr>
            <w:tcW w:w="3529" w:type="dxa"/>
            <w:tcBorders>
              <w:top w:val="single" w:sz="4" w:space="0" w:color="auto"/>
              <w:left w:val="nil"/>
              <w:bottom w:val="single" w:sz="4" w:space="0" w:color="auto"/>
              <w:right w:val="single" w:sz="4" w:space="0" w:color="auto"/>
            </w:tcBorders>
            <w:vAlign w:val="center"/>
            <w:hideMark/>
          </w:tcPr>
          <w:p w14:paraId="1A77C5CD" w14:textId="77777777" w:rsidR="00EB155E" w:rsidRDefault="00EB155E">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FEC05B6" w14:textId="77777777" w:rsidR="00EB155E" w:rsidRDefault="00EB155E">
            <w:pPr>
              <w:jc w:val="right"/>
            </w:pPr>
            <w:r>
              <w:rPr>
                <w:rFonts w:ascii="宋体" w:hAnsi="宋体" w:hint="eastAsia"/>
                <w:szCs w:val="24"/>
                <w:lang w:eastAsia="zh-Hans"/>
              </w:rPr>
              <w:t>18,170,267.09</w:t>
            </w:r>
          </w:p>
        </w:tc>
        <w:tc>
          <w:tcPr>
            <w:tcW w:w="2373" w:type="dxa"/>
            <w:tcBorders>
              <w:top w:val="single" w:sz="4" w:space="0" w:color="auto"/>
              <w:left w:val="nil"/>
              <w:bottom w:val="single" w:sz="4" w:space="0" w:color="auto"/>
              <w:right w:val="single" w:sz="4" w:space="0" w:color="auto"/>
            </w:tcBorders>
            <w:vAlign w:val="center"/>
            <w:hideMark/>
          </w:tcPr>
          <w:p w14:paraId="1CA418D2" w14:textId="77777777" w:rsidR="00EB155E" w:rsidRDefault="00EB155E">
            <w:pPr>
              <w:jc w:val="right"/>
            </w:pPr>
            <w:r>
              <w:rPr>
                <w:rFonts w:ascii="宋体" w:hAnsi="宋体" w:hint="eastAsia"/>
                <w:szCs w:val="24"/>
                <w:lang w:eastAsia="zh-Hans"/>
              </w:rPr>
              <w:t>0.87</w:t>
            </w:r>
          </w:p>
        </w:tc>
      </w:tr>
      <w:tr w:rsidR="007E39FA" w14:paraId="266B3540" w14:textId="77777777">
        <w:trPr>
          <w:divId w:val="148801429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5938BF2" w14:textId="77777777" w:rsidR="00EB155E" w:rsidRDefault="00EB155E">
            <w:pPr>
              <w:jc w:val="center"/>
            </w:pPr>
            <w:r>
              <w:rPr>
                <w:rFonts w:ascii="宋体" w:hAnsi="宋体" w:hint="eastAsia"/>
                <w:color w:val="000000"/>
                <w:lang w:eastAsia="zh-Hans"/>
              </w:rPr>
              <w:t xml:space="preserve">9 </w:t>
            </w:r>
          </w:p>
        </w:tc>
        <w:tc>
          <w:tcPr>
            <w:tcW w:w="3529" w:type="dxa"/>
            <w:tcBorders>
              <w:top w:val="single" w:sz="4" w:space="0" w:color="auto"/>
              <w:left w:val="nil"/>
              <w:bottom w:val="single" w:sz="4" w:space="0" w:color="auto"/>
              <w:right w:val="single" w:sz="4" w:space="0" w:color="auto"/>
            </w:tcBorders>
            <w:vAlign w:val="center"/>
            <w:hideMark/>
          </w:tcPr>
          <w:p w14:paraId="586C6E26" w14:textId="77777777" w:rsidR="00EB155E" w:rsidRDefault="00EB155E">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2CA7A3A" w14:textId="77777777" w:rsidR="00EB155E" w:rsidRDefault="00EB155E">
            <w:pPr>
              <w:jc w:val="right"/>
            </w:pPr>
            <w:r>
              <w:rPr>
                <w:rFonts w:ascii="宋体" w:hAnsi="宋体" w:hint="eastAsia"/>
                <w:szCs w:val="24"/>
                <w:lang w:eastAsia="zh-Hans"/>
              </w:rPr>
              <w:t>2,080,338,201.91</w:t>
            </w:r>
          </w:p>
        </w:tc>
        <w:tc>
          <w:tcPr>
            <w:tcW w:w="2373" w:type="dxa"/>
            <w:tcBorders>
              <w:top w:val="single" w:sz="4" w:space="0" w:color="auto"/>
              <w:left w:val="nil"/>
              <w:bottom w:val="single" w:sz="4" w:space="0" w:color="auto"/>
              <w:right w:val="single" w:sz="4" w:space="0" w:color="auto"/>
            </w:tcBorders>
            <w:vAlign w:val="center"/>
            <w:hideMark/>
          </w:tcPr>
          <w:p w14:paraId="3CBFD56B" w14:textId="77777777" w:rsidR="00EB155E" w:rsidRDefault="00EB155E">
            <w:pPr>
              <w:jc w:val="right"/>
            </w:pPr>
            <w:r>
              <w:rPr>
                <w:rFonts w:ascii="宋体" w:hAnsi="宋体" w:hint="eastAsia"/>
                <w:szCs w:val="24"/>
                <w:lang w:eastAsia="zh-Hans"/>
              </w:rPr>
              <w:t>100.00</w:t>
            </w:r>
          </w:p>
        </w:tc>
      </w:tr>
    </w:tbl>
    <w:p w14:paraId="79E6A7BF" w14:textId="77777777" w:rsidR="00EB155E" w:rsidRDefault="00EB155E">
      <w:pPr>
        <w:pStyle w:val="XBRLTitle2"/>
        <w:spacing w:before="156" w:line="360" w:lineRule="auto"/>
        <w:ind w:left="454"/>
        <w:rPr>
          <w:rFonts w:hint="eastAsia"/>
        </w:rPr>
      </w:pPr>
      <w:bookmarkStart w:id="159" w:name="_Toc459213778"/>
      <w:bookmarkStart w:id="160" w:name="_Toc456107132"/>
      <w:bookmarkStart w:id="161" w:name="_Toc438654087"/>
      <w:bookmarkStart w:id="162" w:name="_Toc448480299"/>
      <w:bookmarkStart w:id="163" w:name="_Toc480465433"/>
      <w:bookmarkStart w:id="164" w:name="_Toc512611295"/>
      <w:bookmarkStart w:id="165" w:name="_Toc512612091"/>
      <w:bookmarkStart w:id="166" w:name="_Toc512612267"/>
      <w:bookmarkStart w:id="167" w:name="_Toc513658023"/>
      <w:bookmarkStart w:id="168" w:name="_Toc514178685"/>
      <w:bookmarkEnd w:id="148"/>
      <w:r>
        <w:rPr>
          <w:rFonts w:hint="eastAsia"/>
        </w:rPr>
        <w:t>报告期末在各个国家（地区）证券市场的股票及存托凭证投资分布</w:t>
      </w:r>
      <w:bookmarkEnd w:id="159"/>
      <w:bookmarkEnd w:id="160"/>
      <w:bookmarkEnd w:id="161"/>
      <w:bookmarkEnd w:id="162"/>
      <w:bookmarkEnd w:id="163"/>
      <w:bookmarkEnd w:id="164"/>
      <w:bookmarkEnd w:id="165"/>
      <w:bookmarkEnd w:id="166"/>
      <w:bookmarkEnd w:id="167"/>
      <w:bookmarkEnd w:id="168"/>
      <w:r>
        <w:rPr>
          <w:rFonts w:hint="eastAsia"/>
        </w:rPr>
        <w:t xml:space="preserve"> </w:t>
      </w:r>
    </w:p>
    <w:tbl>
      <w:tblPr>
        <w:tblW w:w="5000" w:type="pct"/>
        <w:tblLook w:val="04A0" w:firstRow="1" w:lastRow="0" w:firstColumn="1" w:lastColumn="0" w:noHBand="0" w:noVBand="1"/>
      </w:tblPr>
      <w:tblGrid>
        <w:gridCol w:w="2032"/>
        <w:gridCol w:w="3621"/>
        <w:gridCol w:w="3182"/>
      </w:tblGrid>
      <w:tr w:rsidR="007E39FA" w14:paraId="5AFEDB8D" w14:textId="77777777">
        <w:trPr>
          <w:divId w:val="197858282"/>
        </w:trPr>
        <w:tc>
          <w:tcPr>
            <w:tcW w:w="1150"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0BE3FE0" w14:textId="77777777" w:rsidR="00EB155E" w:rsidRDefault="00EB155E">
            <w:pPr>
              <w:jc w:val="center"/>
            </w:pPr>
            <w:bookmarkStart w:id="169" w:name="m08QD_02"/>
            <w:bookmarkStart w:id="170" w:name="m502_tab"/>
            <w:r>
              <w:rPr>
                <w:rFonts w:ascii="宋体" w:hAnsi="宋体" w:hint="eastAsia"/>
                <w:szCs w:val="21"/>
              </w:rPr>
              <w:t>国家（地区）</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3DA54705" w14:textId="77777777" w:rsidR="00EB155E" w:rsidRDefault="00EB155E">
            <w:pPr>
              <w:jc w:val="center"/>
            </w:pPr>
            <w:r>
              <w:rPr>
                <w:rFonts w:ascii="宋体" w:hAnsi="宋体" w:hint="eastAsia"/>
                <w:szCs w:val="21"/>
              </w:rPr>
              <w:t>公允价值（人民币元）</w:t>
            </w:r>
            <w:r>
              <w:rPr>
                <w:rFonts w:ascii="宋体" w:hAnsi="宋体" w:hint="eastAsia"/>
                <w:szCs w:val="21"/>
                <w:lang w:eastAsia="zh-Hans"/>
              </w:rPr>
              <w:t xml:space="preserve"> </w:t>
            </w:r>
          </w:p>
        </w:tc>
        <w:tc>
          <w:tcPr>
            <w:tcW w:w="1801"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08A27212" w14:textId="77777777" w:rsidR="00EB155E" w:rsidRDefault="00EB155E">
            <w:pPr>
              <w:jc w:val="center"/>
            </w:pPr>
            <w:r>
              <w:rPr>
                <w:rFonts w:ascii="宋体" w:hAnsi="宋体" w:hint="eastAsia"/>
                <w:szCs w:val="21"/>
              </w:rPr>
              <w:t>占基金资产净值比例（%）</w:t>
            </w:r>
            <w:r>
              <w:rPr>
                <w:rFonts w:ascii="宋体" w:hAnsi="宋体" w:hint="eastAsia"/>
                <w:szCs w:val="21"/>
                <w:lang w:eastAsia="zh-Hans"/>
              </w:rPr>
              <w:t xml:space="preserve"> </w:t>
            </w:r>
          </w:p>
        </w:tc>
      </w:tr>
      <w:tr w:rsidR="007E39FA" w14:paraId="4F522CA9" w14:textId="77777777">
        <w:trPr>
          <w:divId w:val="197858282"/>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39A735" w14:textId="77777777" w:rsidR="00EB155E" w:rsidRDefault="00EB155E">
            <w:r>
              <w:rPr>
                <w:rFonts w:ascii="宋体" w:hAnsi="宋体" w:hint="eastAsia"/>
                <w:szCs w:val="21"/>
                <w:lang w:eastAsia="zh-Hans"/>
              </w:rPr>
              <w:t>美国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4D0872E" w14:textId="77777777" w:rsidR="00EB155E" w:rsidRDefault="00EB155E">
            <w:pPr>
              <w:jc w:val="right"/>
            </w:pPr>
            <w:r>
              <w:rPr>
                <w:rFonts w:ascii="宋体" w:hAnsi="宋体" w:hint="eastAsia"/>
                <w:szCs w:val="21"/>
                <w:lang w:eastAsia="zh-Hans"/>
              </w:rPr>
              <w:t>1,882,922,437.70</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EDEAAFB" w14:textId="77777777" w:rsidR="00EB155E" w:rsidRDefault="00EB155E">
            <w:pPr>
              <w:jc w:val="right"/>
            </w:pPr>
            <w:r>
              <w:rPr>
                <w:rFonts w:ascii="宋体" w:hAnsi="宋体" w:hint="eastAsia"/>
                <w:szCs w:val="21"/>
                <w:lang w:eastAsia="zh-Hans"/>
              </w:rPr>
              <w:t>92.20</w:t>
            </w:r>
          </w:p>
        </w:tc>
      </w:tr>
      <w:tr w:rsidR="007E39FA" w14:paraId="657B76B6" w14:textId="77777777">
        <w:trPr>
          <w:divId w:val="197858282"/>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882231" w14:textId="77777777" w:rsidR="00EB155E" w:rsidRDefault="00EB155E">
            <w:r>
              <w:rPr>
                <w:rFonts w:ascii="宋体" w:hAnsi="宋体" w:hint="eastAsia"/>
                <w:szCs w:val="21"/>
              </w:rPr>
              <w:lastRenderedPageBreak/>
              <w:t>合计</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79480A0" w14:textId="77777777" w:rsidR="00EB155E" w:rsidRDefault="00EB155E">
            <w:pPr>
              <w:jc w:val="right"/>
            </w:pPr>
            <w:r>
              <w:rPr>
                <w:rFonts w:ascii="宋体" w:hAnsi="宋体" w:hint="eastAsia"/>
                <w:szCs w:val="21"/>
                <w:lang w:eastAsia="zh-Hans"/>
              </w:rPr>
              <w:t>1,882,922,437.70</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7175743" w14:textId="77777777" w:rsidR="00EB155E" w:rsidRDefault="00EB155E">
            <w:pPr>
              <w:jc w:val="right"/>
            </w:pPr>
            <w:r>
              <w:rPr>
                <w:rFonts w:ascii="宋体" w:hAnsi="宋体" w:hint="eastAsia"/>
                <w:szCs w:val="21"/>
                <w:lang w:eastAsia="zh-Hans"/>
              </w:rPr>
              <w:t>92.20</w:t>
            </w:r>
            <w:bookmarkEnd w:id="169"/>
          </w:p>
        </w:tc>
      </w:tr>
    </w:tbl>
    <w:p w14:paraId="4C8607FF" w14:textId="77777777" w:rsidR="00EB155E" w:rsidRDefault="00EB155E">
      <w:pPr>
        <w:spacing w:line="360" w:lineRule="auto"/>
        <w:jc w:val="left"/>
      </w:pPr>
      <w:r>
        <w:rPr>
          <w:rFonts w:ascii="宋体" w:hAnsi="宋体" w:hint="eastAsia"/>
          <w:szCs w:val="21"/>
        </w:rPr>
        <w:t>注：</w:t>
      </w:r>
      <w:r>
        <w:rPr>
          <w:rFonts w:ascii="宋体" w:hAnsi="宋体" w:hint="eastAsia"/>
        </w:rPr>
        <w:t>国家（地区）类别根据其所在的证券交易所确定，ADR、GDR按照存托凭证本身挂牌的证券交易所确定。</w:t>
      </w:r>
    </w:p>
    <w:p w14:paraId="4CEDA058" w14:textId="77777777" w:rsidR="00EB155E" w:rsidRDefault="00EB155E">
      <w:pPr>
        <w:pStyle w:val="XBRLTitle2"/>
        <w:spacing w:before="156" w:line="360" w:lineRule="auto"/>
        <w:ind w:left="454"/>
        <w:rPr>
          <w:rFonts w:hint="eastAsia"/>
        </w:rPr>
      </w:pPr>
      <w:bookmarkStart w:id="171" w:name="_Toc459213779"/>
      <w:bookmarkStart w:id="172" w:name="_Toc456107133"/>
      <w:bookmarkStart w:id="173" w:name="_Toc438654088"/>
      <w:bookmarkStart w:id="174" w:name="_Toc448480300"/>
      <w:bookmarkStart w:id="175" w:name="_Toc480465434"/>
      <w:bookmarkStart w:id="176" w:name="_Toc512611296"/>
      <w:bookmarkStart w:id="177" w:name="_Toc512612092"/>
      <w:bookmarkStart w:id="178" w:name="_Toc512612268"/>
      <w:bookmarkStart w:id="179" w:name="_Toc513658024"/>
      <w:bookmarkStart w:id="180" w:name="_Toc514178686"/>
      <w:bookmarkStart w:id="181" w:name="m503"/>
      <w:bookmarkEnd w:id="170"/>
      <w:r>
        <w:rPr>
          <w:rFonts w:hint="eastAsia"/>
        </w:rPr>
        <w:t>报告期末按行业分类的股票及存托凭证投资组合</w:t>
      </w:r>
      <w:bookmarkStart w:id="182" w:name="_Toc513637368"/>
      <w:bookmarkEnd w:id="171"/>
      <w:bookmarkEnd w:id="172"/>
      <w:bookmarkEnd w:id="173"/>
      <w:bookmarkEnd w:id="174"/>
      <w:bookmarkEnd w:id="175"/>
      <w:bookmarkEnd w:id="176"/>
      <w:bookmarkEnd w:id="177"/>
      <w:bookmarkEnd w:id="178"/>
      <w:bookmarkEnd w:id="179"/>
      <w:bookmarkEnd w:id="180"/>
      <w:bookmarkEnd w:id="182"/>
      <w:r>
        <w:rPr>
          <w:rFonts w:hint="eastAsia"/>
          <w:lang w:eastAsia="zh-CN"/>
        </w:rPr>
        <w:t xml:space="preserve"> </w:t>
      </w:r>
    </w:p>
    <w:p w14:paraId="532D4096" w14:textId="77777777" w:rsidR="00EB155E" w:rsidRDefault="00EB155E">
      <w:pPr>
        <w:pStyle w:val="XBRLTitle3"/>
        <w:spacing w:before="156"/>
        <w:ind w:left="0"/>
        <w:rPr>
          <w:rFonts w:hint="eastAsia"/>
        </w:rPr>
      </w:pPr>
      <w:bookmarkStart w:id="183" w:name="_Toc513658025"/>
      <w:bookmarkStart w:id="184" w:name="_Toc514178687"/>
      <w:r>
        <w:rPr>
          <w:rFonts w:hint="eastAsia"/>
          <w:kern w:val="0"/>
        </w:rPr>
        <w:t>报告期末指数投资按行业分类的股票及存托凭证投资组合</w:t>
      </w:r>
      <w:bookmarkEnd w:id="183"/>
      <w:bookmarkEnd w:id="184"/>
      <w:r>
        <w:rPr>
          <w:rFonts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777"/>
        <w:gridCol w:w="3496"/>
        <w:gridCol w:w="1562"/>
      </w:tblGrid>
      <w:tr w:rsidR="007E39FA" w14:paraId="1C6579DF" w14:textId="77777777">
        <w:trPr>
          <w:divId w:val="904225076"/>
        </w:trPr>
        <w:tc>
          <w:tcPr>
            <w:tcW w:w="38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A13948F" w14:textId="77777777" w:rsidR="00EB155E" w:rsidRDefault="00EB155E">
            <w:pPr>
              <w:jc w:val="center"/>
            </w:pPr>
            <w:bookmarkStart w:id="185" w:name="_Toc247616244"/>
            <w:bookmarkStart w:id="186" w:name="_Toc433036708"/>
            <w:bookmarkStart w:id="187" w:name="_Toc247613259"/>
            <w:bookmarkStart w:id="188" w:name="m08QD_03_01_tab"/>
            <w:bookmarkStart w:id="189" w:name="m08QD_03_tab"/>
            <w:bookmarkStart w:id="190" w:name="m08QD_04_01"/>
            <w:r>
              <w:rPr>
                <w:rFonts w:ascii="宋体" w:hAnsi="宋体" w:hint="eastAsia"/>
                <w:color w:val="000000"/>
              </w:rPr>
              <w:t>行业类别</w:t>
            </w:r>
            <w:r>
              <w:rPr>
                <w:rFonts w:ascii="宋体" w:hAnsi="宋体" w:hint="eastAsia"/>
                <w:color w:val="000000"/>
                <w:lang w:eastAsia="zh-Hans"/>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C36F22A" w14:textId="77777777" w:rsidR="00EB155E" w:rsidRDefault="00EB155E">
            <w:pPr>
              <w:jc w:val="center"/>
            </w:pPr>
            <w:r>
              <w:rPr>
                <w:rFonts w:ascii="宋体" w:hAnsi="宋体" w:hint="eastAsia"/>
                <w:color w:val="000000"/>
              </w:rPr>
              <w:t>公允价值（人民币元）</w:t>
            </w:r>
            <w:r>
              <w:rPr>
                <w:rFonts w:ascii="宋体" w:hAnsi="宋体" w:hint="eastAsia"/>
                <w:color w:val="000000"/>
                <w:lang w:eastAsia="zh-Hans"/>
              </w:rPr>
              <w:t xml:space="preserve"> </w:t>
            </w:r>
          </w:p>
        </w:tc>
        <w:tc>
          <w:tcPr>
            <w:tcW w:w="15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2F50249" w14:textId="77777777" w:rsidR="00EB155E" w:rsidRDefault="00EB155E">
            <w:r>
              <w:rPr>
                <w:rFonts w:ascii="宋体" w:hAnsi="宋体" w:hint="eastAsia"/>
                <w:color w:val="000000"/>
              </w:rPr>
              <w:t>占基金资产净值比例</w:t>
            </w:r>
            <w:r>
              <w:rPr>
                <w:rFonts w:ascii="宋体" w:hAnsi="宋体" w:hint="eastAsia"/>
                <w:color w:val="000000"/>
                <w:lang w:eastAsia="zh-Hans"/>
              </w:rPr>
              <w:t>(%)</w:t>
            </w:r>
            <w:r>
              <w:rPr>
                <w:rFonts w:ascii="宋体" w:hAnsi="宋体" w:hint="eastAsia"/>
                <w:b/>
                <w:color w:val="000000"/>
                <w:lang w:eastAsia="zh-Hans"/>
              </w:rPr>
              <w:t xml:space="preserve"> </w:t>
            </w:r>
          </w:p>
        </w:tc>
      </w:tr>
      <w:tr w:rsidR="007E39FA" w14:paraId="61037A04" w14:textId="77777777">
        <w:trPr>
          <w:divId w:val="904225076"/>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012132" w14:textId="77777777" w:rsidR="00EB155E" w:rsidRDefault="00EB155E">
            <w:pPr>
              <w:jc w:val="left"/>
            </w:pPr>
            <w:r>
              <w:rPr>
                <w:rFonts w:ascii="宋体" w:hAnsi="宋体" w:hint="eastAsia"/>
                <w:color w:val="000000"/>
                <w:lang w:eastAsia="zh-Hans"/>
              </w:rPr>
              <w:t>基础材料</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637C6A" w14:textId="77777777" w:rsidR="00EB155E" w:rsidRDefault="00EB155E">
            <w:pPr>
              <w:jc w:val="right"/>
            </w:pPr>
            <w:r>
              <w:rPr>
                <w:rFonts w:ascii="宋体" w:hAnsi="宋体" w:hint="eastAsia"/>
                <w:color w:val="000000"/>
                <w:lang w:eastAsia="zh-Hans"/>
              </w:rPr>
              <w:t>35,853,915.61</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A8D516" w14:textId="77777777" w:rsidR="00EB155E" w:rsidRDefault="00EB155E">
            <w:pPr>
              <w:jc w:val="right"/>
            </w:pPr>
            <w:r>
              <w:rPr>
                <w:rFonts w:ascii="宋体" w:hAnsi="宋体" w:hint="eastAsia"/>
                <w:color w:val="000000"/>
                <w:lang w:eastAsia="zh-Hans"/>
              </w:rPr>
              <w:t>1.76</w:t>
            </w:r>
          </w:p>
        </w:tc>
      </w:tr>
      <w:tr w:rsidR="007E39FA" w14:paraId="0F25397F" w14:textId="77777777">
        <w:trPr>
          <w:divId w:val="904225076"/>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6CE12A" w14:textId="77777777" w:rsidR="00EB155E" w:rsidRDefault="00EB155E">
            <w:pPr>
              <w:jc w:val="left"/>
            </w:pPr>
            <w:r>
              <w:rPr>
                <w:rFonts w:ascii="宋体" w:hAnsi="宋体" w:hint="eastAsia"/>
                <w:color w:val="000000"/>
                <w:lang w:eastAsia="zh-Hans"/>
              </w:rPr>
              <w:t>消费者非必需品</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06EFCF" w14:textId="77777777" w:rsidR="00EB155E" w:rsidRDefault="00EB155E">
            <w:pPr>
              <w:jc w:val="right"/>
            </w:pPr>
            <w:r>
              <w:rPr>
                <w:rFonts w:ascii="宋体" w:hAnsi="宋体" w:hint="eastAsia"/>
                <w:color w:val="000000"/>
                <w:lang w:eastAsia="zh-Hans"/>
              </w:rPr>
              <w:t>196,786,880.31</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2AB316" w14:textId="77777777" w:rsidR="00EB155E" w:rsidRDefault="00EB155E">
            <w:pPr>
              <w:jc w:val="right"/>
            </w:pPr>
            <w:r>
              <w:rPr>
                <w:rFonts w:ascii="宋体" w:hAnsi="宋体" w:hint="eastAsia"/>
                <w:color w:val="000000"/>
                <w:lang w:eastAsia="zh-Hans"/>
              </w:rPr>
              <w:t>9.64</w:t>
            </w:r>
          </w:p>
        </w:tc>
      </w:tr>
      <w:tr w:rsidR="007E39FA" w14:paraId="5005C8F4" w14:textId="77777777">
        <w:trPr>
          <w:divId w:val="904225076"/>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1B8332" w14:textId="77777777" w:rsidR="00EB155E" w:rsidRDefault="00EB155E">
            <w:pPr>
              <w:jc w:val="left"/>
            </w:pPr>
            <w:r>
              <w:rPr>
                <w:rFonts w:ascii="宋体" w:hAnsi="宋体" w:hint="eastAsia"/>
                <w:color w:val="000000"/>
                <w:lang w:eastAsia="zh-Hans"/>
              </w:rPr>
              <w:t>消费者常用品</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84E8A3" w14:textId="77777777" w:rsidR="00EB155E" w:rsidRDefault="00EB155E">
            <w:pPr>
              <w:jc w:val="right"/>
            </w:pPr>
            <w:r>
              <w:rPr>
                <w:rFonts w:ascii="宋体" w:hAnsi="宋体" w:hint="eastAsia"/>
                <w:color w:val="000000"/>
                <w:lang w:eastAsia="zh-Hans"/>
              </w:rPr>
              <w:t>105,713,555.01</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DD7607" w14:textId="77777777" w:rsidR="00EB155E" w:rsidRDefault="00EB155E">
            <w:pPr>
              <w:jc w:val="right"/>
            </w:pPr>
            <w:r>
              <w:rPr>
                <w:rFonts w:ascii="宋体" w:hAnsi="宋体" w:hint="eastAsia"/>
                <w:color w:val="000000"/>
                <w:lang w:eastAsia="zh-Hans"/>
              </w:rPr>
              <w:t>5.18</w:t>
            </w:r>
          </w:p>
        </w:tc>
      </w:tr>
      <w:tr w:rsidR="007E39FA" w14:paraId="48A06237" w14:textId="77777777">
        <w:trPr>
          <w:divId w:val="904225076"/>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FB0D63" w14:textId="77777777" w:rsidR="00EB155E" w:rsidRDefault="00EB155E">
            <w:pPr>
              <w:jc w:val="left"/>
            </w:pPr>
            <w:r>
              <w:rPr>
                <w:rFonts w:ascii="宋体" w:hAnsi="宋体" w:hint="eastAsia"/>
                <w:color w:val="000000"/>
                <w:lang w:eastAsia="zh-Hans"/>
              </w:rPr>
              <w:t>能源</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3D5327" w14:textId="77777777" w:rsidR="00EB155E" w:rsidRDefault="00EB155E">
            <w:pPr>
              <w:jc w:val="right"/>
            </w:pPr>
            <w:r>
              <w:rPr>
                <w:rFonts w:ascii="宋体" w:hAnsi="宋体" w:hint="eastAsia"/>
                <w:color w:val="000000"/>
                <w:lang w:eastAsia="zh-Hans"/>
              </w:rPr>
              <w:t>57,250,324.29</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ABBDE3" w14:textId="77777777" w:rsidR="00EB155E" w:rsidRDefault="00EB155E">
            <w:pPr>
              <w:jc w:val="right"/>
            </w:pPr>
            <w:r>
              <w:rPr>
                <w:rFonts w:ascii="宋体" w:hAnsi="宋体" w:hint="eastAsia"/>
                <w:color w:val="000000"/>
                <w:lang w:eastAsia="zh-Hans"/>
              </w:rPr>
              <w:t>2.80</w:t>
            </w:r>
          </w:p>
        </w:tc>
      </w:tr>
      <w:tr w:rsidR="007E39FA" w14:paraId="1192B7BA" w14:textId="77777777">
        <w:trPr>
          <w:divId w:val="904225076"/>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E4AD06" w14:textId="77777777" w:rsidR="00EB155E" w:rsidRDefault="00EB155E">
            <w:pPr>
              <w:jc w:val="left"/>
            </w:pPr>
            <w:r>
              <w:rPr>
                <w:rFonts w:ascii="宋体" w:hAnsi="宋体" w:hint="eastAsia"/>
                <w:color w:val="000000"/>
                <w:lang w:eastAsia="zh-Hans"/>
              </w:rPr>
              <w:t>金融</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CE9F3D" w14:textId="77777777" w:rsidR="00EB155E" w:rsidRDefault="00EB155E">
            <w:pPr>
              <w:jc w:val="right"/>
            </w:pPr>
            <w:r>
              <w:rPr>
                <w:rFonts w:ascii="宋体" w:hAnsi="宋体" w:hint="eastAsia"/>
                <w:color w:val="000000"/>
                <w:lang w:eastAsia="zh-Hans"/>
              </w:rPr>
              <w:t>262,721,736.36</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BFBBC0" w14:textId="77777777" w:rsidR="00EB155E" w:rsidRDefault="00EB155E">
            <w:pPr>
              <w:jc w:val="right"/>
            </w:pPr>
            <w:r>
              <w:rPr>
                <w:rFonts w:ascii="宋体" w:hAnsi="宋体" w:hint="eastAsia"/>
                <w:color w:val="000000"/>
                <w:lang w:eastAsia="zh-Hans"/>
              </w:rPr>
              <w:t>12.87</w:t>
            </w:r>
          </w:p>
        </w:tc>
      </w:tr>
      <w:tr w:rsidR="007E39FA" w14:paraId="6DA7568D" w14:textId="77777777">
        <w:trPr>
          <w:divId w:val="904225076"/>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9F2187" w14:textId="77777777" w:rsidR="00EB155E" w:rsidRDefault="00EB155E">
            <w:pPr>
              <w:jc w:val="left"/>
            </w:pPr>
            <w:r>
              <w:rPr>
                <w:rFonts w:ascii="宋体" w:hAnsi="宋体" w:hint="eastAsia"/>
                <w:color w:val="000000"/>
                <w:lang w:eastAsia="zh-Hans"/>
              </w:rPr>
              <w:t>医疗保健</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D61269" w14:textId="77777777" w:rsidR="00EB155E" w:rsidRDefault="00EB155E">
            <w:pPr>
              <w:jc w:val="right"/>
            </w:pPr>
            <w:r>
              <w:rPr>
                <w:rFonts w:ascii="宋体" w:hAnsi="宋体" w:hint="eastAsia"/>
                <w:color w:val="000000"/>
                <w:lang w:eastAsia="zh-Hans"/>
              </w:rPr>
              <w:t>177,727,338.90</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CFBDE" w14:textId="77777777" w:rsidR="00EB155E" w:rsidRDefault="00EB155E">
            <w:pPr>
              <w:jc w:val="right"/>
            </w:pPr>
            <w:r>
              <w:rPr>
                <w:rFonts w:ascii="宋体" w:hAnsi="宋体" w:hint="eastAsia"/>
                <w:color w:val="000000"/>
                <w:lang w:eastAsia="zh-Hans"/>
              </w:rPr>
              <w:t>8.70</w:t>
            </w:r>
          </w:p>
        </w:tc>
      </w:tr>
      <w:tr w:rsidR="007E39FA" w14:paraId="2C84124A" w14:textId="77777777">
        <w:trPr>
          <w:divId w:val="904225076"/>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B0566F" w14:textId="77777777" w:rsidR="00EB155E" w:rsidRDefault="00EB155E">
            <w:pPr>
              <w:jc w:val="left"/>
            </w:pPr>
            <w:r>
              <w:rPr>
                <w:rFonts w:ascii="宋体" w:hAnsi="宋体" w:hint="eastAsia"/>
                <w:color w:val="000000"/>
                <w:lang w:eastAsia="zh-Hans"/>
              </w:rPr>
              <w:t>工业</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F0B9DD" w14:textId="77777777" w:rsidR="00EB155E" w:rsidRDefault="00EB155E">
            <w:pPr>
              <w:jc w:val="right"/>
            </w:pPr>
            <w:r>
              <w:rPr>
                <w:rFonts w:ascii="宋体" w:hAnsi="宋体" w:hint="eastAsia"/>
                <w:color w:val="000000"/>
                <w:lang w:eastAsia="zh-Hans"/>
              </w:rPr>
              <w:t>149,749,231.32</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172F72" w14:textId="77777777" w:rsidR="00EB155E" w:rsidRDefault="00EB155E">
            <w:pPr>
              <w:jc w:val="right"/>
            </w:pPr>
            <w:r>
              <w:rPr>
                <w:rFonts w:ascii="宋体" w:hAnsi="宋体" w:hint="eastAsia"/>
                <w:color w:val="000000"/>
                <w:lang w:eastAsia="zh-Hans"/>
              </w:rPr>
              <w:t>7.33</w:t>
            </w:r>
          </w:p>
        </w:tc>
      </w:tr>
      <w:tr w:rsidR="007E39FA" w14:paraId="2362A5EF" w14:textId="77777777">
        <w:trPr>
          <w:divId w:val="904225076"/>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E6DAF" w14:textId="77777777" w:rsidR="00EB155E" w:rsidRDefault="00EB155E">
            <w:pPr>
              <w:jc w:val="left"/>
            </w:pPr>
            <w:r>
              <w:rPr>
                <w:rFonts w:ascii="宋体" w:hAnsi="宋体" w:hint="eastAsia"/>
                <w:color w:val="000000"/>
                <w:lang w:eastAsia="zh-Hans"/>
              </w:rPr>
              <w:t>信息技术</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82B361" w14:textId="77777777" w:rsidR="00EB155E" w:rsidRDefault="00EB155E">
            <w:pPr>
              <w:jc w:val="right"/>
            </w:pPr>
            <w:r>
              <w:rPr>
                <w:rFonts w:ascii="宋体" w:hAnsi="宋体" w:hint="eastAsia"/>
                <w:color w:val="000000"/>
                <w:lang w:eastAsia="zh-Hans"/>
              </w:rPr>
              <w:t>627,186,035.58</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288426" w14:textId="77777777" w:rsidR="00EB155E" w:rsidRDefault="00EB155E">
            <w:pPr>
              <w:jc w:val="right"/>
            </w:pPr>
            <w:r>
              <w:rPr>
                <w:rFonts w:ascii="宋体" w:hAnsi="宋体" w:hint="eastAsia"/>
                <w:color w:val="000000"/>
                <w:lang w:eastAsia="zh-Hans"/>
              </w:rPr>
              <w:t>30.71</w:t>
            </w:r>
          </w:p>
        </w:tc>
      </w:tr>
      <w:tr w:rsidR="007E39FA" w14:paraId="25E06D5E" w14:textId="77777777">
        <w:trPr>
          <w:divId w:val="904225076"/>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848CAE" w14:textId="77777777" w:rsidR="00EB155E" w:rsidRDefault="00EB155E">
            <w:pPr>
              <w:jc w:val="left"/>
            </w:pPr>
            <w:r>
              <w:rPr>
                <w:rFonts w:ascii="宋体" w:hAnsi="宋体" w:hint="eastAsia"/>
                <w:color w:val="000000"/>
                <w:lang w:eastAsia="zh-Hans"/>
              </w:rPr>
              <w:t>电信服务</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15B44B" w14:textId="77777777" w:rsidR="00EB155E" w:rsidRDefault="00EB155E">
            <w:pPr>
              <w:jc w:val="right"/>
            </w:pPr>
            <w:r>
              <w:rPr>
                <w:rFonts w:ascii="宋体" w:hAnsi="宋体" w:hint="eastAsia"/>
                <w:color w:val="000000"/>
                <w:lang w:eastAsia="zh-Hans"/>
              </w:rPr>
              <w:t>186,459,543.37</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B28D37" w14:textId="77777777" w:rsidR="00EB155E" w:rsidRDefault="00EB155E">
            <w:pPr>
              <w:jc w:val="right"/>
            </w:pPr>
            <w:r>
              <w:rPr>
                <w:rFonts w:ascii="宋体" w:hAnsi="宋体" w:hint="eastAsia"/>
                <w:color w:val="000000"/>
                <w:lang w:eastAsia="zh-Hans"/>
              </w:rPr>
              <w:t>9.13</w:t>
            </w:r>
          </w:p>
        </w:tc>
      </w:tr>
      <w:tr w:rsidR="007E39FA" w14:paraId="5D9B4FBB" w14:textId="77777777">
        <w:trPr>
          <w:divId w:val="904225076"/>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D088B0" w14:textId="77777777" w:rsidR="00EB155E" w:rsidRDefault="00EB155E">
            <w:pPr>
              <w:jc w:val="left"/>
            </w:pPr>
            <w:r>
              <w:rPr>
                <w:rFonts w:ascii="宋体" w:hAnsi="宋体" w:hint="eastAsia"/>
                <w:color w:val="000000"/>
                <w:lang w:eastAsia="zh-Hans"/>
              </w:rPr>
              <w:t>公用事业</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18A41A" w14:textId="77777777" w:rsidR="00EB155E" w:rsidRDefault="00EB155E">
            <w:pPr>
              <w:jc w:val="right"/>
            </w:pPr>
            <w:r>
              <w:rPr>
                <w:rFonts w:ascii="宋体" w:hAnsi="宋体" w:hint="eastAsia"/>
                <w:color w:val="000000"/>
                <w:lang w:eastAsia="zh-Hans"/>
              </w:rPr>
              <w:t>45,008,908.45</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5C3CF5" w14:textId="77777777" w:rsidR="00EB155E" w:rsidRDefault="00EB155E">
            <w:pPr>
              <w:jc w:val="right"/>
            </w:pPr>
            <w:r>
              <w:rPr>
                <w:rFonts w:ascii="宋体" w:hAnsi="宋体" w:hint="eastAsia"/>
                <w:color w:val="000000"/>
                <w:lang w:eastAsia="zh-Hans"/>
              </w:rPr>
              <w:t>2.20</w:t>
            </w:r>
          </w:p>
        </w:tc>
      </w:tr>
      <w:tr w:rsidR="007E39FA" w14:paraId="4D92C978" w14:textId="77777777">
        <w:trPr>
          <w:divId w:val="904225076"/>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4E92C6" w14:textId="77777777" w:rsidR="00EB155E" w:rsidRDefault="00EB155E">
            <w:pPr>
              <w:jc w:val="left"/>
            </w:pPr>
            <w:r>
              <w:rPr>
                <w:rFonts w:ascii="宋体" w:hAnsi="宋体" w:hint="eastAsia"/>
                <w:color w:val="000000"/>
                <w:lang w:eastAsia="zh-Hans"/>
              </w:rPr>
              <w:t>房地产</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61879B" w14:textId="77777777" w:rsidR="00EB155E" w:rsidRDefault="00EB155E">
            <w:pPr>
              <w:jc w:val="right"/>
            </w:pPr>
            <w:r>
              <w:rPr>
                <w:rFonts w:ascii="宋体" w:hAnsi="宋体" w:hint="eastAsia"/>
                <w:color w:val="000000"/>
                <w:lang w:eastAsia="zh-Hans"/>
              </w:rPr>
              <w:t>38,464,968.50</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9BF855" w14:textId="77777777" w:rsidR="00EB155E" w:rsidRDefault="00EB155E">
            <w:pPr>
              <w:jc w:val="right"/>
            </w:pPr>
            <w:r>
              <w:rPr>
                <w:rFonts w:ascii="宋体" w:hAnsi="宋体" w:hint="eastAsia"/>
                <w:color w:val="000000"/>
                <w:lang w:eastAsia="zh-Hans"/>
              </w:rPr>
              <w:t>1.88</w:t>
            </w:r>
          </w:p>
        </w:tc>
      </w:tr>
      <w:tr w:rsidR="007E39FA" w14:paraId="2AAD51A6" w14:textId="77777777">
        <w:trPr>
          <w:divId w:val="904225076"/>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47CC59" w14:textId="77777777" w:rsidR="00EB155E" w:rsidRDefault="00EB155E">
            <w:pPr>
              <w:jc w:val="center"/>
            </w:pPr>
            <w:r>
              <w:rPr>
                <w:rFonts w:ascii="宋体" w:hAnsi="宋体" w:hint="eastAsia"/>
              </w:rPr>
              <w:t>合计</w:t>
            </w:r>
            <w:r>
              <w:rPr>
                <w:rFonts w:ascii="宋体" w:hAnsi="宋体" w:hint="eastAsia"/>
                <w:color w:val="000000"/>
                <w:lang w:eastAsia="zh-Hans"/>
              </w:rPr>
              <w:t xml:space="preserve">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773E4F" w14:textId="77777777" w:rsidR="00EB155E" w:rsidRDefault="00EB155E">
            <w:pPr>
              <w:jc w:val="right"/>
            </w:pPr>
            <w:r>
              <w:rPr>
                <w:rFonts w:ascii="宋体" w:hAnsi="宋体" w:hint="eastAsia"/>
                <w:color w:val="000000"/>
                <w:lang w:eastAsia="zh-Hans"/>
              </w:rPr>
              <w:t>1,882,922,437.70</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9E3D95" w14:textId="77777777" w:rsidR="00EB155E" w:rsidRDefault="00EB155E">
            <w:pPr>
              <w:jc w:val="right"/>
            </w:pPr>
            <w:r>
              <w:rPr>
                <w:rFonts w:ascii="宋体" w:hAnsi="宋体" w:hint="eastAsia"/>
                <w:color w:val="000000"/>
                <w:lang w:eastAsia="zh-Hans"/>
              </w:rPr>
              <w:t>92.20</w:t>
            </w:r>
            <w:bookmarkEnd w:id="185"/>
            <w:bookmarkEnd w:id="186"/>
            <w:bookmarkEnd w:id="187"/>
          </w:p>
        </w:tc>
      </w:tr>
    </w:tbl>
    <w:bookmarkEnd w:id="188"/>
    <w:bookmarkEnd w:id="189"/>
    <w:p w14:paraId="562222F2" w14:textId="77777777" w:rsidR="00EB155E" w:rsidRDefault="00EB155E">
      <w:pPr>
        <w:widowControl/>
        <w:spacing w:line="315" w:lineRule="atLeast"/>
        <w:divId w:val="949355412"/>
      </w:pPr>
      <w:r>
        <w:rPr>
          <w:rFonts w:ascii="宋体" w:hAnsi="宋体" w:cs="宋体" w:hint="eastAsia"/>
          <w:color w:val="000000"/>
          <w:kern w:val="0"/>
          <w:szCs w:val="21"/>
        </w:rPr>
        <w:t>注：以上分类采用全球行业分类标准(GICS)。</w:t>
      </w:r>
    </w:p>
    <w:p w14:paraId="76A38F5A" w14:textId="77777777" w:rsidR="00EB155E" w:rsidRDefault="00EB155E">
      <w:pPr>
        <w:pStyle w:val="XBRLTitle3"/>
        <w:spacing w:before="156"/>
        <w:ind w:left="0"/>
        <w:rPr>
          <w:rFonts w:hint="eastAsia"/>
        </w:rPr>
      </w:pPr>
      <w:bookmarkStart w:id="191" w:name="_Toc513658026"/>
      <w:bookmarkStart w:id="192" w:name="_Toc514178688"/>
      <w:r>
        <w:rPr>
          <w:rFonts w:hint="eastAsia"/>
          <w:kern w:val="0"/>
        </w:rPr>
        <w:t>报告期末积极投资按行业分类的股票及存托凭证投资组合</w:t>
      </w:r>
      <w:bookmarkEnd w:id="191"/>
      <w:bookmarkEnd w:id="192"/>
      <w:r>
        <w:rPr>
          <w:rFonts w:hint="eastAsia"/>
        </w:rPr>
        <w:t xml:space="preserve"> </w:t>
      </w:r>
    </w:p>
    <w:p w14:paraId="7BBF700B" w14:textId="77777777" w:rsidR="00EB155E" w:rsidRDefault="00EB155E">
      <w:pPr>
        <w:widowControl/>
        <w:spacing w:line="315" w:lineRule="atLeast"/>
        <w:ind w:firstLineChars="200" w:firstLine="420"/>
        <w:divId w:val="1048602720"/>
      </w:pPr>
      <w:r>
        <w:rPr>
          <w:rFonts w:ascii="宋体" w:hAnsi="宋体" w:cs="宋体" w:hint="eastAsia"/>
          <w:color w:val="000000"/>
          <w:kern w:val="0"/>
          <w:szCs w:val="21"/>
        </w:rPr>
        <w:t>本基金本报告期末未持有积极投资股票。</w:t>
      </w:r>
    </w:p>
    <w:p w14:paraId="7A3A5C0A" w14:textId="77777777" w:rsidR="00EB155E" w:rsidRDefault="00EB155E">
      <w:pPr>
        <w:pStyle w:val="XBRLTitle2"/>
        <w:spacing w:before="156" w:line="360" w:lineRule="auto"/>
        <w:ind w:left="454"/>
        <w:rPr>
          <w:rFonts w:hint="eastAsia"/>
        </w:rPr>
      </w:pPr>
      <w:bookmarkStart w:id="193" w:name="_Toc459213780"/>
      <w:bookmarkStart w:id="194" w:name="_Toc456107134"/>
      <w:bookmarkStart w:id="195" w:name="_Toc438654089"/>
      <w:bookmarkStart w:id="196" w:name="_Toc448480301"/>
      <w:bookmarkStart w:id="197" w:name="_Toc480465435"/>
      <w:bookmarkStart w:id="198" w:name="_Toc512611297"/>
      <w:bookmarkStart w:id="199" w:name="_Toc512612093"/>
      <w:bookmarkStart w:id="200" w:name="_Toc512612269"/>
      <w:bookmarkStart w:id="201" w:name="_Toc513658027"/>
      <w:bookmarkStart w:id="202" w:name="_Toc514178689"/>
      <w:bookmarkEnd w:id="181"/>
      <w:r>
        <w:rPr>
          <w:rFonts w:hint="eastAsia"/>
        </w:rPr>
        <w:t>期末按公允价值占基金资产净值比例大小排序的权益投资明细</w:t>
      </w:r>
      <w:bookmarkStart w:id="203" w:name="_Toc513637371"/>
      <w:bookmarkEnd w:id="193"/>
      <w:bookmarkEnd w:id="194"/>
      <w:bookmarkEnd w:id="195"/>
      <w:bookmarkEnd w:id="196"/>
      <w:bookmarkEnd w:id="197"/>
      <w:bookmarkEnd w:id="198"/>
      <w:bookmarkEnd w:id="199"/>
      <w:bookmarkEnd w:id="200"/>
      <w:bookmarkEnd w:id="201"/>
      <w:bookmarkEnd w:id="202"/>
      <w:bookmarkEnd w:id="203"/>
      <w:r>
        <w:rPr>
          <w:rFonts w:hint="eastAsia"/>
        </w:rPr>
        <w:t xml:space="preserve"> </w:t>
      </w:r>
    </w:p>
    <w:p w14:paraId="2BE9EA30" w14:textId="77777777" w:rsidR="00EB155E" w:rsidRDefault="00EB155E">
      <w:pPr>
        <w:pStyle w:val="XBRLTitle3"/>
        <w:spacing w:before="156"/>
        <w:ind w:left="0"/>
        <w:rPr>
          <w:rFonts w:hint="eastAsia"/>
        </w:rPr>
      </w:pPr>
      <w:bookmarkStart w:id="204" w:name="_Toc513658028"/>
      <w:bookmarkStart w:id="205" w:name="_Toc514178690"/>
      <w:r>
        <w:rPr>
          <w:rFonts w:hint="eastAsia"/>
        </w:rPr>
        <w:t>报告期末指数投资按公允价值占基金资产净值比例大小排序的前十名股票及存托凭证投资明细</w:t>
      </w:r>
      <w:bookmarkEnd w:id="204"/>
      <w:bookmarkEnd w:id="205"/>
      <w:r>
        <w:rPr>
          <w:rFonts w:hint="eastAsia"/>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161"/>
        <w:gridCol w:w="1183"/>
        <w:gridCol w:w="842"/>
        <w:gridCol w:w="906"/>
        <w:gridCol w:w="821"/>
        <w:gridCol w:w="799"/>
        <w:gridCol w:w="1474"/>
        <w:gridCol w:w="934"/>
      </w:tblGrid>
      <w:tr w:rsidR="007E39FA" w14:paraId="3455B425" w14:textId="77777777">
        <w:trPr>
          <w:divId w:val="747924978"/>
        </w:trPr>
        <w:tc>
          <w:tcPr>
            <w:tcW w:w="68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7CA0555" w14:textId="77777777" w:rsidR="00EB155E" w:rsidRDefault="00EB155E">
            <w:pPr>
              <w:jc w:val="center"/>
            </w:pPr>
            <w:bookmarkStart w:id="206" w:name="m08QD_04_01_tab"/>
            <w:bookmarkStart w:id="207" w:name="_Toc433036709"/>
            <w:bookmarkStart w:id="208" w:name="_Toc247616246"/>
            <w:bookmarkStart w:id="209" w:name="_Toc458182097"/>
            <w:bookmarkStart w:id="210" w:name="_Toc443558285"/>
            <w:r>
              <w:rPr>
                <w:rFonts w:ascii="宋体" w:hAnsi="宋体" w:hint="eastAsia"/>
              </w:rPr>
              <w:t>序号</w:t>
            </w:r>
            <w:r>
              <w:rPr>
                <w:rFonts w:ascii="宋体" w:hAnsi="宋体" w:hint="eastAsia"/>
                <w:lang w:eastAsia="zh-Hans"/>
              </w:rPr>
              <w:t xml:space="preserve"> </w:t>
            </w:r>
          </w:p>
        </w:tc>
        <w:tc>
          <w:tcPr>
            <w:tcW w:w="11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C3B7C2D" w14:textId="77777777" w:rsidR="00EB155E" w:rsidRDefault="00EB155E">
            <w:pPr>
              <w:jc w:val="center"/>
            </w:pPr>
            <w:r>
              <w:rPr>
                <w:rFonts w:ascii="宋体" w:hAnsi="宋体" w:hint="eastAsia"/>
              </w:rPr>
              <w:t>公司名称</w:t>
            </w:r>
            <w:r>
              <w:rPr>
                <w:rFonts w:ascii="宋体" w:hAnsi="宋体" w:hint="eastAsia"/>
                <w:lang w:eastAsia="zh-Hans"/>
              </w:rPr>
              <w:t>(</w:t>
            </w:r>
            <w:r>
              <w:rPr>
                <w:rFonts w:ascii="宋体" w:hAnsi="宋体" w:hint="eastAsia"/>
              </w:rPr>
              <w:t>英文</w:t>
            </w:r>
            <w:r>
              <w:rPr>
                <w:rFonts w:ascii="宋体" w:hAnsi="宋体" w:hint="eastAsia"/>
                <w:lang w:eastAsia="zh-Hans"/>
              </w:rPr>
              <w:t xml:space="preserve">) </w:t>
            </w:r>
          </w:p>
        </w:tc>
        <w:tc>
          <w:tcPr>
            <w:tcW w:w="114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178C37" w14:textId="77777777" w:rsidR="00EB155E" w:rsidRDefault="00EB155E">
            <w:pPr>
              <w:jc w:val="center"/>
            </w:pPr>
            <w:r>
              <w:rPr>
                <w:rFonts w:ascii="宋体" w:hAnsi="宋体" w:hint="eastAsia"/>
              </w:rPr>
              <w:t>公司名称</w:t>
            </w:r>
            <w:r>
              <w:rPr>
                <w:rFonts w:ascii="宋体" w:hAnsi="宋体" w:hint="eastAsia"/>
                <w:lang w:eastAsia="zh-Hans"/>
              </w:rPr>
              <w:t>(</w:t>
            </w:r>
            <w:r>
              <w:rPr>
                <w:rFonts w:ascii="宋体" w:hAnsi="宋体" w:hint="eastAsia"/>
              </w:rPr>
              <w:t>中文</w:t>
            </w:r>
            <w:r>
              <w:rPr>
                <w:rFonts w:ascii="宋体" w:hAnsi="宋体" w:hint="eastAsia"/>
                <w:lang w:eastAsia="zh-Hans"/>
              </w:rPr>
              <w:t xml:space="preserve">) </w:t>
            </w:r>
          </w:p>
        </w:tc>
        <w:tc>
          <w:tcPr>
            <w:tcW w:w="81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F6AC07D" w14:textId="77777777" w:rsidR="00EB155E" w:rsidRDefault="00EB155E">
            <w:pPr>
              <w:jc w:val="center"/>
            </w:pPr>
            <w:r>
              <w:rPr>
                <w:rFonts w:ascii="宋体" w:hAnsi="宋体" w:hint="eastAsia"/>
              </w:rPr>
              <w:t>证券代码</w:t>
            </w:r>
            <w:r>
              <w:rPr>
                <w:rFonts w:ascii="宋体" w:hAnsi="宋体" w:hint="eastAsia"/>
                <w:lang w:eastAsia="zh-Hans"/>
              </w:rPr>
              <w:t xml:space="preserve"> </w:t>
            </w:r>
          </w:p>
        </w:tc>
        <w:tc>
          <w:tcPr>
            <w:tcW w:w="87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D67898D" w14:textId="77777777" w:rsidR="00EB155E" w:rsidRDefault="00EB155E">
            <w:pPr>
              <w:jc w:val="center"/>
            </w:pPr>
            <w:r>
              <w:rPr>
                <w:rFonts w:ascii="宋体" w:hAnsi="宋体" w:hint="eastAsia"/>
              </w:rPr>
              <w:t>所在证券市场</w:t>
            </w:r>
            <w:r>
              <w:rPr>
                <w:rFonts w:ascii="宋体" w:hAnsi="宋体" w:hint="eastAsia"/>
                <w:lang w:eastAsia="zh-Hans"/>
              </w:rPr>
              <w:t xml:space="preserve"> </w:t>
            </w:r>
          </w:p>
        </w:tc>
        <w:tc>
          <w:tcPr>
            <w:tcW w:w="79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814BB44" w14:textId="77777777" w:rsidR="00EB155E" w:rsidRDefault="00EB155E">
            <w:pPr>
              <w:jc w:val="center"/>
            </w:pPr>
            <w:r>
              <w:rPr>
                <w:rFonts w:ascii="宋体" w:hAnsi="宋体" w:hint="eastAsia"/>
              </w:rPr>
              <w:t>所属国家（地区）</w:t>
            </w:r>
            <w:r>
              <w:rPr>
                <w:rFonts w:ascii="宋体" w:hAnsi="宋体" w:hint="eastAsia"/>
                <w:lang w:eastAsia="zh-Hans"/>
              </w:rPr>
              <w:t xml:space="preserve"> </w:t>
            </w:r>
          </w:p>
        </w:tc>
        <w:tc>
          <w:tcPr>
            <w:tcW w:w="7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E60FFC2" w14:textId="77777777" w:rsidR="00EB155E" w:rsidRDefault="00EB155E">
            <w:pPr>
              <w:jc w:val="center"/>
            </w:pPr>
            <w:r>
              <w:rPr>
                <w:rFonts w:ascii="宋体" w:hAnsi="宋体" w:hint="eastAsia"/>
              </w:rPr>
              <w:t>数量</w:t>
            </w:r>
            <w:r>
              <w:rPr>
                <w:rFonts w:ascii="宋体" w:hAnsi="宋体" w:hint="eastAsia"/>
                <w:lang w:eastAsia="zh-Hans"/>
              </w:rPr>
              <w:t>(</w:t>
            </w:r>
            <w:r>
              <w:rPr>
                <w:rFonts w:ascii="宋体" w:hAnsi="宋体" w:hint="eastAsia"/>
              </w:rPr>
              <w:t>股</w:t>
            </w:r>
            <w:r>
              <w:rPr>
                <w:rFonts w:ascii="宋体" w:hAnsi="宋体" w:hint="eastAsia"/>
                <w:lang w:eastAsia="zh-Hans"/>
              </w:rPr>
              <w:t xml:space="preserve">) </w:t>
            </w:r>
          </w:p>
        </w:tc>
        <w:tc>
          <w:tcPr>
            <w:tcW w:w="142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A40B06F" w14:textId="77777777" w:rsidR="00EB155E" w:rsidRDefault="00EB155E">
            <w:pPr>
              <w:jc w:val="center"/>
            </w:pPr>
            <w:r>
              <w:rPr>
                <w:rFonts w:ascii="宋体" w:hAnsi="宋体" w:hint="eastAsia"/>
              </w:rPr>
              <w:t xml:space="preserve">公允价值（人民币元） </w:t>
            </w:r>
          </w:p>
        </w:tc>
        <w:tc>
          <w:tcPr>
            <w:tcW w:w="9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EBD6EF0" w14:textId="77777777" w:rsidR="00EB155E" w:rsidRDefault="00EB155E">
            <w:pPr>
              <w:jc w:val="center"/>
            </w:pPr>
            <w:r>
              <w:rPr>
                <w:rFonts w:ascii="宋体" w:hAnsi="宋体" w:hint="eastAsia"/>
              </w:rPr>
              <w:t>占基金资产净值比例</w:t>
            </w:r>
            <w:r>
              <w:rPr>
                <w:rFonts w:ascii="宋体" w:hAnsi="宋体" w:hint="eastAsia"/>
                <w:lang w:eastAsia="zh-Hans"/>
              </w:rPr>
              <w:t xml:space="preserve">(%) </w:t>
            </w:r>
          </w:p>
        </w:tc>
      </w:tr>
      <w:tr w:rsidR="007E39FA" w14:paraId="1EC03712" w14:textId="77777777">
        <w:trPr>
          <w:divId w:val="747924978"/>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56ECC9CE" w14:textId="77777777" w:rsidR="00EB155E" w:rsidRDefault="00EB155E">
            <w:pPr>
              <w:jc w:val="center"/>
            </w:pPr>
            <w:r>
              <w:rPr>
                <w:rFonts w:ascii="宋体" w:hAnsi="宋体" w:hint="eastAsia"/>
                <w:color w:val="000000"/>
                <w:lang w:eastAsia="zh-Hans"/>
              </w:rPr>
              <w:t>1</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5506BFEC" w14:textId="77777777" w:rsidR="00EB155E" w:rsidRDefault="00EB155E">
            <w:pPr>
              <w:jc w:val="center"/>
            </w:pPr>
            <w:r>
              <w:rPr>
                <w:rFonts w:ascii="宋体" w:hAnsi="宋体" w:hint="eastAsia"/>
                <w:color w:val="000000"/>
                <w:lang w:eastAsia="zh-Hans"/>
              </w:rPr>
              <w:t>NVIDIA CORP</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7EFDA3A3" w14:textId="77777777" w:rsidR="00EB155E" w:rsidRDefault="00EB155E">
            <w:pPr>
              <w:jc w:val="center"/>
            </w:pPr>
            <w:r>
              <w:rPr>
                <w:rFonts w:ascii="宋体" w:hAnsi="宋体" w:hint="eastAsia"/>
                <w:color w:val="000000"/>
                <w:lang w:eastAsia="zh-Hans"/>
              </w:rPr>
              <w:t>英伟达</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637B9B6D" w14:textId="77777777" w:rsidR="00EB155E" w:rsidRDefault="00EB155E">
            <w:pPr>
              <w:jc w:val="center"/>
            </w:pPr>
            <w:r>
              <w:rPr>
                <w:rFonts w:ascii="宋体" w:hAnsi="宋体" w:hint="eastAsia"/>
                <w:color w:val="000000"/>
                <w:lang w:eastAsia="zh-Hans"/>
              </w:rPr>
              <w:t>NVDA</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18067E24" w14:textId="77777777" w:rsidR="00EB155E" w:rsidRDefault="00EB155E">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4C21E0E0" w14:textId="77777777" w:rsidR="00EB155E" w:rsidRDefault="00EB155E">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4ABCDB40" w14:textId="77777777" w:rsidR="00EB155E" w:rsidRDefault="00EB155E">
            <w:pPr>
              <w:jc w:val="right"/>
            </w:pPr>
            <w:r>
              <w:rPr>
                <w:rFonts w:ascii="宋体" w:hAnsi="宋体" w:hint="eastAsia"/>
                <w:color w:val="000000"/>
                <w:lang w:eastAsia="zh-Hans"/>
              </w:rPr>
              <w:t>123,227</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4A33F2FA" w14:textId="77777777" w:rsidR="00EB155E" w:rsidRDefault="00EB155E">
            <w:pPr>
              <w:jc w:val="right"/>
            </w:pPr>
            <w:r>
              <w:rPr>
                <w:rFonts w:ascii="宋体" w:hAnsi="宋体" w:hint="eastAsia"/>
                <w:color w:val="000000"/>
                <w:lang w:eastAsia="zh-Hans"/>
              </w:rPr>
              <w:t>139,368,161.42</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45FD3AA9" w14:textId="77777777" w:rsidR="00EB155E" w:rsidRDefault="00EB155E">
            <w:pPr>
              <w:jc w:val="right"/>
            </w:pPr>
            <w:r>
              <w:rPr>
                <w:rFonts w:ascii="宋体" w:hAnsi="宋体" w:hint="eastAsia"/>
                <w:color w:val="000000"/>
                <w:lang w:eastAsia="zh-Hans"/>
              </w:rPr>
              <w:t>6.82</w:t>
            </w:r>
          </w:p>
        </w:tc>
      </w:tr>
      <w:tr w:rsidR="007E39FA" w14:paraId="344C0885" w14:textId="77777777">
        <w:trPr>
          <w:divId w:val="747924978"/>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4F0D6091" w14:textId="77777777" w:rsidR="00EB155E" w:rsidRDefault="00EB155E">
            <w:pPr>
              <w:jc w:val="center"/>
            </w:pPr>
            <w:r>
              <w:rPr>
                <w:rFonts w:ascii="宋体" w:hAnsi="宋体" w:hint="eastAsia"/>
                <w:color w:val="000000"/>
                <w:lang w:eastAsia="zh-Hans"/>
              </w:rPr>
              <w:t>2</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4F3E68E6" w14:textId="77777777" w:rsidR="00EB155E" w:rsidRDefault="00EB155E">
            <w:pPr>
              <w:jc w:val="center"/>
            </w:pPr>
            <w:r>
              <w:rPr>
                <w:rFonts w:ascii="宋体" w:hAnsi="宋体" w:hint="eastAsia"/>
                <w:color w:val="000000"/>
                <w:lang w:eastAsia="zh-Hans"/>
              </w:rPr>
              <w:t>MICROSOFT CORP</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284B31AC" w14:textId="77777777" w:rsidR="00EB155E" w:rsidRDefault="00EB155E">
            <w:pPr>
              <w:jc w:val="center"/>
            </w:pPr>
            <w:r>
              <w:rPr>
                <w:rFonts w:ascii="宋体" w:hAnsi="宋体" w:hint="eastAsia"/>
                <w:color w:val="000000"/>
                <w:lang w:eastAsia="zh-Hans"/>
              </w:rPr>
              <w:t>微软</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67BD5F76" w14:textId="77777777" w:rsidR="00EB155E" w:rsidRDefault="00EB155E">
            <w:pPr>
              <w:jc w:val="center"/>
            </w:pPr>
            <w:r>
              <w:rPr>
                <w:rFonts w:ascii="宋体" w:hAnsi="宋体" w:hint="eastAsia"/>
                <w:color w:val="000000"/>
                <w:lang w:eastAsia="zh-Hans"/>
              </w:rPr>
              <w:t>MSFT</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670412BF" w14:textId="77777777" w:rsidR="00EB155E" w:rsidRDefault="00EB155E">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22502445" w14:textId="77777777" w:rsidR="00EB155E" w:rsidRDefault="00EB155E">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778C40B5" w14:textId="77777777" w:rsidR="00EB155E" w:rsidRDefault="00EB155E">
            <w:pPr>
              <w:jc w:val="right"/>
            </w:pPr>
            <w:r>
              <w:rPr>
                <w:rFonts w:ascii="宋体" w:hAnsi="宋体" w:hint="eastAsia"/>
                <w:color w:val="000000"/>
                <w:lang w:eastAsia="zh-Hans"/>
              </w:rPr>
              <w:t>37,406</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5A9B5132" w14:textId="77777777" w:rsidR="00EB155E" w:rsidRDefault="00EB155E">
            <w:pPr>
              <w:jc w:val="right"/>
            </w:pPr>
            <w:r>
              <w:rPr>
                <w:rFonts w:ascii="宋体" w:hAnsi="宋体" w:hint="eastAsia"/>
                <w:color w:val="000000"/>
                <w:lang w:eastAsia="zh-Hans"/>
              </w:rPr>
              <w:t>133,193,759.61</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1386C54E" w14:textId="77777777" w:rsidR="00EB155E" w:rsidRDefault="00EB155E">
            <w:pPr>
              <w:jc w:val="right"/>
            </w:pPr>
            <w:r>
              <w:rPr>
                <w:rFonts w:ascii="宋体" w:hAnsi="宋体" w:hint="eastAsia"/>
                <w:color w:val="000000"/>
                <w:lang w:eastAsia="zh-Hans"/>
              </w:rPr>
              <w:t>6.52</w:t>
            </w:r>
          </w:p>
        </w:tc>
      </w:tr>
      <w:tr w:rsidR="007E39FA" w14:paraId="358434CA" w14:textId="77777777">
        <w:trPr>
          <w:divId w:val="747924978"/>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63EF9F38" w14:textId="77777777" w:rsidR="00EB155E" w:rsidRDefault="00EB155E">
            <w:pPr>
              <w:jc w:val="center"/>
            </w:pPr>
            <w:r>
              <w:rPr>
                <w:rFonts w:ascii="宋体" w:hAnsi="宋体" w:hint="eastAsia"/>
                <w:color w:val="000000"/>
                <w:lang w:eastAsia="zh-Hans"/>
              </w:rPr>
              <w:t>3</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7ABC1D6D" w14:textId="77777777" w:rsidR="00EB155E" w:rsidRDefault="00EB155E">
            <w:pPr>
              <w:jc w:val="center"/>
            </w:pPr>
            <w:r>
              <w:rPr>
                <w:rFonts w:ascii="宋体" w:hAnsi="宋体" w:hint="eastAsia"/>
                <w:color w:val="000000"/>
                <w:lang w:eastAsia="zh-Hans"/>
              </w:rPr>
              <w:t>APPLE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1DC1E8FE" w14:textId="77777777" w:rsidR="00EB155E" w:rsidRDefault="00EB155E">
            <w:pPr>
              <w:jc w:val="center"/>
            </w:pPr>
            <w:r>
              <w:rPr>
                <w:rFonts w:ascii="宋体" w:hAnsi="宋体" w:hint="eastAsia"/>
                <w:color w:val="000000"/>
                <w:lang w:eastAsia="zh-Hans"/>
              </w:rPr>
              <w:t>苹果公司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33141EA2" w14:textId="77777777" w:rsidR="00EB155E" w:rsidRDefault="00EB155E">
            <w:pPr>
              <w:jc w:val="center"/>
            </w:pPr>
            <w:r>
              <w:rPr>
                <w:rFonts w:ascii="宋体" w:hAnsi="宋体" w:hint="eastAsia"/>
                <w:color w:val="000000"/>
                <w:lang w:eastAsia="zh-Hans"/>
              </w:rPr>
              <w:t>AAPL</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25E7F5D5" w14:textId="77777777" w:rsidR="00EB155E" w:rsidRDefault="00EB155E">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4ECEC312" w14:textId="77777777" w:rsidR="00EB155E" w:rsidRDefault="00EB155E">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6D1E6972" w14:textId="77777777" w:rsidR="00EB155E" w:rsidRDefault="00EB155E">
            <w:pPr>
              <w:jc w:val="right"/>
            </w:pPr>
            <w:r>
              <w:rPr>
                <w:rFonts w:ascii="宋体" w:hAnsi="宋体" w:hint="eastAsia"/>
                <w:color w:val="000000"/>
                <w:lang w:eastAsia="zh-Hans"/>
              </w:rPr>
              <w:t>75,587</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42C0276F" w14:textId="77777777" w:rsidR="00EB155E" w:rsidRDefault="00EB155E">
            <w:pPr>
              <w:jc w:val="right"/>
            </w:pPr>
            <w:r>
              <w:rPr>
                <w:rFonts w:ascii="宋体" w:hAnsi="宋体" w:hint="eastAsia"/>
                <w:color w:val="000000"/>
                <w:lang w:eastAsia="zh-Hans"/>
              </w:rPr>
              <w:t>111,016,891.64</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60B5B240" w14:textId="77777777" w:rsidR="00EB155E" w:rsidRDefault="00EB155E">
            <w:pPr>
              <w:jc w:val="right"/>
            </w:pPr>
            <w:r>
              <w:rPr>
                <w:rFonts w:ascii="宋体" w:hAnsi="宋体" w:hint="eastAsia"/>
                <w:color w:val="000000"/>
                <w:lang w:eastAsia="zh-Hans"/>
              </w:rPr>
              <w:t>5.44</w:t>
            </w:r>
          </w:p>
        </w:tc>
      </w:tr>
      <w:tr w:rsidR="007E39FA" w14:paraId="489E54BF" w14:textId="77777777">
        <w:trPr>
          <w:divId w:val="747924978"/>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2BEA06AC" w14:textId="77777777" w:rsidR="00EB155E" w:rsidRDefault="00EB155E">
            <w:pPr>
              <w:jc w:val="center"/>
            </w:pPr>
            <w:r>
              <w:rPr>
                <w:rFonts w:ascii="宋体" w:hAnsi="宋体" w:hint="eastAsia"/>
                <w:color w:val="000000"/>
                <w:lang w:eastAsia="zh-Hans"/>
              </w:rPr>
              <w:lastRenderedPageBreak/>
              <w:t>4</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4C0EAD6E" w14:textId="77777777" w:rsidR="00EB155E" w:rsidRDefault="00EB155E">
            <w:pPr>
              <w:jc w:val="center"/>
            </w:pPr>
            <w:r>
              <w:rPr>
                <w:rFonts w:ascii="宋体" w:hAnsi="宋体" w:hint="eastAsia"/>
                <w:color w:val="000000"/>
                <w:lang w:eastAsia="zh-Hans"/>
              </w:rPr>
              <w:t>AMAZON.COM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6A203099" w14:textId="77777777" w:rsidR="00EB155E" w:rsidRDefault="00EB155E">
            <w:pPr>
              <w:jc w:val="center"/>
            </w:pPr>
            <w:r>
              <w:rPr>
                <w:rFonts w:ascii="宋体" w:hAnsi="宋体" w:hint="eastAsia"/>
                <w:color w:val="000000"/>
                <w:lang w:eastAsia="zh-Hans"/>
              </w:rPr>
              <w:t>亚马逊公司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6FF53D0A" w14:textId="77777777" w:rsidR="00EB155E" w:rsidRDefault="00EB155E">
            <w:pPr>
              <w:jc w:val="center"/>
            </w:pPr>
            <w:r>
              <w:rPr>
                <w:rFonts w:ascii="宋体" w:hAnsi="宋体" w:hint="eastAsia"/>
                <w:color w:val="000000"/>
                <w:lang w:eastAsia="zh-Hans"/>
              </w:rPr>
              <w:t>AMZN</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2E339235" w14:textId="77777777" w:rsidR="00EB155E" w:rsidRDefault="00EB155E">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0B7CD28D" w14:textId="77777777" w:rsidR="00EB155E" w:rsidRDefault="00EB155E">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4EA60FC9" w14:textId="77777777" w:rsidR="00EB155E" w:rsidRDefault="00EB155E">
            <w:pPr>
              <w:jc w:val="right"/>
            </w:pPr>
            <w:r>
              <w:rPr>
                <w:rFonts w:ascii="宋体" w:hAnsi="宋体" w:hint="eastAsia"/>
                <w:color w:val="000000"/>
                <w:lang w:eastAsia="zh-Hans"/>
              </w:rPr>
              <w:t>47,459</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53B8846F" w14:textId="77777777" w:rsidR="00EB155E" w:rsidRDefault="00EB155E">
            <w:pPr>
              <w:jc w:val="right"/>
            </w:pPr>
            <w:r>
              <w:rPr>
                <w:rFonts w:ascii="宋体" w:hAnsi="宋体" w:hint="eastAsia"/>
                <w:color w:val="000000"/>
                <w:lang w:eastAsia="zh-Hans"/>
              </w:rPr>
              <w:t>74,535,558.03</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68BD7E2C" w14:textId="77777777" w:rsidR="00EB155E" w:rsidRDefault="00EB155E">
            <w:pPr>
              <w:jc w:val="right"/>
            </w:pPr>
            <w:r>
              <w:rPr>
                <w:rFonts w:ascii="宋体" w:hAnsi="宋体" w:hint="eastAsia"/>
                <w:color w:val="000000"/>
                <w:lang w:eastAsia="zh-Hans"/>
              </w:rPr>
              <w:t>3.65</w:t>
            </w:r>
          </w:p>
        </w:tc>
      </w:tr>
      <w:tr w:rsidR="007E39FA" w14:paraId="35495AAD" w14:textId="77777777">
        <w:trPr>
          <w:divId w:val="747924978"/>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7D25F967" w14:textId="77777777" w:rsidR="00EB155E" w:rsidRDefault="00EB155E">
            <w:pPr>
              <w:jc w:val="center"/>
            </w:pPr>
            <w:r>
              <w:rPr>
                <w:rFonts w:ascii="宋体" w:hAnsi="宋体" w:hint="eastAsia"/>
                <w:color w:val="000000"/>
                <w:lang w:eastAsia="zh-Hans"/>
              </w:rPr>
              <w:t>5</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34DDD257" w14:textId="77777777" w:rsidR="00EB155E" w:rsidRDefault="00EB155E">
            <w:pPr>
              <w:jc w:val="center"/>
            </w:pPr>
            <w:r>
              <w:rPr>
                <w:rFonts w:ascii="宋体" w:hAnsi="宋体" w:hint="eastAsia"/>
                <w:color w:val="000000"/>
                <w:lang w:eastAsia="zh-Hans"/>
              </w:rPr>
              <w:t>META PLATFORMS INC-CLASS A</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3CDB1911" w14:textId="77777777" w:rsidR="00EB155E" w:rsidRDefault="00EB155E">
            <w:pPr>
              <w:jc w:val="center"/>
            </w:pPr>
            <w:r>
              <w:rPr>
                <w:rFonts w:ascii="宋体" w:hAnsi="宋体" w:hint="eastAsia"/>
                <w:color w:val="000000"/>
                <w:lang w:eastAsia="zh-Hans"/>
              </w:rPr>
              <w:t>Meta平台股份有限公司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3C5D6343" w14:textId="77777777" w:rsidR="00EB155E" w:rsidRDefault="00EB155E">
            <w:pPr>
              <w:jc w:val="center"/>
            </w:pPr>
            <w:r>
              <w:rPr>
                <w:rFonts w:ascii="宋体" w:hAnsi="宋体" w:hint="eastAsia"/>
                <w:color w:val="000000"/>
                <w:lang w:eastAsia="zh-Hans"/>
              </w:rPr>
              <w:t>META</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65B5E31F" w14:textId="77777777" w:rsidR="00EB155E" w:rsidRDefault="00EB155E">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0DD6F7AD" w14:textId="77777777" w:rsidR="00EB155E" w:rsidRDefault="00EB155E">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0AE87268" w14:textId="77777777" w:rsidR="00EB155E" w:rsidRDefault="00EB155E">
            <w:pPr>
              <w:jc w:val="right"/>
            </w:pPr>
            <w:r>
              <w:rPr>
                <w:rFonts w:ascii="宋体" w:hAnsi="宋体" w:hint="eastAsia"/>
                <w:color w:val="000000"/>
                <w:lang w:eastAsia="zh-Hans"/>
              </w:rPr>
              <w:t>11,019</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1279A8FF" w14:textId="77777777" w:rsidR="00EB155E" w:rsidRDefault="00EB155E">
            <w:pPr>
              <w:jc w:val="right"/>
            </w:pPr>
            <w:r>
              <w:rPr>
                <w:rFonts w:ascii="宋体" w:hAnsi="宋体" w:hint="eastAsia"/>
                <w:color w:val="000000"/>
                <w:lang w:eastAsia="zh-Hans"/>
              </w:rPr>
              <w:t>58,220,991.94</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6054EE5D" w14:textId="77777777" w:rsidR="00EB155E" w:rsidRDefault="00EB155E">
            <w:pPr>
              <w:jc w:val="right"/>
            </w:pPr>
            <w:r>
              <w:rPr>
                <w:rFonts w:ascii="宋体" w:hAnsi="宋体" w:hint="eastAsia"/>
                <w:color w:val="000000"/>
                <w:lang w:eastAsia="zh-Hans"/>
              </w:rPr>
              <w:t>2.85</w:t>
            </w:r>
          </w:p>
        </w:tc>
      </w:tr>
      <w:tr w:rsidR="007E39FA" w14:paraId="3786DF62" w14:textId="77777777">
        <w:trPr>
          <w:divId w:val="747924978"/>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5A28601C" w14:textId="77777777" w:rsidR="00EB155E" w:rsidRDefault="00EB155E">
            <w:pPr>
              <w:jc w:val="center"/>
            </w:pPr>
            <w:r>
              <w:rPr>
                <w:rFonts w:ascii="宋体" w:hAnsi="宋体" w:hint="eastAsia"/>
                <w:color w:val="000000"/>
                <w:lang w:eastAsia="zh-Hans"/>
              </w:rPr>
              <w:t>6</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59FBF407" w14:textId="77777777" w:rsidR="00EB155E" w:rsidRDefault="00EB155E">
            <w:pPr>
              <w:jc w:val="center"/>
            </w:pPr>
            <w:r>
              <w:rPr>
                <w:rFonts w:ascii="宋体" w:hAnsi="宋体" w:hint="eastAsia"/>
                <w:color w:val="000000"/>
                <w:lang w:eastAsia="zh-Hans"/>
              </w:rPr>
              <w:t>BROADCOM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31CD92ED" w14:textId="77777777" w:rsidR="00EB155E" w:rsidRDefault="00EB155E">
            <w:pPr>
              <w:jc w:val="center"/>
            </w:pPr>
            <w:r>
              <w:rPr>
                <w:rFonts w:ascii="宋体" w:hAnsi="宋体" w:hint="eastAsia"/>
                <w:color w:val="000000"/>
                <w:lang w:eastAsia="zh-Hans"/>
              </w:rPr>
              <w:t>博通股份有限公司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368A5488" w14:textId="77777777" w:rsidR="00EB155E" w:rsidRDefault="00EB155E">
            <w:pPr>
              <w:jc w:val="center"/>
            </w:pPr>
            <w:r>
              <w:rPr>
                <w:rFonts w:ascii="宋体" w:hAnsi="宋体" w:hint="eastAsia"/>
                <w:color w:val="000000"/>
                <w:lang w:eastAsia="zh-Hans"/>
              </w:rPr>
              <w:t>AVGO</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73D9B55A" w14:textId="77777777" w:rsidR="00EB155E" w:rsidRDefault="00EB155E">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020F36A2" w14:textId="77777777" w:rsidR="00EB155E" w:rsidRDefault="00EB155E">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1CAF9EEC" w14:textId="77777777" w:rsidR="00EB155E" w:rsidRDefault="00EB155E">
            <w:pPr>
              <w:jc w:val="right"/>
            </w:pPr>
            <w:r>
              <w:rPr>
                <w:rFonts w:ascii="宋体" w:hAnsi="宋体" w:hint="eastAsia"/>
                <w:color w:val="000000"/>
                <w:lang w:eastAsia="zh-Hans"/>
              </w:rPr>
              <w:t>23,586</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187094D0" w14:textId="77777777" w:rsidR="00EB155E" w:rsidRDefault="00EB155E">
            <w:pPr>
              <w:jc w:val="right"/>
            </w:pPr>
            <w:r>
              <w:rPr>
                <w:rFonts w:ascii="宋体" w:hAnsi="宋体" w:hint="eastAsia"/>
                <w:color w:val="000000"/>
                <w:lang w:eastAsia="zh-Hans"/>
              </w:rPr>
              <w:t>46,541,501.17</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3209A836" w14:textId="77777777" w:rsidR="00EB155E" w:rsidRDefault="00EB155E">
            <w:pPr>
              <w:jc w:val="right"/>
            </w:pPr>
            <w:r>
              <w:rPr>
                <w:rFonts w:ascii="宋体" w:hAnsi="宋体" w:hint="eastAsia"/>
                <w:color w:val="000000"/>
                <w:lang w:eastAsia="zh-Hans"/>
              </w:rPr>
              <w:t>2.28</w:t>
            </w:r>
          </w:p>
        </w:tc>
      </w:tr>
      <w:tr w:rsidR="007E39FA" w14:paraId="00DAEF99" w14:textId="77777777">
        <w:trPr>
          <w:divId w:val="747924978"/>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4C347C2E" w14:textId="77777777" w:rsidR="00EB155E" w:rsidRDefault="00EB155E">
            <w:pPr>
              <w:jc w:val="center"/>
            </w:pPr>
            <w:r>
              <w:rPr>
                <w:rFonts w:ascii="宋体" w:hAnsi="宋体" w:hint="eastAsia"/>
                <w:color w:val="000000"/>
                <w:lang w:eastAsia="zh-Hans"/>
              </w:rPr>
              <w:t>7</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148CD8CA" w14:textId="77777777" w:rsidR="00EB155E" w:rsidRDefault="00EB155E">
            <w:pPr>
              <w:jc w:val="center"/>
            </w:pPr>
            <w:r>
              <w:rPr>
                <w:rFonts w:ascii="宋体" w:hAnsi="宋体" w:hint="eastAsia"/>
                <w:color w:val="000000"/>
                <w:lang w:eastAsia="zh-Hans"/>
              </w:rPr>
              <w:t>ALPHABET INC-CL A</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7A657C52" w14:textId="77777777" w:rsidR="00EB155E" w:rsidRDefault="00EB155E">
            <w:pPr>
              <w:jc w:val="center"/>
            </w:pPr>
            <w:r>
              <w:rPr>
                <w:rFonts w:ascii="宋体" w:hAnsi="宋体" w:hint="eastAsia"/>
                <w:color w:val="000000"/>
                <w:lang w:eastAsia="zh-Hans"/>
              </w:rPr>
              <w:t>ALPHABET公司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225F45CF" w14:textId="77777777" w:rsidR="00EB155E" w:rsidRDefault="00EB155E">
            <w:pPr>
              <w:jc w:val="center"/>
            </w:pPr>
            <w:r>
              <w:rPr>
                <w:rFonts w:ascii="宋体" w:hAnsi="宋体" w:hint="eastAsia"/>
                <w:color w:val="000000"/>
                <w:lang w:eastAsia="zh-Hans"/>
              </w:rPr>
              <w:t>GOOGL</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3C05DEF5" w14:textId="77777777" w:rsidR="00EB155E" w:rsidRDefault="00EB155E">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48471ECA" w14:textId="77777777" w:rsidR="00EB155E" w:rsidRDefault="00EB155E">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6B7517A7" w14:textId="77777777" w:rsidR="00EB155E" w:rsidRDefault="00EB155E">
            <w:pPr>
              <w:jc w:val="right"/>
            </w:pPr>
            <w:r>
              <w:rPr>
                <w:rFonts w:ascii="宋体" w:hAnsi="宋体" w:hint="eastAsia"/>
                <w:color w:val="000000"/>
                <w:lang w:eastAsia="zh-Hans"/>
              </w:rPr>
              <w:t>29,350</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06194D92" w14:textId="77777777" w:rsidR="00EB155E" w:rsidRDefault="00EB155E">
            <w:pPr>
              <w:jc w:val="right"/>
            </w:pPr>
            <w:r>
              <w:rPr>
                <w:rFonts w:ascii="宋体" w:hAnsi="宋体" w:hint="eastAsia"/>
                <w:color w:val="000000"/>
                <w:lang w:eastAsia="zh-Hans"/>
              </w:rPr>
              <w:t>37,026,788.29</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13C17CBC" w14:textId="77777777" w:rsidR="00EB155E" w:rsidRDefault="00EB155E">
            <w:pPr>
              <w:jc w:val="right"/>
            </w:pPr>
            <w:r>
              <w:rPr>
                <w:rFonts w:ascii="宋体" w:hAnsi="宋体" w:hint="eastAsia"/>
                <w:color w:val="000000"/>
                <w:lang w:eastAsia="zh-Hans"/>
              </w:rPr>
              <w:t>1.81</w:t>
            </w:r>
          </w:p>
        </w:tc>
      </w:tr>
      <w:tr w:rsidR="007E39FA" w14:paraId="3766E578" w14:textId="77777777">
        <w:trPr>
          <w:divId w:val="747924978"/>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6A267601" w14:textId="77777777" w:rsidR="00EB155E" w:rsidRDefault="00EB155E">
            <w:pPr>
              <w:jc w:val="center"/>
            </w:pPr>
            <w:r>
              <w:rPr>
                <w:rFonts w:ascii="宋体" w:hAnsi="宋体" w:hint="eastAsia"/>
                <w:color w:val="000000"/>
                <w:lang w:eastAsia="zh-Hans"/>
              </w:rPr>
              <w:t>8</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6089F1C2" w14:textId="77777777" w:rsidR="00EB155E" w:rsidRDefault="00EB155E">
            <w:pPr>
              <w:jc w:val="center"/>
            </w:pPr>
            <w:r>
              <w:rPr>
                <w:rFonts w:ascii="宋体" w:hAnsi="宋体" w:hint="eastAsia"/>
                <w:color w:val="000000"/>
                <w:lang w:eastAsia="zh-Hans"/>
              </w:rPr>
              <w:t>BERKSHIRE HATHAWAY INC-CL B</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270C8C46" w14:textId="77777777" w:rsidR="00EB155E" w:rsidRDefault="00EB155E">
            <w:pPr>
              <w:jc w:val="center"/>
            </w:pPr>
            <w:r>
              <w:rPr>
                <w:rFonts w:ascii="宋体" w:hAnsi="宋体" w:hint="eastAsia"/>
                <w:color w:val="000000"/>
                <w:lang w:eastAsia="zh-Hans"/>
              </w:rPr>
              <w:t>伯克希尔哈撒韦公司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276E2961" w14:textId="77777777" w:rsidR="00EB155E" w:rsidRDefault="00EB155E">
            <w:pPr>
              <w:jc w:val="center"/>
            </w:pPr>
            <w:r>
              <w:rPr>
                <w:rFonts w:ascii="宋体" w:hAnsi="宋体" w:hint="eastAsia"/>
                <w:color w:val="000000"/>
                <w:lang w:eastAsia="zh-Hans"/>
              </w:rPr>
              <w:t>BRK/B</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483640CF" w14:textId="77777777" w:rsidR="00EB155E" w:rsidRDefault="00EB155E">
            <w:r>
              <w:rPr>
                <w:rFonts w:ascii="宋体" w:hAnsi="宋体" w:hint="eastAsia"/>
                <w:color w:val="000000"/>
                <w:lang w:eastAsia="zh-Hans"/>
              </w:rPr>
              <w:t>纽约证券交易所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6461257B" w14:textId="77777777" w:rsidR="00EB155E" w:rsidRDefault="00EB155E">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7DE7C92E" w14:textId="77777777" w:rsidR="00EB155E" w:rsidRDefault="00EB155E">
            <w:pPr>
              <w:jc w:val="right"/>
            </w:pPr>
            <w:r>
              <w:rPr>
                <w:rFonts w:ascii="宋体" w:hAnsi="宋体" w:hint="eastAsia"/>
                <w:color w:val="000000"/>
                <w:lang w:eastAsia="zh-Hans"/>
              </w:rPr>
              <w:t>9,223</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401DE053" w14:textId="77777777" w:rsidR="00EB155E" w:rsidRDefault="00EB155E">
            <w:pPr>
              <w:jc w:val="right"/>
            </w:pPr>
            <w:r>
              <w:rPr>
                <w:rFonts w:ascii="宋体" w:hAnsi="宋体" w:hint="eastAsia"/>
                <w:color w:val="000000"/>
                <w:lang w:eastAsia="zh-Hans"/>
              </w:rPr>
              <w:t>32,072,365.68</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5533984F" w14:textId="77777777" w:rsidR="00EB155E" w:rsidRDefault="00EB155E">
            <w:pPr>
              <w:jc w:val="right"/>
            </w:pPr>
            <w:r>
              <w:rPr>
                <w:rFonts w:ascii="宋体" w:hAnsi="宋体" w:hint="eastAsia"/>
                <w:color w:val="000000"/>
                <w:lang w:eastAsia="zh-Hans"/>
              </w:rPr>
              <w:t>1.57</w:t>
            </w:r>
          </w:p>
        </w:tc>
      </w:tr>
      <w:tr w:rsidR="007E39FA" w14:paraId="13B85A19" w14:textId="77777777">
        <w:trPr>
          <w:divId w:val="747924978"/>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017DED1C" w14:textId="77777777" w:rsidR="00EB155E" w:rsidRDefault="00EB155E">
            <w:pPr>
              <w:jc w:val="center"/>
            </w:pPr>
            <w:r>
              <w:rPr>
                <w:rFonts w:ascii="宋体" w:hAnsi="宋体" w:hint="eastAsia"/>
                <w:color w:val="000000"/>
                <w:lang w:eastAsia="zh-Hans"/>
              </w:rPr>
              <w:t>9</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56FE0DB5" w14:textId="77777777" w:rsidR="00EB155E" w:rsidRDefault="00EB155E">
            <w:pPr>
              <w:jc w:val="center"/>
            </w:pPr>
            <w:r>
              <w:rPr>
                <w:rFonts w:ascii="宋体" w:hAnsi="宋体" w:hint="eastAsia"/>
                <w:color w:val="000000"/>
                <w:lang w:eastAsia="zh-Hans"/>
              </w:rPr>
              <w:t>TESLA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6B60BDFB" w14:textId="77777777" w:rsidR="00EB155E" w:rsidRDefault="00EB155E">
            <w:pPr>
              <w:jc w:val="center"/>
            </w:pPr>
            <w:r>
              <w:rPr>
                <w:rFonts w:ascii="宋体" w:hAnsi="宋体" w:hint="eastAsia"/>
                <w:color w:val="000000"/>
                <w:lang w:eastAsia="zh-Hans"/>
              </w:rPr>
              <w:t>特斯拉公司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79653AB2" w14:textId="77777777" w:rsidR="00EB155E" w:rsidRDefault="00EB155E">
            <w:pPr>
              <w:jc w:val="center"/>
            </w:pPr>
            <w:r>
              <w:rPr>
                <w:rFonts w:ascii="宋体" w:hAnsi="宋体" w:hint="eastAsia"/>
                <w:color w:val="000000"/>
                <w:lang w:eastAsia="zh-Hans"/>
              </w:rPr>
              <w:t>TSLA</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3B89A9E3" w14:textId="77777777" w:rsidR="00EB155E" w:rsidRDefault="00EB155E">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2B47409C" w14:textId="77777777" w:rsidR="00EB155E" w:rsidRDefault="00EB155E">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67865DA9" w14:textId="77777777" w:rsidR="00EB155E" w:rsidRDefault="00EB155E">
            <w:pPr>
              <w:jc w:val="right"/>
            </w:pPr>
            <w:r>
              <w:rPr>
                <w:rFonts w:ascii="宋体" w:hAnsi="宋体" w:hint="eastAsia"/>
                <w:color w:val="000000"/>
                <w:lang w:eastAsia="zh-Hans"/>
              </w:rPr>
              <w:t>14,081</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28C4170E" w14:textId="77777777" w:rsidR="00EB155E" w:rsidRDefault="00EB155E">
            <w:pPr>
              <w:jc w:val="right"/>
            </w:pPr>
            <w:r>
              <w:rPr>
                <w:rFonts w:ascii="宋体" w:hAnsi="宋体" w:hint="eastAsia"/>
                <w:color w:val="000000"/>
                <w:lang w:eastAsia="zh-Hans"/>
              </w:rPr>
              <w:t>32,020,206.33</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05B534D4" w14:textId="77777777" w:rsidR="00EB155E" w:rsidRDefault="00EB155E">
            <w:pPr>
              <w:jc w:val="right"/>
            </w:pPr>
            <w:r>
              <w:rPr>
                <w:rFonts w:ascii="宋体" w:hAnsi="宋体" w:hint="eastAsia"/>
                <w:color w:val="000000"/>
                <w:lang w:eastAsia="zh-Hans"/>
              </w:rPr>
              <w:t>1.57</w:t>
            </w:r>
          </w:p>
        </w:tc>
      </w:tr>
      <w:tr w:rsidR="007E39FA" w14:paraId="401E611E" w14:textId="77777777">
        <w:trPr>
          <w:divId w:val="747924978"/>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22652396" w14:textId="77777777" w:rsidR="00EB155E" w:rsidRDefault="00EB155E">
            <w:pPr>
              <w:jc w:val="center"/>
            </w:pPr>
            <w:r>
              <w:rPr>
                <w:rFonts w:ascii="宋体" w:hAnsi="宋体" w:hint="eastAsia"/>
                <w:color w:val="000000"/>
                <w:lang w:eastAsia="zh-Hans"/>
              </w:rPr>
              <w:t>10</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1D12F54E" w14:textId="77777777" w:rsidR="00EB155E" w:rsidRDefault="00EB155E">
            <w:pPr>
              <w:jc w:val="center"/>
            </w:pPr>
            <w:r>
              <w:rPr>
                <w:rFonts w:ascii="宋体" w:hAnsi="宋体" w:hint="eastAsia"/>
                <w:color w:val="000000"/>
                <w:lang w:eastAsia="zh-Hans"/>
              </w:rPr>
              <w:t>ALPHABET INC-CL 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7B597392" w14:textId="77777777" w:rsidR="00EB155E" w:rsidRDefault="00EB155E">
            <w:pPr>
              <w:jc w:val="center"/>
            </w:pPr>
            <w:r>
              <w:rPr>
                <w:rFonts w:ascii="宋体" w:hAnsi="宋体" w:hint="eastAsia"/>
                <w:color w:val="000000"/>
                <w:lang w:eastAsia="zh-Hans"/>
              </w:rPr>
              <w:t>ALPHABET公司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31B397C2" w14:textId="77777777" w:rsidR="00EB155E" w:rsidRDefault="00EB155E">
            <w:pPr>
              <w:jc w:val="center"/>
            </w:pPr>
            <w:r>
              <w:rPr>
                <w:rFonts w:ascii="宋体" w:hAnsi="宋体" w:hint="eastAsia"/>
                <w:color w:val="000000"/>
                <w:lang w:eastAsia="zh-Hans"/>
              </w:rPr>
              <w:t>GOOG</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51D1C0B9" w14:textId="77777777" w:rsidR="00EB155E" w:rsidRDefault="00EB155E">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76DB4B7A" w14:textId="77777777" w:rsidR="00EB155E" w:rsidRDefault="00EB155E">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55EB7218" w14:textId="77777777" w:rsidR="00EB155E" w:rsidRDefault="00EB155E">
            <w:pPr>
              <w:jc w:val="right"/>
            </w:pPr>
            <w:r>
              <w:rPr>
                <w:rFonts w:ascii="宋体" w:hAnsi="宋体" w:hint="eastAsia"/>
                <w:color w:val="000000"/>
                <w:lang w:eastAsia="zh-Hans"/>
              </w:rPr>
              <w:t>23,787</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4484D66A" w14:textId="77777777" w:rsidR="00EB155E" w:rsidRDefault="00EB155E">
            <w:pPr>
              <w:jc w:val="right"/>
            </w:pPr>
            <w:r>
              <w:rPr>
                <w:rFonts w:ascii="宋体" w:hAnsi="宋体" w:hint="eastAsia"/>
                <w:color w:val="000000"/>
                <w:lang w:eastAsia="zh-Hans"/>
              </w:rPr>
              <w:t>30,206,256.25</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3722763A" w14:textId="77777777" w:rsidR="00EB155E" w:rsidRDefault="00EB155E">
            <w:pPr>
              <w:jc w:val="right"/>
            </w:pPr>
            <w:r>
              <w:rPr>
                <w:rFonts w:ascii="宋体" w:hAnsi="宋体" w:hint="eastAsia"/>
                <w:color w:val="000000"/>
                <w:lang w:eastAsia="zh-Hans"/>
              </w:rPr>
              <w:t>1.48</w:t>
            </w:r>
          </w:p>
        </w:tc>
      </w:tr>
    </w:tbl>
    <w:p w14:paraId="688091C4" w14:textId="77777777" w:rsidR="00EB155E" w:rsidRDefault="00EB155E">
      <w:pPr>
        <w:spacing w:line="360" w:lineRule="auto"/>
        <w:divId w:val="89981543"/>
      </w:pPr>
      <w:bookmarkStart w:id="211" w:name="m07_04_07_02"/>
      <w:bookmarkEnd w:id="206"/>
      <w:r>
        <w:rPr>
          <w:rFonts w:ascii="宋体" w:hAnsi="宋体" w:hint="eastAsia"/>
          <w:kern w:val="0"/>
          <w:szCs w:val="21"/>
        </w:rPr>
        <w:t>注：</w:t>
      </w:r>
      <w:r>
        <w:rPr>
          <w:rFonts w:ascii="宋体" w:hAnsi="宋体" w:hint="eastAsia"/>
          <w:lang w:eastAsia="zh-Hans"/>
        </w:rPr>
        <w:t>此处所用证券代码的类别是当地市场代码。</w:t>
      </w:r>
      <w:bookmarkEnd w:id="190"/>
      <w:bookmarkEnd w:id="207"/>
      <w:bookmarkEnd w:id="208"/>
      <w:bookmarkEnd w:id="209"/>
      <w:bookmarkEnd w:id="210"/>
    </w:p>
    <w:p w14:paraId="2764EC30" w14:textId="77777777" w:rsidR="00EB155E" w:rsidRDefault="00EB155E">
      <w:pPr>
        <w:pStyle w:val="XBRLTitle3"/>
        <w:spacing w:before="156"/>
        <w:ind w:left="0"/>
        <w:rPr>
          <w:rFonts w:hint="eastAsia"/>
        </w:rPr>
      </w:pPr>
      <w:bookmarkStart w:id="212" w:name="_Toc513658029"/>
      <w:bookmarkStart w:id="213" w:name="_Toc514178691"/>
      <w:r>
        <w:rPr>
          <w:rFonts w:hint="eastAsia"/>
        </w:rPr>
        <w:t>报告期末积极投资按公允价值占基金资产净值比例大小排序的前五名股票及存托凭证投资明细</w:t>
      </w:r>
      <w:bookmarkEnd w:id="212"/>
      <w:bookmarkEnd w:id="213"/>
      <w:r>
        <w:rPr>
          <w:rFonts w:hint="eastAsia"/>
        </w:rPr>
        <w:t xml:space="preserve"> </w:t>
      </w:r>
    </w:p>
    <w:p w14:paraId="65C5BB10" w14:textId="77777777" w:rsidR="00EB155E" w:rsidRDefault="00EB155E">
      <w:pPr>
        <w:spacing w:line="360" w:lineRule="auto"/>
        <w:ind w:firstLineChars="200" w:firstLine="420"/>
        <w:jc w:val="left"/>
      </w:pPr>
      <w:r>
        <w:rPr>
          <w:rFonts w:ascii="宋体" w:hAnsi="宋体" w:hint="eastAsia"/>
        </w:rPr>
        <w:t>本基金本报告期末未持有积极投资股票。</w:t>
      </w:r>
    </w:p>
    <w:p w14:paraId="6DA6358B" w14:textId="77777777" w:rsidR="00EB155E" w:rsidRDefault="00EB155E">
      <w:pPr>
        <w:pStyle w:val="XBRLTitle2"/>
        <w:spacing w:before="156" w:line="360" w:lineRule="auto"/>
        <w:ind w:left="454"/>
        <w:rPr>
          <w:rFonts w:hint="eastAsia"/>
        </w:rPr>
      </w:pPr>
      <w:bookmarkStart w:id="214" w:name="_Toc459213781"/>
      <w:bookmarkStart w:id="215" w:name="_Toc456107135"/>
      <w:bookmarkStart w:id="216" w:name="_Toc438654090"/>
      <w:bookmarkStart w:id="217" w:name="_Toc448480302"/>
      <w:bookmarkStart w:id="218" w:name="_Toc480465436"/>
      <w:bookmarkStart w:id="219" w:name="_Toc512611298"/>
      <w:bookmarkStart w:id="220" w:name="_Toc512612094"/>
      <w:bookmarkStart w:id="221" w:name="_Toc512612270"/>
      <w:bookmarkStart w:id="222" w:name="_Toc513658030"/>
      <w:bookmarkStart w:id="223" w:name="_Toc514178692"/>
      <w:bookmarkStart w:id="224" w:name="m505"/>
      <w:r>
        <w:rPr>
          <w:rFonts w:hint="eastAsia"/>
        </w:rPr>
        <w:t>报告期末按债券信用等级分类的债券投资组合</w:t>
      </w:r>
      <w:bookmarkEnd w:id="214"/>
      <w:bookmarkEnd w:id="215"/>
      <w:bookmarkEnd w:id="216"/>
      <w:bookmarkEnd w:id="217"/>
      <w:bookmarkEnd w:id="218"/>
      <w:bookmarkEnd w:id="219"/>
      <w:bookmarkEnd w:id="220"/>
      <w:bookmarkEnd w:id="221"/>
      <w:bookmarkEnd w:id="222"/>
      <w:bookmarkEnd w:id="223"/>
      <w:r>
        <w:rPr>
          <w:rFonts w:hint="eastAsia"/>
        </w:rPr>
        <w:t xml:space="preserve"> </w:t>
      </w:r>
    </w:p>
    <w:p w14:paraId="1C610272" w14:textId="77777777" w:rsidR="00EB155E" w:rsidRDefault="00EB155E">
      <w:pPr>
        <w:spacing w:line="360" w:lineRule="auto"/>
        <w:ind w:firstLineChars="200" w:firstLine="420"/>
        <w:jc w:val="left"/>
      </w:pPr>
      <w:r>
        <w:rPr>
          <w:rFonts w:ascii="宋体" w:hAnsi="宋体" w:hint="eastAsia"/>
        </w:rPr>
        <w:t>本基金本报告期末未持有债券。</w:t>
      </w:r>
    </w:p>
    <w:p w14:paraId="50A78716" w14:textId="77777777" w:rsidR="00EB155E" w:rsidRDefault="00EB155E">
      <w:pPr>
        <w:pStyle w:val="XBRLTitle2"/>
        <w:spacing w:before="156" w:line="360" w:lineRule="auto"/>
        <w:ind w:left="454"/>
        <w:rPr>
          <w:rFonts w:hint="eastAsia"/>
        </w:rPr>
      </w:pPr>
      <w:bookmarkStart w:id="225" w:name="_Toc459213782"/>
      <w:bookmarkStart w:id="226" w:name="_Toc456107136"/>
      <w:bookmarkStart w:id="227" w:name="_Toc438654091"/>
      <w:bookmarkStart w:id="228" w:name="_Toc448480303"/>
      <w:bookmarkStart w:id="229" w:name="_Toc480465437"/>
      <w:bookmarkStart w:id="230" w:name="_Toc514178693"/>
      <w:bookmarkStart w:id="231" w:name="_Toc512611299"/>
      <w:bookmarkStart w:id="232" w:name="_Toc512612095"/>
      <w:bookmarkStart w:id="233" w:name="_Toc512612271"/>
      <w:bookmarkStart w:id="234" w:name="_Toc513658031"/>
      <w:bookmarkStart w:id="235" w:name="m506"/>
      <w:bookmarkEnd w:id="224"/>
      <w:r>
        <w:rPr>
          <w:rFonts w:hint="eastAsia"/>
        </w:rPr>
        <w:t>报告期末按公允价值占基金资产净值比例大小排名的前五名债券投资明细</w:t>
      </w:r>
      <w:bookmarkEnd w:id="225"/>
      <w:bookmarkEnd w:id="226"/>
      <w:bookmarkEnd w:id="227"/>
      <w:bookmarkEnd w:id="228"/>
      <w:bookmarkEnd w:id="229"/>
      <w:bookmarkEnd w:id="230"/>
      <w:r>
        <w:rPr>
          <w:rFonts w:hint="eastAsia"/>
        </w:rPr>
        <w:t xml:space="preserve"> </w:t>
      </w:r>
      <w:bookmarkEnd w:id="231"/>
      <w:bookmarkEnd w:id="232"/>
      <w:bookmarkEnd w:id="233"/>
      <w:bookmarkEnd w:id="234"/>
    </w:p>
    <w:p w14:paraId="45F62F42" w14:textId="77777777" w:rsidR="00EB155E" w:rsidRDefault="00EB155E">
      <w:pPr>
        <w:spacing w:line="360" w:lineRule="auto"/>
        <w:ind w:firstLineChars="200" w:firstLine="420"/>
        <w:jc w:val="left"/>
        <w:divId w:val="723599171"/>
      </w:pPr>
      <w:r>
        <w:rPr>
          <w:rFonts w:ascii="宋体" w:hAnsi="宋体" w:hint="eastAsia"/>
          <w:color w:val="000000"/>
          <w:szCs w:val="21"/>
          <w:lang w:eastAsia="zh-Hans"/>
        </w:rPr>
        <w:t>本基金本报告期末未持有债券。</w:t>
      </w:r>
    </w:p>
    <w:p w14:paraId="107FCFC5" w14:textId="77777777" w:rsidR="00EB155E" w:rsidRDefault="00EB155E">
      <w:pPr>
        <w:pStyle w:val="XBRLTitle2"/>
        <w:spacing w:before="156" w:line="360" w:lineRule="auto"/>
        <w:ind w:left="454"/>
        <w:rPr>
          <w:rFonts w:hint="eastAsia"/>
        </w:rPr>
      </w:pPr>
      <w:bookmarkStart w:id="236" w:name="_Toc459213783"/>
      <w:bookmarkStart w:id="237" w:name="_Toc456107137"/>
      <w:bookmarkStart w:id="238" w:name="_Toc438654092"/>
      <w:bookmarkStart w:id="239" w:name="_Toc448480304"/>
      <w:bookmarkStart w:id="240" w:name="_Toc480465438"/>
      <w:bookmarkStart w:id="241" w:name="_Toc514178694"/>
      <w:bookmarkStart w:id="242" w:name="_Toc512611300"/>
      <w:bookmarkStart w:id="243" w:name="_Toc512612096"/>
      <w:bookmarkStart w:id="244" w:name="_Toc512612272"/>
      <w:bookmarkStart w:id="245" w:name="_Toc513658032"/>
      <w:bookmarkStart w:id="246" w:name="m507"/>
      <w:bookmarkEnd w:id="235"/>
      <w:r>
        <w:rPr>
          <w:rFonts w:hint="eastAsia"/>
        </w:rPr>
        <w:t>报告期末按公允价值占基金资产净值比例大小排名的前十名资产支持证券投资明细</w:t>
      </w:r>
      <w:bookmarkEnd w:id="236"/>
      <w:bookmarkEnd w:id="237"/>
      <w:bookmarkEnd w:id="238"/>
      <w:bookmarkEnd w:id="239"/>
      <w:bookmarkEnd w:id="240"/>
      <w:bookmarkEnd w:id="241"/>
      <w:r>
        <w:rPr>
          <w:rFonts w:hint="eastAsia"/>
        </w:rPr>
        <w:t xml:space="preserve"> </w:t>
      </w:r>
      <w:bookmarkEnd w:id="242"/>
      <w:bookmarkEnd w:id="243"/>
      <w:bookmarkEnd w:id="244"/>
      <w:bookmarkEnd w:id="245"/>
    </w:p>
    <w:p w14:paraId="12527569" w14:textId="77777777" w:rsidR="00EB155E" w:rsidRDefault="00EB155E">
      <w:pPr>
        <w:spacing w:line="360" w:lineRule="auto"/>
        <w:ind w:firstLineChars="200" w:firstLine="420"/>
        <w:jc w:val="left"/>
        <w:divId w:val="401176811"/>
      </w:pPr>
      <w:r>
        <w:rPr>
          <w:rFonts w:ascii="宋体" w:hAnsi="宋体" w:hint="eastAsia"/>
          <w:color w:val="000000"/>
          <w:szCs w:val="21"/>
          <w:lang w:eastAsia="zh-Hans"/>
        </w:rPr>
        <w:t>本基金本报告期末未持有资产支持证券。</w:t>
      </w:r>
    </w:p>
    <w:p w14:paraId="006F0382" w14:textId="77777777" w:rsidR="00EB155E" w:rsidRDefault="00EB155E">
      <w:pPr>
        <w:pStyle w:val="XBRLTitle2"/>
        <w:spacing w:before="156" w:line="360" w:lineRule="auto"/>
        <w:ind w:left="454"/>
        <w:rPr>
          <w:rFonts w:hint="eastAsia"/>
        </w:rPr>
      </w:pPr>
      <w:bookmarkStart w:id="247" w:name="_Toc448480305"/>
      <w:bookmarkStart w:id="248" w:name="_Toc438654093"/>
      <w:bookmarkStart w:id="249" w:name="_Toc456107138"/>
      <w:bookmarkStart w:id="250" w:name="_Toc459213784"/>
      <w:bookmarkStart w:id="251" w:name="_Toc480465439"/>
      <w:bookmarkStart w:id="252" w:name="_Toc514178695"/>
      <w:bookmarkStart w:id="253" w:name="_Toc512611301"/>
      <w:bookmarkStart w:id="254" w:name="_Toc512612097"/>
      <w:bookmarkStart w:id="255" w:name="_Toc512612273"/>
      <w:bookmarkStart w:id="256" w:name="_Toc513658033"/>
      <w:bookmarkStart w:id="257" w:name="m508"/>
      <w:bookmarkEnd w:id="246"/>
      <w:r>
        <w:rPr>
          <w:rFonts w:hint="eastAsia"/>
        </w:rPr>
        <w:t>报告期末按公允价值占基金资产净值比例大小排名的前五名金融衍生品投资明细</w:t>
      </w:r>
      <w:bookmarkEnd w:id="247"/>
      <w:bookmarkEnd w:id="248"/>
      <w:bookmarkEnd w:id="249"/>
      <w:bookmarkEnd w:id="250"/>
      <w:bookmarkEnd w:id="251"/>
      <w:bookmarkEnd w:id="252"/>
      <w:r>
        <w:rPr>
          <w:rFonts w:hint="eastAsia"/>
        </w:rPr>
        <w:t xml:space="preserve"> </w:t>
      </w:r>
      <w:bookmarkEnd w:id="253"/>
      <w:bookmarkEnd w:id="254"/>
      <w:bookmarkEnd w:id="255"/>
      <w:bookmarkEnd w:id="256"/>
    </w:p>
    <w:p w14:paraId="3DE634D8" w14:textId="77777777" w:rsidR="00EB155E" w:rsidRDefault="00EB155E">
      <w:pPr>
        <w:spacing w:line="360" w:lineRule="auto"/>
        <w:ind w:firstLineChars="200" w:firstLine="420"/>
        <w:divId w:val="52166716"/>
      </w:pPr>
      <w:bookmarkStart w:id="258" w:name="m08QD_09"/>
      <w:r>
        <w:rPr>
          <w:rFonts w:ascii="宋体" w:hAnsi="宋体" w:hint="eastAsia"/>
          <w:szCs w:val="24"/>
          <w:lang w:eastAsia="zh-Hans"/>
        </w:rPr>
        <w:lastRenderedPageBreak/>
        <w:t>本基金本报告期末未持有金融衍生品。</w:t>
      </w:r>
      <w:r>
        <w:rPr>
          <w:rFonts w:ascii="宋体" w:hAnsi="宋体" w:hint="eastAsia"/>
          <w:lang w:eastAsia="zh-Hans"/>
        </w:rPr>
        <w:t xml:space="preserve"> </w:t>
      </w:r>
      <w:r>
        <w:rPr>
          <w:rFonts w:ascii="宋体" w:hAnsi="宋体" w:hint="eastAsia"/>
          <w:szCs w:val="24"/>
          <w:lang w:eastAsia="zh-Hans"/>
        </w:rPr>
        <w:t xml:space="preserve"> </w:t>
      </w:r>
      <w:bookmarkEnd w:id="258"/>
      <w:r>
        <w:rPr>
          <w:rFonts w:ascii="宋体" w:hAnsi="宋体" w:hint="eastAsia"/>
          <w:szCs w:val="24"/>
          <w:lang w:eastAsia="zh-Hans"/>
        </w:rPr>
        <w:t xml:space="preserve"> </w:t>
      </w:r>
    </w:p>
    <w:p w14:paraId="43861929" w14:textId="77777777" w:rsidR="00EB155E" w:rsidRDefault="00EB155E">
      <w:pPr>
        <w:pStyle w:val="XBRLTitle2"/>
        <w:spacing w:before="156" w:line="360" w:lineRule="auto"/>
        <w:ind w:left="454"/>
        <w:rPr>
          <w:rFonts w:hint="eastAsia"/>
        </w:rPr>
      </w:pPr>
      <w:bookmarkStart w:id="259" w:name="_Toc448480306"/>
      <w:bookmarkStart w:id="260" w:name="_Toc438654094"/>
      <w:bookmarkStart w:id="261" w:name="_Toc456107139"/>
      <w:bookmarkStart w:id="262" w:name="_Toc459213785"/>
      <w:bookmarkStart w:id="263" w:name="_Toc480465440"/>
      <w:bookmarkStart w:id="264" w:name="_Toc514178696"/>
      <w:bookmarkStart w:id="265" w:name="_Toc512611302"/>
      <w:bookmarkStart w:id="266" w:name="_Toc512612098"/>
      <w:bookmarkStart w:id="267" w:name="_Toc512612274"/>
      <w:bookmarkStart w:id="268" w:name="_Toc513658034"/>
      <w:bookmarkStart w:id="269" w:name="m509"/>
      <w:bookmarkEnd w:id="257"/>
      <w:r>
        <w:rPr>
          <w:rFonts w:hint="eastAsia"/>
        </w:rPr>
        <w:t>报告期末按公允价值占基金资产净值比例大小排序的前十名基金投资明细</w:t>
      </w:r>
      <w:bookmarkEnd w:id="259"/>
      <w:bookmarkEnd w:id="260"/>
      <w:bookmarkEnd w:id="261"/>
      <w:bookmarkEnd w:id="262"/>
      <w:bookmarkEnd w:id="263"/>
      <w:bookmarkEnd w:id="264"/>
      <w:r>
        <w:rPr>
          <w:rFonts w:hint="eastAsia"/>
        </w:rPr>
        <w:t xml:space="preserve"> </w:t>
      </w:r>
      <w:bookmarkEnd w:id="265"/>
      <w:bookmarkEnd w:id="266"/>
      <w:bookmarkEnd w:id="267"/>
      <w:bookmarkEnd w:id="268"/>
    </w:p>
    <w:p w14:paraId="0A802545" w14:textId="77777777" w:rsidR="00EB155E" w:rsidRDefault="00EB155E">
      <w:pPr>
        <w:spacing w:line="360" w:lineRule="auto"/>
        <w:ind w:firstLineChars="200" w:firstLine="420"/>
      </w:pPr>
      <w:bookmarkStart w:id="270" w:name="m08QD_10"/>
      <w:bookmarkEnd w:id="211"/>
      <w:r>
        <w:rPr>
          <w:rFonts w:ascii="宋体" w:hAnsi="宋体" w:hint="eastAsia"/>
          <w:szCs w:val="21"/>
          <w:lang w:eastAsia="zh-Hans"/>
        </w:rPr>
        <w:t>本基金本报告期末未持有基金。</w:t>
      </w:r>
      <w:r>
        <w:rPr>
          <w:rFonts w:ascii="宋体" w:hAnsi="宋体" w:hint="eastAsia"/>
          <w:lang w:eastAsia="zh-Hans"/>
        </w:rPr>
        <w:t xml:space="preserve"> </w:t>
      </w:r>
      <w:bookmarkEnd w:id="155"/>
      <w:bookmarkEnd w:id="156"/>
      <w:bookmarkEnd w:id="157"/>
      <w:bookmarkEnd w:id="158"/>
      <w:bookmarkEnd w:id="270"/>
    </w:p>
    <w:p w14:paraId="712286B4" w14:textId="77777777" w:rsidR="00EB155E" w:rsidRDefault="00EB155E">
      <w:pPr>
        <w:pStyle w:val="XBRLTitle2"/>
        <w:spacing w:before="156" w:line="360" w:lineRule="auto"/>
        <w:ind w:left="454"/>
        <w:rPr>
          <w:rFonts w:hint="eastAsia"/>
        </w:rPr>
      </w:pPr>
      <w:bookmarkStart w:id="271" w:name="_Toc448480307"/>
      <w:bookmarkStart w:id="272" w:name="_Toc438654095"/>
      <w:bookmarkStart w:id="273" w:name="_Toc456107140"/>
      <w:bookmarkStart w:id="274" w:name="_Toc459213786"/>
      <w:bookmarkStart w:id="275" w:name="_Toc480465441"/>
      <w:bookmarkStart w:id="276" w:name="_Toc512611303"/>
      <w:bookmarkStart w:id="277" w:name="_Toc512612099"/>
      <w:bookmarkStart w:id="278" w:name="_Toc512612275"/>
      <w:bookmarkStart w:id="279" w:name="_Toc513658035"/>
      <w:bookmarkStart w:id="280" w:name="_Toc514178697"/>
      <w:bookmarkEnd w:id="269"/>
      <w:r>
        <w:rPr>
          <w:rFonts w:hint="eastAsia"/>
        </w:rPr>
        <w:t>投资组合报告附注</w:t>
      </w:r>
      <w:bookmarkEnd w:id="271"/>
      <w:bookmarkEnd w:id="272"/>
      <w:bookmarkEnd w:id="273"/>
      <w:bookmarkEnd w:id="274"/>
      <w:bookmarkEnd w:id="275"/>
      <w:bookmarkEnd w:id="276"/>
      <w:bookmarkEnd w:id="277"/>
      <w:bookmarkEnd w:id="278"/>
      <w:bookmarkEnd w:id="279"/>
      <w:bookmarkEnd w:id="280"/>
      <w:r>
        <w:rPr>
          <w:rFonts w:hint="eastAsia"/>
        </w:rPr>
        <w:t xml:space="preserve"> </w:t>
      </w:r>
    </w:p>
    <w:p w14:paraId="1DEC583F" w14:textId="77777777" w:rsidR="00617906" w:rsidRPr="00617906" w:rsidRDefault="00EB155E" w:rsidP="00617906">
      <w:pPr>
        <w:pStyle w:val="XBRLTitle3"/>
        <w:spacing w:before="156"/>
        <w:ind w:left="0"/>
        <w:rPr>
          <w:rFonts w:hint="eastAsia"/>
          <w:lang w:val="en-US"/>
        </w:rPr>
      </w:pPr>
      <w:bookmarkStart w:id="281" w:name="m510_01_1597"/>
      <w:r>
        <w:rPr>
          <w:rFonts w:hint="eastAsia"/>
          <w:lang w:eastAsia="zh-CN"/>
        </w:rPr>
        <w:t xml:space="preserve"> </w:t>
      </w:r>
      <w:bookmarkStart w:id="282" w:name="_Toc514088270"/>
      <w:bookmarkStart w:id="283" w:name="_Toc513542671"/>
      <w:bookmarkStart w:id="284" w:name="_Toc480465442"/>
      <w:bookmarkEnd w:id="282"/>
      <w:bookmarkEnd w:id="283"/>
      <w:bookmarkEnd w:id="284"/>
      <w:r>
        <w:rPr>
          <w:rFonts w:hint="eastAsia"/>
        </w:rPr>
        <w:t xml:space="preserve"> </w:t>
      </w:r>
    </w:p>
    <w:p w14:paraId="4F91D729" w14:textId="7397B449" w:rsidR="00617906" w:rsidRPr="00617906" w:rsidRDefault="00617906" w:rsidP="00617906">
      <w:pPr>
        <w:pStyle w:val="XBRLTitle3"/>
        <w:numPr>
          <w:ilvl w:val="0"/>
          <w:numId w:val="0"/>
        </w:numPr>
        <w:spacing w:before="156"/>
        <w:ind w:firstLineChars="200" w:firstLine="480"/>
        <w:rPr>
          <w:rFonts w:hint="eastAsia"/>
          <w:b w:val="0"/>
          <w:bCs w:val="0"/>
          <w:lang w:val="en-US"/>
        </w:rPr>
      </w:pPr>
      <w:r w:rsidRPr="00617906">
        <w:rPr>
          <w:rFonts w:hint="eastAsia"/>
          <w:b w:val="0"/>
          <w:bCs w:val="0"/>
          <w:lang w:val="en-US"/>
        </w:rPr>
        <w:t>本基金投资的前十名证券的发行主体本期未出现被监管部门立案调查，或在报告编制日前一年内受到公开谴责、处罚的情形。</w:t>
      </w:r>
    </w:p>
    <w:p w14:paraId="31CDCDCC" w14:textId="77777777" w:rsidR="00EB155E" w:rsidRDefault="00EB155E">
      <w:pPr>
        <w:pStyle w:val="XBRLTitle3"/>
        <w:spacing w:before="156"/>
        <w:ind w:left="0"/>
        <w:rPr>
          <w:rFonts w:hint="eastAsia"/>
        </w:rPr>
      </w:pPr>
      <w:bookmarkStart w:id="285" w:name="m510_01_1598"/>
      <w:bookmarkEnd w:id="281"/>
      <w:r>
        <w:rPr>
          <w:rFonts w:hint="eastAsia"/>
          <w:lang w:eastAsia="zh-CN"/>
        </w:rPr>
        <w:t xml:space="preserve"> </w:t>
      </w:r>
      <w:bookmarkStart w:id="286" w:name="_Toc514088271"/>
      <w:bookmarkStart w:id="287" w:name="_Toc513542672"/>
      <w:bookmarkStart w:id="288" w:name="_Toc480465443"/>
      <w:bookmarkEnd w:id="286"/>
      <w:bookmarkEnd w:id="287"/>
      <w:bookmarkEnd w:id="288"/>
      <w:r>
        <w:rPr>
          <w:rFonts w:hint="eastAsia"/>
        </w:rPr>
        <w:t xml:space="preserve"> </w:t>
      </w:r>
    </w:p>
    <w:p w14:paraId="3F5CCB66" w14:textId="77777777" w:rsidR="00EB155E" w:rsidRDefault="00EB155E">
      <w:pPr>
        <w:spacing w:line="360" w:lineRule="auto"/>
        <w:ind w:firstLineChars="200" w:firstLine="420"/>
      </w:pPr>
      <w:r>
        <w:rPr>
          <w:rFonts w:ascii="宋体" w:hAnsi="宋体" w:hint="eastAsia"/>
        </w:rPr>
        <w:t>报告期内本基金投资的前十名股票中没有在基金合同规定备选股票库之外的股票。</w:t>
      </w:r>
    </w:p>
    <w:p w14:paraId="65F3DC0C" w14:textId="77777777" w:rsidR="00EB155E" w:rsidRDefault="00EB155E">
      <w:pPr>
        <w:pStyle w:val="XBRLTitle3"/>
        <w:spacing w:before="156"/>
        <w:ind w:left="0"/>
        <w:rPr>
          <w:rFonts w:hint="eastAsia"/>
        </w:rPr>
      </w:pPr>
      <w:bookmarkStart w:id="289" w:name="_Toc480465444"/>
      <w:bookmarkStart w:id="290" w:name="_Toc514178700"/>
      <w:bookmarkStart w:id="291" w:name="_Toc513658038"/>
      <w:bookmarkStart w:id="292" w:name="m510_02"/>
      <w:bookmarkEnd w:id="285"/>
      <w:r>
        <w:rPr>
          <w:rFonts w:hint="eastAsia"/>
        </w:rPr>
        <w:t>其他资产构成</w:t>
      </w:r>
      <w:bookmarkEnd w:id="289"/>
      <w:bookmarkEnd w:id="290"/>
      <w:r>
        <w:rPr>
          <w:rFonts w:hint="eastAsia"/>
        </w:rPr>
        <w:t xml:space="preserve"> </w:t>
      </w:r>
      <w:bookmarkEnd w:id="2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7E39FA" w14:paraId="1E713EE0" w14:textId="77777777">
        <w:trPr>
          <w:divId w:val="1675450245"/>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4DA9F3" w14:textId="77777777" w:rsidR="00EB155E" w:rsidRDefault="00EB155E">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7DB734" w14:textId="77777777" w:rsidR="00EB155E" w:rsidRDefault="00EB155E">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EA1D42" w14:textId="77777777" w:rsidR="00EB155E" w:rsidRDefault="00EB155E">
            <w:pPr>
              <w:jc w:val="center"/>
            </w:pPr>
            <w:r>
              <w:rPr>
                <w:rFonts w:ascii="宋体" w:hAnsi="宋体" w:hint="eastAsia"/>
              </w:rPr>
              <w:t>金额（人民币元）</w:t>
            </w:r>
            <w:r>
              <w:t xml:space="preserve"> </w:t>
            </w:r>
          </w:p>
        </w:tc>
      </w:tr>
      <w:tr w:rsidR="007E39FA" w14:paraId="2A56E916" w14:textId="77777777">
        <w:trPr>
          <w:divId w:val="167545024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85DF4E" w14:textId="77777777" w:rsidR="00EB155E" w:rsidRDefault="00EB155E">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D49B90" w14:textId="77777777" w:rsidR="00EB155E" w:rsidRDefault="00EB155E">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60B044" w14:textId="77777777" w:rsidR="00EB155E" w:rsidRDefault="00EB155E">
            <w:pPr>
              <w:jc w:val="right"/>
            </w:pPr>
            <w:r>
              <w:rPr>
                <w:rFonts w:ascii="宋体" w:hAnsi="宋体" w:hint="eastAsia"/>
              </w:rPr>
              <w:t>-</w:t>
            </w:r>
          </w:p>
        </w:tc>
      </w:tr>
      <w:tr w:rsidR="007E39FA" w14:paraId="46A0C234" w14:textId="77777777">
        <w:trPr>
          <w:divId w:val="167545024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38B64D" w14:textId="77777777" w:rsidR="00EB155E" w:rsidRDefault="00EB155E">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6827D" w14:textId="77777777" w:rsidR="00EB155E" w:rsidRDefault="00EB155E">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8B913" w14:textId="77777777" w:rsidR="00EB155E" w:rsidRDefault="00EB155E">
            <w:pPr>
              <w:jc w:val="right"/>
            </w:pPr>
            <w:r>
              <w:rPr>
                <w:rFonts w:ascii="宋体" w:hAnsi="宋体" w:hint="eastAsia"/>
              </w:rPr>
              <w:t>-</w:t>
            </w:r>
          </w:p>
        </w:tc>
      </w:tr>
      <w:tr w:rsidR="007E39FA" w14:paraId="34E976F3" w14:textId="77777777">
        <w:trPr>
          <w:divId w:val="167545024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47167D" w14:textId="77777777" w:rsidR="00EB155E" w:rsidRDefault="00EB155E">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368BD4" w14:textId="77777777" w:rsidR="00EB155E" w:rsidRDefault="00EB155E">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9F3CB9" w14:textId="77777777" w:rsidR="00EB155E" w:rsidRDefault="00EB155E">
            <w:pPr>
              <w:jc w:val="right"/>
            </w:pPr>
            <w:r>
              <w:rPr>
                <w:rFonts w:ascii="宋体" w:hAnsi="宋体" w:hint="eastAsia"/>
              </w:rPr>
              <w:t>834,286.15</w:t>
            </w:r>
          </w:p>
        </w:tc>
      </w:tr>
      <w:tr w:rsidR="007E39FA" w14:paraId="02051A35" w14:textId="77777777">
        <w:trPr>
          <w:divId w:val="167545024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8517C6" w14:textId="77777777" w:rsidR="00EB155E" w:rsidRDefault="00EB155E">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EDFC6B" w14:textId="77777777" w:rsidR="00EB155E" w:rsidRDefault="00EB155E">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F96785" w14:textId="77777777" w:rsidR="00EB155E" w:rsidRDefault="00EB155E">
            <w:pPr>
              <w:jc w:val="right"/>
            </w:pPr>
            <w:r>
              <w:rPr>
                <w:rFonts w:ascii="宋体" w:hAnsi="宋体" w:hint="eastAsia"/>
              </w:rPr>
              <w:t>-</w:t>
            </w:r>
          </w:p>
        </w:tc>
      </w:tr>
      <w:tr w:rsidR="007E39FA" w14:paraId="7B627CC6" w14:textId="77777777">
        <w:trPr>
          <w:divId w:val="167545024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CB2245" w14:textId="77777777" w:rsidR="00EB155E" w:rsidRDefault="00EB155E">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EE81B1" w14:textId="77777777" w:rsidR="00EB155E" w:rsidRDefault="00EB155E">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F23EDD" w14:textId="77777777" w:rsidR="00EB155E" w:rsidRDefault="00EB155E">
            <w:pPr>
              <w:jc w:val="right"/>
            </w:pPr>
            <w:r>
              <w:rPr>
                <w:rFonts w:ascii="宋体" w:hAnsi="宋体" w:hint="eastAsia"/>
              </w:rPr>
              <w:t>17,335,980.94</w:t>
            </w:r>
          </w:p>
        </w:tc>
      </w:tr>
      <w:tr w:rsidR="007E39FA" w14:paraId="592D022E" w14:textId="77777777">
        <w:trPr>
          <w:divId w:val="167545024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59A5A1" w14:textId="77777777" w:rsidR="00EB155E" w:rsidRDefault="00EB155E">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3C1F7" w14:textId="77777777" w:rsidR="00EB155E" w:rsidRDefault="00EB155E">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A50E93" w14:textId="77777777" w:rsidR="00EB155E" w:rsidRDefault="00EB155E">
            <w:pPr>
              <w:jc w:val="right"/>
            </w:pPr>
            <w:r>
              <w:rPr>
                <w:rFonts w:ascii="宋体" w:hAnsi="宋体" w:hint="eastAsia"/>
              </w:rPr>
              <w:t>-</w:t>
            </w:r>
          </w:p>
        </w:tc>
      </w:tr>
      <w:tr w:rsidR="007E39FA" w14:paraId="23FEEE31" w14:textId="77777777">
        <w:trPr>
          <w:divId w:val="167545024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B98451" w14:textId="77777777" w:rsidR="00EB155E" w:rsidRDefault="00EB155E">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15D698" w14:textId="77777777" w:rsidR="00EB155E" w:rsidRDefault="00EB155E">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D63D6A" w14:textId="77777777" w:rsidR="00EB155E" w:rsidRDefault="00EB155E">
            <w:pPr>
              <w:jc w:val="right"/>
            </w:pPr>
            <w:r>
              <w:rPr>
                <w:rFonts w:ascii="宋体" w:hAnsi="宋体" w:hint="eastAsia"/>
              </w:rPr>
              <w:t>-</w:t>
            </w:r>
          </w:p>
        </w:tc>
      </w:tr>
      <w:tr w:rsidR="007E39FA" w14:paraId="4F77A10C" w14:textId="77777777">
        <w:trPr>
          <w:divId w:val="167545024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0489BF" w14:textId="77777777" w:rsidR="00EB155E" w:rsidRDefault="00EB155E">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2523D9" w14:textId="77777777" w:rsidR="00EB155E" w:rsidRDefault="00EB155E">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D3643" w14:textId="77777777" w:rsidR="00EB155E" w:rsidRDefault="00EB155E">
            <w:pPr>
              <w:jc w:val="right"/>
            </w:pPr>
            <w:r>
              <w:rPr>
                <w:rFonts w:ascii="宋体" w:hAnsi="宋体" w:hint="eastAsia"/>
              </w:rPr>
              <w:t>18,170,267.09</w:t>
            </w:r>
          </w:p>
        </w:tc>
      </w:tr>
    </w:tbl>
    <w:p w14:paraId="3B6A3B1A" w14:textId="77777777" w:rsidR="00EB155E" w:rsidRDefault="00EB155E">
      <w:pPr>
        <w:pStyle w:val="XBRLTitle3"/>
        <w:spacing w:before="156"/>
        <w:ind w:left="0"/>
        <w:rPr>
          <w:rFonts w:hint="eastAsia"/>
        </w:rPr>
      </w:pPr>
      <w:bookmarkStart w:id="293" w:name="_Toc480465445"/>
      <w:bookmarkStart w:id="294" w:name="_Toc514178701"/>
      <w:bookmarkStart w:id="295" w:name="_Toc513658039"/>
      <w:bookmarkStart w:id="296" w:name="m510_03"/>
      <w:bookmarkEnd w:id="292"/>
      <w:r>
        <w:rPr>
          <w:rFonts w:hint="eastAsia"/>
        </w:rPr>
        <w:t>报告期末持有的处于转股期的可转换债券明细</w:t>
      </w:r>
      <w:bookmarkEnd w:id="293"/>
      <w:bookmarkEnd w:id="294"/>
      <w:r>
        <w:rPr>
          <w:rFonts w:hint="eastAsia"/>
        </w:rPr>
        <w:t xml:space="preserve"> </w:t>
      </w:r>
      <w:bookmarkEnd w:id="295"/>
    </w:p>
    <w:p w14:paraId="756A23F1" w14:textId="77777777" w:rsidR="00EB155E" w:rsidRDefault="00EB155E">
      <w:pPr>
        <w:spacing w:line="360" w:lineRule="auto"/>
        <w:ind w:firstLineChars="200" w:firstLine="420"/>
        <w:jc w:val="left"/>
        <w:divId w:val="846091521"/>
      </w:pPr>
      <w:r>
        <w:rPr>
          <w:rFonts w:ascii="宋体" w:hAnsi="宋体" w:hint="eastAsia"/>
        </w:rPr>
        <w:t xml:space="preserve">本基金本报告期末未持有处于转股期的可转换债券。 </w:t>
      </w:r>
    </w:p>
    <w:p w14:paraId="03F1CA0B" w14:textId="77777777" w:rsidR="00EB155E" w:rsidRDefault="00EB155E">
      <w:pPr>
        <w:pStyle w:val="XBRLTitle3"/>
        <w:spacing w:before="156"/>
        <w:ind w:left="0"/>
        <w:rPr>
          <w:rFonts w:hint="eastAsia"/>
        </w:rPr>
      </w:pPr>
      <w:bookmarkStart w:id="297" w:name="_Toc480465446"/>
      <w:bookmarkStart w:id="298" w:name="_Toc513658040"/>
      <w:bookmarkStart w:id="299" w:name="_Toc514178702"/>
      <w:bookmarkStart w:id="300" w:name="m510_04"/>
      <w:bookmarkEnd w:id="296"/>
      <w:r>
        <w:rPr>
          <w:rFonts w:hint="eastAsia"/>
        </w:rPr>
        <w:t>报告期末前十名股票中存在流通受限情况的说明</w:t>
      </w:r>
      <w:bookmarkEnd w:id="297"/>
      <w:bookmarkEnd w:id="298"/>
      <w:bookmarkEnd w:id="299"/>
    </w:p>
    <w:p w14:paraId="6DE0B447" w14:textId="77777777" w:rsidR="00EB155E" w:rsidRDefault="00EB155E">
      <w:pPr>
        <w:pStyle w:val="XBRLTitle4"/>
        <w:numPr>
          <w:ilvl w:val="0"/>
          <w:numId w:val="0"/>
        </w:numPr>
        <w:spacing w:before="156"/>
        <w:rPr>
          <w:rFonts w:hint="eastAsia"/>
        </w:rPr>
      </w:pPr>
      <w:bookmarkStart w:id="301" w:name="_Toc513658041"/>
      <w:bookmarkStart w:id="302" w:name="_Toc514178703"/>
      <w:r>
        <w:rPr>
          <w:rFonts w:hint="eastAsia"/>
        </w:rPr>
        <w:t>5.10.5.1 报告期末指数投资前十名股票中存在流通受限情况的说明</w:t>
      </w:r>
      <w:bookmarkEnd w:id="301"/>
      <w:bookmarkEnd w:id="302"/>
      <w:r>
        <w:rPr>
          <w:rFonts w:hint="eastAsia"/>
        </w:rPr>
        <w:t xml:space="preserve"> </w:t>
      </w:r>
    </w:p>
    <w:p w14:paraId="6070EF0B" w14:textId="77777777" w:rsidR="00EB155E" w:rsidRDefault="00EB155E">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p>
    <w:p w14:paraId="678F5E86" w14:textId="77777777" w:rsidR="00EB155E" w:rsidRDefault="00EB155E">
      <w:pPr>
        <w:pStyle w:val="XBRLTitle4"/>
        <w:numPr>
          <w:ilvl w:val="0"/>
          <w:numId w:val="0"/>
        </w:numPr>
        <w:spacing w:before="156"/>
        <w:rPr>
          <w:rFonts w:hint="eastAsia"/>
        </w:rPr>
      </w:pPr>
      <w:bookmarkStart w:id="303" w:name="_Toc513658042"/>
      <w:bookmarkStart w:id="304" w:name="_Toc514178704"/>
      <w:r>
        <w:rPr>
          <w:rFonts w:hint="eastAsia"/>
        </w:rPr>
        <w:t>5.10.5.2 报告期末积极投资前五名股票中存在流通受限情况的说明</w:t>
      </w:r>
      <w:bookmarkEnd w:id="303"/>
      <w:bookmarkEnd w:id="304"/>
      <w:r>
        <w:rPr>
          <w:rFonts w:hint="eastAsia"/>
        </w:rPr>
        <w:t xml:space="preserve"> </w:t>
      </w:r>
    </w:p>
    <w:p w14:paraId="022A193E" w14:textId="77777777" w:rsidR="00EB155E" w:rsidRDefault="00EB155E">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五名积极投资中不存在流通受限情况。</w:t>
      </w:r>
      <w:bookmarkEnd w:id="13"/>
      <w:bookmarkEnd w:id="14"/>
      <w:bookmarkEnd w:id="15"/>
      <w:bookmarkEnd w:id="16"/>
      <w:bookmarkEnd w:id="17"/>
    </w:p>
    <w:p w14:paraId="24171BD8" w14:textId="77777777" w:rsidR="00EB155E" w:rsidRDefault="00EB155E">
      <w:pPr>
        <w:pStyle w:val="XBRLTitle3"/>
        <w:spacing w:before="156"/>
        <w:ind w:left="0"/>
        <w:rPr>
          <w:rFonts w:hint="eastAsia"/>
        </w:rPr>
      </w:pPr>
      <w:bookmarkStart w:id="305" w:name="_Toc480465447"/>
      <w:bookmarkStart w:id="306" w:name="_Toc513658043"/>
      <w:bookmarkStart w:id="307" w:name="_Toc514178705"/>
      <w:bookmarkEnd w:id="300"/>
      <w:r>
        <w:rPr>
          <w:rFonts w:hint="eastAsia"/>
        </w:rPr>
        <w:t>投资组合报告附注的其他文字描述部分</w:t>
      </w:r>
      <w:bookmarkEnd w:id="305"/>
      <w:bookmarkEnd w:id="306"/>
      <w:bookmarkEnd w:id="307"/>
    </w:p>
    <w:p w14:paraId="2593E96A" w14:textId="77777777" w:rsidR="00EB155E" w:rsidRDefault="00EB155E">
      <w:pPr>
        <w:spacing w:line="360" w:lineRule="auto"/>
        <w:ind w:firstLineChars="200" w:firstLine="420"/>
        <w:jc w:val="left"/>
      </w:pPr>
      <w:r>
        <w:rPr>
          <w:rFonts w:ascii="宋体" w:hAnsi="宋体" w:hint="eastAsia"/>
        </w:rPr>
        <w:t>因四舍五入原因，投资组合报告中分项之和与合计可能存在尾差。</w:t>
      </w:r>
    </w:p>
    <w:p w14:paraId="366E5DFA" w14:textId="77777777" w:rsidR="00EB155E" w:rsidRDefault="00EB155E">
      <w:pPr>
        <w:pStyle w:val="XBRLTitle1"/>
        <w:spacing w:before="156" w:line="360" w:lineRule="auto"/>
        <w:ind w:left="425"/>
        <w:rPr>
          <w:rFonts w:hint="eastAsia"/>
        </w:rPr>
      </w:pPr>
      <w:bookmarkStart w:id="308" w:name="_Toc514178706"/>
      <w:r>
        <w:rPr>
          <w:rFonts w:hint="eastAsia"/>
        </w:rPr>
        <w:t>开放式基金份额变动</w:t>
      </w:r>
      <w:bookmarkStart w:id="309" w:name="m601_tab"/>
      <w:bookmarkEnd w:id="149"/>
      <w:bookmarkEnd w:id="150"/>
      <w:bookmarkEnd w:id="151"/>
      <w:bookmarkEnd w:id="152"/>
      <w:bookmarkEnd w:id="308"/>
    </w:p>
    <w:p w14:paraId="43180AD3" w14:textId="77777777" w:rsidR="00EB155E" w:rsidRDefault="00EB155E">
      <w:pPr>
        <w:wordWrap w:val="0"/>
        <w:spacing w:line="360" w:lineRule="auto"/>
        <w:jc w:val="right"/>
      </w:pPr>
      <w:bookmarkStart w:id="310" w:name="m10_01_tab"/>
      <w:bookmarkEnd w:id="12"/>
      <w:r>
        <w:rPr>
          <w:rFonts w:ascii="宋体" w:hAnsi="宋体" w:hint="eastAsia"/>
          <w:lang w:val="x-none"/>
        </w:rPr>
        <w:lastRenderedPageBreak/>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7E39FA" w14:paraId="5A8DADC2" w14:textId="77777777">
        <w:trPr>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C6413AD" w14:textId="77777777" w:rsidR="00EB155E" w:rsidRDefault="00EB155E">
            <w:pPr>
              <w:pStyle w:val="xl33"/>
              <w:widowControl w:val="0"/>
              <w:pBdr>
                <w:left w:val="none" w:sz="0" w:space="0" w:color="auto"/>
                <w:bottom w:val="none" w:sz="0" w:space="0" w:color="auto"/>
                <w:right w:val="none" w:sz="0" w:space="0" w:color="auto"/>
              </w:pBdr>
              <w:spacing w:before="0" w:beforeAutospacing="0" w:after="0" w:afterAutospacing="0"/>
              <w:jc w:val="both"/>
            </w:pPr>
            <w:bookmarkStart w:id="311" w:name="m10_01" w:colFirst="1" w:colLast="2"/>
            <w:bookmarkEnd w:id="310"/>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539136" w14:textId="77777777" w:rsidR="00EB155E" w:rsidRDefault="00EB155E">
            <w:pPr>
              <w:ind w:right="3"/>
              <w:jc w:val="center"/>
            </w:pPr>
            <w:r>
              <w:rPr>
                <w:rFonts w:ascii="宋体" w:hAnsi="宋体" w:hint="eastAsia"/>
                <w:lang w:eastAsia="zh-Hans"/>
              </w:rPr>
              <w:t>摩根标普500指数(QDII)人民币A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F6BBC0" w14:textId="77777777" w:rsidR="00EB155E" w:rsidRDefault="00EB155E">
            <w:pPr>
              <w:ind w:right="3"/>
              <w:jc w:val="center"/>
            </w:pPr>
            <w:r>
              <w:rPr>
                <w:rFonts w:ascii="宋体" w:hAnsi="宋体" w:hint="eastAsia"/>
                <w:lang w:eastAsia="zh-Hans"/>
              </w:rPr>
              <w:t>摩根标普500指数(QDII)人民币C</w:t>
            </w:r>
            <w:r>
              <w:rPr>
                <w:rFonts w:ascii="宋体" w:hAnsi="宋体" w:hint="eastAsia"/>
                <w:kern w:val="0"/>
                <w:szCs w:val="24"/>
                <w:lang w:eastAsia="zh-Hans"/>
              </w:rPr>
              <w:t xml:space="preserve"> </w:t>
            </w:r>
          </w:p>
        </w:tc>
      </w:tr>
      <w:tr w:rsidR="007E39FA" w14:paraId="114EC2C2"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4FD2CE" w14:textId="77777777" w:rsidR="00EB155E" w:rsidRDefault="00EB155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56EED1" w14:textId="77777777" w:rsidR="00EB155E" w:rsidRDefault="00EB155E">
            <w:pPr>
              <w:jc w:val="right"/>
            </w:pPr>
            <w:r>
              <w:rPr>
                <w:rFonts w:ascii="宋体" w:hAnsi="宋体" w:hint="eastAsia"/>
              </w:rPr>
              <w:t>940,205,305.43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14BACB" w14:textId="77777777" w:rsidR="00EB155E" w:rsidRDefault="00EB155E">
            <w:pPr>
              <w:jc w:val="right"/>
            </w:pPr>
            <w:r>
              <w:rPr>
                <w:rFonts w:ascii="宋体" w:hAnsi="宋体" w:hint="eastAsia"/>
              </w:rPr>
              <w:t>428,875,971.55</w:t>
            </w:r>
          </w:p>
        </w:tc>
      </w:tr>
      <w:tr w:rsidR="007E39FA" w14:paraId="1585C995"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924B1F" w14:textId="77777777" w:rsidR="00EB155E" w:rsidRDefault="00EB155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58920B" w14:textId="77777777" w:rsidR="00EB155E" w:rsidRDefault="00EB155E">
            <w:pPr>
              <w:jc w:val="right"/>
            </w:pPr>
            <w:r>
              <w:rPr>
                <w:rFonts w:ascii="宋体" w:hAnsi="宋体" w:hint="eastAsia"/>
              </w:rPr>
              <w:t>189,578,792.54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E78929" w14:textId="77777777" w:rsidR="00EB155E" w:rsidRDefault="00EB155E">
            <w:pPr>
              <w:jc w:val="right"/>
            </w:pPr>
            <w:r>
              <w:rPr>
                <w:rFonts w:ascii="宋体" w:hAnsi="宋体" w:hint="eastAsia"/>
              </w:rPr>
              <w:t>138,465,317.61</w:t>
            </w:r>
          </w:p>
        </w:tc>
      </w:tr>
      <w:tr w:rsidR="007E39FA" w14:paraId="7ECB5DF6"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930AE2" w14:textId="77777777" w:rsidR="00EB155E" w:rsidRDefault="00EB155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154AF4" w14:textId="77777777" w:rsidR="00EB155E" w:rsidRDefault="00EB155E">
            <w:pPr>
              <w:jc w:val="right"/>
            </w:pPr>
            <w:r>
              <w:rPr>
                <w:rFonts w:ascii="宋体" w:hAnsi="宋体" w:hint="eastAsia"/>
              </w:rPr>
              <w:t>146,884,800.61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E95E16" w14:textId="77777777" w:rsidR="00EB155E" w:rsidRDefault="00EB155E">
            <w:pPr>
              <w:jc w:val="right"/>
            </w:pPr>
            <w:r>
              <w:rPr>
                <w:rFonts w:ascii="宋体" w:hAnsi="宋体" w:hint="eastAsia"/>
              </w:rPr>
              <w:t>149,693,325.05</w:t>
            </w:r>
          </w:p>
        </w:tc>
      </w:tr>
      <w:tr w:rsidR="007E39FA" w14:paraId="10FB820B"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E09CC1" w14:textId="77777777" w:rsidR="00EB155E" w:rsidRDefault="00EB155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EA71A6" w14:textId="77777777" w:rsidR="00EB155E" w:rsidRDefault="00EB155E">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16EFD5" w14:textId="77777777" w:rsidR="00EB155E" w:rsidRDefault="00EB155E">
            <w:pPr>
              <w:jc w:val="right"/>
            </w:pPr>
            <w:r>
              <w:rPr>
                <w:rFonts w:ascii="宋体" w:hAnsi="宋体" w:hint="eastAsia"/>
              </w:rPr>
              <w:t>-</w:t>
            </w:r>
          </w:p>
        </w:tc>
      </w:tr>
      <w:tr w:rsidR="007E39FA" w14:paraId="71011731"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B8944C" w14:textId="77777777" w:rsidR="00EB155E" w:rsidRDefault="00EB155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1DF936" w14:textId="77777777" w:rsidR="00EB155E" w:rsidRDefault="00EB155E">
            <w:pPr>
              <w:jc w:val="right"/>
            </w:pPr>
            <w:r>
              <w:rPr>
                <w:rFonts w:ascii="宋体" w:hAnsi="宋体" w:hint="eastAsia"/>
              </w:rPr>
              <w:t>982,899,297.36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EE38AC" w14:textId="77777777" w:rsidR="00EB155E" w:rsidRDefault="00EB155E">
            <w:pPr>
              <w:jc w:val="right"/>
            </w:pPr>
            <w:r>
              <w:rPr>
                <w:rFonts w:ascii="宋体" w:hAnsi="宋体" w:hint="eastAsia"/>
              </w:rPr>
              <w:t>417,647,964.11</w:t>
            </w:r>
          </w:p>
        </w:tc>
      </w:tr>
    </w:tbl>
    <w:p w14:paraId="51E3A49E" w14:textId="77777777" w:rsidR="00EB155E" w:rsidRDefault="00EB155E">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11"/>
      <w:r>
        <w:rPr>
          <w:rFonts w:ascii="宋体" w:hAnsi="宋体" w:hint="eastAsia"/>
        </w:rPr>
        <w:t xml:space="preserve"> </w:t>
      </w:r>
    </w:p>
    <w:p w14:paraId="252F17F1" w14:textId="77777777" w:rsidR="00EB155E" w:rsidRDefault="00EB155E">
      <w:pPr>
        <w:pStyle w:val="XBRLTitle1"/>
        <w:spacing w:before="156" w:line="360" w:lineRule="auto"/>
        <w:ind w:left="425"/>
        <w:rPr>
          <w:rFonts w:hint="eastAsia"/>
        </w:rPr>
      </w:pPr>
      <w:bookmarkStart w:id="312" w:name="m7manage01"/>
      <w:bookmarkStart w:id="313" w:name="_Toc512519522"/>
      <w:bookmarkStart w:id="314" w:name="_Toc481075090"/>
      <w:bookmarkStart w:id="315" w:name="_Toc438646478"/>
      <w:bookmarkStart w:id="316" w:name="_Toc490050043"/>
      <w:bookmarkStart w:id="317" w:name="_Toc514178707"/>
      <w:bookmarkEnd w:id="153"/>
      <w:bookmarkEnd w:id="309"/>
      <w:r>
        <w:rPr>
          <w:rFonts w:hint="eastAsia"/>
        </w:rPr>
        <w:t>基金管理人运用固有资金投资本基金交易明细</w:t>
      </w:r>
      <w:bookmarkEnd w:id="312"/>
      <w:bookmarkEnd w:id="313"/>
      <w:bookmarkEnd w:id="314"/>
      <w:bookmarkEnd w:id="315"/>
      <w:bookmarkEnd w:id="316"/>
      <w:bookmarkEnd w:id="317"/>
      <w:r>
        <w:rPr>
          <w:rFonts w:hint="eastAsia"/>
        </w:rPr>
        <w:t xml:space="preserve"> </w:t>
      </w:r>
    </w:p>
    <w:p w14:paraId="1AB64A86" w14:textId="77777777" w:rsidR="00EB155E" w:rsidRDefault="00EB155E">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5E55C594" w14:textId="77777777" w:rsidR="00EB155E" w:rsidRDefault="00EB155E">
      <w:pPr>
        <w:pStyle w:val="XBRLTitle1"/>
        <w:spacing w:before="156" w:line="360" w:lineRule="auto"/>
        <w:ind w:left="425"/>
        <w:rPr>
          <w:rFonts w:hint="eastAsia"/>
        </w:rPr>
      </w:pPr>
      <w:bookmarkStart w:id="318" w:name="_Toc513295937"/>
      <w:bookmarkStart w:id="319" w:name="_Toc513295874"/>
      <w:bookmarkStart w:id="320" w:name="_Toc490050053"/>
      <w:bookmarkStart w:id="321" w:name="_Toc481074873"/>
      <w:bookmarkStart w:id="322" w:name="_Toc512519525"/>
      <w:bookmarkStart w:id="323" w:name="_Toc514507557"/>
      <w:r>
        <w:rPr>
          <w:rFonts w:hint="eastAsia"/>
        </w:rPr>
        <w:t>报告期末发起式基金发起资金持有份额情况</w:t>
      </w:r>
      <w:bookmarkEnd w:id="318"/>
      <w:bookmarkEnd w:id="319"/>
      <w:bookmarkEnd w:id="320"/>
      <w:bookmarkEnd w:id="321"/>
      <w:bookmarkEnd w:id="322"/>
      <w:bookmarkEnd w:id="323"/>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1"/>
        <w:gridCol w:w="1395"/>
        <w:gridCol w:w="1727"/>
        <w:gridCol w:w="1395"/>
        <w:gridCol w:w="1727"/>
        <w:gridCol w:w="1240"/>
      </w:tblGrid>
      <w:tr w:rsidR="007E39FA" w14:paraId="41291E6F" w14:textId="77777777">
        <w:trPr>
          <w:divId w:val="249703782"/>
          <w:trHeight w:val="315"/>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89A2DF" w14:textId="77777777" w:rsidR="00EB155E" w:rsidRDefault="00EB155E">
            <w:pPr>
              <w:jc w:val="center"/>
            </w:pPr>
            <w:r>
              <w:rPr>
                <w:rFonts w:hint="eastAsia"/>
                <w:color w:val="000000"/>
                <w:szCs w:val="21"/>
              </w:rPr>
              <w:t>项目</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3A1244" w14:textId="77777777" w:rsidR="00EB155E" w:rsidRDefault="00EB155E">
            <w:pPr>
              <w:jc w:val="center"/>
            </w:pPr>
            <w:r>
              <w:rPr>
                <w:rFonts w:hint="eastAsia"/>
                <w:color w:val="000000"/>
                <w:szCs w:val="21"/>
              </w:rPr>
              <w:t>持有份额总数</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DB7897" w14:textId="77777777" w:rsidR="00EB155E" w:rsidRDefault="00EB155E">
            <w:pPr>
              <w:jc w:val="center"/>
            </w:pPr>
            <w:r>
              <w:rPr>
                <w:rFonts w:hint="eastAsia"/>
                <w:color w:val="000000"/>
                <w:szCs w:val="21"/>
              </w:rPr>
              <w:t>持有份额占基金总份额比例</w:t>
            </w:r>
            <w:r>
              <w:rPr>
                <w:color w:val="000000"/>
                <w:szCs w:val="21"/>
              </w:rPr>
              <w:t>(%)</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AE3A68" w14:textId="77777777" w:rsidR="00EB155E" w:rsidRDefault="00EB155E">
            <w:pPr>
              <w:jc w:val="center"/>
            </w:pPr>
            <w:r>
              <w:rPr>
                <w:rFonts w:hint="eastAsia"/>
                <w:color w:val="000000"/>
                <w:szCs w:val="21"/>
              </w:rPr>
              <w:t>发起份额总数</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D0383DE" w14:textId="77777777" w:rsidR="00EB155E" w:rsidRDefault="00EB155E">
            <w:pPr>
              <w:jc w:val="center"/>
            </w:pPr>
            <w:r>
              <w:rPr>
                <w:rFonts w:hint="eastAsia"/>
                <w:color w:val="000000"/>
                <w:szCs w:val="21"/>
              </w:rPr>
              <w:t>发起份额占基金总份额比例</w:t>
            </w:r>
            <w:r>
              <w:rPr>
                <w:color w:val="000000"/>
                <w:szCs w:val="21"/>
              </w:rPr>
              <w:t>(%)</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AE6BE8E" w14:textId="77777777" w:rsidR="00EB155E" w:rsidRDefault="00EB155E">
            <w:pPr>
              <w:jc w:val="center"/>
            </w:pPr>
            <w:r>
              <w:rPr>
                <w:rFonts w:hint="eastAsia"/>
                <w:color w:val="000000"/>
                <w:szCs w:val="21"/>
              </w:rPr>
              <w:t>发起份额承诺持有期限</w:t>
            </w:r>
            <w:r>
              <w:rPr>
                <w:rFonts w:ascii="宋体" w:hAnsi="宋体" w:hint="eastAsia"/>
                <w:color w:val="000000"/>
              </w:rPr>
              <w:t xml:space="preserve"> </w:t>
            </w:r>
          </w:p>
        </w:tc>
      </w:tr>
      <w:tr w:rsidR="007E39FA" w14:paraId="61A1FDA6" w14:textId="77777777">
        <w:trPr>
          <w:divId w:val="249703782"/>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18161C9" w14:textId="77777777" w:rsidR="00EB155E" w:rsidRDefault="00EB155E">
            <w:pPr>
              <w:adjustRightInd w:val="0"/>
              <w:snapToGrid w:val="0"/>
              <w:spacing w:line="360" w:lineRule="exact"/>
            </w:pPr>
            <w:r>
              <w:rPr>
                <w:rFonts w:hint="eastAsia"/>
                <w:color w:val="000000"/>
                <w:szCs w:val="21"/>
              </w:rPr>
              <w:t>基金管理人</w:t>
            </w:r>
            <w:proofErr w:type="gramStart"/>
            <w:r>
              <w:rPr>
                <w:rFonts w:hint="eastAsia"/>
                <w:color w:val="000000"/>
                <w:szCs w:val="21"/>
              </w:rPr>
              <w:t>固有资金</w:t>
            </w:r>
            <w:proofErr w:type="gramEnd"/>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B915794" w14:textId="77777777" w:rsidR="00EB155E" w:rsidRDefault="00EB155E">
            <w:pPr>
              <w:widowControl/>
              <w:jc w:val="right"/>
            </w:pPr>
            <w:r>
              <w:rPr>
                <w:rFonts w:ascii="宋体" w:hAnsi="宋体" w:hint="eastAsia"/>
                <w:color w:val="000000"/>
                <w:szCs w:val="21"/>
              </w:rPr>
              <w:t>10,001,111.19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1D99065" w14:textId="77777777" w:rsidR="00EB155E" w:rsidRDefault="00EB155E">
            <w:pPr>
              <w:widowControl/>
              <w:jc w:val="right"/>
            </w:pPr>
            <w:r>
              <w:rPr>
                <w:rFonts w:ascii="宋体" w:hAnsi="宋体" w:hint="eastAsia"/>
                <w:color w:val="000000"/>
                <w:szCs w:val="21"/>
              </w:rPr>
              <w:t>0.71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2856569" w14:textId="77777777" w:rsidR="00EB155E" w:rsidRDefault="00EB155E">
            <w:pPr>
              <w:widowControl/>
              <w:jc w:val="right"/>
            </w:pPr>
            <w:r>
              <w:rPr>
                <w:rFonts w:ascii="宋体" w:hAnsi="宋体" w:hint="eastAsia"/>
                <w:color w:val="000000"/>
                <w:szCs w:val="21"/>
              </w:rPr>
              <w:t>10,001,111.19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2902424" w14:textId="77777777" w:rsidR="00EB155E" w:rsidRDefault="00EB155E">
            <w:pPr>
              <w:widowControl/>
              <w:jc w:val="right"/>
            </w:pPr>
            <w:r>
              <w:rPr>
                <w:rFonts w:ascii="宋体" w:hAnsi="宋体" w:hint="eastAsia"/>
                <w:color w:val="000000"/>
                <w:szCs w:val="21"/>
              </w:rPr>
              <w:t>0.71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EC75F5C" w14:textId="77777777" w:rsidR="00EB155E" w:rsidRDefault="00EB155E">
            <w:pPr>
              <w:widowControl/>
              <w:jc w:val="right"/>
            </w:pPr>
            <w:r>
              <w:rPr>
                <w:rFonts w:ascii="宋体" w:hAnsi="宋体" w:hint="eastAsia"/>
                <w:color w:val="000000"/>
                <w:szCs w:val="21"/>
              </w:rPr>
              <w:t>3年</w:t>
            </w:r>
          </w:p>
        </w:tc>
      </w:tr>
      <w:tr w:rsidR="007E39FA" w14:paraId="575BE194" w14:textId="77777777">
        <w:trPr>
          <w:divId w:val="249703782"/>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E8CB01C" w14:textId="77777777" w:rsidR="00EB155E" w:rsidRDefault="00EB155E">
            <w:pPr>
              <w:adjustRightInd w:val="0"/>
              <w:snapToGrid w:val="0"/>
              <w:spacing w:line="360" w:lineRule="exact"/>
            </w:pPr>
            <w:r>
              <w:rPr>
                <w:rFonts w:hint="eastAsia"/>
                <w:color w:val="000000"/>
                <w:szCs w:val="21"/>
              </w:rPr>
              <w:t>基金管理人高级管理人员</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64CDDBE" w14:textId="77777777" w:rsidR="00EB155E" w:rsidRDefault="00EB155E">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DE38503" w14:textId="77777777" w:rsidR="00EB155E" w:rsidRDefault="00EB155E">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C728667" w14:textId="77777777" w:rsidR="00EB155E" w:rsidRDefault="00EB155E">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09AEDBF" w14:textId="77777777" w:rsidR="00EB155E" w:rsidRDefault="00EB155E">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29F6113" w14:textId="77777777" w:rsidR="00EB155E" w:rsidRDefault="00EB155E">
            <w:pPr>
              <w:widowControl/>
              <w:jc w:val="right"/>
            </w:pPr>
            <w:r>
              <w:rPr>
                <w:rFonts w:ascii="宋体" w:hAnsi="宋体" w:hint="eastAsia"/>
                <w:color w:val="000000"/>
                <w:szCs w:val="21"/>
              </w:rPr>
              <w:t>-</w:t>
            </w:r>
          </w:p>
        </w:tc>
      </w:tr>
      <w:tr w:rsidR="007E39FA" w14:paraId="377689C5" w14:textId="77777777">
        <w:trPr>
          <w:divId w:val="249703782"/>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AE9D622" w14:textId="77777777" w:rsidR="00EB155E" w:rsidRDefault="00EB155E">
            <w:pPr>
              <w:adjustRightInd w:val="0"/>
              <w:snapToGrid w:val="0"/>
              <w:spacing w:line="360" w:lineRule="exact"/>
              <w:jc w:val="left"/>
            </w:pPr>
            <w:r>
              <w:rPr>
                <w:rFonts w:hint="eastAsia"/>
                <w:color w:val="000000"/>
                <w:szCs w:val="21"/>
              </w:rPr>
              <w:t>基金经理等人员</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7C8E1B7" w14:textId="77777777" w:rsidR="00EB155E" w:rsidRDefault="00EB155E">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08823FC" w14:textId="77777777" w:rsidR="00EB155E" w:rsidRDefault="00EB155E">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1D97A27" w14:textId="77777777" w:rsidR="00EB155E" w:rsidRDefault="00EB155E">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F2FEA87" w14:textId="77777777" w:rsidR="00EB155E" w:rsidRDefault="00EB155E">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C453E5E" w14:textId="77777777" w:rsidR="00EB155E" w:rsidRDefault="00EB155E">
            <w:pPr>
              <w:widowControl/>
              <w:jc w:val="right"/>
            </w:pPr>
            <w:r>
              <w:rPr>
                <w:rFonts w:ascii="宋体" w:hAnsi="宋体" w:hint="eastAsia"/>
                <w:color w:val="000000"/>
                <w:szCs w:val="21"/>
              </w:rPr>
              <w:t>-</w:t>
            </w:r>
          </w:p>
        </w:tc>
      </w:tr>
      <w:tr w:rsidR="007E39FA" w14:paraId="5BD00203" w14:textId="77777777">
        <w:trPr>
          <w:divId w:val="249703782"/>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9901A83" w14:textId="77777777" w:rsidR="00EB155E" w:rsidRDefault="00EB155E">
            <w:pPr>
              <w:adjustRightInd w:val="0"/>
              <w:snapToGrid w:val="0"/>
              <w:spacing w:line="360" w:lineRule="exact"/>
              <w:jc w:val="left"/>
            </w:pPr>
            <w:r>
              <w:rPr>
                <w:rFonts w:hint="eastAsia"/>
                <w:color w:val="000000"/>
                <w:szCs w:val="21"/>
              </w:rPr>
              <w:t>基金管理</w:t>
            </w:r>
            <w:proofErr w:type="gramStart"/>
            <w:r>
              <w:rPr>
                <w:rFonts w:hint="eastAsia"/>
                <w:color w:val="000000"/>
                <w:szCs w:val="21"/>
              </w:rPr>
              <w:t>人股东</w:t>
            </w:r>
            <w:proofErr w:type="gramEnd"/>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8560C87" w14:textId="77777777" w:rsidR="00EB155E" w:rsidRDefault="00EB155E">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82B50F6" w14:textId="77777777" w:rsidR="00EB155E" w:rsidRDefault="00EB155E">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0CDD6DD" w14:textId="77777777" w:rsidR="00EB155E" w:rsidRDefault="00EB155E">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3B8D2E5" w14:textId="77777777" w:rsidR="00EB155E" w:rsidRDefault="00EB155E">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47F89A2" w14:textId="77777777" w:rsidR="00EB155E" w:rsidRDefault="00EB155E">
            <w:pPr>
              <w:widowControl/>
              <w:jc w:val="right"/>
            </w:pPr>
            <w:r>
              <w:rPr>
                <w:rFonts w:ascii="宋体" w:hAnsi="宋体" w:hint="eastAsia"/>
                <w:color w:val="000000"/>
                <w:szCs w:val="21"/>
              </w:rPr>
              <w:t>-</w:t>
            </w:r>
          </w:p>
        </w:tc>
      </w:tr>
      <w:tr w:rsidR="007E39FA" w14:paraId="68268CCB" w14:textId="77777777">
        <w:trPr>
          <w:divId w:val="249703782"/>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5EA1829" w14:textId="77777777" w:rsidR="00EB155E" w:rsidRDefault="00EB155E">
            <w:pPr>
              <w:adjustRightInd w:val="0"/>
              <w:snapToGrid w:val="0"/>
              <w:spacing w:line="360" w:lineRule="exact"/>
              <w:jc w:val="left"/>
            </w:pPr>
            <w:r>
              <w:rPr>
                <w:rFonts w:hint="eastAsia"/>
                <w:color w:val="000000"/>
                <w:szCs w:val="21"/>
              </w:rPr>
              <w:t>其他</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0ADCC64" w14:textId="77777777" w:rsidR="00EB155E" w:rsidRDefault="00EB155E">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686D697" w14:textId="77777777" w:rsidR="00EB155E" w:rsidRDefault="00EB155E">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DE35CE3" w14:textId="77777777" w:rsidR="00EB155E" w:rsidRDefault="00EB155E">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66F3806" w14:textId="77777777" w:rsidR="00EB155E" w:rsidRDefault="00EB155E">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3C5038F" w14:textId="77777777" w:rsidR="00EB155E" w:rsidRDefault="00EB155E">
            <w:pPr>
              <w:widowControl/>
              <w:jc w:val="right"/>
            </w:pPr>
            <w:r>
              <w:rPr>
                <w:rFonts w:ascii="宋体" w:hAnsi="宋体" w:hint="eastAsia"/>
                <w:color w:val="000000"/>
                <w:szCs w:val="21"/>
              </w:rPr>
              <w:t>-</w:t>
            </w:r>
          </w:p>
        </w:tc>
      </w:tr>
      <w:tr w:rsidR="007E39FA" w14:paraId="7E03C8EA" w14:textId="77777777">
        <w:trPr>
          <w:divId w:val="249703782"/>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9F42DBA" w14:textId="77777777" w:rsidR="00EB155E" w:rsidRDefault="00EB155E">
            <w:pPr>
              <w:adjustRightInd w:val="0"/>
              <w:snapToGrid w:val="0"/>
              <w:spacing w:line="360" w:lineRule="exact"/>
              <w:jc w:val="left"/>
            </w:pPr>
            <w:r>
              <w:rPr>
                <w:rFonts w:hint="eastAsia"/>
                <w:color w:val="000000"/>
                <w:szCs w:val="21"/>
              </w:rPr>
              <w:t>合计</w:t>
            </w:r>
            <w:r>
              <w:rPr>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78AF437" w14:textId="77777777" w:rsidR="00EB155E" w:rsidRDefault="00EB155E">
            <w:pPr>
              <w:widowControl/>
              <w:jc w:val="right"/>
            </w:pPr>
            <w:r>
              <w:rPr>
                <w:rFonts w:ascii="宋体" w:hAnsi="宋体" w:hint="eastAsia"/>
                <w:color w:val="000000"/>
                <w:szCs w:val="21"/>
              </w:rPr>
              <w:t>10,001,111.19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8C7ABEF" w14:textId="77777777" w:rsidR="00EB155E" w:rsidRDefault="00EB155E">
            <w:pPr>
              <w:widowControl/>
              <w:jc w:val="right"/>
            </w:pPr>
            <w:r>
              <w:rPr>
                <w:rFonts w:ascii="宋体" w:hAnsi="宋体" w:hint="eastAsia"/>
                <w:color w:val="000000"/>
                <w:szCs w:val="21"/>
              </w:rPr>
              <w:t>0.71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F1BD461" w14:textId="77777777" w:rsidR="00EB155E" w:rsidRDefault="00EB155E">
            <w:pPr>
              <w:widowControl/>
              <w:jc w:val="right"/>
            </w:pPr>
            <w:r>
              <w:rPr>
                <w:rFonts w:ascii="宋体" w:hAnsi="宋体" w:hint="eastAsia"/>
                <w:color w:val="000000"/>
                <w:szCs w:val="21"/>
              </w:rPr>
              <w:t>10,001,111.19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9AF5DEF" w14:textId="77777777" w:rsidR="00EB155E" w:rsidRDefault="00EB155E">
            <w:pPr>
              <w:widowControl/>
              <w:jc w:val="right"/>
            </w:pPr>
            <w:r>
              <w:rPr>
                <w:rFonts w:ascii="宋体" w:hAnsi="宋体" w:hint="eastAsia"/>
                <w:color w:val="000000"/>
                <w:szCs w:val="21"/>
              </w:rPr>
              <w:t>0.71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7B38BB7" w14:textId="77777777" w:rsidR="00EB155E" w:rsidRDefault="00EB155E">
            <w:pPr>
              <w:widowControl/>
              <w:jc w:val="right"/>
            </w:pPr>
            <w:r>
              <w:rPr>
                <w:rFonts w:ascii="宋体" w:hAnsi="宋体" w:hint="eastAsia"/>
                <w:color w:val="000000"/>
                <w:szCs w:val="21"/>
              </w:rPr>
              <w:t>3年</w:t>
            </w:r>
          </w:p>
        </w:tc>
      </w:tr>
    </w:tbl>
    <w:p w14:paraId="723FA640" w14:textId="77777777" w:rsidR="00EB155E" w:rsidRDefault="00EB155E">
      <w:pPr>
        <w:pStyle w:val="XBRLTitle1"/>
        <w:spacing w:before="156" w:line="360" w:lineRule="auto"/>
        <w:ind w:left="425"/>
        <w:rPr>
          <w:rFonts w:hint="eastAsia"/>
        </w:rPr>
      </w:pPr>
      <w:bookmarkStart w:id="324" w:name="_Toc512519526"/>
      <w:bookmarkStart w:id="325" w:name="_Toc490050046"/>
      <w:bookmarkStart w:id="326" w:name="_Toc481075094"/>
      <w:bookmarkStart w:id="327" w:name="_Toc479856294"/>
      <w:bookmarkStart w:id="328" w:name="_Toc514178710"/>
      <w:bookmarkStart w:id="329" w:name="m701"/>
      <w:r>
        <w:rPr>
          <w:rFonts w:hint="eastAsia"/>
        </w:rPr>
        <w:t>影响投资者决策的其他重要信息</w:t>
      </w:r>
      <w:bookmarkEnd w:id="324"/>
      <w:bookmarkEnd w:id="325"/>
      <w:bookmarkEnd w:id="326"/>
      <w:bookmarkEnd w:id="327"/>
      <w:bookmarkEnd w:id="328"/>
      <w:r>
        <w:rPr>
          <w:rFonts w:hint="eastAsia"/>
          <w:lang w:eastAsia="zh-CN"/>
        </w:rPr>
        <w:t xml:space="preserve"> </w:t>
      </w:r>
    </w:p>
    <w:p w14:paraId="0ED9DF29" w14:textId="77777777" w:rsidR="00EB155E" w:rsidRDefault="00EB155E">
      <w:pPr>
        <w:pStyle w:val="XBRLTitle2"/>
        <w:spacing w:before="156" w:line="360" w:lineRule="auto"/>
        <w:ind w:left="454"/>
        <w:rPr>
          <w:rFonts w:hint="eastAsia"/>
        </w:rPr>
      </w:pPr>
      <w:bookmarkStart w:id="330" w:name="_Toc512519527"/>
      <w:bookmarkStart w:id="331" w:name="_Toc481075095"/>
      <w:bookmarkStart w:id="332" w:name="_Toc490050047"/>
      <w:bookmarkStart w:id="333" w:name="_Toc514178711"/>
      <w:r>
        <w:rPr>
          <w:rFonts w:hint="eastAsia"/>
          <w:kern w:val="0"/>
        </w:rPr>
        <w:t>报告期内单一投资者持有基金份额比例达到或超过20%的情况</w:t>
      </w:r>
      <w:bookmarkEnd w:id="330"/>
      <w:bookmarkEnd w:id="331"/>
      <w:bookmarkEnd w:id="332"/>
      <w:bookmarkEnd w:id="333"/>
      <w:r>
        <w:rPr>
          <w:rFonts w:hint="eastAsia"/>
          <w:kern w:val="0"/>
          <w:lang w:eastAsia="zh-CN"/>
        </w:rPr>
        <w:t xml:space="preserve"> </w:t>
      </w:r>
    </w:p>
    <w:bookmarkEnd w:id="18"/>
    <w:bookmarkEnd w:id="32"/>
    <w:bookmarkEnd w:id="33"/>
    <w:p w14:paraId="5752EFC0" w14:textId="77777777" w:rsidR="00EB155E" w:rsidRDefault="00EB155E">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23C47A02" w14:textId="77777777" w:rsidR="00EB155E" w:rsidRDefault="00EB155E">
      <w:pPr>
        <w:pStyle w:val="XBRLTitle1"/>
        <w:spacing w:before="156" w:line="360" w:lineRule="auto"/>
        <w:ind w:left="425"/>
        <w:rPr>
          <w:rFonts w:hint="eastAsia"/>
        </w:rPr>
      </w:pPr>
      <w:bookmarkStart w:id="334" w:name="_Toc512519529"/>
      <w:bookmarkStart w:id="335" w:name="_Toc490050049"/>
      <w:bookmarkStart w:id="336" w:name="_Toc481075097"/>
      <w:bookmarkStart w:id="337" w:name="_Toc438646481"/>
      <w:bookmarkStart w:id="338" w:name="_Toc514178713"/>
      <w:bookmarkEnd w:id="329"/>
      <w:r>
        <w:rPr>
          <w:rFonts w:hint="eastAsia"/>
        </w:rPr>
        <w:t>备查文件目录</w:t>
      </w:r>
      <w:bookmarkEnd w:id="334"/>
      <w:bookmarkEnd w:id="335"/>
      <w:bookmarkEnd w:id="336"/>
      <w:bookmarkEnd w:id="337"/>
      <w:bookmarkEnd w:id="338"/>
      <w:r>
        <w:rPr>
          <w:rFonts w:hint="eastAsia"/>
        </w:rPr>
        <w:t xml:space="preserve"> </w:t>
      </w:r>
    </w:p>
    <w:p w14:paraId="43896FB9" w14:textId="77777777" w:rsidR="00EB155E" w:rsidRDefault="00EB155E">
      <w:pPr>
        <w:pStyle w:val="XBRLTitle2"/>
        <w:spacing w:before="156" w:line="360" w:lineRule="auto"/>
        <w:ind w:left="454"/>
        <w:rPr>
          <w:rFonts w:hint="eastAsia"/>
        </w:rPr>
      </w:pPr>
      <w:bookmarkStart w:id="339" w:name="_Toc438646482"/>
      <w:bookmarkStart w:id="340" w:name="_Toc512519530"/>
      <w:bookmarkStart w:id="341" w:name="_Toc481075098"/>
      <w:bookmarkStart w:id="342" w:name="_Toc490050050"/>
      <w:bookmarkStart w:id="343" w:name="_Toc514178714"/>
      <w:bookmarkStart w:id="344" w:name="m801_01_1733"/>
      <w:r>
        <w:rPr>
          <w:rFonts w:hint="eastAsia"/>
        </w:rPr>
        <w:t>备查文件目录</w:t>
      </w:r>
      <w:bookmarkEnd w:id="339"/>
      <w:bookmarkEnd w:id="340"/>
      <w:bookmarkEnd w:id="341"/>
      <w:bookmarkEnd w:id="342"/>
      <w:bookmarkEnd w:id="343"/>
      <w:r>
        <w:rPr>
          <w:rFonts w:hint="eastAsia"/>
        </w:rPr>
        <w:t xml:space="preserve"> </w:t>
      </w:r>
    </w:p>
    <w:p w14:paraId="0A8FF39D" w14:textId="77777777" w:rsidR="00EB155E" w:rsidRDefault="00EB155E">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w:t>
      </w:r>
      <w:proofErr w:type="gramStart"/>
      <w:r>
        <w:rPr>
          <w:rFonts w:ascii="宋体" w:hAnsi="宋体" w:cs="宋体" w:hint="eastAsia"/>
          <w:color w:val="000000"/>
          <w:kern w:val="0"/>
        </w:rPr>
        <w:t>摩根标普</w:t>
      </w:r>
      <w:proofErr w:type="gramEnd"/>
      <w:r>
        <w:rPr>
          <w:rFonts w:ascii="宋体" w:hAnsi="宋体" w:cs="宋体" w:hint="eastAsia"/>
          <w:color w:val="000000"/>
          <w:kern w:val="0"/>
        </w:rPr>
        <w:t>500指数型发起式证券投资基金(QDII)基金合同</w:t>
      </w:r>
      <w:r>
        <w:rPr>
          <w:rFonts w:ascii="宋体" w:hAnsi="宋体" w:cs="宋体" w:hint="eastAsia"/>
          <w:color w:val="000000"/>
          <w:kern w:val="0"/>
        </w:rPr>
        <w:br/>
      </w:r>
      <w:r>
        <w:rPr>
          <w:rFonts w:ascii="宋体" w:hAnsi="宋体" w:cs="宋体" w:hint="eastAsia"/>
          <w:color w:val="000000"/>
          <w:kern w:val="0"/>
        </w:rPr>
        <w:lastRenderedPageBreak/>
        <w:t xml:space="preserve">　　(三)</w:t>
      </w:r>
      <w:proofErr w:type="gramStart"/>
      <w:r>
        <w:rPr>
          <w:rFonts w:ascii="宋体" w:hAnsi="宋体" w:cs="宋体" w:hint="eastAsia"/>
          <w:color w:val="000000"/>
          <w:kern w:val="0"/>
        </w:rPr>
        <w:t>摩根标普</w:t>
      </w:r>
      <w:proofErr w:type="gramEnd"/>
      <w:r>
        <w:rPr>
          <w:rFonts w:ascii="宋体" w:hAnsi="宋体" w:cs="宋体" w:hint="eastAsia"/>
          <w:color w:val="000000"/>
          <w:kern w:val="0"/>
        </w:rPr>
        <w:t>500指数型发起式证券投资基金(QDII)托管协议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4F81749F" w14:textId="77777777" w:rsidR="00EB155E" w:rsidRDefault="00EB155E">
      <w:pPr>
        <w:pStyle w:val="XBRLTitle2"/>
        <w:spacing w:before="156" w:line="360" w:lineRule="auto"/>
        <w:ind w:left="454"/>
        <w:rPr>
          <w:rFonts w:hint="eastAsia"/>
        </w:rPr>
      </w:pPr>
      <w:bookmarkStart w:id="345" w:name="_Toc438646483"/>
      <w:bookmarkStart w:id="346" w:name="_Toc512519531"/>
      <w:bookmarkStart w:id="347" w:name="_Toc481075099"/>
      <w:bookmarkStart w:id="348" w:name="_Toc490050051"/>
      <w:bookmarkStart w:id="349" w:name="_Toc514178715"/>
      <w:bookmarkStart w:id="350" w:name="m801_01_1734"/>
      <w:bookmarkEnd w:id="344"/>
      <w:r>
        <w:rPr>
          <w:rFonts w:hint="eastAsia"/>
        </w:rPr>
        <w:t>存放地点</w:t>
      </w:r>
      <w:bookmarkEnd w:id="345"/>
      <w:bookmarkEnd w:id="346"/>
      <w:bookmarkEnd w:id="347"/>
      <w:bookmarkEnd w:id="348"/>
      <w:bookmarkEnd w:id="349"/>
      <w:r>
        <w:rPr>
          <w:rFonts w:hint="eastAsia"/>
        </w:rPr>
        <w:t xml:space="preserve"> </w:t>
      </w:r>
    </w:p>
    <w:p w14:paraId="3463E682" w14:textId="77777777" w:rsidR="00EB155E" w:rsidRDefault="00EB155E">
      <w:pPr>
        <w:spacing w:line="360" w:lineRule="auto"/>
        <w:ind w:firstLineChars="200" w:firstLine="420"/>
        <w:jc w:val="left"/>
      </w:pPr>
      <w:r>
        <w:rPr>
          <w:rFonts w:ascii="宋体" w:hAnsi="宋体" w:cs="宋体" w:hint="eastAsia"/>
          <w:color w:val="000000"/>
          <w:kern w:val="0"/>
        </w:rPr>
        <w:t>基金管理人或基金托管人住所。</w:t>
      </w:r>
    </w:p>
    <w:p w14:paraId="778ECE88" w14:textId="77777777" w:rsidR="00EB155E" w:rsidRDefault="00EB155E">
      <w:pPr>
        <w:pStyle w:val="XBRLTitle2"/>
        <w:spacing w:before="156" w:line="360" w:lineRule="auto"/>
        <w:ind w:left="454"/>
        <w:rPr>
          <w:rFonts w:hint="eastAsia"/>
        </w:rPr>
      </w:pPr>
      <w:bookmarkStart w:id="351" w:name="_Toc438646484"/>
      <w:bookmarkStart w:id="352" w:name="_Toc512519532"/>
      <w:bookmarkStart w:id="353" w:name="_Toc481075100"/>
      <w:bookmarkStart w:id="354" w:name="_Toc490050052"/>
      <w:bookmarkStart w:id="355" w:name="_Toc514178716"/>
      <w:bookmarkStart w:id="356" w:name="m801_01_1735"/>
      <w:bookmarkEnd w:id="350"/>
      <w:r>
        <w:rPr>
          <w:rFonts w:hint="eastAsia"/>
        </w:rPr>
        <w:t>查阅方式</w:t>
      </w:r>
      <w:bookmarkEnd w:id="351"/>
      <w:bookmarkEnd w:id="352"/>
      <w:bookmarkEnd w:id="353"/>
      <w:bookmarkEnd w:id="354"/>
      <w:bookmarkEnd w:id="355"/>
      <w:r>
        <w:rPr>
          <w:rFonts w:hint="eastAsia"/>
        </w:rPr>
        <w:t xml:space="preserve"> </w:t>
      </w:r>
    </w:p>
    <w:p w14:paraId="3C963849" w14:textId="77777777" w:rsidR="00EB155E" w:rsidRDefault="00EB155E">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56"/>
    <w:p w14:paraId="69FA0C2D" w14:textId="77777777" w:rsidR="00EB155E" w:rsidRDefault="00EB155E">
      <w:pPr>
        <w:spacing w:line="360" w:lineRule="auto"/>
        <w:ind w:firstLineChars="600" w:firstLine="1687"/>
        <w:jc w:val="left"/>
      </w:pPr>
      <w:r>
        <w:rPr>
          <w:rFonts w:ascii="宋体" w:hAnsi="宋体" w:hint="eastAsia"/>
          <w:b/>
          <w:bCs/>
          <w:sz w:val="28"/>
          <w:szCs w:val="30"/>
        </w:rPr>
        <w:t xml:space="preserve">　 </w:t>
      </w:r>
    </w:p>
    <w:p w14:paraId="38B21B60" w14:textId="77777777" w:rsidR="00EB155E" w:rsidRDefault="00EB155E">
      <w:pPr>
        <w:spacing w:line="360" w:lineRule="auto"/>
        <w:ind w:firstLineChars="600" w:firstLine="1687"/>
        <w:jc w:val="left"/>
      </w:pPr>
      <w:r>
        <w:rPr>
          <w:rFonts w:ascii="宋体" w:hAnsi="宋体" w:hint="eastAsia"/>
          <w:b/>
          <w:bCs/>
          <w:sz w:val="28"/>
          <w:szCs w:val="30"/>
        </w:rPr>
        <w:t xml:space="preserve">　 </w:t>
      </w:r>
    </w:p>
    <w:p w14:paraId="23D10379" w14:textId="77777777" w:rsidR="00EB155E" w:rsidRDefault="00EB155E">
      <w:pPr>
        <w:spacing w:line="360" w:lineRule="auto"/>
        <w:ind w:firstLineChars="600" w:firstLine="1446"/>
        <w:jc w:val="right"/>
      </w:pPr>
      <w:r>
        <w:rPr>
          <w:rFonts w:ascii="宋体" w:hAnsi="宋体" w:hint="eastAsia"/>
          <w:b/>
          <w:bCs/>
          <w:sz w:val="24"/>
          <w:szCs w:val="24"/>
        </w:rPr>
        <w:t>摩根基金管理（中国）有限公司</w:t>
      </w:r>
    </w:p>
    <w:p w14:paraId="247F0B61" w14:textId="77777777" w:rsidR="00EB155E" w:rsidRDefault="00EB155E">
      <w:pPr>
        <w:spacing w:line="360" w:lineRule="auto"/>
        <w:ind w:firstLineChars="600" w:firstLine="1446"/>
        <w:jc w:val="right"/>
      </w:pPr>
      <w:r>
        <w:rPr>
          <w:rFonts w:ascii="宋体" w:hAnsi="宋体" w:hint="eastAsia"/>
          <w:b/>
          <w:bCs/>
          <w:sz w:val="24"/>
          <w:szCs w:val="24"/>
        </w:rPr>
        <w:t>2025年7月21日</w:t>
      </w:r>
      <w:bookmarkEnd w:id="19"/>
    </w:p>
    <w:sectPr w:rsidR="00EB155E">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C9C4C" w14:textId="77777777" w:rsidR="00EB155E" w:rsidRDefault="00EB155E">
      <w:pPr>
        <w:rPr>
          <w:szCs w:val="21"/>
        </w:rPr>
      </w:pPr>
      <w:r>
        <w:rPr>
          <w:szCs w:val="21"/>
        </w:rPr>
        <w:separator/>
      </w:r>
      <w:r>
        <w:rPr>
          <w:szCs w:val="21"/>
        </w:rPr>
        <w:t xml:space="preserve"> </w:t>
      </w:r>
    </w:p>
  </w:endnote>
  <w:endnote w:type="continuationSeparator" w:id="0">
    <w:p w14:paraId="68AE7E9B" w14:textId="77777777" w:rsidR="00EB155E" w:rsidRDefault="00EB155E">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F743" w14:textId="77777777" w:rsidR="00EB155E" w:rsidRDefault="00EB155E">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9CCC1" w14:textId="77777777" w:rsidR="00EB155E" w:rsidRDefault="00EB155E">
      <w:pPr>
        <w:rPr>
          <w:szCs w:val="21"/>
        </w:rPr>
      </w:pPr>
      <w:r>
        <w:rPr>
          <w:szCs w:val="21"/>
        </w:rPr>
        <w:separator/>
      </w:r>
      <w:r>
        <w:rPr>
          <w:szCs w:val="21"/>
        </w:rPr>
        <w:t xml:space="preserve"> </w:t>
      </w:r>
    </w:p>
  </w:footnote>
  <w:footnote w:type="continuationSeparator" w:id="0">
    <w:p w14:paraId="69178F38" w14:textId="77777777" w:rsidR="00EB155E" w:rsidRDefault="00EB155E">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2FC9" w14:textId="77777777" w:rsidR="00EB155E" w:rsidRDefault="00EB155E">
    <w:pPr>
      <w:pStyle w:val="a8"/>
      <w:jc w:val="right"/>
    </w:pPr>
    <w:proofErr w:type="gramStart"/>
    <w:r>
      <w:rPr>
        <w:rFonts w:ascii="宋体" w:hAnsi="宋体" w:hint="eastAsia"/>
      </w:rPr>
      <w:t>摩根标普</w:t>
    </w:r>
    <w:proofErr w:type="gramEnd"/>
    <w:r>
      <w:rPr>
        <w:rFonts w:ascii="宋体" w:hAnsi="宋体" w:hint="eastAsia"/>
      </w:rPr>
      <w:t>500指数型发起式证券投资基金(QDII)2025年第2季度报告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5F34B85E"/>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328489124">
    <w:abstractNumId w:val="0"/>
  </w:num>
  <w:num w:numId="2" w16cid:durableId="15240570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993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5E"/>
    <w:rsid w:val="00010AC5"/>
    <w:rsid w:val="00137B4B"/>
    <w:rsid w:val="00617906"/>
    <w:rsid w:val="00684DA9"/>
    <w:rsid w:val="007E39FA"/>
    <w:rsid w:val="00952B47"/>
    <w:rsid w:val="009704DE"/>
    <w:rsid w:val="00B177B5"/>
    <w:rsid w:val="00CB0ADD"/>
    <w:rsid w:val="00D70563"/>
    <w:rsid w:val="00EB1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C6B4563"/>
  <w15:chartTrackingRefBased/>
  <w15:docId w15:val="{89BA6441-3EAD-4074-8FBA-BA44605C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宋体" w:hAnsi="宋体"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宋体" w:hAnsi="宋体"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eastAsia"/>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eastAsia"/>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宋体" w:hAnsi="宋体"/>
      <w:kern w:val="0"/>
      <w:sz w:val="32"/>
      <w:szCs w:val="32"/>
    </w:rPr>
  </w:style>
  <w:style w:type="character" w:customStyle="1" w:styleId="ad">
    <w:name w:val="标题 字符"/>
    <w:basedOn w:val="a0"/>
    <w:uiPriority w:val="10"/>
    <w:locked/>
    <w:rPr>
      <w:rFonts w:asciiTheme="majorHAnsi" w:eastAsiaTheme="majorEastAsia" w:hAnsiTheme="majorHAnsi" w:cstheme="majorBidi" w:hint="eastAsia"/>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宋体" w:hAnsi="宋体"/>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宋体"/>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宋体" w:hAnsi="宋体"/>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firstLine="0"/>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kinsoku w:val="0"/>
      <w:overflowPunct w:val="0"/>
      <w:adjustRightInd w:val="0"/>
      <w:snapToGrid w:val="0"/>
      <w:spacing w:beforeLines="50" w:before="0" w:after="0" w:line="360" w:lineRule="auto"/>
      <w:ind w:firstLine="0"/>
      <w:outlineLvl w:val="9"/>
    </w:pPr>
    <w:rPr>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eastAsia"/>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eastAsia"/>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eastAsia"/>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eastAsia="宋体" w:hAnsiTheme="majorHAnsi" w:cstheme="majorBidi" w:hint="eastAsia"/>
      <w:b/>
      <w:bCs/>
      <w:kern w:val="2"/>
      <w:sz w:val="32"/>
      <w:szCs w:val="32"/>
    </w:rPr>
  </w:style>
  <w:style w:type="character" w:customStyle="1" w:styleId="Char4">
    <w:name w:val="副标题 Char"/>
    <w:basedOn w:val="a0"/>
    <w:locked/>
    <w:rPr>
      <w:rFonts w:asciiTheme="majorHAnsi" w:eastAsia="宋体" w:hAnsiTheme="majorHAnsi" w:cstheme="majorBidi" w:hint="eastAsia"/>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宋体" w:eastAsia="宋体" w:hAnsi="宋体" w:cs="Times New Roman" w:hint="eastAsia"/>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宋体" w:eastAsia="宋体" w:hAnsi="宋体" w:cs="Times New Roman" w:hint="eastAsia"/>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宋体" w:eastAsia="宋体" w:hAnsi="宋体" w:cs="Times New Roman" w:hint="eastAsia"/>
      <w:b/>
      <w:bCs/>
      <w:sz w:val="32"/>
      <w:szCs w:val="32"/>
    </w:rPr>
  </w:style>
  <w:style w:type="character" w:customStyle="1" w:styleId="15">
    <w:name w:val="副标题 字符1"/>
    <w:link w:val="ae"/>
    <w:locked/>
    <w:rPr>
      <w:rFonts w:ascii="宋体" w:eastAsia="宋体" w:hAnsi="宋体" w:cs="Times New Roman" w:hint="eastAsia"/>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eastAsia"/>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 w:type="paragraph" w:styleId="af9">
    <w:name w:val="Revision"/>
    <w:hidden/>
    <w:uiPriority w:val="99"/>
    <w:semiHidden/>
    <w:rsid w:val="00010AC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6716">
      <w:marLeft w:val="0"/>
      <w:marRight w:val="0"/>
      <w:marTop w:val="0"/>
      <w:marBottom w:val="0"/>
      <w:divBdr>
        <w:top w:val="none" w:sz="0" w:space="0" w:color="auto"/>
        <w:left w:val="none" w:sz="0" w:space="0" w:color="auto"/>
        <w:bottom w:val="none" w:sz="0" w:space="0" w:color="auto"/>
        <w:right w:val="none" w:sz="0" w:space="0" w:color="auto"/>
      </w:divBdr>
    </w:div>
    <w:div w:id="89981543">
      <w:marLeft w:val="0"/>
      <w:marRight w:val="0"/>
      <w:marTop w:val="0"/>
      <w:marBottom w:val="0"/>
      <w:divBdr>
        <w:top w:val="none" w:sz="0" w:space="0" w:color="auto"/>
        <w:left w:val="none" w:sz="0" w:space="0" w:color="auto"/>
        <w:bottom w:val="none" w:sz="0" w:space="0" w:color="auto"/>
        <w:right w:val="none" w:sz="0" w:space="0" w:color="auto"/>
      </w:divBdr>
      <w:divsChild>
        <w:div w:id="747924978">
          <w:marLeft w:val="0"/>
          <w:marRight w:val="0"/>
          <w:marTop w:val="0"/>
          <w:marBottom w:val="0"/>
          <w:divBdr>
            <w:top w:val="none" w:sz="0" w:space="0" w:color="auto"/>
            <w:left w:val="none" w:sz="0" w:space="0" w:color="auto"/>
            <w:bottom w:val="none" w:sz="0" w:space="0" w:color="auto"/>
            <w:right w:val="none" w:sz="0" w:space="0" w:color="auto"/>
          </w:divBdr>
        </w:div>
      </w:divsChild>
    </w:div>
    <w:div w:id="197858282">
      <w:marLeft w:val="0"/>
      <w:marRight w:val="0"/>
      <w:marTop w:val="0"/>
      <w:marBottom w:val="0"/>
      <w:divBdr>
        <w:top w:val="none" w:sz="0" w:space="0" w:color="auto"/>
        <w:left w:val="none" w:sz="0" w:space="0" w:color="auto"/>
        <w:bottom w:val="none" w:sz="0" w:space="0" w:color="auto"/>
        <w:right w:val="none" w:sz="0" w:space="0" w:color="auto"/>
      </w:divBdr>
    </w:div>
    <w:div w:id="249703782">
      <w:marLeft w:val="0"/>
      <w:marRight w:val="0"/>
      <w:marTop w:val="0"/>
      <w:marBottom w:val="0"/>
      <w:divBdr>
        <w:top w:val="none" w:sz="0" w:space="0" w:color="auto"/>
        <w:left w:val="none" w:sz="0" w:space="0" w:color="auto"/>
        <w:bottom w:val="none" w:sz="0" w:space="0" w:color="auto"/>
        <w:right w:val="none" w:sz="0" w:space="0" w:color="auto"/>
      </w:divBdr>
    </w:div>
    <w:div w:id="401176811">
      <w:marLeft w:val="0"/>
      <w:marRight w:val="0"/>
      <w:marTop w:val="0"/>
      <w:marBottom w:val="0"/>
      <w:divBdr>
        <w:top w:val="none" w:sz="0" w:space="0" w:color="auto"/>
        <w:left w:val="none" w:sz="0" w:space="0" w:color="auto"/>
        <w:bottom w:val="none" w:sz="0" w:space="0" w:color="auto"/>
        <w:right w:val="none" w:sz="0" w:space="0" w:color="auto"/>
      </w:divBdr>
    </w:div>
    <w:div w:id="540171455">
      <w:marLeft w:val="0"/>
      <w:marRight w:val="0"/>
      <w:marTop w:val="0"/>
      <w:marBottom w:val="0"/>
      <w:divBdr>
        <w:top w:val="none" w:sz="0" w:space="0" w:color="auto"/>
        <w:left w:val="none" w:sz="0" w:space="0" w:color="auto"/>
        <w:bottom w:val="none" w:sz="0" w:space="0" w:color="auto"/>
        <w:right w:val="none" w:sz="0" w:space="0" w:color="auto"/>
      </w:divBdr>
    </w:div>
    <w:div w:id="723599171">
      <w:marLeft w:val="0"/>
      <w:marRight w:val="0"/>
      <w:marTop w:val="0"/>
      <w:marBottom w:val="0"/>
      <w:divBdr>
        <w:top w:val="none" w:sz="0" w:space="0" w:color="auto"/>
        <w:left w:val="none" w:sz="0" w:space="0" w:color="auto"/>
        <w:bottom w:val="none" w:sz="0" w:space="0" w:color="auto"/>
        <w:right w:val="none" w:sz="0" w:space="0" w:color="auto"/>
      </w:divBdr>
    </w:div>
    <w:div w:id="846091521">
      <w:marLeft w:val="0"/>
      <w:marRight w:val="0"/>
      <w:marTop w:val="0"/>
      <w:marBottom w:val="0"/>
      <w:divBdr>
        <w:top w:val="none" w:sz="0" w:space="0" w:color="auto"/>
        <w:left w:val="none" w:sz="0" w:space="0" w:color="auto"/>
        <w:bottom w:val="none" w:sz="0" w:space="0" w:color="auto"/>
        <w:right w:val="none" w:sz="0" w:space="0" w:color="auto"/>
      </w:divBdr>
    </w:div>
    <w:div w:id="865678319">
      <w:marLeft w:val="0"/>
      <w:marRight w:val="0"/>
      <w:marTop w:val="0"/>
      <w:marBottom w:val="0"/>
      <w:divBdr>
        <w:top w:val="none" w:sz="0" w:space="0" w:color="auto"/>
        <w:left w:val="none" w:sz="0" w:space="0" w:color="auto"/>
        <w:bottom w:val="none" w:sz="0" w:space="0" w:color="auto"/>
        <w:right w:val="none" w:sz="0" w:space="0" w:color="auto"/>
      </w:divBdr>
    </w:div>
    <w:div w:id="901212913">
      <w:marLeft w:val="0"/>
      <w:marRight w:val="0"/>
      <w:marTop w:val="0"/>
      <w:marBottom w:val="0"/>
      <w:divBdr>
        <w:top w:val="none" w:sz="0" w:space="0" w:color="auto"/>
        <w:left w:val="none" w:sz="0" w:space="0" w:color="auto"/>
        <w:bottom w:val="none" w:sz="0" w:space="0" w:color="auto"/>
        <w:right w:val="none" w:sz="0" w:space="0" w:color="auto"/>
      </w:divBdr>
    </w:div>
    <w:div w:id="949355412">
      <w:marLeft w:val="0"/>
      <w:marRight w:val="0"/>
      <w:marTop w:val="0"/>
      <w:marBottom w:val="0"/>
      <w:divBdr>
        <w:top w:val="none" w:sz="0" w:space="0" w:color="auto"/>
        <w:left w:val="none" w:sz="0" w:space="0" w:color="auto"/>
        <w:bottom w:val="none" w:sz="0" w:space="0" w:color="auto"/>
        <w:right w:val="none" w:sz="0" w:space="0" w:color="auto"/>
      </w:divBdr>
      <w:divsChild>
        <w:div w:id="904225076">
          <w:marLeft w:val="0"/>
          <w:marRight w:val="0"/>
          <w:marTop w:val="0"/>
          <w:marBottom w:val="0"/>
          <w:divBdr>
            <w:top w:val="none" w:sz="0" w:space="0" w:color="auto"/>
            <w:left w:val="none" w:sz="0" w:space="0" w:color="auto"/>
            <w:bottom w:val="none" w:sz="0" w:space="0" w:color="auto"/>
            <w:right w:val="none" w:sz="0" w:space="0" w:color="auto"/>
          </w:divBdr>
        </w:div>
      </w:divsChild>
    </w:div>
    <w:div w:id="1037924040">
      <w:bodyDiv w:val="1"/>
      <w:marLeft w:val="0"/>
      <w:marRight w:val="0"/>
      <w:marTop w:val="0"/>
      <w:marBottom w:val="0"/>
      <w:divBdr>
        <w:top w:val="none" w:sz="0" w:space="0" w:color="auto"/>
        <w:left w:val="none" w:sz="0" w:space="0" w:color="auto"/>
        <w:bottom w:val="none" w:sz="0" w:space="0" w:color="auto"/>
        <w:right w:val="none" w:sz="0" w:space="0" w:color="auto"/>
      </w:divBdr>
    </w:div>
    <w:div w:id="1048602720">
      <w:marLeft w:val="0"/>
      <w:marRight w:val="0"/>
      <w:marTop w:val="0"/>
      <w:marBottom w:val="0"/>
      <w:divBdr>
        <w:top w:val="none" w:sz="0" w:space="0" w:color="auto"/>
        <w:left w:val="none" w:sz="0" w:space="0" w:color="auto"/>
        <w:bottom w:val="none" w:sz="0" w:space="0" w:color="auto"/>
        <w:right w:val="none" w:sz="0" w:space="0" w:color="auto"/>
      </w:divBdr>
    </w:div>
    <w:div w:id="1207376526">
      <w:bodyDiv w:val="1"/>
      <w:marLeft w:val="0"/>
      <w:marRight w:val="0"/>
      <w:marTop w:val="0"/>
      <w:marBottom w:val="0"/>
      <w:divBdr>
        <w:top w:val="none" w:sz="0" w:space="0" w:color="auto"/>
        <w:left w:val="none" w:sz="0" w:space="0" w:color="auto"/>
        <w:bottom w:val="none" w:sz="0" w:space="0" w:color="auto"/>
        <w:right w:val="none" w:sz="0" w:space="0" w:color="auto"/>
      </w:divBdr>
    </w:div>
    <w:div w:id="1270815967">
      <w:marLeft w:val="0"/>
      <w:marRight w:val="0"/>
      <w:marTop w:val="0"/>
      <w:marBottom w:val="0"/>
      <w:divBdr>
        <w:top w:val="none" w:sz="0" w:space="0" w:color="auto"/>
        <w:left w:val="none" w:sz="0" w:space="0" w:color="auto"/>
        <w:bottom w:val="none" w:sz="0" w:space="0" w:color="auto"/>
        <w:right w:val="none" w:sz="0" w:space="0" w:color="auto"/>
      </w:divBdr>
    </w:div>
    <w:div w:id="1434859149">
      <w:marLeft w:val="0"/>
      <w:marRight w:val="0"/>
      <w:marTop w:val="0"/>
      <w:marBottom w:val="0"/>
      <w:divBdr>
        <w:top w:val="none" w:sz="0" w:space="0" w:color="auto"/>
        <w:left w:val="none" w:sz="0" w:space="0" w:color="auto"/>
        <w:bottom w:val="none" w:sz="0" w:space="0" w:color="auto"/>
        <w:right w:val="none" w:sz="0" w:space="0" w:color="auto"/>
      </w:divBdr>
    </w:div>
    <w:div w:id="1467580354">
      <w:marLeft w:val="0"/>
      <w:marRight w:val="0"/>
      <w:marTop w:val="0"/>
      <w:marBottom w:val="0"/>
      <w:divBdr>
        <w:top w:val="none" w:sz="0" w:space="0" w:color="auto"/>
        <w:left w:val="none" w:sz="0" w:space="0" w:color="auto"/>
        <w:bottom w:val="none" w:sz="0" w:space="0" w:color="auto"/>
        <w:right w:val="none" w:sz="0" w:space="0" w:color="auto"/>
      </w:divBdr>
      <w:divsChild>
        <w:div w:id="268707832">
          <w:marLeft w:val="0"/>
          <w:marRight w:val="0"/>
          <w:marTop w:val="0"/>
          <w:marBottom w:val="0"/>
          <w:divBdr>
            <w:top w:val="none" w:sz="0" w:space="0" w:color="auto"/>
            <w:left w:val="none" w:sz="0" w:space="0" w:color="auto"/>
            <w:bottom w:val="none" w:sz="0" w:space="0" w:color="auto"/>
            <w:right w:val="none" w:sz="0" w:space="0" w:color="auto"/>
          </w:divBdr>
        </w:div>
      </w:divsChild>
    </w:div>
    <w:div w:id="1488014291">
      <w:marLeft w:val="0"/>
      <w:marRight w:val="0"/>
      <w:marTop w:val="0"/>
      <w:marBottom w:val="0"/>
      <w:divBdr>
        <w:top w:val="none" w:sz="0" w:space="0" w:color="auto"/>
        <w:left w:val="none" w:sz="0" w:space="0" w:color="auto"/>
        <w:bottom w:val="none" w:sz="0" w:space="0" w:color="auto"/>
        <w:right w:val="none" w:sz="0" w:space="0" w:color="auto"/>
      </w:divBdr>
    </w:div>
    <w:div w:id="1514303959">
      <w:marLeft w:val="0"/>
      <w:marRight w:val="0"/>
      <w:marTop w:val="0"/>
      <w:marBottom w:val="0"/>
      <w:divBdr>
        <w:top w:val="none" w:sz="0" w:space="0" w:color="auto"/>
        <w:left w:val="none" w:sz="0" w:space="0" w:color="auto"/>
        <w:bottom w:val="none" w:sz="0" w:space="0" w:color="auto"/>
        <w:right w:val="none" w:sz="0" w:space="0" w:color="auto"/>
      </w:divBdr>
      <w:divsChild>
        <w:div w:id="2008167166">
          <w:marLeft w:val="0"/>
          <w:marRight w:val="0"/>
          <w:marTop w:val="0"/>
          <w:marBottom w:val="0"/>
          <w:divBdr>
            <w:top w:val="none" w:sz="0" w:space="0" w:color="auto"/>
            <w:left w:val="none" w:sz="0" w:space="0" w:color="auto"/>
            <w:bottom w:val="none" w:sz="0" w:space="0" w:color="auto"/>
            <w:right w:val="none" w:sz="0" w:space="0" w:color="auto"/>
          </w:divBdr>
          <w:divsChild>
            <w:div w:id="17263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0245">
      <w:marLeft w:val="0"/>
      <w:marRight w:val="0"/>
      <w:marTop w:val="0"/>
      <w:marBottom w:val="0"/>
      <w:divBdr>
        <w:top w:val="none" w:sz="0" w:space="0" w:color="auto"/>
        <w:left w:val="none" w:sz="0" w:space="0" w:color="auto"/>
        <w:bottom w:val="none" w:sz="0" w:space="0" w:color="auto"/>
        <w:right w:val="none" w:sz="0" w:space="0" w:color="auto"/>
      </w:divBdr>
    </w:div>
    <w:div w:id="2005547054">
      <w:marLeft w:val="0"/>
      <w:marRight w:val="0"/>
      <w:marTop w:val="0"/>
      <w:marBottom w:val="0"/>
      <w:divBdr>
        <w:top w:val="none" w:sz="0" w:space="0" w:color="auto"/>
        <w:left w:val="none" w:sz="0" w:space="0" w:color="auto"/>
        <w:bottom w:val="none" w:sz="0" w:space="0" w:color="auto"/>
        <w:right w:val="none" w:sz="0" w:space="0" w:color="auto"/>
      </w:divBdr>
    </w:div>
    <w:div w:id="2093693581">
      <w:marLeft w:val="0"/>
      <w:marRight w:val="0"/>
      <w:marTop w:val="0"/>
      <w:marBottom w:val="0"/>
      <w:divBdr>
        <w:top w:val="none" w:sz="0" w:space="0" w:color="auto"/>
        <w:left w:val="none" w:sz="0" w:space="0" w:color="auto"/>
        <w:bottom w:val="none" w:sz="0" w:space="0" w:color="auto"/>
        <w:right w:val="none" w:sz="0" w:space="0" w:color="auto"/>
      </w:divBdr>
    </w:div>
    <w:div w:id="210537206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6F4AA-8318-473F-89A5-67A44F900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6477</Words>
  <Characters>2671</Characters>
  <Application>Microsoft Office Word</Application>
  <DocSecurity>0</DocSecurity>
  <Lines>22</Lines>
  <Paragraphs>18</Paragraphs>
  <ScaleCrop>false</ScaleCrop>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QD指数季报</dc:title>
  <dc:subject/>
  <dc:creator>yss</dc:creator>
  <cp:keywords/>
  <dc:description/>
  <cp:lastModifiedBy>Melody.Ling@FA</cp:lastModifiedBy>
  <cp:revision>6</cp:revision>
  <dcterms:created xsi:type="dcterms:W3CDTF">2025-07-14T11:52:00Z</dcterms:created>
  <dcterms:modified xsi:type="dcterms:W3CDTF">2025-07-18T08:52:00Z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