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E41C4" w14:textId="77777777" w:rsidR="005126A0" w:rsidRDefault="005126A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1ADBB5E" w14:textId="77777777" w:rsidR="005126A0" w:rsidRDefault="005126A0">
      <w:pPr>
        <w:spacing w:line="360" w:lineRule="auto"/>
        <w:rPr>
          <w:rFonts w:ascii="宋体" w:hAnsi="宋体" w:hint="eastAsia"/>
          <w:sz w:val="48"/>
        </w:rPr>
      </w:pPr>
      <w:r>
        <w:rPr>
          <w:rFonts w:ascii="宋体" w:hAnsi="宋体" w:hint="eastAsia"/>
          <w:sz w:val="48"/>
        </w:rPr>
        <w:t xml:space="preserve">　 </w:t>
      </w:r>
    </w:p>
    <w:p w14:paraId="70F9E3B5" w14:textId="77777777" w:rsidR="005126A0" w:rsidRDefault="005126A0">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瑞享纯债</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2025年第4季度报告</w:t>
      </w:r>
    </w:p>
    <w:p w14:paraId="3DA1796F" w14:textId="3264F8EF"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r w:rsidR="00492329">
        <w:rPr>
          <w:rFonts w:ascii="宋体" w:hAnsi="宋体"/>
          <w:sz w:val="28"/>
          <w:szCs w:val="30"/>
        </w:rPr>
        <w:t xml:space="preserve"> </w:t>
      </w:r>
    </w:p>
    <w:p w14:paraId="76BC79B4" w14:textId="77777777" w:rsidR="005126A0" w:rsidRDefault="005126A0">
      <w:pPr>
        <w:spacing w:line="360" w:lineRule="auto"/>
        <w:jc w:val="center"/>
      </w:pPr>
      <w:r>
        <w:rPr>
          <w:rFonts w:ascii="宋体" w:hAnsi="宋体" w:hint="eastAsia"/>
          <w:b/>
          <w:bCs/>
          <w:sz w:val="28"/>
          <w:szCs w:val="30"/>
        </w:rPr>
        <w:t>2025年12月31日</w:t>
      </w:r>
    </w:p>
    <w:p w14:paraId="3795DB30"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0B069064"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15DDF88A"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7F94800D" w14:textId="77777777" w:rsidR="005126A0" w:rsidRDefault="005126A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F015C38"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723BC6F4"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7A4C6D28"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610494BC"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07CADE38"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0CBBCFBB"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1C1CF40E" w14:textId="77777777" w:rsidR="005126A0" w:rsidRDefault="005126A0">
      <w:pPr>
        <w:spacing w:line="360" w:lineRule="auto"/>
        <w:jc w:val="center"/>
        <w:rPr>
          <w:rFonts w:ascii="宋体" w:hAnsi="宋体" w:hint="eastAsia"/>
          <w:sz w:val="28"/>
          <w:szCs w:val="30"/>
        </w:rPr>
      </w:pPr>
      <w:r>
        <w:rPr>
          <w:rFonts w:ascii="宋体" w:hAnsi="宋体" w:hint="eastAsia"/>
          <w:sz w:val="28"/>
          <w:szCs w:val="30"/>
        </w:rPr>
        <w:t xml:space="preserve">　 </w:t>
      </w:r>
    </w:p>
    <w:p w14:paraId="1DCB7CA1" w14:textId="77777777" w:rsidR="005126A0" w:rsidRDefault="005126A0">
      <w:pPr>
        <w:spacing w:line="360" w:lineRule="auto"/>
        <w:ind w:firstLineChars="800" w:firstLine="2249"/>
        <w:jc w:val="left"/>
      </w:pPr>
      <w:r>
        <w:rPr>
          <w:rFonts w:ascii="宋体" w:hAnsi="宋体" w:hint="eastAsia"/>
          <w:b/>
          <w:bCs/>
          <w:sz w:val="28"/>
          <w:szCs w:val="30"/>
        </w:rPr>
        <w:t>基金管理人：摩根基金管理（中国）有限公司</w:t>
      </w:r>
    </w:p>
    <w:p w14:paraId="2278E12A" w14:textId="77777777" w:rsidR="005126A0" w:rsidRDefault="005126A0">
      <w:pPr>
        <w:spacing w:line="360" w:lineRule="auto"/>
        <w:ind w:firstLineChars="800" w:firstLine="2249"/>
        <w:jc w:val="left"/>
      </w:pPr>
      <w:r>
        <w:rPr>
          <w:rFonts w:ascii="宋体" w:hAnsi="宋体" w:hint="eastAsia"/>
          <w:b/>
          <w:bCs/>
          <w:sz w:val="28"/>
          <w:szCs w:val="30"/>
        </w:rPr>
        <w:t>基金托管人：中国邮政储蓄银行股份有限公司</w:t>
      </w:r>
    </w:p>
    <w:p w14:paraId="1262D656" w14:textId="77777777" w:rsidR="005126A0" w:rsidRDefault="005126A0">
      <w:pPr>
        <w:spacing w:line="360" w:lineRule="auto"/>
        <w:ind w:firstLineChars="800" w:firstLine="2249"/>
        <w:jc w:val="left"/>
      </w:pPr>
      <w:r>
        <w:rPr>
          <w:rFonts w:ascii="宋体" w:hAnsi="宋体" w:hint="eastAsia"/>
          <w:b/>
          <w:bCs/>
          <w:sz w:val="28"/>
          <w:szCs w:val="30"/>
        </w:rPr>
        <w:t>报告送出日期：2026年1月22日</w:t>
      </w:r>
    </w:p>
    <w:p w14:paraId="74C55F0E" w14:textId="77777777" w:rsidR="005126A0" w:rsidRDefault="005126A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2DC96AB" w14:textId="77777777" w:rsidR="005126A0" w:rsidRDefault="005126A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38CFE40" w14:textId="77777777" w:rsidR="005126A0" w:rsidRDefault="005126A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30869" w14:paraId="3678542F" w14:textId="77777777">
        <w:trPr>
          <w:divId w:val="190016792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302DF2E" w14:textId="77777777" w:rsidR="005126A0" w:rsidRDefault="005126A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899FD" w14:textId="77777777" w:rsidR="005126A0" w:rsidRDefault="005126A0">
            <w:pPr>
              <w:jc w:val="left"/>
            </w:pPr>
            <w:r>
              <w:rPr>
                <w:rFonts w:ascii="宋体" w:hAnsi="宋体" w:hint="eastAsia"/>
                <w:szCs w:val="24"/>
                <w:lang w:eastAsia="zh-Hans"/>
              </w:rPr>
              <w:t>摩根瑞享纯债债券</w:t>
            </w:r>
            <w:r>
              <w:rPr>
                <w:rFonts w:ascii="宋体" w:hAnsi="宋体" w:hint="eastAsia"/>
                <w:lang w:eastAsia="zh-Hans"/>
              </w:rPr>
              <w:t xml:space="preserve"> </w:t>
            </w:r>
          </w:p>
        </w:tc>
      </w:tr>
      <w:tr w:rsidR="00330869" w14:paraId="075ED76B"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424E50" w14:textId="77777777" w:rsidR="005126A0" w:rsidRDefault="005126A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C33898" w14:textId="77777777" w:rsidR="005126A0" w:rsidRDefault="005126A0">
            <w:pPr>
              <w:jc w:val="left"/>
            </w:pPr>
            <w:r>
              <w:rPr>
                <w:rFonts w:ascii="宋体" w:hAnsi="宋体" w:hint="eastAsia"/>
                <w:lang w:eastAsia="zh-Hans"/>
              </w:rPr>
              <w:t>016210</w:t>
            </w:r>
          </w:p>
        </w:tc>
      </w:tr>
      <w:tr w:rsidR="00330869" w14:paraId="602025D9"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7AE030" w14:textId="77777777" w:rsidR="005126A0" w:rsidRDefault="005126A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F773BE" w14:textId="77777777" w:rsidR="005126A0" w:rsidRDefault="005126A0">
            <w:pPr>
              <w:jc w:val="left"/>
            </w:pPr>
            <w:r>
              <w:rPr>
                <w:rFonts w:ascii="宋体" w:hAnsi="宋体" w:hint="eastAsia"/>
                <w:lang w:eastAsia="zh-Hans"/>
              </w:rPr>
              <w:t>契约型开放式</w:t>
            </w:r>
          </w:p>
        </w:tc>
      </w:tr>
      <w:tr w:rsidR="00330869" w14:paraId="7621EF3F"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58F057" w14:textId="77777777" w:rsidR="005126A0" w:rsidRDefault="005126A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0912C6" w14:textId="77777777" w:rsidR="005126A0" w:rsidRDefault="005126A0">
            <w:pPr>
              <w:jc w:val="left"/>
            </w:pPr>
            <w:r>
              <w:rPr>
                <w:rFonts w:ascii="宋体" w:hAnsi="宋体" w:hint="eastAsia"/>
                <w:lang w:eastAsia="zh-Hans"/>
              </w:rPr>
              <w:t>2022年10月24日</w:t>
            </w:r>
          </w:p>
        </w:tc>
      </w:tr>
      <w:tr w:rsidR="00330869" w14:paraId="65287A72"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E4425E" w14:textId="77777777" w:rsidR="005126A0" w:rsidRDefault="005126A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D2DB00" w14:textId="77777777" w:rsidR="005126A0" w:rsidRDefault="005126A0">
            <w:pPr>
              <w:jc w:val="left"/>
            </w:pPr>
            <w:r>
              <w:rPr>
                <w:rFonts w:ascii="宋体" w:hAnsi="宋体" w:hint="eastAsia"/>
                <w:lang w:eastAsia="zh-Hans"/>
              </w:rPr>
              <w:t>241,513,704.26</w:t>
            </w:r>
            <w:r>
              <w:rPr>
                <w:rFonts w:hint="eastAsia"/>
              </w:rPr>
              <w:t>份</w:t>
            </w:r>
            <w:r>
              <w:rPr>
                <w:rFonts w:ascii="宋体" w:hAnsi="宋体" w:hint="eastAsia"/>
                <w:lang w:eastAsia="zh-Hans"/>
              </w:rPr>
              <w:t xml:space="preserve"> </w:t>
            </w:r>
          </w:p>
        </w:tc>
      </w:tr>
      <w:tr w:rsidR="00330869" w14:paraId="6621DF73"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EE5362" w14:textId="77777777" w:rsidR="005126A0" w:rsidRDefault="005126A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01CCFD" w14:textId="77777777" w:rsidR="005126A0" w:rsidRDefault="005126A0">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330869" w14:paraId="29B3598A"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861AF1" w14:textId="77777777" w:rsidR="005126A0" w:rsidRDefault="005126A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4530F" w14:textId="77777777" w:rsidR="005126A0" w:rsidRDefault="005126A0">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r>
            <w:r>
              <w:rPr>
                <w:rFonts w:ascii="宋体" w:hAnsi="宋体" w:hint="eastAsia"/>
                <w:lang w:eastAsia="zh-Hans"/>
              </w:rPr>
              <w:lastRenderedPageBreak/>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5、其他投资策略：包括回购策略、证券公司短期公司债券投资策略</w:t>
            </w:r>
          </w:p>
        </w:tc>
      </w:tr>
      <w:tr w:rsidR="00330869" w14:paraId="7D5AE160"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7EDCF8" w14:textId="77777777" w:rsidR="005126A0" w:rsidRDefault="005126A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00E20" w14:textId="77777777" w:rsidR="005126A0" w:rsidRDefault="005126A0">
            <w:pPr>
              <w:jc w:val="left"/>
            </w:pPr>
            <w:r>
              <w:rPr>
                <w:rFonts w:ascii="宋体" w:hAnsi="宋体" w:hint="eastAsia"/>
                <w:lang w:eastAsia="zh-Hans"/>
              </w:rPr>
              <w:t>中债综合全价（总值）指数收益率×95%+银行活期存款利率（税后）×5%</w:t>
            </w:r>
          </w:p>
        </w:tc>
      </w:tr>
      <w:tr w:rsidR="00330869" w14:paraId="359CAD49"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85148A" w14:textId="77777777" w:rsidR="005126A0" w:rsidRDefault="005126A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71C4ED" w14:textId="77777777" w:rsidR="005126A0" w:rsidRDefault="005126A0">
            <w:pPr>
              <w:jc w:val="left"/>
            </w:pPr>
            <w:r>
              <w:rPr>
                <w:rFonts w:ascii="宋体" w:hAnsi="宋体" w:hint="eastAsia"/>
                <w:lang w:eastAsia="zh-Hans"/>
              </w:rPr>
              <w:t>本基金为债券型基金，其预期风险与预期收益高于货币市场基金，低于混合型基金和股票型基金。</w:t>
            </w:r>
          </w:p>
        </w:tc>
      </w:tr>
      <w:tr w:rsidR="00330869" w14:paraId="70DDEF4B"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0A6A8" w14:textId="77777777" w:rsidR="005126A0" w:rsidRDefault="005126A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F64C67" w14:textId="77777777" w:rsidR="005126A0" w:rsidRDefault="005126A0">
            <w:pPr>
              <w:jc w:val="left"/>
            </w:pPr>
            <w:r>
              <w:rPr>
                <w:rFonts w:ascii="宋体" w:hAnsi="宋体" w:hint="eastAsia"/>
                <w:lang w:eastAsia="zh-Hans"/>
              </w:rPr>
              <w:t>摩根基金管理（中国）有限公司</w:t>
            </w:r>
          </w:p>
        </w:tc>
      </w:tr>
      <w:tr w:rsidR="00330869" w14:paraId="2CF64110" w14:textId="77777777">
        <w:trPr>
          <w:divId w:val="190016792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321552" w14:textId="77777777" w:rsidR="005126A0" w:rsidRDefault="005126A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68B50B" w14:textId="77777777" w:rsidR="005126A0" w:rsidRDefault="005126A0">
            <w:pPr>
              <w:jc w:val="left"/>
            </w:pPr>
            <w:r>
              <w:rPr>
                <w:rFonts w:ascii="宋体" w:hAnsi="宋体" w:hint="eastAsia"/>
                <w:lang w:eastAsia="zh-Hans"/>
              </w:rPr>
              <w:t>中国邮政储蓄银行股份有限公司</w:t>
            </w:r>
          </w:p>
        </w:tc>
      </w:tr>
      <w:tr w:rsidR="00330869" w14:paraId="1317DD85" w14:textId="77777777">
        <w:trPr>
          <w:divId w:val="19001679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AC306" w14:textId="77777777" w:rsidR="005126A0" w:rsidRDefault="005126A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8B092" w14:textId="77777777" w:rsidR="005126A0" w:rsidRDefault="005126A0">
            <w:pPr>
              <w:jc w:val="center"/>
            </w:pPr>
            <w:r>
              <w:rPr>
                <w:rFonts w:ascii="宋体" w:hAnsi="宋体" w:hint="eastAsia"/>
                <w:lang w:eastAsia="zh-Hans"/>
              </w:rPr>
              <w:t>摩根瑞享纯债债券A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AA064" w14:textId="77777777" w:rsidR="005126A0" w:rsidRDefault="005126A0">
            <w:pPr>
              <w:jc w:val="center"/>
            </w:pPr>
            <w:r>
              <w:rPr>
                <w:rFonts w:ascii="宋体" w:hAnsi="宋体" w:hint="eastAsia"/>
                <w:lang w:eastAsia="zh-Hans"/>
              </w:rPr>
              <w:t>摩根瑞享纯债债券C</w:t>
            </w:r>
            <w:r>
              <w:rPr>
                <w:rFonts w:ascii="宋体" w:hAnsi="宋体" w:hint="eastAsia"/>
                <w:kern w:val="0"/>
                <w:sz w:val="20"/>
                <w:lang w:eastAsia="zh-Hans"/>
              </w:rPr>
              <w:t xml:space="preserve"> </w:t>
            </w:r>
          </w:p>
        </w:tc>
      </w:tr>
      <w:tr w:rsidR="00330869" w14:paraId="391ACC68" w14:textId="77777777">
        <w:trPr>
          <w:divId w:val="19001679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99EBD8" w14:textId="77777777" w:rsidR="005126A0" w:rsidRDefault="005126A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97D9B" w14:textId="77777777" w:rsidR="005126A0" w:rsidRDefault="005126A0">
            <w:pPr>
              <w:jc w:val="center"/>
            </w:pPr>
            <w:r>
              <w:rPr>
                <w:rFonts w:ascii="宋体" w:hAnsi="宋体" w:hint="eastAsia"/>
                <w:lang w:eastAsia="zh-Hans"/>
              </w:rPr>
              <w:t>016210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548FBC" w14:textId="77777777" w:rsidR="005126A0" w:rsidRDefault="005126A0">
            <w:pPr>
              <w:jc w:val="center"/>
            </w:pPr>
            <w:r>
              <w:rPr>
                <w:rFonts w:ascii="宋体" w:hAnsi="宋体" w:hint="eastAsia"/>
                <w:lang w:eastAsia="zh-Hans"/>
              </w:rPr>
              <w:t>016211</w:t>
            </w:r>
            <w:r>
              <w:rPr>
                <w:rFonts w:ascii="宋体" w:hAnsi="宋体" w:hint="eastAsia"/>
                <w:kern w:val="0"/>
                <w:sz w:val="20"/>
                <w:lang w:eastAsia="zh-Hans"/>
              </w:rPr>
              <w:t xml:space="preserve"> </w:t>
            </w:r>
          </w:p>
        </w:tc>
      </w:tr>
      <w:bookmarkEnd w:id="33"/>
      <w:bookmarkEnd w:id="32"/>
      <w:tr w:rsidR="00330869" w14:paraId="22608A0F" w14:textId="77777777">
        <w:trPr>
          <w:divId w:val="190016792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207298" w14:textId="77777777" w:rsidR="005126A0" w:rsidRDefault="005126A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90FA0" w14:textId="77777777" w:rsidR="005126A0" w:rsidRDefault="005126A0">
            <w:pPr>
              <w:jc w:val="center"/>
            </w:pPr>
            <w:r>
              <w:rPr>
                <w:rFonts w:ascii="宋体" w:hAnsi="宋体" w:hint="eastAsia"/>
                <w:lang w:eastAsia="zh-Hans"/>
              </w:rPr>
              <w:t>237,539,604.52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9683B" w14:textId="77777777" w:rsidR="005126A0" w:rsidRDefault="005126A0">
            <w:pPr>
              <w:jc w:val="center"/>
            </w:pPr>
            <w:r>
              <w:rPr>
                <w:rFonts w:ascii="宋体" w:hAnsi="宋体" w:hint="eastAsia"/>
                <w:lang w:eastAsia="zh-Hans"/>
              </w:rPr>
              <w:t>3,974,099.74</w:t>
            </w:r>
            <w:r>
              <w:rPr>
                <w:rFonts w:hint="eastAsia"/>
              </w:rPr>
              <w:t>份</w:t>
            </w:r>
            <w:r>
              <w:rPr>
                <w:rFonts w:ascii="宋体" w:hAnsi="宋体" w:hint="eastAsia"/>
                <w:lang w:eastAsia="zh-Hans"/>
              </w:rPr>
              <w:t xml:space="preserve"> </w:t>
            </w:r>
          </w:p>
        </w:tc>
      </w:tr>
    </w:tbl>
    <w:p w14:paraId="6C9D2721" w14:textId="77777777" w:rsidR="005126A0" w:rsidRDefault="005126A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3F31A57" w14:textId="77777777" w:rsidR="005126A0" w:rsidRDefault="005126A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0467777" w14:textId="77777777" w:rsidR="005126A0" w:rsidRDefault="005126A0">
      <w:pPr>
        <w:jc w:val="right"/>
        <w:divId w:val="184223201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330869" w14:paraId="689A4144" w14:textId="77777777">
        <w:trPr>
          <w:divId w:val="184223201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A61CD60" w14:textId="77777777" w:rsidR="005126A0" w:rsidRDefault="005126A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51097C0" w14:textId="77777777" w:rsidR="005126A0" w:rsidRDefault="005126A0">
            <w:pPr>
              <w:pStyle w:val="a5"/>
              <w:jc w:val="center"/>
              <w:rPr>
                <w:rFonts w:hint="eastAsia"/>
              </w:rPr>
            </w:pPr>
            <w:r>
              <w:rPr>
                <w:rFonts w:hint="eastAsia"/>
                <w:kern w:val="2"/>
                <w:sz w:val="21"/>
                <w:szCs w:val="24"/>
                <w:lang w:eastAsia="zh-Hans"/>
              </w:rPr>
              <w:t xml:space="preserve">报告期（2025年10月1日 - 2025年12月31日） </w:t>
            </w:r>
          </w:p>
        </w:tc>
      </w:tr>
      <w:tr w:rsidR="00330869" w14:paraId="25819B29" w14:textId="77777777">
        <w:trPr>
          <w:divId w:val="184223201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6C777" w14:textId="77777777" w:rsidR="005126A0" w:rsidRDefault="005126A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4DEDA13" w14:textId="77777777" w:rsidR="005126A0" w:rsidRDefault="005126A0">
            <w:pPr>
              <w:jc w:val="center"/>
            </w:pPr>
            <w:r>
              <w:rPr>
                <w:rFonts w:ascii="宋体" w:hAnsi="宋体" w:hint="eastAsia"/>
                <w:szCs w:val="24"/>
                <w:lang w:eastAsia="zh-Hans"/>
              </w:rPr>
              <w:t>摩根瑞享纯债债券A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460ED6F" w14:textId="77777777" w:rsidR="005126A0" w:rsidRDefault="005126A0">
            <w:pPr>
              <w:jc w:val="center"/>
            </w:pPr>
            <w:r>
              <w:rPr>
                <w:rFonts w:ascii="宋体" w:hAnsi="宋体" w:hint="eastAsia"/>
                <w:szCs w:val="24"/>
                <w:lang w:eastAsia="zh-Hans"/>
              </w:rPr>
              <w:t>摩根瑞享纯债债券C</w:t>
            </w:r>
          </w:p>
        </w:tc>
      </w:tr>
      <w:tr w:rsidR="00330869" w14:paraId="1EA92961" w14:textId="77777777">
        <w:trPr>
          <w:divId w:val="184223201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2A3395" w14:textId="77777777" w:rsidR="005126A0" w:rsidRDefault="005126A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09C41B" w14:textId="77777777" w:rsidR="005126A0" w:rsidRDefault="005126A0">
            <w:pPr>
              <w:jc w:val="right"/>
            </w:pPr>
            <w:r>
              <w:rPr>
                <w:rFonts w:ascii="宋体" w:hAnsi="宋体" w:hint="eastAsia"/>
                <w:szCs w:val="24"/>
                <w:lang w:eastAsia="zh-Hans"/>
              </w:rPr>
              <w:t>91,903.98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505B8" w14:textId="77777777" w:rsidR="005126A0" w:rsidRDefault="005126A0">
            <w:pPr>
              <w:jc w:val="right"/>
            </w:pPr>
            <w:r>
              <w:rPr>
                <w:rFonts w:ascii="宋体" w:hAnsi="宋体" w:hint="eastAsia"/>
                <w:szCs w:val="24"/>
                <w:lang w:eastAsia="zh-Hans"/>
              </w:rPr>
              <w:t>-9,208.94</w:t>
            </w:r>
          </w:p>
        </w:tc>
      </w:tr>
      <w:tr w:rsidR="00330869" w14:paraId="316D1693" w14:textId="77777777">
        <w:trPr>
          <w:divId w:val="184223201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A5374B" w14:textId="77777777" w:rsidR="005126A0" w:rsidRDefault="005126A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4715E9" w14:textId="77777777" w:rsidR="005126A0" w:rsidRDefault="005126A0">
            <w:pPr>
              <w:jc w:val="right"/>
            </w:pPr>
            <w:r>
              <w:rPr>
                <w:rFonts w:ascii="宋体" w:hAnsi="宋体" w:hint="eastAsia"/>
                <w:szCs w:val="24"/>
                <w:lang w:eastAsia="zh-Hans"/>
              </w:rPr>
              <w:t>802,343.96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204112" w14:textId="77777777" w:rsidR="005126A0" w:rsidRDefault="005126A0">
            <w:pPr>
              <w:jc w:val="right"/>
            </w:pPr>
            <w:r>
              <w:rPr>
                <w:rFonts w:ascii="宋体" w:hAnsi="宋体" w:hint="eastAsia"/>
                <w:szCs w:val="24"/>
                <w:lang w:eastAsia="zh-Hans"/>
              </w:rPr>
              <w:t>-9,138.43</w:t>
            </w:r>
          </w:p>
        </w:tc>
      </w:tr>
      <w:tr w:rsidR="00330869" w14:paraId="5B05F445" w14:textId="77777777">
        <w:trPr>
          <w:divId w:val="184223201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07C05F" w14:textId="77777777" w:rsidR="005126A0" w:rsidRDefault="005126A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6BD47A" w14:textId="77777777" w:rsidR="005126A0" w:rsidRDefault="005126A0">
            <w:pPr>
              <w:jc w:val="right"/>
            </w:pPr>
            <w:r>
              <w:rPr>
                <w:rFonts w:ascii="宋体" w:hAnsi="宋体" w:hint="eastAsia"/>
                <w:szCs w:val="24"/>
                <w:lang w:eastAsia="zh-Hans"/>
              </w:rPr>
              <w:t>0.0034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C32F9B" w14:textId="77777777" w:rsidR="005126A0" w:rsidRDefault="005126A0">
            <w:pPr>
              <w:jc w:val="right"/>
            </w:pPr>
            <w:r>
              <w:rPr>
                <w:rFonts w:ascii="宋体" w:hAnsi="宋体" w:hint="eastAsia"/>
                <w:szCs w:val="24"/>
                <w:lang w:eastAsia="zh-Hans"/>
              </w:rPr>
              <w:t>-0.0023</w:t>
            </w:r>
          </w:p>
        </w:tc>
      </w:tr>
      <w:tr w:rsidR="00330869" w14:paraId="45549C72" w14:textId="77777777">
        <w:trPr>
          <w:divId w:val="184223201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78E64B" w14:textId="77777777" w:rsidR="005126A0" w:rsidRDefault="005126A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27876A" w14:textId="77777777" w:rsidR="005126A0" w:rsidRDefault="005126A0">
            <w:pPr>
              <w:jc w:val="right"/>
            </w:pPr>
            <w:r>
              <w:rPr>
                <w:rFonts w:ascii="宋体" w:hAnsi="宋体" w:hint="eastAsia"/>
                <w:szCs w:val="24"/>
                <w:lang w:eastAsia="zh-Hans"/>
              </w:rPr>
              <w:t>254,274,455.71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2C1E1" w14:textId="77777777" w:rsidR="005126A0" w:rsidRDefault="005126A0">
            <w:pPr>
              <w:jc w:val="right"/>
            </w:pPr>
            <w:r>
              <w:rPr>
                <w:rFonts w:ascii="宋体" w:hAnsi="宋体" w:hint="eastAsia"/>
                <w:szCs w:val="24"/>
                <w:lang w:eastAsia="zh-Hans"/>
              </w:rPr>
              <w:t>4,248,093.63</w:t>
            </w:r>
          </w:p>
        </w:tc>
      </w:tr>
      <w:tr w:rsidR="00330869" w14:paraId="0528CA3C" w14:textId="77777777">
        <w:trPr>
          <w:divId w:val="184223201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0294BC" w14:textId="77777777" w:rsidR="005126A0" w:rsidRDefault="005126A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10C98A" w14:textId="77777777" w:rsidR="005126A0" w:rsidRDefault="005126A0">
            <w:pPr>
              <w:jc w:val="right"/>
            </w:pPr>
            <w:r>
              <w:rPr>
                <w:rFonts w:ascii="宋体" w:hAnsi="宋体" w:hint="eastAsia"/>
                <w:szCs w:val="24"/>
                <w:lang w:eastAsia="zh-Hans"/>
              </w:rPr>
              <w:t>1.0705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10736D" w14:textId="77777777" w:rsidR="005126A0" w:rsidRDefault="005126A0">
            <w:pPr>
              <w:jc w:val="right"/>
            </w:pPr>
            <w:r>
              <w:rPr>
                <w:rFonts w:ascii="宋体" w:hAnsi="宋体" w:hint="eastAsia"/>
                <w:szCs w:val="24"/>
                <w:lang w:eastAsia="zh-Hans"/>
              </w:rPr>
              <w:t>1.0689</w:t>
            </w:r>
          </w:p>
        </w:tc>
      </w:tr>
    </w:tbl>
    <w:p w14:paraId="08E304AA" w14:textId="77777777" w:rsidR="005126A0" w:rsidRDefault="005126A0">
      <w:pPr>
        <w:wordWrap w:val="0"/>
        <w:spacing w:line="360" w:lineRule="auto"/>
        <w:jc w:val="left"/>
        <w:divId w:val="183772051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836AF53" w14:textId="77777777" w:rsidR="005126A0" w:rsidRDefault="005126A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4F0B428" w14:textId="77777777" w:rsidR="005126A0" w:rsidRDefault="005126A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13C346E" w14:textId="77777777" w:rsidR="005126A0" w:rsidRDefault="005126A0">
      <w:pPr>
        <w:spacing w:line="360" w:lineRule="auto"/>
        <w:jc w:val="center"/>
        <w:divId w:val="67382424"/>
      </w:pPr>
      <w:r>
        <w:rPr>
          <w:rFonts w:ascii="宋体" w:hAnsi="宋体" w:hint="eastAsia"/>
        </w:rPr>
        <w:t>摩根</w:t>
      </w:r>
      <w:proofErr w:type="gramStart"/>
      <w:r>
        <w:rPr>
          <w:rFonts w:ascii="宋体" w:hAnsi="宋体" w:hint="eastAsia"/>
        </w:rPr>
        <w:t>瑞享纯债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30869" w14:paraId="7F6CBD99" w14:textId="77777777">
        <w:trPr>
          <w:divId w:val="673824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B427E4" w14:textId="77777777" w:rsidR="005126A0" w:rsidRDefault="005126A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6B3E0E" w14:textId="77777777" w:rsidR="005126A0" w:rsidRDefault="005126A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386BF7" w14:textId="77777777" w:rsidR="005126A0" w:rsidRDefault="005126A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92A424" w14:textId="77777777" w:rsidR="005126A0" w:rsidRDefault="005126A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AFE8DF" w14:textId="77777777" w:rsidR="005126A0" w:rsidRDefault="005126A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58D26" w14:textId="77777777" w:rsidR="005126A0" w:rsidRDefault="005126A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84D85A" w14:textId="77777777" w:rsidR="005126A0" w:rsidRDefault="005126A0">
            <w:pPr>
              <w:spacing w:line="360" w:lineRule="auto"/>
              <w:jc w:val="center"/>
            </w:pPr>
            <w:r>
              <w:rPr>
                <w:rFonts w:ascii="宋体" w:hAnsi="宋体" w:hint="eastAsia"/>
              </w:rPr>
              <w:t xml:space="preserve">②－④ </w:t>
            </w:r>
          </w:p>
        </w:tc>
      </w:tr>
      <w:tr w:rsidR="00330869" w14:paraId="45CCDA92" w14:textId="77777777">
        <w:trPr>
          <w:divId w:val="67382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28CAC" w14:textId="77777777" w:rsidR="005126A0" w:rsidRDefault="005126A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B6027" w14:textId="77777777" w:rsidR="005126A0" w:rsidRDefault="005126A0">
            <w:pPr>
              <w:spacing w:line="360" w:lineRule="auto"/>
              <w:jc w:val="right"/>
            </w:pPr>
            <w:r>
              <w:rPr>
                <w:rFonts w:ascii="宋体" w:hAnsi="宋体" w:hint="eastAsia"/>
              </w:rPr>
              <w:t xml:space="preserve">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47E74" w14:textId="77777777" w:rsidR="005126A0" w:rsidRDefault="005126A0">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3EA28" w14:textId="77777777" w:rsidR="005126A0" w:rsidRDefault="005126A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AB4FA" w14:textId="77777777" w:rsidR="005126A0" w:rsidRDefault="005126A0">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1DE0B8" w14:textId="77777777" w:rsidR="005126A0" w:rsidRDefault="005126A0">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2D406" w14:textId="77777777" w:rsidR="005126A0" w:rsidRDefault="005126A0">
            <w:pPr>
              <w:spacing w:line="360" w:lineRule="auto"/>
              <w:jc w:val="right"/>
            </w:pPr>
            <w:r>
              <w:rPr>
                <w:rFonts w:ascii="宋体" w:hAnsi="宋体" w:hint="eastAsia"/>
              </w:rPr>
              <w:t xml:space="preserve">0.00% </w:t>
            </w:r>
          </w:p>
        </w:tc>
      </w:tr>
      <w:tr w:rsidR="00330869" w14:paraId="7F333474" w14:textId="77777777">
        <w:trPr>
          <w:divId w:val="67382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9FE8F" w14:textId="77777777" w:rsidR="005126A0" w:rsidRDefault="005126A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7A6E3" w14:textId="77777777" w:rsidR="005126A0" w:rsidRDefault="005126A0">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A44BB" w14:textId="77777777" w:rsidR="005126A0" w:rsidRDefault="005126A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B93D9" w14:textId="77777777" w:rsidR="005126A0" w:rsidRDefault="005126A0">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3C478" w14:textId="77777777" w:rsidR="005126A0" w:rsidRDefault="005126A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152B39" w14:textId="77777777" w:rsidR="005126A0" w:rsidRDefault="005126A0">
            <w:pPr>
              <w:spacing w:line="360" w:lineRule="auto"/>
              <w:jc w:val="right"/>
            </w:pPr>
            <w:r>
              <w:rPr>
                <w:rFonts w:ascii="宋体" w:hAnsi="宋体" w:hint="eastAsia"/>
              </w:rPr>
              <w:t xml:space="preserve">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81ED2" w14:textId="77777777" w:rsidR="005126A0" w:rsidRDefault="005126A0">
            <w:pPr>
              <w:spacing w:line="360" w:lineRule="auto"/>
              <w:jc w:val="right"/>
            </w:pPr>
            <w:r>
              <w:rPr>
                <w:rFonts w:ascii="宋体" w:hAnsi="宋体" w:hint="eastAsia"/>
              </w:rPr>
              <w:t xml:space="preserve">-0.02% </w:t>
            </w:r>
          </w:p>
        </w:tc>
      </w:tr>
      <w:tr w:rsidR="00330869" w14:paraId="54F260E4" w14:textId="77777777">
        <w:trPr>
          <w:divId w:val="67382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041FF" w14:textId="77777777" w:rsidR="005126A0" w:rsidRDefault="005126A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0B737" w14:textId="77777777" w:rsidR="005126A0" w:rsidRDefault="005126A0">
            <w:pPr>
              <w:spacing w:line="360" w:lineRule="auto"/>
              <w:jc w:val="right"/>
            </w:pPr>
            <w:r>
              <w:rPr>
                <w:rFonts w:ascii="宋体" w:hAnsi="宋体" w:hint="eastAsia"/>
              </w:rPr>
              <w:t xml:space="preserve">2.74%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1A22F" w14:textId="77777777" w:rsidR="005126A0" w:rsidRDefault="005126A0">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79972" w14:textId="77777777" w:rsidR="005126A0" w:rsidRDefault="005126A0">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6A957"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3B636C" w14:textId="77777777" w:rsidR="005126A0" w:rsidRDefault="005126A0">
            <w:pPr>
              <w:spacing w:line="360" w:lineRule="auto"/>
              <w:jc w:val="right"/>
            </w:pPr>
            <w:r>
              <w:rPr>
                <w:rFonts w:ascii="宋体" w:hAnsi="宋体" w:hint="eastAsia"/>
              </w:rPr>
              <w:t xml:space="preserve">4.23%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1E09A" w14:textId="77777777" w:rsidR="005126A0" w:rsidRDefault="005126A0">
            <w:pPr>
              <w:spacing w:line="360" w:lineRule="auto"/>
              <w:jc w:val="right"/>
            </w:pPr>
            <w:r>
              <w:rPr>
                <w:rFonts w:ascii="宋体" w:hAnsi="宋体" w:hint="eastAsia"/>
              </w:rPr>
              <w:t xml:space="preserve">0.03% </w:t>
            </w:r>
          </w:p>
        </w:tc>
      </w:tr>
      <w:tr w:rsidR="00330869" w14:paraId="72792E47" w14:textId="77777777">
        <w:trPr>
          <w:divId w:val="67382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BE8B6" w14:textId="77777777" w:rsidR="005126A0" w:rsidRDefault="005126A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B7ECF" w14:textId="77777777" w:rsidR="005126A0" w:rsidRDefault="005126A0">
            <w:pPr>
              <w:spacing w:line="360" w:lineRule="auto"/>
              <w:jc w:val="right"/>
            </w:pPr>
            <w:r>
              <w:rPr>
                <w:rFonts w:ascii="宋体" w:hAnsi="宋体" w:hint="eastAsia"/>
              </w:rPr>
              <w:t xml:space="preserve">10.76%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CAC3C"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835E5" w14:textId="77777777" w:rsidR="005126A0" w:rsidRDefault="005126A0">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8393A" w14:textId="77777777" w:rsidR="005126A0" w:rsidRDefault="005126A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C85844" w14:textId="77777777" w:rsidR="005126A0" w:rsidRDefault="005126A0">
            <w:pPr>
              <w:spacing w:line="360" w:lineRule="auto"/>
              <w:jc w:val="right"/>
            </w:pPr>
            <w:r>
              <w:rPr>
                <w:rFonts w:ascii="宋体" w:hAnsi="宋体" w:hint="eastAsia"/>
              </w:rPr>
              <w:t xml:space="preserve">5.54%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ED548" w14:textId="77777777" w:rsidR="005126A0" w:rsidRDefault="005126A0">
            <w:pPr>
              <w:spacing w:line="360" w:lineRule="auto"/>
              <w:jc w:val="right"/>
            </w:pPr>
            <w:r>
              <w:rPr>
                <w:rFonts w:ascii="宋体" w:hAnsi="宋体" w:hint="eastAsia"/>
              </w:rPr>
              <w:t xml:space="preserve">0.01% </w:t>
            </w:r>
          </w:p>
        </w:tc>
      </w:tr>
      <w:tr w:rsidR="00330869" w14:paraId="272BC58D" w14:textId="77777777">
        <w:trPr>
          <w:divId w:val="673824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15534" w14:textId="77777777" w:rsidR="005126A0" w:rsidRDefault="005126A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E65AA" w14:textId="77777777" w:rsidR="005126A0" w:rsidRDefault="005126A0">
            <w:pPr>
              <w:spacing w:line="360" w:lineRule="auto"/>
              <w:jc w:val="right"/>
            </w:pPr>
            <w:r>
              <w:rPr>
                <w:rFonts w:ascii="宋体" w:hAnsi="宋体" w:hint="eastAsia"/>
              </w:rPr>
              <w:t xml:space="preserve">10.87%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EDFF5"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29280" w14:textId="77777777" w:rsidR="005126A0" w:rsidRDefault="005126A0">
            <w:pPr>
              <w:spacing w:line="360" w:lineRule="auto"/>
              <w:jc w:val="right"/>
            </w:pPr>
            <w:r>
              <w:rPr>
                <w:rFonts w:ascii="宋体" w:hAnsi="宋体" w:hint="eastAsia"/>
              </w:rPr>
              <w:t xml:space="preserve">4.37%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AD978" w14:textId="77777777" w:rsidR="005126A0" w:rsidRDefault="005126A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45A76F" w14:textId="77777777" w:rsidR="005126A0" w:rsidRDefault="005126A0">
            <w:pPr>
              <w:spacing w:line="360" w:lineRule="auto"/>
              <w:jc w:val="right"/>
            </w:pPr>
            <w:r>
              <w:rPr>
                <w:rFonts w:ascii="宋体" w:hAnsi="宋体" w:hint="eastAsia"/>
              </w:rPr>
              <w:t xml:space="preserve">6.50%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53B2B" w14:textId="77777777" w:rsidR="005126A0" w:rsidRDefault="005126A0">
            <w:pPr>
              <w:spacing w:line="360" w:lineRule="auto"/>
              <w:jc w:val="right"/>
            </w:pPr>
            <w:r>
              <w:rPr>
                <w:rFonts w:ascii="宋体" w:hAnsi="宋体" w:hint="eastAsia"/>
              </w:rPr>
              <w:t xml:space="preserve">0.01% </w:t>
            </w:r>
          </w:p>
        </w:tc>
      </w:tr>
    </w:tbl>
    <w:p w14:paraId="55467F66" w14:textId="77777777" w:rsidR="005126A0" w:rsidRDefault="005126A0">
      <w:pPr>
        <w:spacing w:line="360" w:lineRule="auto"/>
        <w:jc w:val="center"/>
        <w:divId w:val="1863087510"/>
      </w:pPr>
      <w:r>
        <w:rPr>
          <w:rFonts w:ascii="宋体" w:hAnsi="宋体" w:hint="eastAsia"/>
        </w:rPr>
        <w:t>摩根</w:t>
      </w:r>
      <w:proofErr w:type="gramStart"/>
      <w:r>
        <w:rPr>
          <w:rFonts w:ascii="宋体" w:hAnsi="宋体" w:hint="eastAsia"/>
        </w:rPr>
        <w:t>瑞享纯债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30869" w14:paraId="21D2A6A8" w14:textId="77777777">
        <w:trPr>
          <w:divId w:val="18630875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924958" w14:textId="77777777" w:rsidR="005126A0" w:rsidRDefault="005126A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146DEA" w14:textId="77777777" w:rsidR="005126A0" w:rsidRDefault="005126A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C985A6" w14:textId="77777777" w:rsidR="005126A0" w:rsidRDefault="005126A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18EA66" w14:textId="77777777" w:rsidR="005126A0" w:rsidRDefault="005126A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E534A2" w14:textId="77777777" w:rsidR="005126A0" w:rsidRDefault="005126A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0DBB5" w14:textId="77777777" w:rsidR="005126A0" w:rsidRDefault="005126A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9972B7" w14:textId="77777777" w:rsidR="005126A0" w:rsidRDefault="005126A0">
            <w:pPr>
              <w:spacing w:line="360" w:lineRule="auto"/>
              <w:jc w:val="center"/>
            </w:pPr>
            <w:r>
              <w:rPr>
                <w:rFonts w:ascii="宋体" w:hAnsi="宋体" w:hint="eastAsia"/>
              </w:rPr>
              <w:t xml:space="preserve">②－④ </w:t>
            </w:r>
          </w:p>
        </w:tc>
      </w:tr>
      <w:tr w:rsidR="00330869" w14:paraId="6C030C13" w14:textId="77777777">
        <w:trPr>
          <w:divId w:val="1863087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03C25" w14:textId="77777777" w:rsidR="005126A0" w:rsidRDefault="005126A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02B5D" w14:textId="77777777" w:rsidR="005126A0" w:rsidRDefault="005126A0">
            <w:pPr>
              <w:spacing w:line="360" w:lineRule="auto"/>
              <w:jc w:val="right"/>
            </w:pPr>
            <w:r>
              <w:rPr>
                <w:rFonts w:ascii="宋体" w:hAnsi="宋体" w:hint="eastAsia"/>
              </w:rPr>
              <w:t xml:space="preserve">0.29%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C530C" w14:textId="77777777" w:rsidR="005126A0" w:rsidRDefault="005126A0">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AB90C" w14:textId="77777777" w:rsidR="005126A0" w:rsidRDefault="005126A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9B1FE" w14:textId="77777777" w:rsidR="005126A0" w:rsidRDefault="005126A0">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CE0C55" w14:textId="77777777" w:rsidR="005126A0" w:rsidRDefault="005126A0">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BCF0E" w14:textId="77777777" w:rsidR="005126A0" w:rsidRDefault="005126A0">
            <w:pPr>
              <w:spacing w:line="360" w:lineRule="auto"/>
              <w:jc w:val="right"/>
            </w:pPr>
            <w:r>
              <w:rPr>
                <w:rFonts w:ascii="宋体" w:hAnsi="宋体" w:hint="eastAsia"/>
              </w:rPr>
              <w:t xml:space="preserve">0.00% </w:t>
            </w:r>
          </w:p>
        </w:tc>
      </w:tr>
      <w:tr w:rsidR="00330869" w14:paraId="68DA7A4F" w14:textId="77777777">
        <w:trPr>
          <w:divId w:val="1863087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31363" w14:textId="77777777" w:rsidR="005126A0" w:rsidRDefault="005126A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B98C0" w14:textId="77777777" w:rsidR="005126A0" w:rsidRDefault="005126A0">
            <w:pPr>
              <w:spacing w:line="360" w:lineRule="auto"/>
              <w:jc w:val="right"/>
            </w:pPr>
            <w:r>
              <w:rPr>
                <w:rFonts w:ascii="宋体" w:hAnsi="宋体" w:hint="eastAsia"/>
              </w:rPr>
              <w:t xml:space="preserve">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FEB25" w14:textId="77777777" w:rsidR="005126A0" w:rsidRDefault="005126A0">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CCBC5" w14:textId="77777777" w:rsidR="005126A0" w:rsidRDefault="005126A0">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242E6" w14:textId="77777777" w:rsidR="005126A0" w:rsidRDefault="005126A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BD2E9E" w14:textId="77777777" w:rsidR="005126A0" w:rsidRDefault="005126A0">
            <w:pPr>
              <w:spacing w:line="360" w:lineRule="auto"/>
              <w:jc w:val="right"/>
            </w:pPr>
            <w:r>
              <w:rPr>
                <w:rFonts w:ascii="宋体" w:hAnsi="宋体" w:hint="eastAsia"/>
              </w:rPr>
              <w:t xml:space="preserve">1.82%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26506" w14:textId="77777777" w:rsidR="005126A0" w:rsidRDefault="005126A0">
            <w:pPr>
              <w:spacing w:line="360" w:lineRule="auto"/>
              <w:jc w:val="right"/>
            </w:pPr>
            <w:r>
              <w:rPr>
                <w:rFonts w:ascii="宋体" w:hAnsi="宋体" w:hint="eastAsia"/>
              </w:rPr>
              <w:t xml:space="preserve">-0.02% </w:t>
            </w:r>
          </w:p>
        </w:tc>
      </w:tr>
      <w:tr w:rsidR="00330869" w14:paraId="3E114A49" w14:textId="77777777">
        <w:trPr>
          <w:divId w:val="1863087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30E74" w14:textId="77777777" w:rsidR="005126A0" w:rsidRDefault="005126A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E453E" w14:textId="77777777" w:rsidR="005126A0" w:rsidRDefault="005126A0">
            <w:pPr>
              <w:spacing w:line="360" w:lineRule="auto"/>
              <w:jc w:val="right"/>
            </w:pPr>
            <w:r>
              <w:rPr>
                <w:rFonts w:ascii="宋体" w:hAnsi="宋体" w:hint="eastAsia"/>
              </w:rPr>
              <w:t xml:space="preserve">2.82%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331D8" w14:textId="77777777" w:rsidR="005126A0" w:rsidRDefault="005126A0">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BE888" w14:textId="77777777" w:rsidR="005126A0" w:rsidRDefault="005126A0">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4AB09"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A2350A" w14:textId="77777777" w:rsidR="005126A0" w:rsidRDefault="005126A0">
            <w:pPr>
              <w:spacing w:line="360" w:lineRule="auto"/>
              <w:jc w:val="right"/>
            </w:pPr>
            <w:r>
              <w:rPr>
                <w:rFonts w:ascii="宋体" w:hAnsi="宋体" w:hint="eastAsia"/>
              </w:rPr>
              <w:t xml:space="preserve">4.31%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98007" w14:textId="77777777" w:rsidR="005126A0" w:rsidRDefault="005126A0">
            <w:pPr>
              <w:spacing w:line="360" w:lineRule="auto"/>
              <w:jc w:val="right"/>
            </w:pPr>
            <w:r>
              <w:rPr>
                <w:rFonts w:ascii="宋体" w:hAnsi="宋体" w:hint="eastAsia"/>
              </w:rPr>
              <w:t xml:space="preserve">0.03% </w:t>
            </w:r>
          </w:p>
        </w:tc>
      </w:tr>
      <w:tr w:rsidR="00330869" w14:paraId="6B5C39DE" w14:textId="77777777">
        <w:trPr>
          <w:divId w:val="1863087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B9FC5" w14:textId="77777777" w:rsidR="005126A0" w:rsidRDefault="005126A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D2CD2" w14:textId="77777777" w:rsidR="005126A0" w:rsidRDefault="005126A0">
            <w:pPr>
              <w:spacing w:line="360" w:lineRule="auto"/>
              <w:jc w:val="right"/>
            </w:pPr>
            <w:r>
              <w:rPr>
                <w:rFonts w:ascii="宋体" w:hAnsi="宋体" w:hint="eastAsia"/>
              </w:rPr>
              <w:t xml:space="preserve">10.63%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D4F7A"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ED755" w14:textId="77777777" w:rsidR="005126A0" w:rsidRDefault="005126A0">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7B3D2" w14:textId="77777777" w:rsidR="005126A0" w:rsidRDefault="005126A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3A2DE5" w14:textId="77777777" w:rsidR="005126A0" w:rsidRDefault="005126A0">
            <w:pPr>
              <w:spacing w:line="360" w:lineRule="auto"/>
              <w:jc w:val="right"/>
            </w:pPr>
            <w:r>
              <w:rPr>
                <w:rFonts w:ascii="宋体" w:hAnsi="宋体" w:hint="eastAsia"/>
              </w:rPr>
              <w:t xml:space="preserve">5.41%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F8348" w14:textId="77777777" w:rsidR="005126A0" w:rsidRDefault="005126A0">
            <w:pPr>
              <w:spacing w:line="360" w:lineRule="auto"/>
              <w:jc w:val="right"/>
            </w:pPr>
            <w:r>
              <w:rPr>
                <w:rFonts w:ascii="宋体" w:hAnsi="宋体" w:hint="eastAsia"/>
              </w:rPr>
              <w:t xml:space="preserve">0.01% </w:t>
            </w:r>
          </w:p>
        </w:tc>
      </w:tr>
      <w:tr w:rsidR="00330869" w14:paraId="361D4FFC" w14:textId="77777777">
        <w:trPr>
          <w:divId w:val="18630875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4FC3F" w14:textId="77777777" w:rsidR="005126A0" w:rsidRDefault="005126A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DEDCE" w14:textId="77777777" w:rsidR="005126A0" w:rsidRDefault="005126A0">
            <w:pPr>
              <w:spacing w:line="360" w:lineRule="auto"/>
              <w:jc w:val="right"/>
            </w:pPr>
            <w:r>
              <w:rPr>
                <w:rFonts w:ascii="宋体" w:hAnsi="宋体" w:hint="eastAsia"/>
              </w:rPr>
              <w:t xml:space="preserve">10.72%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8C768" w14:textId="77777777" w:rsidR="005126A0" w:rsidRDefault="005126A0">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6DD3D" w14:textId="77777777" w:rsidR="005126A0" w:rsidRDefault="005126A0">
            <w:pPr>
              <w:spacing w:line="360" w:lineRule="auto"/>
              <w:jc w:val="right"/>
            </w:pPr>
            <w:r>
              <w:rPr>
                <w:rFonts w:ascii="宋体" w:hAnsi="宋体" w:hint="eastAsia"/>
              </w:rPr>
              <w:t xml:space="preserve">4.37%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23BB0" w14:textId="77777777" w:rsidR="005126A0" w:rsidRDefault="005126A0">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A89033" w14:textId="77777777" w:rsidR="005126A0" w:rsidRDefault="005126A0">
            <w:pPr>
              <w:spacing w:line="360" w:lineRule="auto"/>
              <w:jc w:val="right"/>
            </w:pPr>
            <w:r>
              <w:rPr>
                <w:rFonts w:ascii="宋体" w:hAnsi="宋体" w:hint="eastAsia"/>
              </w:rPr>
              <w:t xml:space="preserve">6.35%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0D662" w14:textId="77777777" w:rsidR="005126A0" w:rsidRDefault="005126A0">
            <w:pPr>
              <w:spacing w:line="360" w:lineRule="auto"/>
              <w:jc w:val="right"/>
            </w:pPr>
            <w:r>
              <w:rPr>
                <w:rFonts w:ascii="宋体" w:hAnsi="宋体" w:hint="eastAsia"/>
              </w:rPr>
              <w:t xml:space="preserve">0.01% </w:t>
            </w:r>
          </w:p>
        </w:tc>
      </w:tr>
    </w:tbl>
    <w:p w14:paraId="1D923CFB" w14:textId="77777777" w:rsidR="005126A0" w:rsidRDefault="005126A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E3A3923" w14:textId="77777777" w:rsidR="005126A0" w:rsidRDefault="005126A0">
      <w:pPr>
        <w:spacing w:line="360" w:lineRule="auto"/>
        <w:jc w:val="left"/>
        <w:divId w:val="69696834"/>
      </w:pPr>
      <w:bookmarkStart w:id="70" w:name="m07_04_07_09"/>
      <w:bookmarkStart w:id="71" w:name="m07_04_07_09_tab"/>
      <w:r>
        <w:rPr>
          <w:rFonts w:ascii="宋体" w:hAnsi="宋体" w:hint="eastAsia"/>
          <w:noProof/>
        </w:rPr>
        <w:lastRenderedPageBreak/>
        <w:drawing>
          <wp:inline distT="0" distB="0" distL="0" distR="0" wp14:anchorId="428BF890" wp14:editId="0ECB852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AAE9FEC" w14:textId="77777777" w:rsidR="005126A0" w:rsidRDefault="005126A0">
      <w:pPr>
        <w:spacing w:line="360" w:lineRule="auto"/>
        <w:jc w:val="left"/>
        <w:divId w:val="95055363"/>
      </w:pPr>
      <w:r>
        <w:rPr>
          <w:rFonts w:ascii="宋体" w:hAnsi="宋体" w:hint="eastAsia"/>
          <w:noProof/>
        </w:rPr>
        <w:drawing>
          <wp:inline distT="0" distB="0" distL="0" distR="0" wp14:anchorId="30C0F986" wp14:editId="76314BE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83A0104" w14:textId="77777777" w:rsidR="005126A0" w:rsidRDefault="005126A0">
      <w:pPr>
        <w:spacing w:line="360" w:lineRule="auto"/>
      </w:pPr>
      <w:r>
        <w:rPr>
          <w:rFonts w:ascii="宋体" w:hAnsi="宋体" w:hint="eastAsia"/>
        </w:rPr>
        <w:t>注：</w:t>
      </w:r>
      <w:r>
        <w:rPr>
          <w:rFonts w:ascii="宋体" w:hAnsi="宋体" w:hint="eastAsia"/>
          <w:lang w:eastAsia="zh-Hans"/>
        </w:rPr>
        <w:t>本基金合同生效日为2022年10月24日，图示的时间段为合同生效日至本报告期末。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445DFF3" w14:textId="77777777" w:rsidR="005126A0" w:rsidRDefault="005126A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7AD63E4" w14:textId="77777777" w:rsidR="005126A0" w:rsidRDefault="005126A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30869" w14:paraId="27A3D865" w14:textId="77777777">
        <w:trPr>
          <w:divId w:val="5249075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DE9FD" w14:textId="77777777" w:rsidR="005126A0" w:rsidRDefault="005126A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63F51" w14:textId="77777777" w:rsidR="005126A0" w:rsidRDefault="005126A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7C6F1" w14:textId="77777777" w:rsidR="005126A0" w:rsidRDefault="005126A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7CE17" w14:textId="77777777" w:rsidR="005126A0" w:rsidRDefault="005126A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A0739" w14:textId="77777777" w:rsidR="005126A0" w:rsidRDefault="005126A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30869" w14:paraId="49634EA7" w14:textId="77777777">
        <w:trPr>
          <w:divId w:val="5249075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1677E" w14:textId="77777777" w:rsidR="005126A0" w:rsidRDefault="005126A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C2D94" w14:textId="77777777" w:rsidR="005126A0" w:rsidRDefault="005126A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D7AAE" w14:textId="77777777" w:rsidR="005126A0" w:rsidRDefault="005126A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83EFA" w14:textId="77777777" w:rsidR="005126A0" w:rsidRDefault="005126A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4C785" w14:textId="77777777" w:rsidR="005126A0" w:rsidRDefault="005126A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73D31" w14:textId="77777777" w:rsidR="005126A0" w:rsidRDefault="005126A0">
            <w:pPr>
              <w:widowControl/>
              <w:jc w:val="left"/>
            </w:pPr>
          </w:p>
        </w:tc>
      </w:tr>
      <w:tr w:rsidR="00330869" w14:paraId="28C7536A" w14:textId="77777777">
        <w:trPr>
          <w:divId w:val="5249075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D2BF2" w14:textId="77777777" w:rsidR="005126A0" w:rsidRDefault="005126A0">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B9D22" w14:textId="77777777" w:rsidR="005126A0" w:rsidRDefault="005126A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8005D" w14:textId="77777777" w:rsidR="005126A0" w:rsidRDefault="005126A0">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2C68D" w14:textId="77777777" w:rsidR="005126A0" w:rsidRDefault="005126A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7F619" w14:textId="77777777" w:rsidR="005126A0" w:rsidRDefault="005126A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905FC" w14:textId="77777777" w:rsidR="005126A0" w:rsidRDefault="005126A0">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bl>
    <w:p w14:paraId="01D7CC33" w14:textId="77777777" w:rsidR="005126A0" w:rsidRDefault="005126A0">
      <w:pPr>
        <w:wordWrap w:val="0"/>
        <w:spacing w:line="360" w:lineRule="auto"/>
        <w:jc w:val="left"/>
        <w:divId w:val="2128237749"/>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EC166F7" w14:textId="77777777" w:rsidR="005126A0" w:rsidRDefault="005126A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C97F28A" w14:textId="77777777" w:rsidR="005126A0" w:rsidRDefault="005126A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C407CB0" w14:textId="77777777" w:rsidR="005126A0" w:rsidRDefault="005126A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0FC3CC8" w14:textId="77777777" w:rsidR="005126A0" w:rsidRDefault="005126A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7B4C47D" w14:textId="77777777" w:rsidR="005126A0" w:rsidRDefault="005126A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CE29E65" w14:textId="77777777" w:rsidR="005126A0" w:rsidRDefault="005126A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CE337E5" w14:textId="77777777" w:rsidR="005126A0" w:rsidRDefault="005126A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r>
      <w:r>
        <w:rPr>
          <w:rFonts w:ascii="宋体" w:hAnsi="宋体" w:cs="宋体" w:hint="eastAsia"/>
          <w:color w:val="000000"/>
          <w:kern w:val="0"/>
        </w:rPr>
        <w:lastRenderedPageBreak/>
        <w:t xml:space="preserve">　　本报告期内，未发现本基金有可能导致不公平交易和利益输送的异常交易。</w:t>
      </w:r>
    </w:p>
    <w:p w14:paraId="63E436AA" w14:textId="77777777" w:rsidR="005126A0" w:rsidRDefault="005126A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511F5F1" w14:textId="77777777" w:rsidR="005126A0" w:rsidRDefault="005126A0">
      <w:pPr>
        <w:spacing w:line="360" w:lineRule="auto"/>
        <w:ind w:firstLineChars="200" w:firstLine="420"/>
        <w:jc w:val="left"/>
      </w:pPr>
      <w:r>
        <w:rPr>
          <w:rFonts w:ascii="宋体" w:hAnsi="宋体" w:cs="宋体" w:hint="eastAsia"/>
          <w:color w:val="000000"/>
          <w:kern w:val="0"/>
        </w:rPr>
        <w:t>2025年第四季度，债券市场运行的经济与政策背景呈现出典型的“弱现实、强预期”与“总量稳、结构优”的复杂交织局面。经济基本面层面，宏观经济数据继续印证了内生动能尚在修复过程中的判断。具体而言，生产端与需求端的复苏步调并不一致，呈现出“供强需弱”的格局。工业生产在政策扶持与出口韧性的支撑下保持了一定的活跃度，但作为核心内需的房地产投资与销售仍在低位徘徊，未能形成有效拉动。与此同时，居民消费虽保持增长，但消费意愿与能力受制于收入预期与信心，复苏斜率较为平缓。</w:t>
      </w:r>
      <w:r>
        <w:rPr>
          <w:rFonts w:ascii="宋体" w:hAnsi="宋体" w:cs="宋体" w:hint="eastAsia"/>
          <w:color w:val="000000"/>
          <w:kern w:val="0"/>
        </w:rPr>
        <w:br/>
        <w:t xml:space="preserve">　　面对上述经济形势，中国人民银行的货币政策总基调仍是稳健偏宽松，以服务实体经济为首要目标，但其施策的重心与表述发生了微妙而关键的变化。最显著的信号是政策目标从“推动社会综合融资成本下降”明确转向“促进社会综合融资成本低位运行”。这一措辞的转变意义深远：它承认经过前期多次降息降准，社会融资成本已进入历史低位区间，政策的首要任务从“继续压降”转为“巩固成果并防止反弹”，这暗示着全面、大幅度的降息可能性在降低。结构性货币政策工具被提到了更突出的位置，例如对科技创新、绿色发展、普惠养老等领域的专项再贷款工具持续发力，旨在将流动性直接导引至国民经济重点领域和薄弱环节，而非“大水漫灌”。财政政策与货币政策的协同性显著增强，特别是在配合中央政府增发国债、地方化债等重大财政行动中，央行通过多种方式提供流动性支持，确保了政府债券的大规模平稳发行，防止了对市场利率的过度冲击。</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了一定的久期，考虑到曲线相对于上半年更为陡峭化，本基金持有了一定</w:t>
      </w:r>
      <w:proofErr w:type="gramStart"/>
      <w:r>
        <w:rPr>
          <w:rFonts w:ascii="宋体" w:hAnsi="宋体" w:cs="宋体" w:hint="eastAsia"/>
          <w:color w:val="000000"/>
          <w:kern w:val="0"/>
        </w:rPr>
        <w:t>仓位</w:t>
      </w:r>
      <w:proofErr w:type="gramEnd"/>
      <w:r>
        <w:rPr>
          <w:rFonts w:ascii="宋体" w:hAnsi="宋体" w:cs="宋体" w:hint="eastAsia"/>
          <w:color w:val="000000"/>
          <w:kern w:val="0"/>
        </w:rPr>
        <w:t>的长久期债券。由于资金价格相对平稳，本基金大部分时候还使用了杠杆策略。</w:t>
      </w:r>
      <w:r>
        <w:rPr>
          <w:rFonts w:ascii="宋体" w:hAnsi="宋体" w:cs="宋体" w:hint="eastAsia"/>
          <w:color w:val="000000"/>
          <w:kern w:val="0"/>
        </w:rPr>
        <w:br/>
        <w:t xml:space="preserve">　　展望明年一季度，我们对债券市场保持谨慎的乐观态度。经济基本面依然处于内生动能修复的过程当中，“反内卷”的政策效果值得期待，尤其是其对通胀数据的影响将很大程度上决定债券尤其是长久期债券收益率的走向。同时，货币政策环境将保持在适度宽松的状态，短端债券收益率大幅上行的风险有限。从策略上讲，我们将采取更为稳健的持仓，利用好友好的货币环境，适度提高杠杆水平，通过短端债券获得相对确定的收益。同时，如果长端债券收益率上行幅度较大，在严格控制回撤和坚守止损纪律的前提下，我们也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5D1504C0" w14:textId="77777777" w:rsidR="005126A0" w:rsidRDefault="005126A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A6430AA" w14:textId="77777777" w:rsidR="005126A0" w:rsidRDefault="005126A0">
      <w:pPr>
        <w:spacing w:line="360" w:lineRule="auto"/>
        <w:ind w:firstLineChars="200" w:firstLine="420"/>
      </w:pPr>
      <w:r>
        <w:rPr>
          <w:rFonts w:ascii="宋体" w:hAnsi="宋体" w:hint="eastAsia"/>
        </w:rPr>
        <w:t>本报告期摩根</w:t>
      </w:r>
      <w:proofErr w:type="gramStart"/>
      <w:r>
        <w:rPr>
          <w:rFonts w:ascii="宋体" w:hAnsi="宋体" w:hint="eastAsia"/>
        </w:rPr>
        <w:t>瑞享纯债</w:t>
      </w:r>
      <w:proofErr w:type="gramEnd"/>
      <w:r>
        <w:rPr>
          <w:rFonts w:ascii="宋体" w:hAnsi="宋体" w:hint="eastAsia"/>
        </w:rPr>
        <w:t>债券A份额净值增长率为：0.33%，同期业绩比较基准收益率为：0.04%；</w:t>
      </w:r>
      <w:r>
        <w:rPr>
          <w:rFonts w:ascii="宋体" w:hAnsi="宋体" w:hint="eastAsia"/>
        </w:rPr>
        <w:br/>
      </w:r>
      <w:r>
        <w:rPr>
          <w:rFonts w:ascii="宋体" w:hAnsi="宋体" w:hint="eastAsia"/>
        </w:rPr>
        <w:lastRenderedPageBreak/>
        <w:t xml:space="preserve">　　摩根</w:t>
      </w:r>
      <w:proofErr w:type="gramStart"/>
      <w:r>
        <w:rPr>
          <w:rFonts w:ascii="宋体" w:hAnsi="宋体" w:hint="eastAsia"/>
        </w:rPr>
        <w:t>瑞享纯债</w:t>
      </w:r>
      <w:proofErr w:type="gramEnd"/>
      <w:r>
        <w:rPr>
          <w:rFonts w:ascii="宋体" w:hAnsi="宋体" w:hint="eastAsia"/>
        </w:rPr>
        <w:t>债券C份额净值增长率为：0.29%，同期业绩比较基准收益率为：0.04%。</w:t>
      </w:r>
    </w:p>
    <w:p w14:paraId="40ABA759" w14:textId="77777777" w:rsidR="005126A0" w:rsidRDefault="005126A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43FE703" w14:textId="77777777" w:rsidR="005126A0" w:rsidRDefault="005126A0">
      <w:pPr>
        <w:spacing w:line="360" w:lineRule="auto"/>
        <w:ind w:firstLineChars="200" w:firstLine="420"/>
        <w:jc w:val="left"/>
      </w:pPr>
      <w:r>
        <w:rPr>
          <w:rFonts w:ascii="宋体" w:hAnsi="宋体" w:hint="eastAsia"/>
        </w:rPr>
        <w:t>无。</w:t>
      </w:r>
    </w:p>
    <w:p w14:paraId="728E2438" w14:textId="77777777" w:rsidR="005126A0" w:rsidRDefault="005126A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2107925" w14:textId="77777777" w:rsidR="005126A0" w:rsidRDefault="005126A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30869" w14:paraId="341D4D3C"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046392" w14:textId="77777777" w:rsidR="005126A0" w:rsidRDefault="005126A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C6CBDCC" w14:textId="77777777" w:rsidR="005126A0" w:rsidRDefault="005126A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2B9E1D9" w14:textId="77777777" w:rsidR="005126A0" w:rsidRDefault="005126A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01A1826" w14:textId="77777777" w:rsidR="005126A0" w:rsidRDefault="005126A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30869" w14:paraId="33090C27"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28D222" w14:textId="77777777" w:rsidR="005126A0" w:rsidRDefault="005126A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124C4D" w14:textId="77777777" w:rsidR="005126A0" w:rsidRDefault="005126A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05F9AB"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47EAD8" w14:textId="77777777" w:rsidR="005126A0" w:rsidRDefault="005126A0">
            <w:pPr>
              <w:jc w:val="right"/>
            </w:pPr>
            <w:r>
              <w:rPr>
                <w:rFonts w:ascii="宋体" w:hAnsi="宋体" w:hint="eastAsia"/>
                <w:szCs w:val="24"/>
                <w:lang w:eastAsia="zh-Hans"/>
              </w:rPr>
              <w:t>-</w:t>
            </w:r>
          </w:p>
        </w:tc>
      </w:tr>
      <w:tr w:rsidR="00330869" w14:paraId="4CA05FAA"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240A08" w14:textId="77777777" w:rsidR="005126A0" w:rsidRDefault="005126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A1DB40" w14:textId="77777777" w:rsidR="005126A0" w:rsidRDefault="005126A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651A50"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AF56C3" w14:textId="77777777" w:rsidR="005126A0" w:rsidRDefault="005126A0">
            <w:pPr>
              <w:jc w:val="right"/>
            </w:pPr>
            <w:r>
              <w:rPr>
                <w:rFonts w:ascii="宋体" w:hAnsi="宋体" w:hint="eastAsia"/>
                <w:szCs w:val="24"/>
                <w:lang w:eastAsia="zh-Hans"/>
              </w:rPr>
              <w:t>-</w:t>
            </w:r>
          </w:p>
        </w:tc>
      </w:tr>
      <w:tr w:rsidR="00330869" w14:paraId="1D2EB362"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82DB05" w14:textId="77777777" w:rsidR="005126A0" w:rsidRDefault="005126A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A1915A0" w14:textId="77777777" w:rsidR="005126A0" w:rsidRDefault="005126A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5F678D"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14708E" w14:textId="77777777" w:rsidR="005126A0" w:rsidRDefault="005126A0">
            <w:pPr>
              <w:jc w:val="right"/>
            </w:pPr>
            <w:r>
              <w:rPr>
                <w:rFonts w:ascii="宋体" w:hAnsi="宋体" w:hint="eastAsia"/>
                <w:szCs w:val="24"/>
                <w:lang w:eastAsia="zh-Hans"/>
              </w:rPr>
              <w:t>-</w:t>
            </w:r>
          </w:p>
        </w:tc>
      </w:tr>
      <w:tr w:rsidR="00330869" w14:paraId="6069F54D"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A46822" w14:textId="77777777" w:rsidR="005126A0" w:rsidRDefault="005126A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3B964C" w14:textId="77777777" w:rsidR="005126A0" w:rsidRDefault="005126A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01D96C" w14:textId="77777777" w:rsidR="005126A0" w:rsidRDefault="005126A0">
            <w:pPr>
              <w:jc w:val="right"/>
            </w:pPr>
            <w:r>
              <w:rPr>
                <w:rFonts w:ascii="宋体" w:hAnsi="宋体" w:hint="eastAsia"/>
                <w:szCs w:val="24"/>
                <w:lang w:eastAsia="zh-Hans"/>
              </w:rPr>
              <w:t>278,334,877.02</w:t>
            </w:r>
          </w:p>
        </w:tc>
        <w:tc>
          <w:tcPr>
            <w:tcW w:w="1333" w:type="pct"/>
            <w:tcBorders>
              <w:top w:val="single" w:sz="4" w:space="0" w:color="auto"/>
              <w:left w:val="nil"/>
              <w:bottom w:val="single" w:sz="4" w:space="0" w:color="auto"/>
              <w:right w:val="single" w:sz="4" w:space="0" w:color="auto"/>
            </w:tcBorders>
            <w:vAlign w:val="center"/>
            <w:hideMark/>
          </w:tcPr>
          <w:p w14:paraId="03FEC8CC" w14:textId="77777777" w:rsidR="005126A0" w:rsidRDefault="005126A0">
            <w:pPr>
              <w:jc w:val="right"/>
            </w:pPr>
            <w:r>
              <w:rPr>
                <w:rFonts w:ascii="宋体" w:hAnsi="宋体" w:hint="eastAsia"/>
                <w:szCs w:val="24"/>
                <w:lang w:eastAsia="zh-Hans"/>
              </w:rPr>
              <w:t>99.85</w:t>
            </w:r>
          </w:p>
        </w:tc>
      </w:tr>
      <w:tr w:rsidR="00330869" w14:paraId="1CFFFC3D"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F477D8" w14:textId="77777777" w:rsidR="005126A0" w:rsidRDefault="005126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A67063" w14:textId="77777777" w:rsidR="005126A0" w:rsidRDefault="005126A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32546B" w14:textId="77777777" w:rsidR="005126A0" w:rsidRDefault="005126A0">
            <w:pPr>
              <w:jc w:val="right"/>
            </w:pPr>
            <w:r>
              <w:rPr>
                <w:rFonts w:ascii="宋体" w:hAnsi="宋体" w:hint="eastAsia"/>
                <w:szCs w:val="24"/>
                <w:lang w:eastAsia="zh-Hans"/>
              </w:rPr>
              <w:t>278,334,877.02</w:t>
            </w:r>
          </w:p>
        </w:tc>
        <w:tc>
          <w:tcPr>
            <w:tcW w:w="1333" w:type="pct"/>
            <w:tcBorders>
              <w:top w:val="single" w:sz="4" w:space="0" w:color="auto"/>
              <w:left w:val="nil"/>
              <w:bottom w:val="single" w:sz="4" w:space="0" w:color="auto"/>
              <w:right w:val="single" w:sz="4" w:space="0" w:color="auto"/>
            </w:tcBorders>
            <w:vAlign w:val="center"/>
            <w:hideMark/>
          </w:tcPr>
          <w:p w14:paraId="2DDD472B" w14:textId="77777777" w:rsidR="005126A0" w:rsidRDefault="005126A0">
            <w:pPr>
              <w:jc w:val="right"/>
            </w:pPr>
            <w:r>
              <w:rPr>
                <w:rFonts w:ascii="宋体" w:hAnsi="宋体" w:hint="eastAsia"/>
                <w:szCs w:val="24"/>
                <w:lang w:eastAsia="zh-Hans"/>
              </w:rPr>
              <w:t>99.85</w:t>
            </w:r>
          </w:p>
        </w:tc>
      </w:tr>
      <w:tr w:rsidR="00330869" w14:paraId="0559AEBD"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C6BCE" w14:textId="77777777" w:rsidR="005126A0" w:rsidRDefault="005126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4087CA" w14:textId="77777777" w:rsidR="005126A0" w:rsidRDefault="005126A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A634F1"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49AC09" w14:textId="77777777" w:rsidR="005126A0" w:rsidRDefault="005126A0">
            <w:pPr>
              <w:jc w:val="right"/>
            </w:pPr>
            <w:r>
              <w:rPr>
                <w:rFonts w:ascii="宋体" w:hAnsi="宋体" w:hint="eastAsia"/>
                <w:szCs w:val="24"/>
                <w:lang w:eastAsia="zh-Hans"/>
              </w:rPr>
              <w:t>-</w:t>
            </w:r>
          </w:p>
        </w:tc>
      </w:tr>
      <w:tr w:rsidR="00330869" w14:paraId="5B250AED"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9142F4" w14:textId="77777777" w:rsidR="005126A0" w:rsidRDefault="005126A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BC2709E" w14:textId="77777777" w:rsidR="005126A0" w:rsidRDefault="005126A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673F67"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F842BB" w14:textId="77777777" w:rsidR="005126A0" w:rsidRDefault="005126A0">
            <w:pPr>
              <w:jc w:val="right"/>
            </w:pPr>
            <w:r>
              <w:rPr>
                <w:rFonts w:ascii="宋体" w:hAnsi="宋体" w:hint="eastAsia"/>
                <w:szCs w:val="24"/>
                <w:lang w:eastAsia="zh-Hans"/>
              </w:rPr>
              <w:t>-</w:t>
            </w:r>
          </w:p>
        </w:tc>
      </w:tr>
      <w:tr w:rsidR="00330869" w14:paraId="25A7434E"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20FDD7" w14:textId="77777777" w:rsidR="005126A0" w:rsidRDefault="005126A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7B6EF7C" w14:textId="77777777" w:rsidR="005126A0" w:rsidRDefault="005126A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0E1B60"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3CF59D" w14:textId="77777777" w:rsidR="005126A0" w:rsidRDefault="005126A0">
            <w:pPr>
              <w:jc w:val="right"/>
            </w:pPr>
            <w:r>
              <w:rPr>
                <w:rFonts w:ascii="宋体" w:hAnsi="宋体" w:hint="eastAsia"/>
                <w:szCs w:val="24"/>
                <w:lang w:eastAsia="zh-Hans"/>
              </w:rPr>
              <w:t>-</w:t>
            </w:r>
          </w:p>
        </w:tc>
      </w:tr>
      <w:tr w:rsidR="00330869" w14:paraId="28776F8E"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CDD4D0" w14:textId="77777777" w:rsidR="005126A0" w:rsidRDefault="005126A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F6A025C" w14:textId="77777777" w:rsidR="005126A0" w:rsidRDefault="005126A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E9523F"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051806" w14:textId="77777777" w:rsidR="005126A0" w:rsidRDefault="005126A0">
            <w:pPr>
              <w:jc w:val="right"/>
            </w:pPr>
            <w:r>
              <w:rPr>
                <w:rFonts w:ascii="宋体" w:hAnsi="宋体" w:hint="eastAsia"/>
                <w:szCs w:val="24"/>
                <w:lang w:eastAsia="zh-Hans"/>
              </w:rPr>
              <w:t>-</w:t>
            </w:r>
          </w:p>
        </w:tc>
      </w:tr>
      <w:tr w:rsidR="00330869" w14:paraId="735C3534"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FF581B" w14:textId="77777777" w:rsidR="005126A0" w:rsidRDefault="005126A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E3BC28" w14:textId="77777777" w:rsidR="005126A0" w:rsidRDefault="005126A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B614C9" w14:textId="77777777" w:rsidR="005126A0" w:rsidRDefault="005126A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483D15" w14:textId="77777777" w:rsidR="005126A0" w:rsidRDefault="005126A0">
            <w:pPr>
              <w:jc w:val="right"/>
            </w:pPr>
            <w:r>
              <w:rPr>
                <w:rFonts w:ascii="宋体" w:hAnsi="宋体" w:hint="eastAsia"/>
                <w:szCs w:val="24"/>
                <w:lang w:eastAsia="zh-Hans"/>
              </w:rPr>
              <w:t>-</w:t>
            </w:r>
          </w:p>
        </w:tc>
      </w:tr>
      <w:tr w:rsidR="00330869" w14:paraId="64DDFA31"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71FF48" w14:textId="77777777" w:rsidR="005126A0" w:rsidRDefault="005126A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75B3C82" w14:textId="77777777" w:rsidR="005126A0" w:rsidRDefault="005126A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2D086A" w14:textId="77777777" w:rsidR="005126A0" w:rsidRDefault="005126A0">
            <w:pPr>
              <w:jc w:val="right"/>
            </w:pPr>
            <w:r>
              <w:rPr>
                <w:rFonts w:ascii="宋体" w:hAnsi="宋体" w:hint="eastAsia"/>
                <w:szCs w:val="24"/>
                <w:lang w:eastAsia="zh-Hans"/>
              </w:rPr>
              <w:t>239,755.33</w:t>
            </w:r>
          </w:p>
        </w:tc>
        <w:tc>
          <w:tcPr>
            <w:tcW w:w="1333" w:type="pct"/>
            <w:tcBorders>
              <w:top w:val="single" w:sz="4" w:space="0" w:color="auto"/>
              <w:left w:val="nil"/>
              <w:bottom w:val="single" w:sz="4" w:space="0" w:color="auto"/>
              <w:right w:val="single" w:sz="4" w:space="0" w:color="auto"/>
            </w:tcBorders>
            <w:vAlign w:val="center"/>
            <w:hideMark/>
          </w:tcPr>
          <w:p w14:paraId="54A8A565" w14:textId="77777777" w:rsidR="005126A0" w:rsidRDefault="005126A0">
            <w:pPr>
              <w:jc w:val="right"/>
            </w:pPr>
            <w:r>
              <w:rPr>
                <w:rFonts w:ascii="宋体" w:hAnsi="宋体" w:hint="eastAsia"/>
                <w:szCs w:val="24"/>
                <w:lang w:eastAsia="zh-Hans"/>
              </w:rPr>
              <w:t>0.09</w:t>
            </w:r>
          </w:p>
        </w:tc>
      </w:tr>
      <w:tr w:rsidR="00330869" w14:paraId="7F32E719"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D41639" w14:textId="77777777" w:rsidR="005126A0" w:rsidRDefault="005126A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D655C2E" w14:textId="77777777" w:rsidR="005126A0" w:rsidRDefault="005126A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8E1187" w14:textId="77777777" w:rsidR="005126A0" w:rsidRDefault="005126A0">
            <w:pPr>
              <w:jc w:val="right"/>
            </w:pPr>
            <w:r>
              <w:rPr>
                <w:rFonts w:ascii="宋体" w:hAnsi="宋体" w:hint="eastAsia"/>
                <w:szCs w:val="24"/>
                <w:lang w:eastAsia="zh-Hans"/>
              </w:rPr>
              <w:t>168,771.59</w:t>
            </w:r>
          </w:p>
        </w:tc>
        <w:tc>
          <w:tcPr>
            <w:tcW w:w="1333" w:type="pct"/>
            <w:tcBorders>
              <w:top w:val="single" w:sz="4" w:space="0" w:color="auto"/>
              <w:left w:val="nil"/>
              <w:bottom w:val="single" w:sz="4" w:space="0" w:color="auto"/>
              <w:right w:val="single" w:sz="4" w:space="0" w:color="auto"/>
            </w:tcBorders>
            <w:vAlign w:val="center"/>
            <w:hideMark/>
          </w:tcPr>
          <w:p w14:paraId="59432017" w14:textId="77777777" w:rsidR="005126A0" w:rsidRDefault="005126A0">
            <w:pPr>
              <w:jc w:val="right"/>
            </w:pPr>
            <w:r>
              <w:rPr>
                <w:rFonts w:ascii="宋体" w:hAnsi="宋体" w:hint="eastAsia"/>
                <w:szCs w:val="24"/>
                <w:lang w:eastAsia="zh-Hans"/>
              </w:rPr>
              <w:t>0.06</w:t>
            </w:r>
          </w:p>
        </w:tc>
      </w:tr>
      <w:tr w:rsidR="00330869" w14:paraId="0C603211" w14:textId="77777777">
        <w:trPr>
          <w:divId w:val="14556355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D894A1" w14:textId="77777777" w:rsidR="005126A0" w:rsidRDefault="005126A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5CAC9B8" w14:textId="77777777" w:rsidR="005126A0" w:rsidRDefault="005126A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A95A88" w14:textId="77777777" w:rsidR="005126A0" w:rsidRDefault="005126A0">
            <w:pPr>
              <w:jc w:val="right"/>
            </w:pPr>
            <w:r>
              <w:rPr>
                <w:rFonts w:ascii="宋体" w:hAnsi="宋体" w:hint="eastAsia"/>
                <w:szCs w:val="24"/>
                <w:lang w:eastAsia="zh-Hans"/>
              </w:rPr>
              <w:t>278,743,403.94</w:t>
            </w:r>
          </w:p>
        </w:tc>
        <w:tc>
          <w:tcPr>
            <w:tcW w:w="1333" w:type="pct"/>
            <w:tcBorders>
              <w:top w:val="single" w:sz="4" w:space="0" w:color="auto"/>
              <w:left w:val="nil"/>
              <w:bottom w:val="single" w:sz="4" w:space="0" w:color="auto"/>
              <w:right w:val="single" w:sz="4" w:space="0" w:color="auto"/>
            </w:tcBorders>
            <w:vAlign w:val="center"/>
            <w:hideMark/>
          </w:tcPr>
          <w:p w14:paraId="5F02E035" w14:textId="77777777" w:rsidR="005126A0" w:rsidRDefault="005126A0">
            <w:pPr>
              <w:jc w:val="right"/>
            </w:pPr>
            <w:r>
              <w:rPr>
                <w:rFonts w:ascii="宋体" w:hAnsi="宋体" w:hint="eastAsia"/>
                <w:szCs w:val="24"/>
                <w:lang w:eastAsia="zh-Hans"/>
              </w:rPr>
              <w:t>100.00</w:t>
            </w:r>
          </w:p>
        </w:tc>
      </w:tr>
    </w:tbl>
    <w:p w14:paraId="616D5D5D" w14:textId="77777777" w:rsidR="005126A0" w:rsidRDefault="005126A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BA3928D" w14:textId="77777777" w:rsidR="005126A0" w:rsidRDefault="005126A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0D39F5EE" w14:textId="77777777" w:rsidR="005126A0" w:rsidRDefault="005126A0">
      <w:pPr>
        <w:spacing w:line="360" w:lineRule="auto"/>
        <w:ind w:firstLineChars="200" w:firstLine="420"/>
        <w:divId w:val="295599619"/>
      </w:pPr>
      <w:r>
        <w:rPr>
          <w:rFonts w:ascii="宋体" w:hAnsi="宋体" w:hint="eastAsia"/>
          <w:szCs w:val="21"/>
          <w:lang w:eastAsia="zh-Hans"/>
        </w:rPr>
        <w:t>本基金本报告期末未持有境内股票。</w:t>
      </w:r>
    </w:p>
    <w:p w14:paraId="039C629D" w14:textId="77777777" w:rsidR="005126A0" w:rsidRDefault="005126A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17FC886" w14:textId="77777777" w:rsidR="005126A0" w:rsidRDefault="005126A0">
      <w:pPr>
        <w:spacing w:line="360" w:lineRule="auto"/>
        <w:ind w:firstLineChars="200" w:firstLine="420"/>
        <w:divId w:val="1738359056"/>
      </w:pPr>
      <w:r>
        <w:rPr>
          <w:rFonts w:ascii="宋体" w:hAnsi="宋体" w:hint="eastAsia"/>
          <w:szCs w:val="21"/>
          <w:lang w:eastAsia="zh-Hans"/>
        </w:rPr>
        <w:t>本基金本报告期末未持有港股通股票　。</w:t>
      </w:r>
    </w:p>
    <w:p w14:paraId="3E3C8BF4" w14:textId="77777777" w:rsidR="005126A0" w:rsidRDefault="005126A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3D1F039" w14:textId="77777777" w:rsidR="005126A0" w:rsidRDefault="005126A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17F999B8" w14:textId="77777777" w:rsidR="005126A0" w:rsidRDefault="005126A0">
      <w:pPr>
        <w:spacing w:line="360" w:lineRule="auto"/>
        <w:ind w:firstLineChars="200" w:firstLine="420"/>
        <w:jc w:val="left"/>
      </w:pPr>
      <w:r>
        <w:rPr>
          <w:rFonts w:ascii="宋体" w:hAnsi="宋体" w:hint="eastAsia"/>
          <w:color w:val="000000"/>
          <w:szCs w:val="21"/>
          <w:lang w:eastAsia="zh-Hans"/>
        </w:rPr>
        <w:t>本基金本报告期末未持有股票。</w:t>
      </w:r>
    </w:p>
    <w:p w14:paraId="5D8AE79B" w14:textId="77777777" w:rsidR="005126A0" w:rsidRDefault="005126A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30869" w14:paraId="35381493"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E41541" w14:textId="77777777" w:rsidR="005126A0" w:rsidRDefault="005126A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102054" w14:textId="77777777" w:rsidR="005126A0" w:rsidRDefault="005126A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B4F574" w14:textId="77777777" w:rsidR="005126A0" w:rsidRDefault="005126A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395328" w14:textId="77777777" w:rsidR="005126A0" w:rsidRDefault="005126A0">
            <w:pPr>
              <w:jc w:val="center"/>
            </w:pPr>
            <w:r>
              <w:rPr>
                <w:rFonts w:ascii="宋体" w:hAnsi="宋体" w:hint="eastAsia"/>
                <w:color w:val="000000"/>
              </w:rPr>
              <w:t xml:space="preserve">占基金资产净值比例（%） </w:t>
            </w:r>
          </w:p>
        </w:tc>
      </w:tr>
      <w:tr w:rsidR="00330869" w14:paraId="7C5B1A79"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7A2C96" w14:textId="77777777" w:rsidR="005126A0" w:rsidRDefault="005126A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0D4086" w14:textId="77777777" w:rsidR="005126A0" w:rsidRDefault="005126A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7119D7"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F919AE" w14:textId="77777777" w:rsidR="005126A0" w:rsidRDefault="005126A0">
            <w:pPr>
              <w:jc w:val="right"/>
            </w:pPr>
            <w:r>
              <w:rPr>
                <w:rFonts w:ascii="宋体" w:hAnsi="宋体" w:hint="eastAsia"/>
                <w:szCs w:val="24"/>
                <w:lang w:eastAsia="zh-Hans"/>
              </w:rPr>
              <w:t>-</w:t>
            </w:r>
          </w:p>
        </w:tc>
      </w:tr>
      <w:tr w:rsidR="00330869" w14:paraId="411AC21D"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13944F" w14:textId="77777777" w:rsidR="005126A0" w:rsidRDefault="005126A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2D7A62" w14:textId="77777777" w:rsidR="005126A0" w:rsidRDefault="005126A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BCD9B8"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F932B3" w14:textId="77777777" w:rsidR="005126A0" w:rsidRDefault="005126A0">
            <w:pPr>
              <w:jc w:val="right"/>
            </w:pPr>
            <w:r>
              <w:rPr>
                <w:rFonts w:ascii="宋体" w:hAnsi="宋体" w:hint="eastAsia"/>
                <w:szCs w:val="24"/>
                <w:lang w:eastAsia="zh-Hans"/>
              </w:rPr>
              <w:t>-</w:t>
            </w:r>
          </w:p>
        </w:tc>
      </w:tr>
      <w:tr w:rsidR="00330869" w14:paraId="6B3D8372"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959825" w14:textId="77777777" w:rsidR="005126A0" w:rsidRDefault="005126A0">
            <w:pPr>
              <w:jc w:val="center"/>
            </w:pPr>
            <w:r>
              <w:rPr>
                <w:rFonts w:ascii="宋体" w:hAnsi="宋体" w:hint="eastAsia"/>
              </w:rPr>
              <w:lastRenderedPageBreak/>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FA9378" w14:textId="77777777" w:rsidR="005126A0" w:rsidRDefault="005126A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2F815C6" w14:textId="77777777" w:rsidR="005126A0" w:rsidRDefault="005126A0">
            <w:pPr>
              <w:jc w:val="right"/>
            </w:pPr>
            <w:r>
              <w:rPr>
                <w:rFonts w:ascii="宋体" w:hAnsi="宋体" w:hint="eastAsia"/>
                <w:szCs w:val="24"/>
                <w:lang w:eastAsia="zh-Hans"/>
              </w:rPr>
              <w:t>268,414,139.44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6802BB" w14:textId="77777777" w:rsidR="005126A0" w:rsidRDefault="005126A0">
            <w:pPr>
              <w:jc w:val="right"/>
            </w:pPr>
            <w:r>
              <w:rPr>
                <w:rFonts w:ascii="宋体" w:hAnsi="宋体" w:hint="eastAsia"/>
                <w:szCs w:val="24"/>
                <w:lang w:eastAsia="zh-Hans"/>
              </w:rPr>
              <w:t>103.83</w:t>
            </w:r>
          </w:p>
        </w:tc>
      </w:tr>
      <w:tr w:rsidR="00330869" w14:paraId="7301113F"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E89024" w14:textId="77777777" w:rsidR="005126A0" w:rsidRDefault="005126A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EE7E49" w14:textId="77777777" w:rsidR="005126A0" w:rsidRDefault="005126A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6F7BC0" w14:textId="77777777" w:rsidR="005126A0" w:rsidRDefault="005126A0">
            <w:pPr>
              <w:jc w:val="right"/>
            </w:pPr>
            <w:r>
              <w:rPr>
                <w:rFonts w:ascii="宋体" w:hAnsi="宋体" w:hint="eastAsia"/>
                <w:szCs w:val="24"/>
                <w:lang w:eastAsia="zh-Hans"/>
              </w:rPr>
              <w:t>66,211,349.31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EB6EA8" w14:textId="77777777" w:rsidR="005126A0" w:rsidRDefault="005126A0">
            <w:pPr>
              <w:jc w:val="right"/>
            </w:pPr>
            <w:r>
              <w:rPr>
                <w:rFonts w:ascii="宋体" w:hAnsi="宋体" w:hint="eastAsia"/>
                <w:szCs w:val="24"/>
                <w:lang w:eastAsia="zh-Hans"/>
              </w:rPr>
              <w:t>25.61</w:t>
            </w:r>
          </w:p>
        </w:tc>
      </w:tr>
      <w:tr w:rsidR="00330869" w14:paraId="00CB8A6A"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FFA583" w14:textId="77777777" w:rsidR="005126A0" w:rsidRDefault="005126A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7D3D61" w14:textId="77777777" w:rsidR="005126A0" w:rsidRDefault="005126A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A85ADA"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B221E8" w14:textId="77777777" w:rsidR="005126A0" w:rsidRDefault="005126A0">
            <w:pPr>
              <w:jc w:val="right"/>
            </w:pPr>
            <w:r>
              <w:rPr>
                <w:rFonts w:ascii="宋体" w:hAnsi="宋体" w:hint="eastAsia"/>
                <w:szCs w:val="24"/>
                <w:lang w:eastAsia="zh-Hans"/>
              </w:rPr>
              <w:t>-</w:t>
            </w:r>
          </w:p>
        </w:tc>
      </w:tr>
      <w:tr w:rsidR="00330869" w14:paraId="7BFB8ABE"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89C2C7" w14:textId="77777777" w:rsidR="005126A0" w:rsidRDefault="005126A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01FD9A" w14:textId="77777777" w:rsidR="005126A0" w:rsidRDefault="005126A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6AA97D"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F50CDE" w14:textId="77777777" w:rsidR="005126A0" w:rsidRDefault="005126A0">
            <w:pPr>
              <w:jc w:val="right"/>
            </w:pPr>
            <w:r>
              <w:rPr>
                <w:rFonts w:ascii="宋体" w:hAnsi="宋体" w:hint="eastAsia"/>
                <w:szCs w:val="24"/>
                <w:lang w:eastAsia="zh-Hans"/>
              </w:rPr>
              <w:t>-</w:t>
            </w:r>
          </w:p>
        </w:tc>
      </w:tr>
      <w:tr w:rsidR="00330869" w14:paraId="21579785"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C06A304" w14:textId="77777777" w:rsidR="005126A0" w:rsidRDefault="005126A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A8C45E" w14:textId="77777777" w:rsidR="005126A0" w:rsidRDefault="005126A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8223FD"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AB7295" w14:textId="77777777" w:rsidR="005126A0" w:rsidRDefault="005126A0">
            <w:pPr>
              <w:jc w:val="right"/>
            </w:pPr>
            <w:r>
              <w:rPr>
                <w:rFonts w:ascii="宋体" w:hAnsi="宋体" w:hint="eastAsia"/>
                <w:szCs w:val="24"/>
                <w:lang w:eastAsia="zh-Hans"/>
              </w:rPr>
              <w:t>-</w:t>
            </w:r>
          </w:p>
        </w:tc>
      </w:tr>
      <w:tr w:rsidR="00330869" w14:paraId="1F383429"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5C978B" w14:textId="77777777" w:rsidR="005126A0" w:rsidRDefault="005126A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2E7B3F" w14:textId="77777777" w:rsidR="005126A0" w:rsidRDefault="005126A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3B123A"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A371BF4" w14:textId="77777777" w:rsidR="005126A0" w:rsidRDefault="005126A0">
            <w:pPr>
              <w:jc w:val="right"/>
            </w:pPr>
            <w:r>
              <w:rPr>
                <w:rFonts w:ascii="宋体" w:hAnsi="宋体" w:hint="eastAsia"/>
                <w:szCs w:val="24"/>
                <w:lang w:eastAsia="zh-Hans"/>
              </w:rPr>
              <w:t>-</w:t>
            </w:r>
          </w:p>
        </w:tc>
      </w:tr>
      <w:tr w:rsidR="00330869" w14:paraId="46DCF185"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35DE8A" w14:textId="77777777" w:rsidR="005126A0" w:rsidRDefault="005126A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FA71F37" w14:textId="77777777" w:rsidR="005126A0" w:rsidRDefault="005126A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65349C" w14:textId="77777777" w:rsidR="005126A0" w:rsidRDefault="005126A0">
            <w:pPr>
              <w:jc w:val="right"/>
            </w:pPr>
            <w:r>
              <w:rPr>
                <w:rFonts w:ascii="宋体" w:hAnsi="宋体" w:hint="eastAsia"/>
                <w:szCs w:val="24"/>
                <w:lang w:eastAsia="zh-Hans"/>
              </w:rPr>
              <w:t>9,920,737.58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9FFDEA" w14:textId="77777777" w:rsidR="005126A0" w:rsidRDefault="005126A0">
            <w:pPr>
              <w:jc w:val="right"/>
            </w:pPr>
            <w:r>
              <w:rPr>
                <w:rFonts w:ascii="宋体" w:hAnsi="宋体" w:hint="eastAsia"/>
                <w:szCs w:val="24"/>
                <w:lang w:eastAsia="zh-Hans"/>
              </w:rPr>
              <w:t>3.84</w:t>
            </w:r>
          </w:p>
        </w:tc>
      </w:tr>
      <w:tr w:rsidR="00330869" w14:paraId="380CEFDA"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52A4A4B" w14:textId="77777777" w:rsidR="005126A0" w:rsidRDefault="005126A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70E3F4" w14:textId="77777777" w:rsidR="005126A0" w:rsidRDefault="005126A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E5F723" w14:textId="77777777" w:rsidR="005126A0" w:rsidRDefault="005126A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46B7FB" w14:textId="77777777" w:rsidR="005126A0" w:rsidRDefault="005126A0">
            <w:pPr>
              <w:jc w:val="right"/>
            </w:pPr>
            <w:r>
              <w:rPr>
                <w:rFonts w:ascii="宋体" w:hAnsi="宋体" w:hint="eastAsia"/>
                <w:szCs w:val="24"/>
                <w:lang w:eastAsia="zh-Hans"/>
              </w:rPr>
              <w:t>-</w:t>
            </w:r>
          </w:p>
        </w:tc>
      </w:tr>
      <w:tr w:rsidR="00330869" w14:paraId="1592D86D" w14:textId="77777777">
        <w:trPr>
          <w:divId w:val="31198340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5A459A" w14:textId="77777777" w:rsidR="005126A0" w:rsidRDefault="005126A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2D02C2" w14:textId="77777777" w:rsidR="005126A0" w:rsidRDefault="005126A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ECF8FD6" w14:textId="77777777" w:rsidR="005126A0" w:rsidRDefault="005126A0">
            <w:pPr>
              <w:jc w:val="right"/>
            </w:pPr>
            <w:r>
              <w:rPr>
                <w:rFonts w:ascii="宋体" w:hAnsi="宋体" w:hint="eastAsia"/>
                <w:szCs w:val="24"/>
                <w:lang w:eastAsia="zh-Hans"/>
              </w:rPr>
              <w:t>278,334,877.02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CDE9E6" w14:textId="77777777" w:rsidR="005126A0" w:rsidRDefault="005126A0">
            <w:pPr>
              <w:jc w:val="right"/>
            </w:pPr>
            <w:r>
              <w:rPr>
                <w:rFonts w:ascii="宋体" w:hAnsi="宋体" w:hint="eastAsia"/>
                <w:szCs w:val="24"/>
                <w:lang w:eastAsia="zh-Hans"/>
              </w:rPr>
              <w:t>107.66</w:t>
            </w:r>
          </w:p>
        </w:tc>
      </w:tr>
    </w:tbl>
    <w:p w14:paraId="3D858618" w14:textId="77777777" w:rsidR="005126A0" w:rsidRDefault="005126A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30869" w14:paraId="2EDFB698" w14:textId="77777777">
        <w:trPr>
          <w:divId w:val="1028929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761EE9" w14:textId="77777777" w:rsidR="005126A0" w:rsidRDefault="005126A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8CA277" w14:textId="77777777" w:rsidR="005126A0" w:rsidRDefault="005126A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41968E" w14:textId="77777777" w:rsidR="005126A0" w:rsidRDefault="005126A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39B1EF" w14:textId="77777777" w:rsidR="005126A0" w:rsidRDefault="005126A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6BEA79" w14:textId="77777777" w:rsidR="005126A0" w:rsidRDefault="005126A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0F1D32" w14:textId="77777777" w:rsidR="005126A0" w:rsidRDefault="005126A0">
            <w:pPr>
              <w:jc w:val="center"/>
            </w:pPr>
            <w:r>
              <w:rPr>
                <w:rFonts w:ascii="宋体" w:hAnsi="宋体" w:hint="eastAsia"/>
                <w:color w:val="000000"/>
              </w:rPr>
              <w:t xml:space="preserve">占基金资产净值比例（%） </w:t>
            </w:r>
          </w:p>
        </w:tc>
      </w:tr>
      <w:tr w:rsidR="00330869" w14:paraId="3C059B72" w14:textId="77777777">
        <w:trPr>
          <w:divId w:val="1028929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CBE3C" w14:textId="77777777" w:rsidR="005126A0" w:rsidRDefault="005126A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AD58C" w14:textId="77777777" w:rsidR="005126A0" w:rsidRDefault="005126A0">
            <w:pPr>
              <w:jc w:val="center"/>
            </w:pPr>
            <w:r>
              <w:rPr>
                <w:rFonts w:ascii="宋体" w:hAnsi="宋体" w:hint="eastAsia"/>
                <w:szCs w:val="24"/>
                <w:lang w:eastAsia="zh-Hans"/>
              </w:rPr>
              <w:t>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F15DA" w14:textId="77777777" w:rsidR="005126A0" w:rsidRDefault="005126A0">
            <w:pPr>
              <w:jc w:val="center"/>
            </w:pPr>
            <w:r>
              <w:rPr>
                <w:rFonts w:ascii="宋体" w:hAnsi="宋体" w:hint="eastAsia"/>
                <w:szCs w:val="24"/>
                <w:lang w:eastAsia="zh-Hans"/>
              </w:rPr>
              <w:t>24国开03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63CAB" w14:textId="77777777" w:rsidR="005126A0" w:rsidRDefault="005126A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228E3" w14:textId="77777777" w:rsidR="005126A0" w:rsidRDefault="005126A0">
            <w:pPr>
              <w:jc w:val="right"/>
            </w:pPr>
            <w:r>
              <w:rPr>
                <w:rFonts w:ascii="宋体" w:hAnsi="宋体" w:hint="eastAsia"/>
                <w:szCs w:val="24"/>
                <w:lang w:eastAsia="zh-Hans"/>
              </w:rPr>
              <w:t>20,762,465.75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77238" w14:textId="77777777" w:rsidR="005126A0" w:rsidRDefault="005126A0">
            <w:pPr>
              <w:jc w:val="right"/>
            </w:pPr>
            <w:r>
              <w:rPr>
                <w:rFonts w:ascii="宋体" w:hAnsi="宋体" w:hint="eastAsia"/>
                <w:szCs w:val="24"/>
                <w:lang w:eastAsia="zh-Hans"/>
              </w:rPr>
              <w:t>8.03</w:t>
            </w:r>
          </w:p>
        </w:tc>
      </w:tr>
      <w:tr w:rsidR="00330869" w14:paraId="4B64A555" w14:textId="77777777">
        <w:trPr>
          <w:divId w:val="1028929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93ABB" w14:textId="77777777" w:rsidR="005126A0" w:rsidRDefault="005126A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EFB5D" w14:textId="77777777" w:rsidR="005126A0" w:rsidRDefault="005126A0">
            <w:pPr>
              <w:jc w:val="center"/>
            </w:pPr>
            <w:r>
              <w:rPr>
                <w:rFonts w:ascii="宋体" w:hAnsi="宋体" w:hint="eastAsia"/>
                <w:szCs w:val="24"/>
                <w:lang w:eastAsia="zh-Hans"/>
              </w:rPr>
              <w:t>212400005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DFA0D" w14:textId="77777777" w:rsidR="005126A0" w:rsidRDefault="005126A0">
            <w:pPr>
              <w:jc w:val="center"/>
            </w:pPr>
            <w:r>
              <w:rPr>
                <w:rFonts w:ascii="宋体" w:hAnsi="宋体" w:hint="eastAsia"/>
                <w:szCs w:val="24"/>
                <w:lang w:eastAsia="zh-Hans"/>
              </w:rPr>
              <w:t>24成都农商行三农债01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E8158" w14:textId="77777777" w:rsidR="005126A0" w:rsidRDefault="005126A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4BE6C" w14:textId="77777777" w:rsidR="005126A0" w:rsidRDefault="005126A0">
            <w:pPr>
              <w:jc w:val="right"/>
            </w:pPr>
            <w:r>
              <w:rPr>
                <w:rFonts w:ascii="宋体" w:hAnsi="宋体" w:hint="eastAsia"/>
                <w:szCs w:val="24"/>
                <w:lang w:eastAsia="zh-Hans"/>
              </w:rPr>
              <w:t>20,327,347.95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0A94" w14:textId="77777777" w:rsidR="005126A0" w:rsidRDefault="005126A0">
            <w:pPr>
              <w:jc w:val="right"/>
            </w:pPr>
            <w:r>
              <w:rPr>
                <w:rFonts w:ascii="宋体" w:hAnsi="宋体" w:hint="eastAsia"/>
                <w:szCs w:val="24"/>
                <w:lang w:eastAsia="zh-Hans"/>
              </w:rPr>
              <w:t>7.86</w:t>
            </w:r>
          </w:p>
        </w:tc>
      </w:tr>
      <w:tr w:rsidR="00330869" w14:paraId="038B6B82" w14:textId="77777777">
        <w:trPr>
          <w:divId w:val="1028929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79859" w14:textId="77777777" w:rsidR="005126A0" w:rsidRDefault="005126A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C92CE" w14:textId="77777777" w:rsidR="005126A0" w:rsidRDefault="005126A0">
            <w:pPr>
              <w:jc w:val="center"/>
            </w:pPr>
            <w:r>
              <w:rPr>
                <w:rFonts w:ascii="宋体" w:hAnsi="宋体" w:hint="eastAsia"/>
                <w:szCs w:val="24"/>
                <w:lang w:eastAsia="zh-Hans"/>
              </w:rPr>
              <w:t>2520048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8C812" w14:textId="77777777" w:rsidR="005126A0" w:rsidRDefault="005126A0">
            <w:pPr>
              <w:jc w:val="center"/>
            </w:pPr>
            <w:r>
              <w:rPr>
                <w:rFonts w:ascii="宋体" w:hAnsi="宋体" w:hint="eastAsia"/>
                <w:szCs w:val="24"/>
                <w:lang w:eastAsia="zh-Hans"/>
              </w:rPr>
              <w:t>25汉口银行小微债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02F35" w14:textId="77777777" w:rsidR="005126A0" w:rsidRDefault="005126A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FE7D6" w14:textId="77777777" w:rsidR="005126A0" w:rsidRDefault="005126A0">
            <w:pPr>
              <w:jc w:val="right"/>
            </w:pPr>
            <w:r>
              <w:rPr>
                <w:rFonts w:ascii="宋体" w:hAnsi="宋体" w:hint="eastAsia"/>
                <w:szCs w:val="24"/>
                <w:lang w:eastAsia="zh-Hans"/>
              </w:rPr>
              <w:t>20,265,863.01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DBF95" w14:textId="77777777" w:rsidR="005126A0" w:rsidRDefault="005126A0">
            <w:pPr>
              <w:jc w:val="right"/>
            </w:pPr>
            <w:r>
              <w:rPr>
                <w:rFonts w:ascii="宋体" w:hAnsi="宋体" w:hint="eastAsia"/>
                <w:szCs w:val="24"/>
                <w:lang w:eastAsia="zh-Hans"/>
              </w:rPr>
              <w:t>7.84</w:t>
            </w:r>
          </w:p>
        </w:tc>
      </w:tr>
      <w:tr w:rsidR="00330869" w14:paraId="4F81DC33" w14:textId="77777777">
        <w:trPr>
          <w:divId w:val="1028929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80C6E" w14:textId="77777777" w:rsidR="005126A0" w:rsidRDefault="005126A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1A643" w14:textId="77777777" w:rsidR="005126A0" w:rsidRDefault="005126A0">
            <w:pPr>
              <w:jc w:val="center"/>
            </w:pPr>
            <w:r>
              <w:rPr>
                <w:rFonts w:ascii="宋体" w:hAnsi="宋体" w:hint="eastAsia"/>
                <w:szCs w:val="24"/>
                <w:lang w:eastAsia="zh-Hans"/>
              </w:rPr>
              <w:t>212480050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42B10" w14:textId="77777777" w:rsidR="005126A0" w:rsidRDefault="005126A0">
            <w:pPr>
              <w:jc w:val="center"/>
            </w:pPr>
            <w:r>
              <w:rPr>
                <w:rFonts w:ascii="宋体" w:hAnsi="宋体" w:hint="eastAsia"/>
                <w:szCs w:val="24"/>
                <w:lang w:eastAsia="zh-Hans"/>
              </w:rPr>
              <w:t>24光大银行债02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4CCAC" w14:textId="77777777" w:rsidR="005126A0" w:rsidRDefault="005126A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C9D61" w14:textId="77777777" w:rsidR="005126A0" w:rsidRDefault="005126A0">
            <w:pPr>
              <w:jc w:val="right"/>
            </w:pPr>
            <w:r>
              <w:rPr>
                <w:rFonts w:ascii="宋体" w:hAnsi="宋体" w:hint="eastAsia"/>
                <w:szCs w:val="24"/>
                <w:lang w:eastAsia="zh-Hans"/>
              </w:rPr>
              <w:t>20,258,869.04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E633C" w14:textId="77777777" w:rsidR="005126A0" w:rsidRDefault="005126A0">
            <w:pPr>
              <w:jc w:val="right"/>
            </w:pPr>
            <w:r>
              <w:rPr>
                <w:rFonts w:ascii="宋体" w:hAnsi="宋体" w:hint="eastAsia"/>
                <w:szCs w:val="24"/>
                <w:lang w:eastAsia="zh-Hans"/>
              </w:rPr>
              <w:t>7.84</w:t>
            </w:r>
          </w:p>
        </w:tc>
      </w:tr>
      <w:tr w:rsidR="00330869" w14:paraId="6CEFB0DB" w14:textId="77777777">
        <w:trPr>
          <w:divId w:val="1028929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95D7B" w14:textId="77777777" w:rsidR="005126A0" w:rsidRDefault="005126A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40010" w14:textId="77777777" w:rsidR="005126A0" w:rsidRDefault="005126A0">
            <w:pPr>
              <w:jc w:val="center"/>
            </w:pPr>
            <w:r>
              <w:rPr>
                <w:rFonts w:ascii="宋体" w:hAnsi="宋体" w:hint="eastAsia"/>
                <w:szCs w:val="24"/>
                <w:lang w:eastAsia="zh-Hans"/>
              </w:rPr>
              <w:t>212480020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3517D" w14:textId="77777777" w:rsidR="005126A0" w:rsidRDefault="005126A0">
            <w:pPr>
              <w:jc w:val="center"/>
            </w:pPr>
            <w:r>
              <w:rPr>
                <w:rFonts w:ascii="宋体" w:hAnsi="宋体" w:hint="eastAsia"/>
                <w:szCs w:val="24"/>
                <w:lang w:eastAsia="zh-Hans"/>
              </w:rPr>
              <w:t>24中山农商行债01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9DC8F" w14:textId="77777777" w:rsidR="005126A0" w:rsidRDefault="005126A0">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F43F9" w14:textId="77777777" w:rsidR="005126A0" w:rsidRDefault="005126A0">
            <w:pPr>
              <w:jc w:val="right"/>
            </w:pPr>
            <w:r>
              <w:rPr>
                <w:rFonts w:ascii="宋体" w:hAnsi="宋体" w:hint="eastAsia"/>
                <w:szCs w:val="24"/>
                <w:lang w:eastAsia="zh-Hans"/>
              </w:rPr>
              <w:t>20,202,002.19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F821F" w14:textId="77777777" w:rsidR="005126A0" w:rsidRDefault="005126A0">
            <w:pPr>
              <w:jc w:val="right"/>
            </w:pPr>
            <w:r>
              <w:rPr>
                <w:rFonts w:ascii="宋体" w:hAnsi="宋体" w:hint="eastAsia"/>
                <w:szCs w:val="24"/>
                <w:lang w:eastAsia="zh-Hans"/>
              </w:rPr>
              <w:t>7.81</w:t>
            </w:r>
          </w:p>
        </w:tc>
      </w:tr>
    </w:tbl>
    <w:p w14:paraId="4260BA58" w14:textId="77777777" w:rsidR="005126A0" w:rsidRDefault="005126A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3D99451" w14:textId="77777777" w:rsidR="005126A0" w:rsidRDefault="005126A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D1BB2CE" w14:textId="77777777" w:rsidR="005126A0" w:rsidRDefault="005126A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AA75856" w14:textId="77777777" w:rsidR="005126A0" w:rsidRDefault="005126A0">
      <w:pPr>
        <w:spacing w:line="360" w:lineRule="auto"/>
        <w:ind w:firstLineChars="200" w:firstLine="420"/>
        <w:divId w:val="40131673"/>
      </w:pPr>
      <w:r>
        <w:rPr>
          <w:rFonts w:ascii="宋体" w:hAnsi="宋体" w:hint="eastAsia"/>
          <w:szCs w:val="21"/>
          <w:lang w:eastAsia="zh-Hans"/>
        </w:rPr>
        <w:t>本基金本报告期末未持有贵金属。</w:t>
      </w:r>
    </w:p>
    <w:p w14:paraId="10F4AA5F" w14:textId="77777777" w:rsidR="005126A0" w:rsidRDefault="005126A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1538AACC" w14:textId="77777777" w:rsidR="005126A0" w:rsidRDefault="005126A0">
      <w:pPr>
        <w:spacing w:line="360" w:lineRule="auto"/>
        <w:ind w:firstLineChars="200" w:firstLine="420"/>
        <w:divId w:val="1688868473"/>
      </w:pPr>
      <w:r>
        <w:rPr>
          <w:rFonts w:ascii="宋体" w:hAnsi="宋体" w:hint="eastAsia"/>
          <w:szCs w:val="21"/>
          <w:lang w:eastAsia="zh-Hans"/>
        </w:rPr>
        <w:t>本基金本报告期末未持有权证。</w:t>
      </w:r>
    </w:p>
    <w:p w14:paraId="39FD14FF" w14:textId="77777777" w:rsidR="005126A0" w:rsidRDefault="005126A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D1B6004" w14:textId="77777777" w:rsidR="005126A0" w:rsidRDefault="005126A0">
      <w:pPr>
        <w:spacing w:line="360" w:lineRule="auto"/>
        <w:ind w:firstLineChars="200" w:firstLine="420"/>
        <w:divId w:val="679813640"/>
      </w:pPr>
      <w:r>
        <w:rPr>
          <w:rFonts w:ascii="宋体" w:hAnsi="宋体" w:hint="eastAsia"/>
          <w:szCs w:val="21"/>
          <w:lang w:eastAsia="zh-Hans"/>
        </w:rPr>
        <w:t>本基金本报告期末未持有股指期货。</w:t>
      </w:r>
    </w:p>
    <w:p w14:paraId="5E3F4A13" w14:textId="77777777" w:rsidR="005126A0" w:rsidRDefault="005126A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D09A5D3" w14:textId="77777777" w:rsidR="005126A0" w:rsidRDefault="005126A0">
      <w:pPr>
        <w:spacing w:line="360" w:lineRule="auto"/>
        <w:ind w:firstLineChars="200" w:firstLine="420"/>
        <w:divId w:val="669647599"/>
      </w:pPr>
      <w:bookmarkStart w:id="250" w:name="m510_01_1597"/>
      <w:bookmarkStart w:id="251" w:name="m510_01_1598"/>
      <w:bookmarkEnd w:id="250"/>
      <w:r>
        <w:rPr>
          <w:rFonts w:ascii="宋体" w:hAnsi="宋体" w:hint="eastAsia"/>
          <w:szCs w:val="21"/>
          <w:lang w:eastAsia="zh-Hans"/>
        </w:rPr>
        <w:t>本基金本报告期末未持有国债期货。</w:t>
      </w:r>
    </w:p>
    <w:p w14:paraId="362B7136" w14:textId="77777777" w:rsidR="005126A0" w:rsidRDefault="005126A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BA2EB20" w14:textId="77777777" w:rsidR="005126A0" w:rsidRDefault="005126A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7423018A" w14:textId="77777777" w:rsidR="005126A0" w:rsidRDefault="005126A0">
      <w:pPr>
        <w:spacing w:line="360" w:lineRule="auto"/>
        <w:ind w:firstLineChars="200" w:firstLine="420"/>
      </w:pPr>
      <w:r>
        <w:rPr>
          <w:rFonts w:ascii="宋体" w:hAnsi="宋体" w:hint="eastAsia"/>
        </w:rPr>
        <w:lastRenderedPageBreak/>
        <w:t>本基金投资的前十名证券的发行主体中，中国光大银行股份有限公司报告编制日前一年内曾受到国家外汇管理局北京市分局、国家金融监督管理总局的处罚，交通银行股份有限公司报告编制日前一年内曾受到央行的处罚，中山农村商业银行股份有限公司报告编制日前一年内曾受到央行中山市分行、国家外汇管理局中山市分局的处罚，中国农业银行股份有限公司报告编制日前一年内曾受到国家金融监督管理总局的处罚，汉口银行股份有限公司报告编制日前一年内曾受到央行湖北省分行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DFEFFF1" w14:textId="77777777" w:rsidR="005126A0" w:rsidRDefault="005126A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3AADC7A6" w14:textId="77777777" w:rsidR="005126A0" w:rsidRDefault="005126A0">
      <w:pPr>
        <w:spacing w:line="360" w:lineRule="auto"/>
        <w:ind w:firstLineChars="200" w:firstLine="420"/>
      </w:pPr>
      <w:r>
        <w:rPr>
          <w:rFonts w:ascii="宋体" w:hAnsi="宋体" w:hint="eastAsia"/>
        </w:rPr>
        <w:t>报告期内本基金投资的前十名股票中没有在基金合同规定备选股票库之外的股票。</w:t>
      </w:r>
    </w:p>
    <w:p w14:paraId="37D0F1F7" w14:textId="77777777" w:rsidR="005126A0" w:rsidRDefault="005126A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30869" w14:paraId="59540671" w14:textId="77777777">
        <w:trPr>
          <w:divId w:val="54664623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F4F38" w14:textId="77777777" w:rsidR="005126A0" w:rsidRDefault="005126A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F03EA" w14:textId="77777777" w:rsidR="005126A0" w:rsidRDefault="005126A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6096A" w14:textId="77777777" w:rsidR="005126A0" w:rsidRDefault="005126A0">
            <w:pPr>
              <w:jc w:val="center"/>
            </w:pPr>
            <w:r>
              <w:rPr>
                <w:rFonts w:ascii="宋体" w:hAnsi="宋体" w:hint="eastAsia"/>
              </w:rPr>
              <w:t>金额（元）</w:t>
            </w:r>
            <w:r>
              <w:t xml:space="preserve"> </w:t>
            </w:r>
          </w:p>
        </w:tc>
      </w:tr>
      <w:tr w:rsidR="00330869" w14:paraId="4CCD6C73"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7FC37" w14:textId="77777777" w:rsidR="005126A0" w:rsidRDefault="005126A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37152" w14:textId="77777777" w:rsidR="005126A0" w:rsidRDefault="005126A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F1820" w14:textId="77777777" w:rsidR="005126A0" w:rsidRDefault="005126A0">
            <w:pPr>
              <w:jc w:val="right"/>
            </w:pPr>
            <w:r>
              <w:rPr>
                <w:rFonts w:ascii="宋体" w:hAnsi="宋体" w:hint="eastAsia"/>
              </w:rPr>
              <w:t>6,124.22</w:t>
            </w:r>
          </w:p>
        </w:tc>
      </w:tr>
      <w:tr w:rsidR="00330869" w14:paraId="34A39F99"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65609" w14:textId="77777777" w:rsidR="005126A0" w:rsidRDefault="005126A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F8470" w14:textId="77777777" w:rsidR="005126A0" w:rsidRDefault="005126A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8AF8D" w14:textId="77777777" w:rsidR="005126A0" w:rsidRDefault="005126A0">
            <w:pPr>
              <w:jc w:val="right"/>
            </w:pPr>
            <w:r>
              <w:rPr>
                <w:rFonts w:ascii="宋体" w:hAnsi="宋体" w:hint="eastAsia"/>
              </w:rPr>
              <w:t>-</w:t>
            </w:r>
          </w:p>
        </w:tc>
      </w:tr>
      <w:tr w:rsidR="00330869" w14:paraId="4454E64F"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E6F4D" w14:textId="77777777" w:rsidR="005126A0" w:rsidRDefault="005126A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091BA" w14:textId="77777777" w:rsidR="005126A0" w:rsidRDefault="005126A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33B40" w14:textId="77777777" w:rsidR="005126A0" w:rsidRDefault="005126A0">
            <w:pPr>
              <w:jc w:val="right"/>
            </w:pPr>
            <w:r>
              <w:rPr>
                <w:rFonts w:ascii="宋体" w:hAnsi="宋体" w:hint="eastAsia"/>
              </w:rPr>
              <w:t>-</w:t>
            </w:r>
          </w:p>
        </w:tc>
      </w:tr>
      <w:tr w:rsidR="00330869" w14:paraId="72E6F681"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43972" w14:textId="77777777" w:rsidR="005126A0" w:rsidRDefault="005126A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C8E9A" w14:textId="77777777" w:rsidR="005126A0" w:rsidRDefault="005126A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768A9" w14:textId="77777777" w:rsidR="005126A0" w:rsidRDefault="005126A0">
            <w:pPr>
              <w:jc w:val="right"/>
            </w:pPr>
            <w:r>
              <w:rPr>
                <w:rFonts w:ascii="宋体" w:hAnsi="宋体" w:hint="eastAsia"/>
              </w:rPr>
              <w:t>-</w:t>
            </w:r>
          </w:p>
        </w:tc>
      </w:tr>
      <w:tr w:rsidR="00330869" w14:paraId="20025FD9"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BAE46" w14:textId="77777777" w:rsidR="005126A0" w:rsidRDefault="005126A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96D34" w14:textId="77777777" w:rsidR="005126A0" w:rsidRDefault="005126A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F1917" w14:textId="77777777" w:rsidR="005126A0" w:rsidRDefault="005126A0">
            <w:pPr>
              <w:jc w:val="right"/>
            </w:pPr>
            <w:r>
              <w:rPr>
                <w:rFonts w:ascii="宋体" w:hAnsi="宋体" w:hint="eastAsia"/>
              </w:rPr>
              <w:t>162,647.37</w:t>
            </w:r>
          </w:p>
        </w:tc>
      </w:tr>
      <w:tr w:rsidR="00330869" w14:paraId="2F51A207"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3CF2B" w14:textId="77777777" w:rsidR="005126A0" w:rsidRDefault="005126A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F5519" w14:textId="77777777" w:rsidR="005126A0" w:rsidRDefault="005126A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08DEE" w14:textId="77777777" w:rsidR="005126A0" w:rsidRDefault="005126A0">
            <w:pPr>
              <w:jc w:val="right"/>
            </w:pPr>
            <w:r>
              <w:rPr>
                <w:rFonts w:ascii="宋体" w:hAnsi="宋体" w:hint="eastAsia"/>
              </w:rPr>
              <w:t>-</w:t>
            </w:r>
          </w:p>
        </w:tc>
      </w:tr>
      <w:tr w:rsidR="00330869" w14:paraId="40A79B3F"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1B3B8" w14:textId="77777777" w:rsidR="005126A0" w:rsidRDefault="005126A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87721" w14:textId="77777777" w:rsidR="005126A0" w:rsidRDefault="005126A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F0C4D" w14:textId="77777777" w:rsidR="005126A0" w:rsidRDefault="005126A0">
            <w:pPr>
              <w:jc w:val="right"/>
            </w:pPr>
            <w:r>
              <w:rPr>
                <w:rFonts w:ascii="宋体" w:hAnsi="宋体" w:hint="eastAsia"/>
              </w:rPr>
              <w:t>-</w:t>
            </w:r>
          </w:p>
        </w:tc>
      </w:tr>
      <w:tr w:rsidR="00330869" w14:paraId="26DCEB50" w14:textId="77777777">
        <w:trPr>
          <w:divId w:val="5466462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B9F58" w14:textId="77777777" w:rsidR="005126A0" w:rsidRDefault="005126A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CDC8A" w14:textId="77777777" w:rsidR="005126A0" w:rsidRDefault="005126A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597CA" w14:textId="77777777" w:rsidR="005126A0" w:rsidRDefault="005126A0">
            <w:pPr>
              <w:jc w:val="right"/>
            </w:pPr>
            <w:r>
              <w:rPr>
                <w:rFonts w:ascii="宋体" w:hAnsi="宋体" w:hint="eastAsia"/>
              </w:rPr>
              <w:t>168,771.59</w:t>
            </w:r>
          </w:p>
        </w:tc>
      </w:tr>
    </w:tbl>
    <w:p w14:paraId="043C281E" w14:textId="77777777" w:rsidR="005126A0" w:rsidRDefault="005126A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2DBC864" w14:textId="77777777" w:rsidR="005126A0" w:rsidRDefault="005126A0">
      <w:pPr>
        <w:spacing w:line="360" w:lineRule="auto"/>
        <w:ind w:firstLineChars="200" w:firstLine="420"/>
        <w:jc w:val="left"/>
      </w:pPr>
      <w:r>
        <w:rPr>
          <w:rFonts w:ascii="宋体" w:hAnsi="宋体" w:hint="eastAsia"/>
        </w:rPr>
        <w:t xml:space="preserve">本基金本报告期末未持有处于转股期的可转换债券。 </w:t>
      </w:r>
    </w:p>
    <w:p w14:paraId="14A34E5E" w14:textId="77777777" w:rsidR="005126A0" w:rsidRDefault="005126A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8021BCD" w14:textId="77777777" w:rsidR="005126A0" w:rsidRDefault="005126A0">
      <w:pPr>
        <w:spacing w:line="360" w:lineRule="auto"/>
        <w:ind w:firstLineChars="200" w:firstLine="420"/>
        <w:jc w:val="left"/>
        <w:divId w:val="19539394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3F17564" w14:textId="77777777" w:rsidR="005126A0" w:rsidRDefault="005126A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1316913" w14:textId="77777777" w:rsidR="005126A0" w:rsidRDefault="005126A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1F98DF63" w14:textId="77777777" w:rsidR="005126A0" w:rsidRDefault="005126A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6BE9881" w14:textId="77777777" w:rsidR="005126A0" w:rsidRDefault="005126A0">
      <w:pPr>
        <w:wordWrap w:val="0"/>
        <w:spacing w:line="360" w:lineRule="auto"/>
        <w:jc w:val="right"/>
        <w:divId w:val="196392150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330869" w14:paraId="162DE05D" w14:textId="77777777">
        <w:trPr>
          <w:divId w:val="196392150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8ED67E7"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lastRenderedPageBreak/>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7D6FE" w14:textId="77777777" w:rsidR="005126A0" w:rsidRDefault="005126A0">
            <w:pPr>
              <w:ind w:right="3"/>
              <w:jc w:val="center"/>
            </w:pPr>
            <w:r>
              <w:rPr>
                <w:rFonts w:ascii="宋体" w:hAnsi="宋体" w:hint="eastAsia"/>
                <w:lang w:eastAsia="zh-Hans"/>
              </w:rPr>
              <w:t>摩根瑞享纯债债券A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FB274" w14:textId="77777777" w:rsidR="005126A0" w:rsidRDefault="005126A0">
            <w:pPr>
              <w:ind w:right="3"/>
              <w:jc w:val="center"/>
            </w:pPr>
            <w:r>
              <w:rPr>
                <w:rFonts w:ascii="宋体" w:hAnsi="宋体" w:hint="eastAsia"/>
                <w:lang w:eastAsia="zh-Hans"/>
              </w:rPr>
              <w:t>摩根瑞享纯债债券C</w:t>
            </w:r>
            <w:r>
              <w:rPr>
                <w:rFonts w:ascii="宋体" w:hAnsi="宋体" w:hint="eastAsia"/>
                <w:kern w:val="0"/>
                <w:szCs w:val="24"/>
                <w:lang w:eastAsia="zh-Hans"/>
              </w:rPr>
              <w:t xml:space="preserve"> </w:t>
            </w:r>
          </w:p>
        </w:tc>
      </w:tr>
      <w:tr w:rsidR="00330869" w14:paraId="071BB4B0" w14:textId="77777777">
        <w:trPr>
          <w:divId w:val="19639215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05098D"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C6826" w14:textId="77777777" w:rsidR="005126A0" w:rsidRDefault="005126A0">
            <w:pPr>
              <w:jc w:val="right"/>
            </w:pPr>
            <w:r>
              <w:rPr>
                <w:rFonts w:ascii="宋体" w:hAnsi="宋体" w:hint="eastAsia"/>
              </w:rPr>
              <w:t>235,250,800.63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45271" w14:textId="77777777" w:rsidR="005126A0" w:rsidRDefault="005126A0">
            <w:pPr>
              <w:jc w:val="right"/>
            </w:pPr>
            <w:r>
              <w:rPr>
                <w:rFonts w:ascii="宋体" w:hAnsi="宋体" w:hint="eastAsia"/>
              </w:rPr>
              <w:t>1,450,200.82</w:t>
            </w:r>
          </w:p>
        </w:tc>
      </w:tr>
      <w:tr w:rsidR="00330869" w14:paraId="686502A9" w14:textId="77777777">
        <w:trPr>
          <w:divId w:val="19639215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EF6C53"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B8253" w14:textId="77777777" w:rsidR="005126A0" w:rsidRDefault="005126A0">
            <w:pPr>
              <w:jc w:val="right"/>
            </w:pPr>
            <w:r>
              <w:rPr>
                <w:rFonts w:ascii="宋体" w:hAnsi="宋体" w:hint="eastAsia"/>
              </w:rPr>
              <w:t>3,419,411.08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35948" w14:textId="77777777" w:rsidR="005126A0" w:rsidRDefault="005126A0">
            <w:pPr>
              <w:jc w:val="right"/>
            </w:pPr>
            <w:r>
              <w:rPr>
                <w:rFonts w:ascii="宋体" w:hAnsi="宋体" w:hint="eastAsia"/>
              </w:rPr>
              <w:t>6,918,840.60</w:t>
            </w:r>
          </w:p>
        </w:tc>
      </w:tr>
      <w:tr w:rsidR="00330869" w14:paraId="595EB67B" w14:textId="77777777">
        <w:trPr>
          <w:divId w:val="19639215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3EFA1"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ACABFC" w14:textId="77777777" w:rsidR="005126A0" w:rsidRDefault="005126A0">
            <w:pPr>
              <w:jc w:val="right"/>
            </w:pPr>
            <w:r>
              <w:rPr>
                <w:rFonts w:ascii="宋体" w:hAnsi="宋体" w:hint="eastAsia"/>
              </w:rPr>
              <w:t>1,130,607.19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EBABD" w14:textId="77777777" w:rsidR="005126A0" w:rsidRDefault="005126A0">
            <w:pPr>
              <w:jc w:val="right"/>
            </w:pPr>
            <w:r>
              <w:rPr>
                <w:rFonts w:ascii="宋体" w:hAnsi="宋体" w:hint="eastAsia"/>
              </w:rPr>
              <w:t>4,394,941.68</w:t>
            </w:r>
          </w:p>
        </w:tc>
      </w:tr>
      <w:tr w:rsidR="00330869" w14:paraId="001950CB" w14:textId="77777777">
        <w:trPr>
          <w:divId w:val="19639215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8B7403"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E5D12" w14:textId="77777777" w:rsidR="005126A0" w:rsidRDefault="005126A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56E68" w14:textId="77777777" w:rsidR="005126A0" w:rsidRDefault="005126A0">
            <w:pPr>
              <w:jc w:val="right"/>
            </w:pPr>
            <w:r>
              <w:rPr>
                <w:rFonts w:ascii="宋体" w:hAnsi="宋体" w:hint="eastAsia"/>
              </w:rPr>
              <w:t>-</w:t>
            </w:r>
          </w:p>
        </w:tc>
      </w:tr>
      <w:tr w:rsidR="00330869" w14:paraId="27B48664" w14:textId="77777777">
        <w:trPr>
          <w:divId w:val="196392150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D3A62" w14:textId="77777777" w:rsidR="005126A0" w:rsidRDefault="005126A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5BC1C" w14:textId="77777777" w:rsidR="005126A0" w:rsidRDefault="005126A0">
            <w:pPr>
              <w:jc w:val="right"/>
            </w:pPr>
            <w:r>
              <w:rPr>
                <w:rFonts w:ascii="宋体" w:hAnsi="宋体" w:hint="eastAsia"/>
              </w:rPr>
              <w:t>237,539,604.52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3E64F9" w14:textId="77777777" w:rsidR="005126A0" w:rsidRDefault="005126A0">
            <w:pPr>
              <w:jc w:val="right"/>
            </w:pPr>
            <w:r>
              <w:rPr>
                <w:rFonts w:ascii="宋体" w:hAnsi="宋体" w:hint="eastAsia"/>
              </w:rPr>
              <w:t>3,974,099.74</w:t>
            </w:r>
          </w:p>
        </w:tc>
      </w:tr>
    </w:tbl>
    <w:p w14:paraId="53946D50" w14:textId="77777777" w:rsidR="005126A0" w:rsidRDefault="005126A0">
      <w:pPr>
        <w:spacing w:line="360" w:lineRule="auto"/>
        <w:jc w:val="left"/>
        <w:divId w:val="196392150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0327EBE" w14:textId="77777777" w:rsidR="005126A0" w:rsidRDefault="005126A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2C34E8FC" w14:textId="77777777" w:rsidR="005126A0" w:rsidRDefault="005126A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04DADA9A" w14:textId="77777777" w:rsidR="005126A0" w:rsidRDefault="005126A0">
      <w:pPr>
        <w:wordWrap w:val="0"/>
        <w:spacing w:line="360" w:lineRule="auto"/>
        <w:jc w:val="right"/>
        <w:divId w:val="42534567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330869" w14:paraId="0DF76B52" w14:textId="77777777">
        <w:trPr>
          <w:divId w:val="42534567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0F9A5" w14:textId="77777777" w:rsidR="005126A0" w:rsidRDefault="005126A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761585" w14:textId="77777777" w:rsidR="005126A0" w:rsidRDefault="005126A0">
            <w:pPr>
              <w:jc w:val="center"/>
            </w:pPr>
            <w:r>
              <w:rPr>
                <w:rFonts w:ascii="宋体" w:hAnsi="宋体" w:hint="eastAsia"/>
                <w:lang w:eastAsia="zh-Hans"/>
              </w:rPr>
              <w:t>摩根瑞享纯债债券A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245C59" w14:textId="77777777" w:rsidR="005126A0" w:rsidRDefault="005126A0">
            <w:pPr>
              <w:jc w:val="center"/>
            </w:pPr>
            <w:r>
              <w:rPr>
                <w:rFonts w:ascii="宋体" w:hAnsi="宋体" w:hint="eastAsia"/>
                <w:lang w:eastAsia="zh-Hans"/>
              </w:rPr>
              <w:t>摩根瑞享纯债债券C</w:t>
            </w:r>
            <w:r>
              <w:rPr>
                <w:rFonts w:ascii="宋体" w:hAnsi="宋体" w:hint="eastAsia"/>
                <w:color w:val="000000"/>
              </w:rPr>
              <w:t xml:space="preserve"> </w:t>
            </w:r>
          </w:p>
        </w:tc>
      </w:tr>
      <w:tr w:rsidR="00330869" w14:paraId="1A6A868A" w14:textId="77777777">
        <w:trPr>
          <w:divId w:val="42534567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E9FA" w14:textId="77777777" w:rsidR="005126A0" w:rsidRDefault="005126A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90514" w14:textId="77777777" w:rsidR="005126A0" w:rsidRDefault="005126A0">
            <w:pPr>
              <w:jc w:val="right"/>
            </w:pPr>
            <w:r>
              <w:rPr>
                <w:rFonts w:ascii="宋体" w:hAnsi="宋体" w:hint="eastAsia"/>
                <w:kern w:val="0"/>
                <w:szCs w:val="24"/>
                <w:lang w:eastAsia="zh-Hans"/>
              </w:rPr>
              <w:t>216,099.25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49379" w14:textId="77777777" w:rsidR="005126A0" w:rsidRDefault="005126A0">
            <w:pPr>
              <w:jc w:val="right"/>
            </w:pPr>
            <w:r>
              <w:rPr>
                <w:rFonts w:ascii="宋体" w:hAnsi="宋体" w:hint="eastAsia"/>
                <w:kern w:val="0"/>
                <w:szCs w:val="24"/>
                <w:lang w:eastAsia="zh-Hans"/>
              </w:rPr>
              <w:t>-</w:t>
            </w:r>
          </w:p>
        </w:tc>
      </w:tr>
      <w:tr w:rsidR="00330869" w14:paraId="38205642" w14:textId="77777777">
        <w:trPr>
          <w:divId w:val="42534567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82019" w14:textId="77777777" w:rsidR="005126A0" w:rsidRDefault="005126A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408E4" w14:textId="77777777" w:rsidR="005126A0" w:rsidRDefault="005126A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5FA4F" w14:textId="77777777" w:rsidR="005126A0" w:rsidRDefault="005126A0">
            <w:pPr>
              <w:jc w:val="right"/>
            </w:pPr>
            <w:r>
              <w:rPr>
                <w:rFonts w:ascii="宋体" w:hAnsi="宋体" w:hint="eastAsia"/>
                <w:szCs w:val="24"/>
                <w:lang w:eastAsia="zh-Hans"/>
              </w:rPr>
              <w:t>-</w:t>
            </w:r>
          </w:p>
        </w:tc>
      </w:tr>
      <w:tr w:rsidR="00330869" w14:paraId="40533449" w14:textId="77777777">
        <w:trPr>
          <w:divId w:val="42534567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9E63C" w14:textId="77777777" w:rsidR="005126A0" w:rsidRDefault="005126A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277D7" w14:textId="77777777" w:rsidR="005126A0" w:rsidRDefault="005126A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C7076" w14:textId="77777777" w:rsidR="005126A0" w:rsidRDefault="005126A0">
            <w:pPr>
              <w:jc w:val="right"/>
            </w:pPr>
            <w:r>
              <w:rPr>
                <w:rFonts w:ascii="宋体" w:hAnsi="宋体" w:hint="eastAsia"/>
                <w:lang w:eastAsia="zh-Hans"/>
              </w:rPr>
              <w:t>-</w:t>
            </w:r>
          </w:p>
        </w:tc>
      </w:tr>
      <w:tr w:rsidR="00330869" w14:paraId="0224CAB3" w14:textId="77777777">
        <w:trPr>
          <w:divId w:val="42534567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9B10E" w14:textId="77777777" w:rsidR="005126A0" w:rsidRDefault="005126A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A4C70" w14:textId="77777777" w:rsidR="005126A0" w:rsidRDefault="005126A0">
            <w:pPr>
              <w:jc w:val="right"/>
            </w:pPr>
            <w:r>
              <w:rPr>
                <w:rFonts w:ascii="宋体" w:hAnsi="宋体" w:hint="eastAsia"/>
                <w:lang w:eastAsia="zh-Hans"/>
              </w:rPr>
              <w:t>216,099.25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3432D" w14:textId="77777777" w:rsidR="005126A0" w:rsidRDefault="005126A0">
            <w:pPr>
              <w:jc w:val="right"/>
            </w:pPr>
            <w:r>
              <w:rPr>
                <w:rFonts w:ascii="宋体" w:hAnsi="宋体" w:hint="eastAsia"/>
                <w:lang w:eastAsia="zh-Hans"/>
              </w:rPr>
              <w:t>-</w:t>
            </w:r>
          </w:p>
        </w:tc>
      </w:tr>
      <w:tr w:rsidR="00330869" w14:paraId="2230A87C" w14:textId="77777777">
        <w:trPr>
          <w:divId w:val="42534567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0F517" w14:textId="77777777" w:rsidR="005126A0" w:rsidRDefault="005126A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758CF" w14:textId="77777777" w:rsidR="005126A0" w:rsidRDefault="005126A0">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6EBCB" w14:textId="77777777" w:rsidR="005126A0" w:rsidRDefault="005126A0">
            <w:pPr>
              <w:jc w:val="right"/>
            </w:pPr>
            <w:r>
              <w:rPr>
                <w:rFonts w:ascii="宋体" w:hAnsi="宋体" w:hint="eastAsia"/>
                <w:lang w:eastAsia="zh-Hans"/>
              </w:rPr>
              <w:t>-</w:t>
            </w:r>
          </w:p>
        </w:tc>
      </w:tr>
    </w:tbl>
    <w:p w14:paraId="3FBC5970" w14:textId="77777777" w:rsidR="005126A0" w:rsidRDefault="005126A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37C006F6" w14:textId="77777777" w:rsidR="005126A0" w:rsidRDefault="005126A0">
      <w:pPr>
        <w:spacing w:line="360" w:lineRule="auto"/>
        <w:ind w:firstLineChars="200" w:firstLine="420"/>
        <w:jc w:val="left"/>
        <w:divId w:val="1368529613"/>
      </w:pPr>
      <w:r>
        <w:rPr>
          <w:rFonts w:ascii="宋体" w:hAnsi="宋体" w:hint="eastAsia"/>
          <w:lang w:eastAsia="zh-Hans"/>
        </w:rPr>
        <w:t>无。</w:t>
      </w:r>
      <w:r>
        <w:rPr>
          <w:rFonts w:ascii="宋体" w:hAnsi="宋体" w:hint="eastAsia"/>
        </w:rPr>
        <w:t xml:space="preserve"> </w:t>
      </w:r>
    </w:p>
    <w:p w14:paraId="5CD7ED12" w14:textId="77777777" w:rsidR="005126A0" w:rsidRDefault="005126A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62AEC658" w14:textId="77777777" w:rsidR="005126A0" w:rsidRDefault="005126A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330869" w14:paraId="4E85843F" w14:textId="77777777">
        <w:trPr>
          <w:divId w:val="77767370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C1301" w14:textId="77777777" w:rsidR="005126A0" w:rsidRDefault="005126A0">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202EE" w14:textId="77777777" w:rsidR="005126A0" w:rsidRDefault="005126A0">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717B6" w14:textId="77777777" w:rsidR="005126A0" w:rsidRDefault="005126A0">
            <w:pPr>
              <w:widowControl/>
              <w:jc w:val="center"/>
            </w:pPr>
            <w:r>
              <w:rPr>
                <w:rFonts w:ascii="宋体" w:hAnsi="宋体" w:hint="eastAsia"/>
                <w:color w:val="000000"/>
                <w:kern w:val="0"/>
              </w:rPr>
              <w:t xml:space="preserve">报告期末持有基金情况 </w:t>
            </w:r>
          </w:p>
        </w:tc>
      </w:tr>
      <w:tr w:rsidR="00330869" w14:paraId="40066858" w14:textId="77777777">
        <w:trPr>
          <w:divId w:val="77767370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F4AA3" w14:textId="77777777" w:rsidR="005126A0" w:rsidRDefault="005126A0">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F42AD" w14:textId="77777777" w:rsidR="005126A0" w:rsidRDefault="005126A0">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DE39B" w14:textId="77777777" w:rsidR="005126A0" w:rsidRDefault="005126A0">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1756A" w14:textId="77777777" w:rsidR="005126A0" w:rsidRDefault="005126A0">
            <w:pPr>
              <w:widowControl/>
              <w:jc w:val="center"/>
            </w:pPr>
            <w:r>
              <w:rPr>
                <w:rFonts w:ascii="宋体" w:hAnsi="宋体" w:hint="eastAsia"/>
                <w:color w:val="000000"/>
                <w:kern w:val="0"/>
              </w:rPr>
              <w:t xml:space="preserve">期初 </w:t>
            </w:r>
          </w:p>
          <w:p w14:paraId="5C9267FB" w14:textId="77777777" w:rsidR="005126A0" w:rsidRDefault="005126A0">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BE76A" w14:textId="77777777" w:rsidR="005126A0" w:rsidRDefault="005126A0">
            <w:pPr>
              <w:widowControl/>
              <w:jc w:val="center"/>
            </w:pPr>
            <w:r>
              <w:rPr>
                <w:rFonts w:ascii="宋体" w:hAnsi="宋体" w:hint="eastAsia"/>
                <w:color w:val="000000"/>
                <w:kern w:val="0"/>
              </w:rPr>
              <w:t xml:space="preserve">申购 </w:t>
            </w:r>
          </w:p>
          <w:p w14:paraId="18D9C88B" w14:textId="77777777" w:rsidR="005126A0" w:rsidRDefault="005126A0">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F39DC" w14:textId="77777777" w:rsidR="005126A0" w:rsidRDefault="005126A0">
            <w:pPr>
              <w:widowControl/>
              <w:jc w:val="center"/>
            </w:pPr>
            <w:r>
              <w:rPr>
                <w:rFonts w:ascii="宋体" w:hAnsi="宋体" w:hint="eastAsia"/>
                <w:color w:val="000000"/>
                <w:kern w:val="0"/>
              </w:rPr>
              <w:t xml:space="preserve">赎回 </w:t>
            </w:r>
          </w:p>
          <w:p w14:paraId="758BA40E" w14:textId="77777777" w:rsidR="005126A0" w:rsidRDefault="005126A0">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1A619" w14:textId="77777777" w:rsidR="005126A0" w:rsidRDefault="005126A0">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DCE0B" w14:textId="77777777" w:rsidR="005126A0" w:rsidRDefault="005126A0">
            <w:pPr>
              <w:widowControl/>
              <w:jc w:val="center"/>
            </w:pPr>
            <w:r>
              <w:rPr>
                <w:rFonts w:ascii="宋体" w:hAnsi="宋体" w:hint="eastAsia"/>
                <w:color w:val="000000"/>
                <w:kern w:val="0"/>
              </w:rPr>
              <w:t xml:space="preserve">份额占比 </w:t>
            </w:r>
          </w:p>
        </w:tc>
      </w:tr>
      <w:tr w:rsidR="00330869" w14:paraId="34AB6331" w14:textId="77777777">
        <w:trPr>
          <w:divId w:val="77767370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DC49F" w14:textId="77777777" w:rsidR="005126A0" w:rsidRDefault="005126A0">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CDAA1" w14:textId="77777777" w:rsidR="005126A0" w:rsidRDefault="005126A0">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C4EA5" w14:textId="77777777" w:rsidR="005126A0" w:rsidRDefault="005126A0">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1E8F6" w14:textId="77777777" w:rsidR="005126A0" w:rsidRDefault="005126A0">
            <w:pPr>
              <w:widowControl/>
              <w:jc w:val="right"/>
            </w:pPr>
            <w:r>
              <w:rPr>
                <w:rFonts w:ascii="宋体" w:hAnsi="宋体" w:hint="eastAsia"/>
                <w:color w:val="000000"/>
                <w:szCs w:val="21"/>
              </w:rPr>
              <w:t>233,905,812.18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2D0C0" w14:textId="77777777" w:rsidR="005126A0" w:rsidRDefault="005126A0">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F361D" w14:textId="77777777" w:rsidR="005126A0" w:rsidRDefault="005126A0">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B9A47" w14:textId="77777777" w:rsidR="005126A0" w:rsidRDefault="005126A0">
            <w:pPr>
              <w:widowControl/>
              <w:jc w:val="right"/>
            </w:pPr>
            <w:r>
              <w:rPr>
                <w:rFonts w:ascii="宋体" w:hAnsi="宋体" w:hint="eastAsia"/>
                <w:color w:val="000000"/>
                <w:szCs w:val="21"/>
              </w:rPr>
              <w:t>233,905,812.18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A61EB" w14:textId="77777777" w:rsidR="005126A0" w:rsidRDefault="005126A0">
            <w:pPr>
              <w:widowControl/>
              <w:jc w:val="right"/>
            </w:pPr>
            <w:r>
              <w:rPr>
                <w:rFonts w:ascii="宋体" w:hAnsi="宋体" w:hint="eastAsia"/>
                <w:color w:val="000000"/>
                <w:szCs w:val="21"/>
              </w:rPr>
              <w:t>96.85</w:t>
            </w:r>
            <w:r>
              <w:rPr>
                <w:szCs w:val="21"/>
              </w:rPr>
              <w:t>%</w:t>
            </w:r>
            <w:r>
              <w:t xml:space="preserve"> </w:t>
            </w:r>
          </w:p>
        </w:tc>
      </w:tr>
      <w:tr w:rsidR="00330869" w14:paraId="2E60A4A9" w14:textId="77777777">
        <w:trPr>
          <w:divId w:val="7776737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91B14" w14:textId="77777777" w:rsidR="005126A0" w:rsidRDefault="005126A0">
            <w:pPr>
              <w:widowControl/>
              <w:jc w:val="center"/>
            </w:pPr>
            <w:r>
              <w:rPr>
                <w:rFonts w:ascii="宋体" w:hAnsi="宋体" w:hint="eastAsia"/>
                <w:color w:val="000000"/>
                <w:kern w:val="0"/>
              </w:rPr>
              <w:t xml:space="preserve">产品特有风险 </w:t>
            </w:r>
          </w:p>
        </w:tc>
      </w:tr>
      <w:tr w:rsidR="00330869" w14:paraId="3E52721A" w14:textId="77777777">
        <w:trPr>
          <w:divId w:val="77767370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9AB6E" w14:textId="77777777" w:rsidR="005126A0" w:rsidRDefault="005126A0">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7BF032CC" w14:textId="77777777" w:rsidR="005126A0" w:rsidRDefault="005126A0">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48D9B6C4" w14:textId="77777777" w:rsidR="005126A0" w:rsidRDefault="005126A0">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lastRenderedPageBreak/>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63456461" w14:textId="77777777" w:rsidR="005126A0" w:rsidRDefault="005126A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828BBA5" w14:textId="77777777" w:rsidR="005126A0" w:rsidRDefault="005126A0">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4DB3A40C" w14:textId="77777777" w:rsidR="005126A0" w:rsidRDefault="005126A0">
      <w:pPr>
        <w:spacing w:line="360" w:lineRule="auto"/>
        <w:ind w:firstLineChars="200" w:firstLine="420"/>
        <w:jc w:val="left"/>
      </w:pPr>
      <w:r>
        <w:rPr>
          <w:rFonts w:ascii="宋体" w:hAnsi="宋体" w:cs="宋体" w:hint="eastAsia"/>
          <w:color w:val="000000"/>
          <w:kern w:val="0"/>
        </w:rPr>
        <w:t>基金管理人或基金托管人住所。</w:t>
      </w:r>
    </w:p>
    <w:p w14:paraId="7FA94AFB" w14:textId="77777777" w:rsidR="005126A0" w:rsidRDefault="005126A0">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1CAE6B3C" w14:textId="77777777" w:rsidR="005126A0" w:rsidRDefault="005126A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6A548D93" w14:textId="77777777" w:rsidR="005126A0" w:rsidRDefault="005126A0">
      <w:pPr>
        <w:spacing w:line="360" w:lineRule="auto"/>
        <w:ind w:firstLineChars="600" w:firstLine="1687"/>
        <w:jc w:val="left"/>
      </w:pPr>
      <w:r>
        <w:rPr>
          <w:rFonts w:ascii="宋体" w:hAnsi="宋体" w:hint="eastAsia"/>
          <w:b/>
          <w:bCs/>
          <w:sz w:val="28"/>
          <w:szCs w:val="30"/>
        </w:rPr>
        <w:t xml:space="preserve">　 </w:t>
      </w:r>
    </w:p>
    <w:p w14:paraId="48C823C2" w14:textId="77777777" w:rsidR="005126A0" w:rsidRDefault="005126A0">
      <w:pPr>
        <w:spacing w:line="360" w:lineRule="auto"/>
        <w:ind w:firstLineChars="600" w:firstLine="1687"/>
        <w:jc w:val="left"/>
      </w:pPr>
      <w:r>
        <w:rPr>
          <w:rFonts w:ascii="宋体" w:hAnsi="宋体" w:hint="eastAsia"/>
          <w:b/>
          <w:bCs/>
          <w:sz w:val="28"/>
          <w:szCs w:val="30"/>
        </w:rPr>
        <w:t xml:space="preserve">　 </w:t>
      </w:r>
    </w:p>
    <w:p w14:paraId="41109DC5" w14:textId="77777777" w:rsidR="005126A0" w:rsidRDefault="005126A0">
      <w:pPr>
        <w:spacing w:line="360" w:lineRule="auto"/>
        <w:ind w:firstLineChars="600" w:firstLine="1446"/>
        <w:jc w:val="right"/>
      </w:pPr>
      <w:r>
        <w:rPr>
          <w:rFonts w:ascii="宋体" w:hAnsi="宋体" w:hint="eastAsia"/>
          <w:b/>
          <w:bCs/>
          <w:sz w:val="24"/>
          <w:szCs w:val="24"/>
        </w:rPr>
        <w:t>摩根基金管理（中国）有限公司</w:t>
      </w:r>
    </w:p>
    <w:p w14:paraId="358175AB" w14:textId="77777777" w:rsidR="005126A0" w:rsidRDefault="005126A0">
      <w:pPr>
        <w:spacing w:line="360" w:lineRule="auto"/>
        <w:ind w:firstLineChars="600" w:firstLine="1446"/>
        <w:jc w:val="right"/>
      </w:pPr>
      <w:r>
        <w:rPr>
          <w:rFonts w:ascii="宋体" w:hAnsi="宋体" w:hint="eastAsia"/>
          <w:b/>
          <w:bCs/>
          <w:sz w:val="24"/>
          <w:szCs w:val="24"/>
        </w:rPr>
        <w:t>2026年1月22日</w:t>
      </w:r>
      <w:bookmarkEnd w:id="23"/>
    </w:p>
    <w:sectPr w:rsidR="005126A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2835" w14:textId="77777777" w:rsidR="005126A0" w:rsidRDefault="005126A0">
      <w:pPr>
        <w:rPr>
          <w:szCs w:val="21"/>
        </w:rPr>
      </w:pPr>
      <w:r>
        <w:rPr>
          <w:szCs w:val="21"/>
        </w:rPr>
        <w:separator/>
      </w:r>
      <w:r>
        <w:rPr>
          <w:szCs w:val="21"/>
        </w:rPr>
        <w:t xml:space="preserve"> </w:t>
      </w:r>
    </w:p>
  </w:endnote>
  <w:endnote w:type="continuationSeparator" w:id="0">
    <w:p w14:paraId="74521F5B" w14:textId="77777777" w:rsidR="005126A0" w:rsidRDefault="005126A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237" w14:textId="77777777" w:rsidR="005126A0" w:rsidRDefault="005126A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4532" w14:textId="77777777" w:rsidR="005126A0" w:rsidRDefault="005126A0">
      <w:pPr>
        <w:rPr>
          <w:szCs w:val="21"/>
        </w:rPr>
      </w:pPr>
      <w:r>
        <w:rPr>
          <w:szCs w:val="21"/>
        </w:rPr>
        <w:separator/>
      </w:r>
      <w:r>
        <w:rPr>
          <w:szCs w:val="21"/>
        </w:rPr>
        <w:t xml:space="preserve"> </w:t>
      </w:r>
    </w:p>
  </w:footnote>
  <w:footnote w:type="continuationSeparator" w:id="0">
    <w:p w14:paraId="6508BFE1" w14:textId="77777777" w:rsidR="005126A0" w:rsidRDefault="005126A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C53E" w14:textId="77777777" w:rsidR="005126A0" w:rsidRDefault="005126A0">
    <w:pPr>
      <w:pStyle w:val="a8"/>
      <w:jc w:val="right"/>
    </w:pPr>
    <w:r>
      <w:rPr>
        <w:rFonts w:ascii="宋体" w:hAnsi="宋体" w:hint="eastAsia"/>
      </w:rPr>
      <w:t>摩根</w:t>
    </w:r>
    <w:proofErr w:type="gramStart"/>
    <w:r>
      <w:rPr>
        <w:rFonts w:ascii="宋体" w:hAnsi="宋体" w:hint="eastAsia"/>
      </w:rPr>
      <w:t>瑞享纯债</w:t>
    </w:r>
    <w:proofErr w:type="gramEnd"/>
    <w:r>
      <w:rPr>
        <w:rFonts w:ascii="宋体" w:hAnsi="宋体" w:hint="eastAsia"/>
      </w:rPr>
      <w:t>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25405954">
    <w:abstractNumId w:val="0"/>
  </w:num>
  <w:num w:numId="2" w16cid:durableId="1394503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A0"/>
    <w:rsid w:val="00241417"/>
    <w:rsid w:val="00272980"/>
    <w:rsid w:val="00330869"/>
    <w:rsid w:val="00492329"/>
    <w:rsid w:val="0051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DAF1FD5"/>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673">
      <w:marLeft w:val="0"/>
      <w:marRight w:val="0"/>
      <w:marTop w:val="0"/>
      <w:marBottom w:val="0"/>
      <w:divBdr>
        <w:top w:val="none" w:sz="0" w:space="0" w:color="auto"/>
        <w:left w:val="none" w:sz="0" w:space="0" w:color="auto"/>
        <w:bottom w:val="none" w:sz="0" w:space="0" w:color="auto"/>
        <w:right w:val="none" w:sz="0" w:space="0" w:color="auto"/>
      </w:divBdr>
    </w:div>
    <w:div w:id="69696834">
      <w:marLeft w:val="0"/>
      <w:marRight w:val="0"/>
      <w:marTop w:val="0"/>
      <w:marBottom w:val="0"/>
      <w:divBdr>
        <w:top w:val="none" w:sz="0" w:space="0" w:color="auto"/>
        <w:left w:val="none" w:sz="0" w:space="0" w:color="auto"/>
        <w:bottom w:val="none" w:sz="0" w:space="0" w:color="auto"/>
        <w:right w:val="none" w:sz="0" w:space="0" w:color="auto"/>
      </w:divBdr>
    </w:div>
    <w:div w:id="95055363">
      <w:marLeft w:val="0"/>
      <w:marRight w:val="0"/>
      <w:marTop w:val="0"/>
      <w:marBottom w:val="0"/>
      <w:divBdr>
        <w:top w:val="none" w:sz="0" w:space="0" w:color="auto"/>
        <w:left w:val="none" w:sz="0" w:space="0" w:color="auto"/>
        <w:bottom w:val="none" w:sz="0" w:space="0" w:color="auto"/>
        <w:right w:val="none" w:sz="0" w:space="0" w:color="auto"/>
      </w:divBdr>
    </w:div>
    <w:div w:id="102892924">
      <w:marLeft w:val="0"/>
      <w:marRight w:val="0"/>
      <w:marTop w:val="0"/>
      <w:marBottom w:val="0"/>
      <w:divBdr>
        <w:top w:val="none" w:sz="0" w:space="0" w:color="auto"/>
        <w:left w:val="none" w:sz="0" w:space="0" w:color="auto"/>
        <w:bottom w:val="none" w:sz="0" w:space="0" w:color="auto"/>
        <w:right w:val="none" w:sz="0" w:space="0" w:color="auto"/>
      </w:divBdr>
    </w:div>
    <w:div w:id="195393943">
      <w:marLeft w:val="0"/>
      <w:marRight w:val="0"/>
      <w:marTop w:val="0"/>
      <w:marBottom w:val="0"/>
      <w:divBdr>
        <w:top w:val="none" w:sz="0" w:space="0" w:color="auto"/>
        <w:left w:val="none" w:sz="0" w:space="0" w:color="auto"/>
        <w:bottom w:val="none" w:sz="0" w:space="0" w:color="auto"/>
        <w:right w:val="none" w:sz="0" w:space="0" w:color="auto"/>
      </w:divBdr>
    </w:div>
    <w:div w:id="252672044">
      <w:marLeft w:val="0"/>
      <w:marRight w:val="0"/>
      <w:marTop w:val="0"/>
      <w:marBottom w:val="0"/>
      <w:divBdr>
        <w:top w:val="none" w:sz="0" w:space="0" w:color="auto"/>
        <w:left w:val="none" w:sz="0" w:space="0" w:color="auto"/>
        <w:bottom w:val="none" w:sz="0" w:space="0" w:color="auto"/>
        <w:right w:val="none" w:sz="0" w:space="0" w:color="auto"/>
      </w:divBdr>
      <w:divsChild>
        <w:div w:id="425345679">
          <w:marLeft w:val="0"/>
          <w:marRight w:val="0"/>
          <w:marTop w:val="0"/>
          <w:marBottom w:val="0"/>
          <w:divBdr>
            <w:top w:val="none" w:sz="0" w:space="0" w:color="auto"/>
            <w:left w:val="none" w:sz="0" w:space="0" w:color="auto"/>
            <w:bottom w:val="none" w:sz="0" w:space="0" w:color="auto"/>
            <w:right w:val="none" w:sz="0" w:space="0" w:color="auto"/>
          </w:divBdr>
        </w:div>
      </w:divsChild>
    </w:div>
    <w:div w:id="295599619">
      <w:marLeft w:val="0"/>
      <w:marRight w:val="0"/>
      <w:marTop w:val="0"/>
      <w:marBottom w:val="0"/>
      <w:divBdr>
        <w:top w:val="none" w:sz="0" w:space="0" w:color="auto"/>
        <w:left w:val="none" w:sz="0" w:space="0" w:color="auto"/>
        <w:bottom w:val="none" w:sz="0" w:space="0" w:color="auto"/>
        <w:right w:val="none" w:sz="0" w:space="0" w:color="auto"/>
      </w:divBdr>
    </w:div>
    <w:div w:id="311983409">
      <w:marLeft w:val="0"/>
      <w:marRight w:val="0"/>
      <w:marTop w:val="0"/>
      <w:marBottom w:val="0"/>
      <w:divBdr>
        <w:top w:val="none" w:sz="0" w:space="0" w:color="auto"/>
        <w:left w:val="none" w:sz="0" w:space="0" w:color="auto"/>
        <w:bottom w:val="none" w:sz="0" w:space="0" w:color="auto"/>
        <w:right w:val="none" w:sz="0" w:space="0" w:color="auto"/>
      </w:divBdr>
    </w:div>
    <w:div w:id="669647599">
      <w:marLeft w:val="0"/>
      <w:marRight w:val="0"/>
      <w:marTop w:val="0"/>
      <w:marBottom w:val="0"/>
      <w:divBdr>
        <w:top w:val="none" w:sz="0" w:space="0" w:color="auto"/>
        <w:left w:val="none" w:sz="0" w:space="0" w:color="auto"/>
        <w:bottom w:val="none" w:sz="0" w:space="0" w:color="auto"/>
        <w:right w:val="none" w:sz="0" w:space="0" w:color="auto"/>
      </w:divBdr>
    </w:div>
    <w:div w:id="679813640">
      <w:marLeft w:val="0"/>
      <w:marRight w:val="0"/>
      <w:marTop w:val="0"/>
      <w:marBottom w:val="0"/>
      <w:divBdr>
        <w:top w:val="none" w:sz="0" w:space="0" w:color="auto"/>
        <w:left w:val="none" w:sz="0" w:space="0" w:color="auto"/>
        <w:bottom w:val="none" w:sz="0" w:space="0" w:color="auto"/>
        <w:right w:val="none" w:sz="0" w:space="0" w:color="auto"/>
      </w:divBdr>
    </w:div>
    <w:div w:id="850484738">
      <w:marLeft w:val="0"/>
      <w:marRight w:val="0"/>
      <w:marTop w:val="0"/>
      <w:marBottom w:val="0"/>
      <w:divBdr>
        <w:top w:val="none" w:sz="0" w:space="0" w:color="auto"/>
        <w:left w:val="none" w:sz="0" w:space="0" w:color="auto"/>
        <w:bottom w:val="none" w:sz="0" w:space="0" w:color="auto"/>
        <w:right w:val="none" w:sz="0" w:space="0" w:color="auto"/>
      </w:divBdr>
      <w:divsChild>
        <w:div w:id="546646233">
          <w:marLeft w:val="0"/>
          <w:marRight w:val="0"/>
          <w:marTop w:val="0"/>
          <w:marBottom w:val="0"/>
          <w:divBdr>
            <w:top w:val="none" w:sz="0" w:space="0" w:color="auto"/>
            <w:left w:val="none" w:sz="0" w:space="0" w:color="auto"/>
            <w:bottom w:val="none" w:sz="0" w:space="0" w:color="auto"/>
            <w:right w:val="none" w:sz="0" w:space="0" w:color="auto"/>
          </w:divBdr>
        </w:div>
      </w:divsChild>
    </w:div>
    <w:div w:id="910508861">
      <w:marLeft w:val="0"/>
      <w:marRight w:val="0"/>
      <w:marTop w:val="0"/>
      <w:marBottom w:val="0"/>
      <w:divBdr>
        <w:top w:val="none" w:sz="0" w:space="0" w:color="auto"/>
        <w:left w:val="none" w:sz="0" w:space="0" w:color="auto"/>
        <w:bottom w:val="none" w:sz="0" w:space="0" w:color="auto"/>
        <w:right w:val="none" w:sz="0" w:space="0" w:color="auto"/>
      </w:divBdr>
      <w:divsChild>
        <w:div w:id="67382424">
          <w:marLeft w:val="0"/>
          <w:marRight w:val="0"/>
          <w:marTop w:val="0"/>
          <w:marBottom w:val="0"/>
          <w:divBdr>
            <w:top w:val="none" w:sz="0" w:space="0" w:color="auto"/>
            <w:left w:val="none" w:sz="0" w:space="0" w:color="auto"/>
            <w:bottom w:val="none" w:sz="0" w:space="0" w:color="auto"/>
            <w:right w:val="none" w:sz="0" w:space="0" w:color="auto"/>
          </w:divBdr>
        </w:div>
        <w:div w:id="1863087510">
          <w:marLeft w:val="0"/>
          <w:marRight w:val="0"/>
          <w:marTop w:val="0"/>
          <w:marBottom w:val="0"/>
          <w:divBdr>
            <w:top w:val="none" w:sz="0" w:space="0" w:color="auto"/>
            <w:left w:val="none" w:sz="0" w:space="0" w:color="auto"/>
            <w:bottom w:val="none" w:sz="0" w:space="0" w:color="auto"/>
            <w:right w:val="none" w:sz="0" w:space="0" w:color="auto"/>
          </w:divBdr>
        </w:div>
      </w:divsChild>
    </w:div>
    <w:div w:id="1368529613">
      <w:marLeft w:val="0"/>
      <w:marRight w:val="0"/>
      <w:marTop w:val="0"/>
      <w:marBottom w:val="0"/>
      <w:divBdr>
        <w:top w:val="none" w:sz="0" w:space="0" w:color="auto"/>
        <w:left w:val="none" w:sz="0" w:space="0" w:color="auto"/>
        <w:bottom w:val="none" w:sz="0" w:space="0" w:color="auto"/>
        <w:right w:val="none" w:sz="0" w:space="0" w:color="auto"/>
      </w:divBdr>
    </w:div>
    <w:div w:id="1429960292">
      <w:marLeft w:val="0"/>
      <w:marRight w:val="0"/>
      <w:marTop w:val="0"/>
      <w:marBottom w:val="0"/>
      <w:divBdr>
        <w:top w:val="none" w:sz="0" w:space="0" w:color="auto"/>
        <w:left w:val="none" w:sz="0" w:space="0" w:color="auto"/>
        <w:bottom w:val="none" w:sz="0" w:space="0" w:color="auto"/>
        <w:right w:val="none" w:sz="0" w:space="0" w:color="auto"/>
      </w:divBdr>
      <w:divsChild>
        <w:div w:id="1455635512">
          <w:marLeft w:val="0"/>
          <w:marRight w:val="0"/>
          <w:marTop w:val="0"/>
          <w:marBottom w:val="0"/>
          <w:divBdr>
            <w:top w:val="none" w:sz="0" w:space="0" w:color="auto"/>
            <w:left w:val="none" w:sz="0" w:space="0" w:color="auto"/>
            <w:bottom w:val="none" w:sz="0" w:space="0" w:color="auto"/>
            <w:right w:val="none" w:sz="0" w:space="0" w:color="auto"/>
          </w:divBdr>
        </w:div>
      </w:divsChild>
    </w:div>
    <w:div w:id="1483080316">
      <w:marLeft w:val="0"/>
      <w:marRight w:val="0"/>
      <w:marTop w:val="0"/>
      <w:marBottom w:val="0"/>
      <w:divBdr>
        <w:top w:val="none" w:sz="0" w:space="0" w:color="auto"/>
        <w:left w:val="none" w:sz="0" w:space="0" w:color="auto"/>
        <w:bottom w:val="none" w:sz="0" w:space="0" w:color="auto"/>
        <w:right w:val="none" w:sz="0" w:space="0" w:color="auto"/>
      </w:divBdr>
      <w:divsChild>
        <w:div w:id="777673700">
          <w:marLeft w:val="0"/>
          <w:marRight w:val="0"/>
          <w:marTop w:val="0"/>
          <w:marBottom w:val="0"/>
          <w:divBdr>
            <w:top w:val="none" w:sz="0" w:space="0" w:color="auto"/>
            <w:left w:val="none" w:sz="0" w:space="0" w:color="auto"/>
            <w:bottom w:val="none" w:sz="0" w:space="0" w:color="auto"/>
            <w:right w:val="none" w:sz="0" w:space="0" w:color="auto"/>
          </w:divBdr>
        </w:div>
      </w:divsChild>
    </w:div>
    <w:div w:id="1688868473">
      <w:marLeft w:val="0"/>
      <w:marRight w:val="0"/>
      <w:marTop w:val="0"/>
      <w:marBottom w:val="0"/>
      <w:divBdr>
        <w:top w:val="none" w:sz="0" w:space="0" w:color="auto"/>
        <w:left w:val="none" w:sz="0" w:space="0" w:color="auto"/>
        <w:bottom w:val="none" w:sz="0" w:space="0" w:color="auto"/>
        <w:right w:val="none" w:sz="0" w:space="0" w:color="auto"/>
      </w:divBdr>
    </w:div>
    <w:div w:id="1738359056">
      <w:marLeft w:val="0"/>
      <w:marRight w:val="0"/>
      <w:marTop w:val="0"/>
      <w:marBottom w:val="0"/>
      <w:divBdr>
        <w:top w:val="none" w:sz="0" w:space="0" w:color="auto"/>
        <w:left w:val="none" w:sz="0" w:space="0" w:color="auto"/>
        <w:bottom w:val="none" w:sz="0" w:space="0" w:color="auto"/>
        <w:right w:val="none" w:sz="0" w:space="0" w:color="auto"/>
      </w:divBdr>
    </w:div>
    <w:div w:id="1837720516">
      <w:marLeft w:val="0"/>
      <w:marRight w:val="0"/>
      <w:marTop w:val="0"/>
      <w:marBottom w:val="0"/>
      <w:divBdr>
        <w:top w:val="none" w:sz="0" w:space="0" w:color="auto"/>
        <w:left w:val="none" w:sz="0" w:space="0" w:color="auto"/>
        <w:bottom w:val="none" w:sz="0" w:space="0" w:color="auto"/>
        <w:right w:val="none" w:sz="0" w:space="0" w:color="auto"/>
      </w:divBdr>
      <w:divsChild>
        <w:div w:id="1842232010">
          <w:marLeft w:val="0"/>
          <w:marRight w:val="0"/>
          <w:marTop w:val="0"/>
          <w:marBottom w:val="0"/>
          <w:divBdr>
            <w:top w:val="none" w:sz="0" w:space="0" w:color="auto"/>
            <w:left w:val="none" w:sz="0" w:space="0" w:color="auto"/>
            <w:bottom w:val="none" w:sz="0" w:space="0" w:color="auto"/>
            <w:right w:val="none" w:sz="0" w:space="0" w:color="auto"/>
          </w:divBdr>
        </w:div>
      </w:divsChild>
    </w:div>
    <w:div w:id="1900167925">
      <w:marLeft w:val="0"/>
      <w:marRight w:val="0"/>
      <w:marTop w:val="0"/>
      <w:marBottom w:val="0"/>
      <w:divBdr>
        <w:top w:val="none" w:sz="0" w:space="0" w:color="auto"/>
        <w:left w:val="none" w:sz="0" w:space="0" w:color="auto"/>
        <w:bottom w:val="none" w:sz="0" w:space="0" w:color="auto"/>
        <w:right w:val="none" w:sz="0" w:space="0" w:color="auto"/>
      </w:divBdr>
    </w:div>
    <w:div w:id="1963921502">
      <w:marLeft w:val="0"/>
      <w:marRight w:val="0"/>
      <w:marTop w:val="0"/>
      <w:marBottom w:val="0"/>
      <w:divBdr>
        <w:top w:val="none" w:sz="0" w:space="0" w:color="auto"/>
        <w:left w:val="none" w:sz="0" w:space="0" w:color="auto"/>
        <w:bottom w:val="none" w:sz="0" w:space="0" w:color="auto"/>
        <w:right w:val="none" w:sz="0" w:space="0" w:color="auto"/>
      </w:divBdr>
    </w:div>
    <w:div w:id="2128237749">
      <w:marLeft w:val="0"/>
      <w:marRight w:val="0"/>
      <w:marTop w:val="0"/>
      <w:marBottom w:val="0"/>
      <w:divBdr>
        <w:top w:val="none" w:sz="0" w:space="0" w:color="auto"/>
        <w:left w:val="none" w:sz="0" w:space="0" w:color="auto"/>
        <w:bottom w:val="none" w:sz="0" w:space="0" w:color="auto"/>
        <w:right w:val="none" w:sz="0" w:space="0" w:color="auto"/>
      </w:divBdr>
      <w:divsChild>
        <w:div w:id="5249075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6300</Words>
  <Characters>1875</Characters>
  <Application>Microsoft Office Word</Application>
  <DocSecurity>0</DocSecurity>
  <Lines>170</Lines>
  <Paragraphs>480</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2026-01-14T13:54:00Z</dcterms:created>
  <dcterms:modified xsi:type="dcterms:W3CDTF">2026-01-21T06:41:00Z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