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303B1B" w14:textId="77777777" w:rsidR="0084647A" w:rsidRDefault="00DD0235">
      <w:pPr>
        <w:spacing w:line="360" w:lineRule="auto"/>
        <w:rPr>
          <w:rFonts w:ascii="宋体" w:hAnsi="宋体"/>
          <w:sz w:val="48"/>
        </w:rPr>
      </w:pPr>
      <w:r>
        <w:rPr>
          <w:rFonts w:ascii="宋体" w:hAnsi="宋体" w:hint="eastAsia"/>
          <w:sz w:val="48"/>
        </w:rPr>
        <w:t xml:space="preserve">　 </w:t>
      </w:r>
    </w:p>
    <w:p w14:paraId="45584955" w14:textId="77777777" w:rsidR="0084647A" w:rsidRDefault="00DD0235">
      <w:pPr>
        <w:spacing w:line="360" w:lineRule="auto"/>
        <w:rPr>
          <w:rFonts w:ascii="宋体" w:hAnsi="宋体"/>
          <w:sz w:val="48"/>
        </w:rPr>
      </w:pPr>
      <w:r>
        <w:rPr>
          <w:rFonts w:ascii="宋体" w:hAnsi="宋体" w:hint="eastAsia"/>
          <w:sz w:val="48"/>
        </w:rPr>
        <w:t xml:space="preserve">　 </w:t>
      </w:r>
    </w:p>
    <w:p w14:paraId="67022981" w14:textId="77777777" w:rsidR="0084647A" w:rsidRDefault="00DD0235">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摩根博睿均衡一年持有期混合型基金中基金(FOF)</w:t>
      </w:r>
      <w:r>
        <w:rPr>
          <w:rFonts w:ascii="宋体" w:hAnsi="宋体" w:hint="eastAsia"/>
          <w:b/>
          <w:bCs/>
          <w:color w:val="000000" w:themeColor="text1"/>
          <w:sz w:val="48"/>
          <w:szCs w:val="30"/>
        </w:rPr>
        <w:br/>
        <w:t>2025年第1季度报告</w:t>
      </w:r>
    </w:p>
    <w:p w14:paraId="58FF1BB8"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4DD74439" w14:textId="77777777" w:rsidR="0084647A" w:rsidRDefault="00DD0235">
      <w:pPr>
        <w:spacing w:line="360" w:lineRule="auto"/>
        <w:jc w:val="center"/>
      </w:pPr>
      <w:r>
        <w:rPr>
          <w:rFonts w:ascii="宋体" w:hAnsi="宋体" w:hint="eastAsia"/>
          <w:b/>
          <w:bCs/>
          <w:sz w:val="28"/>
          <w:szCs w:val="30"/>
        </w:rPr>
        <w:t>2025年3月31日</w:t>
      </w:r>
    </w:p>
    <w:p w14:paraId="56612B80"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68CEC3CF"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5F3AD522"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6F0F59A2" w14:textId="77777777" w:rsidR="0084647A" w:rsidRDefault="00DD0235">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AEE855A"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6B7E9DF1"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737E14FE"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46F84A96"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3E522F23"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71E738F7"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4E81411C" w14:textId="77777777" w:rsidR="0084647A" w:rsidRDefault="00DD0235">
      <w:pPr>
        <w:spacing w:line="360" w:lineRule="auto"/>
        <w:jc w:val="center"/>
        <w:rPr>
          <w:rFonts w:ascii="宋体" w:hAnsi="宋体"/>
          <w:sz w:val="28"/>
          <w:szCs w:val="30"/>
        </w:rPr>
      </w:pPr>
      <w:r>
        <w:rPr>
          <w:rFonts w:ascii="宋体" w:hAnsi="宋体" w:hint="eastAsia"/>
          <w:sz w:val="28"/>
          <w:szCs w:val="30"/>
        </w:rPr>
        <w:t xml:space="preserve">　 </w:t>
      </w:r>
    </w:p>
    <w:p w14:paraId="4FAB9FDE" w14:textId="77777777" w:rsidR="0084647A" w:rsidRDefault="00DD0235">
      <w:pPr>
        <w:spacing w:line="360" w:lineRule="auto"/>
        <w:ind w:firstLineChars="800" w:firstLine="2249"/>
        <w:jc w:val="left"/>
      </w:pPr>
      <w:r>
        <w:rPr>
          <w:rFonts w:ascii="宋体" w:hAnsi="宋体" w:hint="eastAsia"/>
          <w:b/>
          <w:bCs/>
          <w:sz w:val="28"/>
          <w:szCs w:val="30"/>
        </w:rPr>
        <w:t>基金管理人：摩根基金管理（中国）有限公司</w:t>
      </w:r>
    </w:p>
    <w:p w14:paraId="0620F98B" w14:textId="77777777" w:rsidR="0084647A" w:rsidRDefault="00DD0235">
      <w:pPr>
        <w:spacing w:line="360" w:lineRule="auto"/>
        <w:ind w:firstLineChars="800" w:firstLine="2249"/>
        <w:jc w:val="left"/>
      </w:pPr>
      <w:r>
        <w:rPr>
          <w:rFonts w:ascii="宋体" w:hAnsi="宋体" w:hint="eastAsia"/>
          <w:b/>
          <w:bCs/>
          <w:sz w:val="28"/>
          <w:szCs w:val="30"/>
        </w:rPr>
        <w:t>基金托管人：平安银行股份有限公司</w:t>
      </w:r>
    </w:p>
    <w:p w14:paraId="3A120092" w14:textId="77777777" w:rsidR="0084647A" w:rsidRDefault="00DD0235">
      <w:pPr>
        <w:spacing w:line="360" w:lineRule="auto"/>
        <w:ind w:firstLineChars="800" w:firstLine="2249"/>
        <w:jc w:val="left"/>
      </w:pPr>
      <w:r>
        <w:rPr>
          <w:rFonts w:ascii="宋体" w:hAnsi="宋体" w:hint="eastAsia"/>
          <w:b/>
          <w:bCs/>
          <w:sz w:val="28"/>
          <w:szCs w:val="30"/>
        </w:rPr>
        <w:t>报告送出日期：2025年4月22日</w:t>
      </w:r>
    </w:p>
    <w:p w14:paraId="5FACA7EB" w14:textId="77777777" w:rsidR="0084647A" w:rsidRDefault="00DD0235">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r>
        <w:rPr>
          <w:rFonts w:hAnsi="宋体" w:hint="eastAsia"/>
        </w:rPr>
        <w:lastRenderedPageBreak/>
        <w:t>重要提示</w:t>
      </w:r>
      <w:bookmarkEnd w:id="7"/>
      <w:bookmarkEnd w:id="8"/>
      <w:bookmarkEnd w:id="9"/>
      <w:bookmarkEnd w:id="10"/>
      <w:bookmarkEnd w:id="11"/>
      <w:bookmarkEnd w:id="12"/>
      <w:bookmarkEnd w:id="13"/>
      <w:r>
        <w:rPr>
          <w:rFonts w:hAnsi="宋体" w:hint="eastAsia"/>
        </w:rPr>
        <w:t xml:space="preserve"> </w:t>
      </w:r>
    </w:p>
    <w:p w14:paraId="7DB2DC20" w14:textId="77777777" w:rsidR="0084647A" w:rsidRDefault="00DD0235">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51B3BE32" w14:textId="77777777" w:rsidR="0084647A" w:rsidRDefault="00DD0235">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r>
        <w:rPr>
          <w:rFonts w:hAnsi="宋体" w:hint="eastAsia"/>
        </w:rPr>
        <w:t>基金产品概况</w:t>
      </w:r>
      <w:bookmarkEnd w:id="23"/>
      <w:bookmarkEnd w:id="24"/>
      <w:bookmarkEnd w:id="25"/>
      <w:bookmarkEnd w:id="26"/>
      <w:bookmarkEnd w:id="27"/>
      <w:bookmarkEnd w:id="28"/>
      <w:bookmarkEnd w:id="29"/>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4647A" w14:paraId="62601420" w14:textId="77777777">
        <w:trPr>
          <w:divId w:val="142078667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4"/>
          <w:p w14:paraId="779466B1" w14:textId="77777777" w:rsidR="0084647A" w:rsidRDefault="00DD0235">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348F09" w14:textId="77777777" w:rsidR="0084647A" w:rsidRDefault="00DD0235">
            <w:pPr>
              <w:jc w:val="left"/>
            </w:pPr>
            <w:r>
              <w:rPr>
                <w:rFonts w:ascii="宋体" w:hAnsi="宋体" w:hint="eastAsia"/>
                <w:szCs w:val="24"/>
                <w:lang w:eastAsia="zh-Hans"/>
              </w:rPr>
              <w:t>摩根博睿均衡一年持有混合(FOF)</w:t>
            </w:r>
            <w:r>
              <w:rPr>
                <w:rFonts w:ascii="宋体" w:hAnsi="宋体" w:hint="eastAsia"/>
                <w:lang w:eastAsia="zh-Hans"/>
              </w:rPr>
              <w:t xml:space="preserve"> </w:t>
            </w:r>
          </w:p>
        </w:tc>
      </w:tr>
      <w:tr w:rsidR="0084647A" w14:paraId="015CA97D"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F0F0E2" w14:textId="77777777" w:rsidR="0084647A" w:rsidRDefault="00DD0235">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55DF1A" w14:textId="77777777" w:rsidR="0084647A" w:rsidRDefault="00DD0235">
            <w:pPr>
              <w:jc w:val="left"/>
            </w:pPr>
            <w:r>
              <w:rPr>
                <w:rFonts w:ascii="宋体" w:hAnsi="宋体" w:hint="eastAsia"/>
                <w:lang w:eastAsia="zh-Hans"/>
              </w:rPr>
              <w:t>015359</w:t>
            </w:r>
          </w:p>
        </w:tc>
      </w:tr>
      <w:tr w:rsidR="0084647A" w14:paraId="1F456760"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DEC6FF" w14:textId="77777777" w:rsidR="0084647A" w:rsidRDefault="00DD0235">
            <w:pPr>
              <w:jc w:val="left"/>
            </w:pPr>
            <w:bookmarkStart w:id="30"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851362" w14:textId="77777777" w:rsidR="0084647A" w:rsidRDefault="00DD0235">
            <w:pPr>
              <w:jc w:val="left"/>
            </w:pPr>
            <w:r>
              <w:rPr>
                <w:rFonts w:ascii="宋体" w:hAnsi="宋体" w:hint="eastAsia"/>
                <w:lang w:eastAsia="zh-Hans"/>
              </w:rPr>
              <w:t>契约型开放式</w:t>
            </w:r>
          </w:p>
        </w:tc>
      </w:tr>
      <w:tr w:rsidR="0084647A" w14:paraId="1C71CD46"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49BA05F" w14:textId="77777777" w:rsidR="0084647A" w:rsidRDefault="00DD0235">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6435D4" w14:textId="77777777" w:rsidR="0084647A" w:rsidRDefault="00DD0235">
            <w:pPr>
              <w:jc w:val="left"/>
            </w:pPr>
            <w:r>
              <w:rPr>
                <w:rFonts w:ascii="宋体" w:hAnsi="宋体" w:hint="eastAsia"/>
                <w:lang w:eastAsia="zh-Hans"/>
              </w:rPr>
              <w:t>2022年4月27日</w:t>
            </w:r>
          </w:p>
        </w:tc>
      </w:tr>
      <w:tr w:rsidR="0084647A" w14:paraId="6EDD0097"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DCC64D" w14:textId="77777777" w:rsidR="0084647A" w:rsidRDefault="00DD023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4B069F1" w14:textId="77777777" w:rsidR="0084647A" w:rsidRDefault="00DD0235">
            <w:pPr>
              <w:jc w:val="left"/>
            </w:pPr>
            <w:r>
              <w:rPr>
                <w:rFonts w:ascii="宋体" w:hAnsi="宋体" w:hint="eastAsia"/>
                <w:lang w:eastAsia="zh-Hans"/>
              </w:rPr>
              <w:t>278,487,468.03</w:t>
            </w:r>
            <w:r>
              <w:rPr>
                <w:rFonts w:hint="eastAsia"/>
              </w:rPr>
              <w:t>份</w:t>
            </w:r>
            <w:r>
              <w:rPr>
                <w:rFonts w:ascii="宋体" w:hAnsi="宋体" w:hint="eastAsia"/>
                <w:lang w:eastAsia="zh-Hans"/>
              </w:rPr>
              <w:t xml:space="preserve"> </w:t>
            </w:r>
          </w:p>
        </w:tc>
      </w:tr>
      <w:tr w:rsidR="0084647A" w14:paraId="0D838E33"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6C89FB" w14:textId="77777777" w:rsidR="0084647A" w:rsidRDefault="00DD0235">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F63607" w14:textId="77777777" w:rsidR="0084647A" w:rsidRDefault="00DD0235">
            <w:pPr>
              <w:jc w:val="left"/>
            </w:pPr>
            <w:r>
              <w:rPr>
                <w:rFonts w:ascii="宋体" w:hAnsi="宋体" w:hint="eastAsia"/>
                <w:lang w:eastAsia="zh-Hans"/>
              </w:rPr>
              <w:t>本基金通过资产配置及优选基金，并结合严格的风险控制，力争实现基金资产的长期稳健增值。</w:t>
            </w:r>
          </w:p>
        </w:tc>
      </w:tr>
      <w:tr w:rsidR="0084647A" w14:paraId="1A8B3FDC"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AF3047C" w14:textId="77777777" w:rsidR="0084647A" w:rsidRDefault="00DD0235">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FFC73D" w14:textId="77777777" w:rsidR="0084647A" w:rsidRDefault="00DD0235">
            <w:pPr>
              <w:jc w:val="left"/>
            </w:pPr>
            <w:r>
              <w:rPr>
                <w:rFonts w:ascii="宋体" w:hAnsi="宋体" w:hint="eastAsia"/>
                <w:lang w:eastAsia="zh-Hans"/>
              </w:rPr>
              <w:t>1、资产配置策略:</w:t>
            </w:r>
            <w:r>
              <w:rPr>
                <w:rFonts w:ascii="宋体" w:hAnsi="宋体" w:hint="eastAsia"/>
                <w:lang w:eastAsia="zh-Hans"/>
              </w:rPr>
              <w:br/>
              <w:t>在大类资产配置上，本基金将结合产品定位、风险收益特征以及管理人的长期资本市场观点确定基金的资产配置方案。</w:t>
            </w:r>
            <w:r>
              <w:rPr>
                <w:rFonts w:ascii="宋体" w:hAnsi="宋体" w:hint="eastAsia"/>
                <w:lang w:eastAsia="zh-Hans"/>
              </w:rPr>
              <w:b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r>
              <w:rPr>
                <w:rFonts w:ascii="宋体" w:hAnsi="宋体" w:hint="eastAsia"/>
                <w:lang w:eastAsia="zh-Hans"/>
              </w:rPr>
              <w:br/>
              <w:t>本基金原则上均衡配置于权益类资产和其他资产，并定期结合策略观点，修正资产配置，实现细分资产类别的动态调整。</w:t>
            </w:r>
            <w:r>
              <w:rPr>
                <w:rFonts w:ascii="宋体" w:hAnsi="宋体" w:hint="eastAsia"/>
                <w:lang w:eastAsia="zh-Hans"/>
              </w:rPr>
              <w:br/>
              <w:t>2、主动管理型基金投资策略:</w:t>
            </w:r>
            <w:r>
              <w:rPr>
                <w:rFonts w:ascii="宋体" w:hAnsi="宋体" w:hint="eastAsia"/>
                <w:lang w:eastAsia="zh-Hans"/>
              </w:rPr>
              <w:br/>
              <w:t>通过自下而上的方式优选基金，研究过程中综合运用定量分析和定性分析，优选符合要求且能在中长期创造超额收益的基金。</w:t>
            </w:r>
            <w:r>
              <w:rPr>
                <w:rFonts w:ascii="宋体" w:hAnsi="宋体" w:hint="eastAsia"/>
                <w:lang w:eastAsia="zh-Hans"/>
              </w:rPr>
              <w:br/>
              <w:t>3、指数基金投资策略:</w:t>
            </w:r>
            <w:r>
              <w:rPr>
                <w:rFonts w:ascii="宋体" w:hAnsi="宋体" w:hint="eastAsia"/>
                <w:lang w:eastAsia="zh-Hans"/>
              </w:rPr>
              <w:br/>
            </w:r>
            <w:r>
              <w:rPr>
                <w:rFonts w:ascii="宋体" w:hAnsi="宋体" w:hint="eastAsia"/>
                <w:lang w:eastAsia="zh-Hans"/>
              </w:rPr>
              <w:lastRenderedPageBreak/>
              <w:t>优选中长期景气向好的指数基金进行配置，增厚组合收益，并把握阶段性投资机会，获取超额收益。</w:t>
            </w:r>
            <w:r>
              <w:rPr>
                <w:rFonts w:ascii="宋体" w:hAnsi="宋体" w:hint="eastAsia"/>
                <w:lang w:eastAsia="zh-Hans"/>
              </w:rPr>
              <w:br/>
              <w:t>4、其他投资策略:</w:t>
            </w:r>
            <w:r>
              <w:rPr>
                <w:rFonts w:ascii="宋体" w:hAnsi="宋体" w:hint="eastAsia"/>
                <w:lang w:eastAsia="zh-Hans"/>
              </w:rPr>
              <w:br/>
              <w:t>包括公募REITs投资策略、股票投资策略、港股投资策略、债券投资策略、证券公司短期公司债投资策略、资产支持证券投资策略、存托凭证投资策略。</w:t>
            </w:r>
          </w:p>
        </w:tc>
      </w:tr>
      <w:tr w:rsidR="0084647A" w14:paraId="448F6FF0"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1DA673" w14:textId="77777777" w:rsidR="0084647A" w:rsidRDefault="00DD023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876736" w14:textId="77777777" w:rsidR="0084647A" w:rsidRDefault="00DD0235">
            <w:pPr>
              <w:jc w:val="left"/>
            </w:pPr>
            <w:r>
              <w:rPr>
                <w:rFonts w:ascii="宋体" w:hAnsi="宋体" w:hint="eastAsia"/>
                <w:lang w:eastAsia="zh-Hans"/>
              </w:rPr>
              <w:t>中证800指数收益率*50%+中证综合债指数收益率*40%+活期存款利率（税后）*10%</w:t>
            </w:r>
          </w:p>
        </w:tc>
      </w:tr>
      <w:tr w:rsidR="0084647A" w14:paraId="256C507F"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C624A0" w14:textId="77777777" w:rsidR="0084647A" w:rsidRDefault="00DD0235">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77F12E" w14:textId="77777777" w:rsidR="0084647A" w:rsidRDefault="00DD0235">
            <w:pPr>
              <w:jc w:val="left"/>
            </w:pPr>
            <w:r>
              <w:rPr>
                <w:rFonts w:ascii="宋体" w:hAnsi="宋体" w:hint="eastAsia"/>
                <w:lang w:eastAsia="zh-Hans"/>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84647A" w14:paraId="67348ABC"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758E95C" w14:textId="77777777" w:rsidR="0084647A" w:rsidRDefault="00DD0235">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FD445E" w14:textId="77777777" w:rsidR="0084647A" w:rsidRDefault="00DD0235">
            <w:pPr>
              <w:jc w:val="left"/>
            </w:pPr>
            <w:r>
              <w:rPr>
                <w:rFonts w:ascii="宋体" w:hAnsi="宋体" w:hint="eastAsia"/>
                <w:lang w:eastAsia="zh-Hans"/>
              </w:rPr>
              <w:t>摩根基金管理（中国）有限公司</w:t>
            </w:r>
          </w:p>
        </w:tc>
      </w:tr>
      <w:tr w:rsidR="0084647A" w14:paraId="28638336" w14:textId="77777777">
        <w:trPr>
          <w:divId w:val="142078667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BB3E2A" w14:textId="77777777" w:rsidR="0084647A" w:rsidRDefault="00DD0235">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4CB25D" w14:textId="77777777" w:rsidR="0084647A" w:rsidRDefault="00DD0235">
            <w:pPr>
              <w:jc w:val="left"/>
            </w:pPr>
            <w:r>
              <w:rPr>
                <w:rFonts w:ascii="宋体" w:hAnsi="宋体" w:hint="eastAsia"/>
                <w:lang w:eastAsia="zh-Hans"/>
              </w:rPr>
              <w:t>平安银行股份有限公司</w:t>
            </w:r>
          </w:p>
        </w:tc>
      </w:tr>
      <w:tr w:rsidR="0084647A" w14:paraId="43BA1113" w14:textId="77777777">
        <w:trPr>
          <w:divId w:val="142078667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AD77E7" w14:textId="77777777" w:rsidR="0084647A" w:rsidRDefault="00DD0235">
            <w:pPr>
              <w:jc w:val="left"/>
            </w:pPr>
            <w:bookmarkStart w:id="31"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DD7EC1" w14:textId="77777777" w:rsidR="0084647A" w:rsidRDefault="00DD0235">
            <w:pPr>
              <w:jc w:val="center"/>
            </w:pPr>
            <w:r>
              <w:rPr>
                <w:rFonts w:ascii="宋体" w:hAnsi="宋体" w:hint="eastAsia"/>
                <w:lang w:eastAsia="zh-Hans"/>
              </w:rPr>
              <w:t>摩根博睿均衡一年持有混合(FOF)A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54A7E6" w14:textId="77777777" w:rsidR="0084647A" w:rsidRDefault="00DD0235">
            <w:pPr>
              <w:jc w:val="center"/>
            </w:pPr>
            <w:r>
              <w:rPr>
                <w:rFonts w:ascii="宋体" w:hAnsi="宋体" w:hint="eastAsia"/>
                <w:lang w:eastAsia="zh-Hans"/>
              </w:rPr>
              <w:t>摩根博睿均衡一年持有混合(FOF)C</w:t>
            </w:r>
            <w:r>
              <w:rPr>
                <w:rFonts w:ascii="宋体" w:hAnsi="宋体" w:hint="eastAsia"/>
                <w:kern w:val="0"/>
                <w:sz w:val="20"/>
                <w:lang w:eastAsia="zh-Hans"/>
              </w:rPr>
              <w:t xml:space="preserve"> </w:t>
            </w:r>
          </w:p>
        </w:tc>
      </w:tr>
      <w:tr w:rsidR="0084647A" w14:paraId="1C403200" w14:textId="77777777">
        <w:trPr>
          <w:divId w:val="142078667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2DDCAB" w14:textId="77777777" w:rsidR="0084647A" w:rsidRDefault="00DD023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7772FF" w14:textId="77777777" w:rsidR="0084647A" w:rsidRDefault="00DD0235">
            <w:pPr>
              <w:jc w:val="center"/>
            </w:pPr>
            <w:r>
              <w:rPr>
                <w:rFonts w:ascii="宋体" w:hAnsi="宋体" w:hint="eastAsia"/>
                <w:lang w:eastAsia="zh-Hans"/>
              </w:rPr>
              <w:t>015359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38989" w14:textId="77777777" w:rsidR="0084647A" w:rsidRDefault="00DD0235">
            <w:pPr>
              <w:jc w:val="center"/>
            </w:pPr>
            <w:r>
              <w:rPr>
                <w:rFonts w:ascii="宋体" w:hAnsi="宋体" w:hint="eastAsia"/>
                <w:lang w:eastAsia="zh-Hans"/>
              </w:rPr>
              <w:t>015360</w:t>
            </w:r>
            <w:r>
              <w:rPr>
                <w:rFonts w:ascii="宋体" w:hAnsi="宋体" w:hint="eastAsia"/>
                <w:kern w:val="0"/>
                <w:sz w:val="20"/>
                <w:lang w:eastAsia="zh-Hans"/>
              </w:rPr>
              <w:t xml:space="preserve"> </w:t>
            </w:r>
          </w:p>
        </w:tc>
      </w:tr>
      <w:bookmarkEnd w:id="31"/>
      <w:bookmarkEnd w:id="30"/>
      <w:tr w:rsidR="0084647A" w14:paraId="313C7825" w14:textId="77777777">
        <w:trPr>
          <w:divId w:val="142078667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5CAECAF" w14:textId="77777777" w:rsidR="0084647A" w:rsidRDefault="00DD023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6E8BD" w14:textId="77777777" w:rsidR="0084647A" w:rsidRDefault="00DD0235">
            <w:pPr>
              <w:jc w:val="center"/>
            </w:pPr>
            <w:r>
              <w:rPr>
                <w:rFonts w:ascii="宋体" w:hAnsi="宋体" w:hint="eastAsia"/>
                <w:lang w:eastAsia="zh-Hans"/>
              </w:rPr>
              <w:t>127,714,526.46</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B7B78" w14:textId="77777777" w:rsidR="0084647A" w:rsidRDefault="00DD0235">
            <w:pPr>
              <w:jc w:val="center"/>
            </w:pPr>
            <w:r>
              <w:rPr>
                <w:rFonts w:ascii="宋体" w:hAnsi="宋体" w:hint="eastAsia"/>
                <w:lang w:eastAsia="zh-Hans"/>
              </w:rPr>
              <w:t>150,772,941.57</w:t>
            </w:r>
            <w:r>
              <w:rPr>
                <w:rFonts w:hint="eastAsia"/>
              </w:rPr>
              <w:t>份</w:t>
            </w:r>
            <w:r>
              <w:rPr>
                <w:rFonts w:ascii="宋体" w:hAnsi="宋体" w:hint="eastAsia"/>
                <w:lang w:eastAsia="zh-Hans"/>
              </w:rPr>
              <w:t xml:space="preserve"> </w:t>
            </w:r>
          </w:p>
        </w:tc>
      </w:tr>
    </w:tbl>
    <w:p w14:paraId="77D9FD34" w14:textId="77777777" w:rsidR="0084647A" w:rsidRDefault="00DD0235">
      <w:pPr>
        <w:pStyle w:val="XBRLTitle1"/>
        <w:spacing w:before="156" w:line="360" w:lineRule="auto"/>
        <w:ind w:left="425"/>
      </w:pPr>
      <w:bookmarkStart w:id="32" w:name="_Toc17899954"/>
      <w:bookmarkStart w:id="33" w:name="_Toc512519482"/>
      <w:bookmarkStart w:id="34" w:name="_Toc481075049"/>
      <w:bookmarkStart w:id="35" w:name="_Toc438646455"/>
      <w:bookmarkStart w:id="36" w:name="_Toc490050003"/>
      <w:bookmarkStart w:id="37" w:name="_Toc513295848"/>
      <w:bookmarkStart w:id="38" w:name="_Toc513295894"/>
      <w:bookmarkStart w:id="39" w:name="m401_tab"/>
      <w:bookmarkStart w:id="40" w:name="m401"/>
      <w:r>
        <w:rPr>
          <w:rFonts w:hAnsi="宋体" w:hint="eastAsia"/>
        </w:rPr>
        <w:t>主要财务指标和基金净值表现</w:t>
      </w:r>
      <w:bookmarkEnd w:id="32"/>
      <w:bookmarkEnd w:id="33"/>
      <w:bookmarkEnd w:id="34"/>
      <w:bookmarkEnd w:id="35"/>
      <w:bookmarkEnd w:id="36"/>
      <w:bookmarkEnd w:id="37"/>
      <w:bookmarkEnd w:id="38"/>
      <w:r>
        <w:rPr>
          <w:rFonts w:hAnsi="宋体" w:hint="eastAsia"/>
        </w:rPr>
        <w:t xml:space="preserve"> </w:t>
      </w:r>
    </w:p>
    <w:p w14:paraId="00D3A4F6" w14:textId="77777777" w:rsidR="0084647A" w:rsidRDefault="00DD0235">
      <w:pPr>
        <w:pStyle w:val="XBRLTitle2"/>
        <w:spacing w:before="156" w:line="360" w:lineRule="auto"/>
        <w:ind w:left="454"/>
      </w:pPr>
      <w:bookmarkStart w:id="41" w:name="_Toc17899955"/>
      <w:bookmarkStart w:id="42" w:name="_Toc512519483"/>
      <w:bookmarkStart w:id="43" w:name="_Toc481075050"/>
      <w:bookmarkStart w:id="44" w:name="_Toc438646456"/>
      <w:bookmarkStart w:id="45" w:name="_Toc490050004"/>
      <w:bookmarkStart w:id="46" w:name="_Toc513295849"/>
      <w:bookmarkStart w:id="47" w:name="_Toc513295895"/>
      <w:r>
        <w:rPr>
          <w:rFonts w:hAnsi="宋体" w:hint="eastAsia"/>
        </w:rPr>
        <w:t>主要财务指标</w:t>
      </w:r>
      <w:bookmarkEnd w:id="41"/>
      <w:bookmarkEnd w:id="42"/>
      <w:bookmarkEnd w:id="43"/>
      <w:bookmarkEnd w:id="44"/>
      <w:bookmarkEnd w:id="45"/>
      <w:bookmarkEnd w:id="46"/>
      <w:bookmarkEnd w:id="47"/>
      <w:r>
        <w:rPr>
          <w:rFonts w:hAnsi="宋体" w:hint="eastAsia"/>
        </w:rPr>
        <w:t xml:space="preserve"> </w:t>
      </w:r>
    </w:p>
    <w:p w14:paraId="526C2897" w14:textId="77777777" w:rsidR="0084647A" w:rsidRDefault="00DD0235">
      <w:pPr>
        <w:jc w:val="right"/>
        <w:divId w:val="116667676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3"/>
        <w:gridCol w:w="3096"/>
        <w:gridCol w:w="3096"/>
      </w:tblGrid>
      <w:tr w:rsidR="0084647A" w14:paraId="13BA2A2C" w14:textId="77777777">
        <w:trPr>
          <w:divId w:val="116667676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A5DFDAE" w14:textId="77777777" w:rsidR="0084647A" w:rsidRDefault="00DD0235">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22D9AC78" w14:textId="77777777" w:rsidR="0084647A" w:rsidRDefault="00DD0235">
            <w:pPr>
              <w:pStyle w:val="a5"/>
              <w:jc w:val="center"/>
            </w:pPr>
            <w:r>
              <w:rPr>
                <w:rFonts w:hint="eastAsia"/>
                <w:kern w:val="2"/>
                <w:sz w:val="21"/>
                <w:szCs w:val="24"/>
                <w:lang w:eastAsia="zh-Hans"/>
              </w:rPr>
              <w:t xml:space="preserve">报告期（2025年1月1日-2025年3月31日） </w:t>
            </w:r>
          </w:p>
        </w:tc>
      </w:tr>
      <w:tr w:rsidR="0084647A" w14:paraId="6E5B9DF6" w14:textId="77777777">
        <w:trPr>
          <w:divId w:val="116667676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0A4C3" w14:textId="77777777" w:rsidR="0084647A" w:rsidRDefault="0084647A">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5EDB152" w14:textId="77777777" w:rsidR="0084647A" w:rsidRDefault="00DD0235">
            <w:pPr>
              <w:jc w:val="center"/>
            </w:pPr>
            <w:r>
              <w:rPr>
                <w:rFonts w:ascii="宋体" w:hAnsi="宋体" w:hint="eastAsia"/>
                <w:szCs w:val="24"/>
                <w:lang w:eastAsia="zh-Hans"/>
              </w:rPr>
              <w:t>摩根博睿均衡一年持有混合(FOF)A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AB86084" w14:textId="77777777" w:rsidR="0084647A" w:rsidRDefault="00DD0235">
            <w:pPr>
              <w:jc w:val="center"/>
            </w:pPr>
            <w:r>
              <w:rPr>
                <w:rFonts w:ascii="宋体" w:hAnsi="宋体" w:hint="eastAsia"/>
                <w:szCs w:val="24"/>
                <w:lang w:eastAsia="zh-Hans"/>
              </w:rPr>
              <w:t>摩根博睿均衡一年持有混合(FOF)C</w:t>
            </w:r>
          </w:p>
        </w:tc>
      </w:tr>
      <w:tr w:rsidR="0084647A" w14:paraId="49EB18F4" w14:textId="77777777">
        <w:trPr>
          <w:divId w:val="11666767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BC7E9CB" w14:textId="77777777" w:rsidR="0084647A" w:rsidRDefault="00DD0235">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60DB4D" w14:textId="77777777" w:rsidR="0084647A" w:rsidRDefault="00DD0235">
            <w:pPr>
              <w:jc w:val="right"/>
            </w:pPr>
            <w:r>
              <w:rPr>
                <w:rFonts w:ascii="宋体" w:hAnsi="宋体" w:hint="eastAsia"/>
                <w:szCs w:val="24"/>
                <w:lang w:eastAsia="zh-Hans"/>
              </w:rPr>
              <w:t>708,234.57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C9E88C" w14:textId="77777777" w:rsidR="0084647A" w:rsidRDefault="00DD0235">
            <w:pPr>
              <w:jc w:val="right"/>
            </w:pPr>
            <w:r>
              <w:rPr>
                <w:rFonts w:ascii="宋体" w:hAnsi="宋体" w:hint="eastAsia"/>
                <w:szCs w:val="24"/>
                <w:lang w:eastAsia="zh-Hans"/>
              </w:rPr>
              <w:t>666,005.78</w:t>
            </w:r>
          </w:p>
        </w:tc>
      </w:tr>
      <w:tr w:rsidR="0084647A" w14:paraId="7E48B162" w14:textId="77777777">
        <w:trPr>
          <w:divId w:val="11666767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B29172A" w14:textId="77777777" w:rsidR="0084647A" w:rsidRDefault="00DD0235">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6A8DE2" w14:textId="77777777" w:rsidR="0084647A" w:rsidRDefault="00DD0235">
            <w:pPr>
              <w:jc w:val="right"/>
            </w:pPr>
            <w:r>
              <w:rPr>
                <w:rFonts w:ascii="宋体" w:hAnsi="宋体" w:hint="eastAsia"/>
                <w:szCs w:val="24"/>
                <w:lang w:eastAsia="zh-Hans"/>
              </w:rPr>
              <w:t>3,547,711.70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D1F8F5" w14:textId="77777777" w:rsidR="0084647A" w:rsidRDefault="00DD0235">
            <w:pPr>
              <w:jc w:val="right"/>
            </w:pPr>
            <w:r>
              <w:rPr>
                <w:rFonts w:ascii="宋体" w:hAnsi="宋体" w:hint="eastAsia"/>
                <w:szCs w:val="24"/>
                <w:lang w:eastAsia="zh-Hans"/>
              </w:rPr>
              <w:t>4,172,966.37</w:t>
            </w:r>
          </w:p>
        </w:tc>
      </w:tr>
      <w:tr w:rsidR="0084647A" w14:paraId="3034F742" w14:textId="77777777">
        <w:trPr>
          <w:divId w:val="11666767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C9E966" w14:textId="77777777" w:rsidR="0084647A" w:rsidRDefault="00DD0235">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0BBE00" w14:textId="77777777" w:rsidR="0084647A" w:rsidRDefault="00DD0235">
            <w:pPr>
              <w:jc w:val="right"/>
            </w:pPr>
            <w:r>
              <w:rPr>
                <w:rFonts w:ascii="宋体" w:hAnsi="宋体" w:hint="eastAsia"/>
                <w:szCs w:val="24"/>
                <w:lang w:eastAsia="zh-Hans"/>
              </w:rPr>
              <w:t>0.0264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84FEEF" w14:textId="77777777" w:rsidR="0084647A" w:rsidRDefault="00DD0235">
            <w:pPr>
              <w:jc w:val="right"/>
            </w:pPr>
            <w:r>
              <w:rPr>
                <w:rFonts w:ascii="宋体" w:hAnsi="宋体" w:hint="eastAsia"/>
                <w:szCs w:val="24"/>
                <w:lang w:eastAsia="zh-Hans"/>
              </w:rPr>
              <w:t>0.0259</w:t>
            </w:r>
          </w:p>
        </w:tc>
      </w:tr>
      <w:tr w:rsidR="0084647A" w14:paraId="69EE17D4" w14:textId="77777777">
        <w:trPr>
          <w:divId w:val="11666767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AFE700C" w14:textId="77777777" w:rsidR="0084647A" w:rsidRDefault="00DD0235">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E1D6ABB" w14:textId="77777777" w:rsidR="0084647A" w:rsidRDefault="00DD0235">
            <w:pPr>
              <w:jc w:val="right"/>
            </w:pPr>
            <w:r>
              <w:rPr>
                <w:rFonts w:ascii="宋体" w:hAnsi="宋体" w:hint="eastAsia"/>
                <w:szCs w:val="24"/>
                <w:lang w:eastAsia="zh-Hans"/>
              </w:rPr>
              <w:t>124,923,894.20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99450D7" w14:textId="77777777" w:rsidR="0084647A" w:rsidRDefault="00DD0235">
            <w:pPr>
              <w:jc w:val="right"/>
            </w:pPr>
            <w:r>
              <w:rPr>
                <w:rFonts w:ascii="宋体" w:hAnsi="宋体" w:hint="eastAsia"/>
                <w:szCs w:val="24"/>
                <w:lang w:eastAsia="zh-Hans"/>
              </w:rPr>
              <w:t>145,332,024.19</w:t>
            </w:r>
          </w:p>
        </w:tc>
      </w:tr>
      <w:tr w:rsidR="0084647A" w14:paraId="53DA9032" w14:textId="77777777">
        <w:trPr>
          <w:divId w:val="116667676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15040B" w14:textId="77777777" w:rsidR="0084647A" w:rsidRDefault="00DD0235">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74906A5" w14:textId="77777777" w:rsidR="0084647A" w:rsidRDefault="00DD0235">
            <w:pPr>
              <w:jc w:val="right"/>
            </w:pPr>
            <w:r>
              <w:rPr>
                <w:rFonts w:ascii="宋体" w:hAnsi="宋体" w:hint="eastAsia"/>
                <w:szCs w:val="24"/>
                <w:lang w:eastAsia="zh-Hans"/>
              </w:rPr>
              <w:t>0.9781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90AA1B" w14:textId="77777777" w:rsidR="0084647A" w:rsidRDefault="00DD0235">
            <w:pPr>
              <w:jc w:val="right"/>
            </w:pPr>
            <w:r>
              <w:rPr>
                <w:rFonts w:ascii="宋体" w:hAnsi="宋体" w:hint="eastAsia"/>
                <w:szCs w:val="24"/>
                <w:lang w:eastAsia="zh-Hans"/>
              </w:rPr>
              <w:t>0.9639</w:t>
            </w:r>
          </w:p>
        </w:tc>
      </w:tr>
    </w:tbl>
    <w:p w14:paraId="02DAA576" w14:textId="77777777" w:rsidR="0084647A" w:rsidRDefault="00DD0235">
      <w:pPr>
        <w:wordWrap w:val="0"/>
        <w:spacing w:line="360" w:lineRule="auto"/>
        <w:jc w:val="left"/>
        <w:divId w:val="1061058078"/>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90A446F" w14:textId="77777777" w:rsidR="0084647A" w:rsidRDefault="00DD0235">
      <w:pPr>
        <w:pStyle w:val="XBRLTitle2"/>
        <w:spacing w:before="156" w:line="360" w:lineRule="auto"/>
        <w:ind w:left="454"/>
      </w:pPr>
      <w:bookmarkStart w:id="48" w:name="_Toc17899956"/>
      <w:bookmarkStart w:id="49" w:name="_Toc512519484"/>
      <w:bookmarkStart w:id="50" w:name="_Toc481075051"/>
      <w:bookmarkStart w:id="51" w:name="_Toc438646457"/>
      <w:bookmarkStart w:id="52" w:name="_Toc490050005"/>
      <w:bookmarkStart w:id="53" w:name="_Toc513295850"/>
      <w:bookmarkStart w:id="54" w:name="_Toc513295896"/>
      <w:r>
        <w:rPr>
          <w:rFonts w:hAnsi="宋体" w:hint="eastAsia"/>
        </w:rPr>
        <w:t>基金净值表现</w:t>
      </w:r>
      <w:bookmarkEnd w:id="48"/>
      <w:bookmarkEnd w:id="49"/>
      <w:bookmarkEnd w:id="50"/>
      <w:bookmarkEnd w:id="51"/>
      <w:bookmarkEnd w:id="52"/>
      <w:bookmarkEnd w:id="53"/>
      <w:bookmarkEnd w:id="54"/>
      <w:r>
        <w:rPr>
          <w:rFonts w:hAnsi="宋体" w:hint="eastAsia"/>
        </w:rPr>
        <w:t xml:space="preserve"> </w:t>
      </w:r>
    </w:p>
    <w:p w14:paraId="39F02261" w14:textId="77777777" w:rsidR="0084647A" w:rsidRDefault="00DD0235">
      <w:pPr>
        <w:pStyle w:val="XBRLTitle3"/>
        <w:spacing w:before="156"/>
        <w:ind w:left="0"/>
      </w:pPr>
      <w:bookmarkStart w:id="55" w:name="_Toc17899957"/>
      <w:bookmarkStart w:id="56" w:name="_Toc512519485"/>
      <w:bookmarkStart w:id="57" w:name="_Toc481075052"/>
      <w:bookmarkStart w:id="58" w:name="_Toc490050006"/>
      <w:bookmarkStart w:id="59" w:name="_Toc513295897"/>
      <w:r>
        <w:rPr>
          <w:rFonts w:hint="eastAsia"/>
        </w:rPr>
        <w:t>基金份额净值增长率及其与同期业绩比较基准收益率的比较</w:t>
      </w:r>
      <w:bookmarkEnd w:id="55"/>
      <w:bookmarkEnd w:id="56"/>
      <w:bookmarkEnd w:id="57"/>
      <w:bookmarkEnd w:id="58"/>
      <w:bookmarkEnd w:id="59"/>
      <w:r>
        <w:rPr>
          <w:rFonts w:hint="eastAsia"/>
          <w:lang w:eastAsia="zh-CN"/>
        </w:rPr>
        <w:t xml:space="preserve"> </w:t>
      </w:r>
    </w:p>
    <w:p w14:paraId="4C63BBBA" w14:textId="77777777" w:rsidR="0084647A" w:rsidRDefault="00DD0235">
      <w:pPr>
        <w:spacing w:line="360" w:lineRule="auto"/>
        <w:jc w:val="center"/>
        <w:divId w:val="98454419"/>
      </w:pPr>
      <w:r>
        <w:rPr>
          <w:rFonts w:ascii="宋体" w:hAnsi="宋体" w:hint="eastAsia"/>
        </w:rPr>
        <w:lastRenderedPageBreak/>
        <w:t>摩根博睿均衡一年持有混合(FOF)A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4647A" w14:paraId="11B965A5" w14:textId="77777777">
        <w:trPr>
          <w:divId w:val="9845441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25BC44" w14:textId="77777777" w:rsidR="0084647A" w:rsidRDefault="00DD023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B4538C" w14:textId="77777777" w:rsidR="0084647A" w:rsidRDefault="00DD023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BF5E957" w14:textId="77777777" w:rsidR="0084647A" w:rsidRDefault="00DD023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059363" w14:textId="77777777" w:rsidR="0084647A" w:rsidRDefault="00DD023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4F3FC34" w14:textId="77777777" w:rsidR="0084647A" w:rsidRDefault="00DD023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F3C6B" w14:textId="77777777" w:rsidR="0084647A" w:rsidRDefault="00DD023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5DB36E" w14:textId="77777777" w:rsidR="0084647A" w:rsidRDefault="00DD0235">
            <w:pPr>
              <w:spacing w:line="360" w:lineRule="auto"/>
              <w:jc w:val="center"/>
            </w:pPr>
            <w:r>
              <w:rPr>
                <w:rFonts w:ascii="宋体" w:hAnsi="宋体" w:hint="eastAsia"/>
              </w:rPr>
              <w:t xml:space="preserve">②－④ </w:t>
            </w:r>
          </w:p>
        </w:tc>
      </w:tr>
      <w:tr w:rsidR="0084647A" w14:paraId="4B02057E" w14:textId="77777777">
        <w:trPr>
          <w:divId w:val="98454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D26E3" w14:textId="77777777" w:rsidR="0084647A" w:rsidRDefault="00DD023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991EE" w14:textId="77777777" w:rsidR="0084647A" w:rsidRDefault="00DD0235">
            <w:pPr>
              <w:spacing w:line="360" w:lineRule="auto"/>
              <w:jc w:val="right"/>
            </w:pPr>
            <w:r>
              <w:rPr>
                <w:rFonts w:ascii="宋体" w:hAnsi="宋体" w:hint="eastAsia"/>
              </w:rPr>
              <w:t xml:space="preserve">2.70%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02B88" w14:textId="77777777" w:rsidR="0084647A" w:rsidRDefault="00DD0235">
            <w:pPr>
              <w:spacing w:line="360" w:lineRule="auto"/>
              <w:jc w:val="right"/>
            </w:pPr>
            <w:r>
              <w:rPr>
                <w:rFonts w:ascii="宋体" w:hAnsi="宋体" w:hint="eastAsia"/>
              </w:rPr>
              <w:t xml:space="preserve">0.68%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2D29A" w14:textId="77777777" w:rsidR="0084647A" w:rsidRDefault="00DD0235">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641BF" w14:textId="77777777" w:rsidR="0084647A" w:rsidRDefault="00DD0235">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0653A7E" w14:textId="77777777" w:rsidR="0084647A" w:rsidRDefault="00DD0235">
            <w:pPr>
              <w:spacing w:line="360" w:lineRule="auto"/>
              <w:jc w:val="right"/>
            </w:pPr>
            <w:r>
              <w:rPr>
                <w:rFonts w:ascii="宋体" w:hAnsi="宋体" w:hint="eastAsia"/>
              </w:rPr>
              <w:t xml:space="preserve">3.09%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1C226" w14:textId="77777777" w:rsidR="0084647A" w:rsidRDefault="00DD0235">
            <w:pPr>
              <w:spacing w:line="360" w:lineRule="auto"/>
              <w:jc w:val="right"/>
            </w:pPr>
            <w:r>
              <w:rPr>
                <w:rFonts w:ascii="宋体" w:hAnsi="宋体" w:hint="eastAsia"/>
              </w:rPr>
              <w:t xml:space="preserve">0.20% </w:t>
            </w:r>
          </w:p>
        </w:tc>
      </w:tr>
      <w:tr w:rsidR="0084647A" w14:paraId="0FB99D79" w14:textId="77777777">
        <w:trPr>
          <w:divId w:val="98454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99CE0" w14:textId="77777777" w:rsidR="0084647A" w:rsidRDefault="00DD023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23F8A5" w14:textId="77777777" w:rsidR="0084647A" w:rsidRDefault="00DD0235">
            <w:pPr>
              <w:spacing w:line="360" w:lineRule="auto"/>
              <w:jc w:val="right"/>
            </w:pPr>
            <w:r>
              <w:rPr>
                <w:rFonts w:ascii="宋体" w:hAnsi="宋体" w:hint="eastAsia"/>
              </w:rPr>
              <w:t xml:space="preserve">1.66%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69F6B" w14:textId="77777777" w:rsidR="0084647A" w:rsidRDefault="00DD0235">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E9EAB" w14:textId="77777777" w:rsidR="0084647A" w:rsidRDefault="00DD0235">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B9D4F1" w14:textId="77777777" w:rsidR="0084647A" w:rsidRDefault="00DD0235">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2B250D" w14:textId="77777777" w:rsidR="0084647A" w:rsidRDefault="00DD0235">
            <w:pPr>
              <w:spacing w:line="360" w:lineRule="auto"/>
              <w:jc w:val="right"/>
            </w:pPr>
            <w:r>
              <w:rPr>
                <w:rFonts w:ascii="宋体" w:hAnsi="宋体" w:hint="eastAsia"/>
              </w:rPr>
              <w:t xml:space="preserve">1.78%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9352B" w14:textId="77777777" w:rsidR="0084647A" w:rsidRDefault="00DD0235">
            <w:pPr>
              <w:spacing w:line="360" w:lineRule="auto"/>
              <w:jc w:val="right"/>
            </w:pPr>
            <w:r>
              <w:rPr>
                <w:rFonts w:ascii="宋体" w:hAnsi="宋体" w:hint="eastAsia"/>
              </w:rPr>
              <w:t xml:space="preserve">0.17% </w:t>
            </w:r>
          </w:p>
        </w:tc>
      </w:tr>
      <w:tr w:rsidR="0084647A" w14:paraId="19A56EBF" w14:textId="77777777">
        <w:trPr>
          <w:divId w:val="98454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DADF2E" w14:textId="77777777" w:rsidR="0084647A" w:rsidRDefault="00DD023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B0D8B5" w14:textId="77777777" w:rsidR="0084647A" w:rsidRDefault="00DD0235">
            <w:pPr>
              <w:spacing w:line="360" w:lineRule="auto"/>
              <w:jc w:val="right"/>
            </w:pPr>
            <w:r>
              <w:rPr>
                <w:rFonts w:ascii="宋体" w:hAnsi="宋体" w:hint="eastAsia"/>
              </w:rPr>
              <w:t xml:space="preserve">11.20%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7647EF" w14:textId="77777777" w:rsidR="0084647A" w:rsidRDefault="00DD0235">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B26DCB" w14:textId="77777777" w:rsidR="0084647A" w:rsidRDefault="00DD0235">
            <w:pPr>
              <w:spacing w:line="360" w:lineRule="auto"/>
              <w:jc w:val="right"/>
            </w:pPr>
            <w:r>
              <w:rPr>
                <w:rFonts w:ascii="宋体" w:hAnsi="宋体" w:hint="eastAsia"/>
              </w:rPr>
              <w:t xml:space="preserve">7.65%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2AFA02" w14:textId="77777777" w:rsidR="0084647A" w:rsidRDefault="00DD0235">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C602D5" w14:textId="77777777" w:rsidR="0084647A" w:rsidRDefault="00DD0235">
            <w:pPr>
              <w:spacing w:line="360" w:lineRule="auto"/>
              <w:jc w:val="right"/>
            </w:pPr>
            <w:r>
              <w:rPr>
                <w:rFonts w:ascii="宋体" w:hAnsi="宋体" w:hint="eastAsia"/>
              </w:rPr>
              <w:t xml:space="preserve">3.55%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6772A2" w14:textId="77777777" w:rsidR="0084647A" w:rsidRDefault="00DD0235">
            <w:pPr>
              <w:spacing w:line="360" w:lineRule="auto"/>
              <w:jc w:val="right"/>
            </w:pPr>
            <w:r>
              <w:rPr>
                <w:rFonts w:ascii="宋体" w:hAnsi="宋体" w:hint="eastAsia"/>
              </w:rPr>
              <w:t xml:space="preserve">0.18% </w:t>
            </w:r>
          </w:p>
        </w:tc>
      </w:tr>
      <w:tr w:rsidR="0084647A" w14:paraId="6D47AAB8" w14:textId="77777777">
        <w:trPr>
          <w:divId w:val="9845441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964A35" w14:textId="77777777" w:rsidR="0084647A" w:rsidRDefault="00DD023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9D5A0" w14:textId="77777777" w:rsidR="0084647A" w:rsidRDefault="00DD0235">
            <w:pPr>
              <w:spacing w:line="360" w:lineRule="auto"/>
              <w:jc w:val="right"/>
            </w:pPr>
            <w:r>
              <w:rPr>
                <w:rFonts w:ascii="宋体" w:hAnsi="宋体" w:hint="eastAsia"/>
              </w:rPr>
              <w:t xml:space="preserve">-2.19%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755D6C" w14:textId="77777777" w:rsidR="0084647A" w:rsidRDefault="00DD0235">
            <w:pPr>
              <w:spacing w:line="360" w:lineRule="auto"/>
              <w:jc w:val="right"/>
            </w:pPr>
            <w:r>
              <w:rPr>
                <w:rFonts w:ascii="宋体" w:hAnsi="宋体" w:hint="eastAsia"/>
              </w:rPr>
              <w:t xml:space="preserve">0.67%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DF3A4" w14:textId="77777777" w:rsidR="0084647A" w:rsidRDefault="00DD0235">
            <w:pPr>
              <w:spacing w:line="360" w:lineRule="auto"/>
              <w:jc w:val="right"/>
            </w:pPr>
            <w:r>
              <w:rPr>
                <w:rFonts w:ascii="宋体" w:hAnsi="宋体" w:hint="eastAsia"/>
              </w:rPr>
              <w:t xml:space="preserve">9.79%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C8BAB6" w14:textId="77777777" w:rsidR="0084647A" w:rsidRDefault="00DD0235">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0AFB3AE" w14:textId="77777777" w:rsidR="0084647A" w:rsidRDefault="00DD0235">
            <w:pPr>
              <w:spacing w:line="360" w:lineRule="auto"/>
              <w:jc w:val="right"/>
            </w:pPr>
            <w:r>
              <w:rPr>
                <w:rFonts w:ascii="宋体" w:hAnsi="宋体" w:hint="eastAsia"/>
              </w:rPr>
              <w:t xml:space="preserve">-11.98%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CF2B3" w14:textId="77777777" w:rsidR="0084647A" w:rsidRDefault="00DD0235">
            <w:pPr>
              <w:spacing w:line="360" w:lineRule="auto"/>
              <w:jc w:val="right"/>
            </w:pPr>
            <w:r>
              <w:rPr>
                <w:rFonts w:ascii="宋体" w:hAnsi="宋体" w:hint="eastAsia"/>
              </w:rPr>
              <w:t xml:space="preserve">0.10% </w:t>
            </w:r>
          </w:p>
        </w:tc>
      </w:tr>
    </w:tbl>
    <w:p w14:paraId="716D520C" w14:textId="77777777" w:rsidR="0084647A" w:rsidRDefault="00DD0235">
      <w:pPr>
        <w:spacing w:line="360" w:lineRule="auto"/>
        <w:jc w:val="center"/>
        <w:divId w:val="324287657"/>
      </w:pPr>
      <w:r>
        <w:rPr>
          <w:rFonts w:ascii="宋体" w:hAnsi="宋体" w:hint="eastAsia"/>
        </w:rPr>
        <w:t>摩根博睿均衡一年持有混合(FOF)C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4647A" w14:paraId="005BE624" w14:textId="77777777">
        <w:trPr>
          <w:divId w:val="324287657"/>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F18448" w14:textId="77777777" w:rsidR="0084647A" w:rsidRDefault="00DD023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16C839E" w14:textId="77777777" w:rsidR="0084647A" w:rsidRDefault="00DD023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02067D" w14:textId="77777777" w:rsidR="0084647A" w:rsidRDefault="00DD023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BFA4D4" w14:textId="77777777" w:rsidR="0084647A" w:rsidRDefault="00DD023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23346E" w14:textId="77777777" w:rsidR="0084647A" w:rsidRDefault="00DD023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F2A83" w14:textId="77777777" w:rsidR="0084647A" w:rsidRDefault="00DD023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2ED986" w14:textId="77777777" w:rsidR="0084647A" w:rsidRDefault="00DD0235">
            <w:pPr>
              <w:spacing w:line="360" w:lineRule="auto"/>
              <w:jc w:val="center"/>
            </w:pPr>
            <w:r>
              <w:rPr>
                <w:rFonts w:ascii="宋体" w:hAnsi="宋体" w:hint="eastAsia"/>
              </w:rPr>
              <w:t xml:space="preserve">②－④ </w:t>
            </w:r>
          </w:p>
        </w:tc>
      </w:tr>
      <w:tr w:rsidR="0084647A" w14:paraId="6D4ED7DA" w14:textId="77777777">
        <w:trPr>
          <w:divId w:val="3242876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989B3D" w14:textId="77777777" w:rsidR="0084647A" w:rsidRDefault="00DD023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85AC9" w14:textId="77777777" w:rsidR="0084647A" w:rsidRDefault="00DD0235">
            <w:pPr>
              <w:spacing w:line="360" w:lineRule="auto"/>
              <w:jc w:val="right"/>
            </w:pPr>
            <w:r>
              <w:rPr>
                <w:rFonts w:ascii="宋体" w:hAnsi="宋体" w:hint="eastAsia"/>
              </w:rPr>
              <w:t xml:space="preserve">2.58%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FC143" w14:textId="77777777" w:rsidR="0084647A" w:rsidRDefault="00DD0235">
            <w:pPr>
              <w:spacing w:line="360" w:lineRule="auto"/>
              <w:jc w:val="right"/>
            </w:pPr>
            <w:r>
              <w:rPr>
                <w:rFonts w:ascii="宋体" w:hAnsi="宋体" w:hint="eastAsia"/>
              </w:rPr>
              <w:t xml:space="preserve">0.68%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7604EC" w14:textId="77777777" w:rsidR="0084647A" w:rsidRDefault="00DD0235">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7CCEB" w14:textId="77777777" w:rsidR="0084647A" w:rsidRDefault="00DD0235">
            <w:pPr>
              <w:spacing w:line="360" w:lineRule="auto"/>
              <w:jc w:val="right"/>
            </w:pPr>
            <w:r>
              <w:rPr>
                <w:rFonts w:ascii="宋体" w:hAnsi="宋体" w:hint="eastAsia"/>
              </w:rPr>
              <w:t xml:space="preserve">0.48%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C6D1E86" w14:textId="77777777" w:rsidR="0084647A" w:rsidRDefault="00DD0235">
            <w:pPr>
              <w:spacing w:line="360" w:lineRule="auto"/>
              <w:jc w:val="right"/>
            </w:pPr>
            <w:r>
              <w:rPr>
                <w:rFonts w:ascii="宋体" w:hAnsi="宋体" w:hint="eastAsia"/>
              </w:rPr>
              <w:t xml:space="preserve">2.97%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8DBA3" w14:textId="77777777" w:rsidR="0084647A" w:rsidRDefault="00DD0235">
            <w:pPr>
              <w:spacing w:line="360" w:lineRule="auto"/>
              <w:jc w:val="right"/>
            </w:pPr>
            <w:r>
              <w:rPr>
                <w:rFonts w:ascii="宋体" w:hAnsi="宋体" w:hint="eastAsia"/>
              </w:rPr>
              <w:t xml:space="preserve">0.20% </w:t>
            </w:r>
          </w:p>
        </w:tc>
      </w:tr>
      <w:tr w:rsidR="0084647A" w14:paraId="10448EE4" w14:textId="77777777">
        <w:trPr>
          <w:divId w:val="3242876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BBA5A8" w14:textId="77777777" w:rsidR="0084647A" w:rsidRDefault="00DD023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EE165" w14:textId="77777777" w:rsidR="0084647A" w:rsidRDefault="00DD0235">
            <w:pPr>
              <w:spacing w:line="360" w:lineRule="auto"/>
              <w:jc w:val="right"/>
            </w:pPr>
            <w:r>
              <w:rPr>
                <w:rFonts w:ascii="宋体" w:hAnsi="宋体" w:hint="eastAsia"/>
              </w:rPr>
              <w:t xml:space="preserve">1.41%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A99E7A" w14:textId="77777777" w:rsidR="0084647A" w:rsidRDefault="00DD0235">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31B6C4" w14:textId="77777777" w:rsidR="0084647A" w:rsidRDefault="00DD0235">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D4E33" w14:textId="77777777" w:rsidR="0084647A" w:rsidRDefault="00DD0235">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AEDE1ED" w14:textId="77777777" w:rsidR="0084647A" w:rsidRDefault="00DD0235">
            <w:pPr>
              <w:spacing w:line="360" w:lineRule="auto"/>
              <w:jc w:val="right"/>
            </w:pPr>
            <w:r>
              <w:rPr>
                <w:rFonts w:ascii="宋体" w:hAnsi="宋体" w:hint="eastAsia"/>
              </w:rPr>
              <w:t xml:space="preserve">1.53%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013469" w14:textId="77777777" w:rsidR="0084647A" w:rsidRDefault="00DD0235">
            <w:pPr>
              <w:spacing w:line="360" w:lineRule="auto"/>
              <w:jc w:val="right"/>
            </w:pPr>
            <w:r>
              <w:rPr>
                <w:rFonts w:ascii="宋体" w:hAnsi="宋体" w:hint="eastAsia"/>
              </w:rPr>
              <w:t xml:space="preserve">0.17% </w:t>
            </w:r>
          </w:p>
        </w:tc>
      </w:tr>
      <w:tr w:rsidR="0084647A" w14:paraId="0001E75A" w14:textId="77777777">
        <w:trPr>
          <w:divId w:val="3242876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A864A" w14:textId="77777777" w:rsidR="0084647A" w:rsidRDefault="00DD023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E86F8" w14:textId="77777777" w:rsidR="0084647A" w:rsidRDefault="00DD0235">
            <w:pPr>
              <w:spacing w:line="360" w:lineRule="auto"/>
              <w:jc w:val="right"/>
            </w:pPr>
            <w:r>
              <w:rPr>
                <w:rFonts w:ascii="宋体" w:hAnsi="宋体" w:hint="eastAsia"/>
              </w:rPr>
              <w:t xml:space="preserve">10.64%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3CB9DF" w14:textId="77777777" w:rsidR="0084647A" w:rsidRDefault="00DD0235">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3A1CA" w14:textId="77777777" w:rsidR="0084647A" w:rsidRDefault="00DD0235">
            <w:pPr>
              <w:spacing w:line="360" w:lineRule="auto"/>
              <w:jc w:val="right"/>
            </w:pPr>
            <w:r>
              <w:rPr>
                <w:rFonts w:ascii="宋体" w:hAnsi="宋体" w:hint="eastAsia"/>
              </w:rPr>
              <w:t xml:space="preserve">7.65%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528CF1" w14:textId="77777777" w:rsidR="0084647A" w:rsidRDefault="00DD0235">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F5A2C3" w14:textId="77777777" w:rsidR="0084647A" w:rsidRDefault="00DD0235">
            <w:pPr>
              <w:spacing w:line="360" w:lineRule="auto"/>
              <w:jc w:val="right"/>
            </w:pPr>
            <w:r>
              <w:rPr>
                <w:rFonts w:ascii="宋体" w:hAnsi="宋体" w:hint="eastAsia"/>
              </w:rPr>
              <w:t xml:space="preserve">2.99%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1E8EE" w14:textId="77777777" w:rsidR="0084647A" w:rsidRDefault="00DD0235">
            <w:pPr>
              <w:spacing w:line="360" w:lineRule="auto"/>
              <w:jc w:val="right"/>
            </w:pPr>
            <w:r>
              <w:rPr>
                <w:rFonts w:ascii="宋体" w:hAnsi="宋体" w:hint="eastAsia"/>
              </w:rPr>
              <w:t xml:space="preserve">0.18% </w:t>
            </w:r>
          </w:p>
        </w:tc>
      </w:tr>
      <w:tr w:rsidR="0084647A" w14:paraId="7A389F8E" w14:textId="77777777">
        <w:trPr>
          <w:divId w:val="324287657"/>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528F5" w14:textId="77777777" w:rsidR="0084647A" w:rsidRDefault="00DD023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120DD" w14:textId="77777777" w:rsidR="0084647A" w:rsidRDefault="00DD0235">
            <w:pPr>
              <w:spacing w:line="360" w:lineRule="auto"/>
              <w:jc w:val="right"/>
            </w:pPr>
            <w:r>
              <w:rPr>
                <w:rFonts w:ascii="宋体" w:hAnsi="宋体" w:hint="eastAsia"/>
              </w:rPr>
              <w:t xml:space="preserve">-3.61%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E6882A" w14:textId="77777777" w:rsidR="0084647A" w:rsidRDefault="00DD0235">
            <w:pPr>
              <w:spacing w:line="360" w:lineRule="auto"/>
              <w:jc w:val="right"/>
            </w:pPr>
            <w:r>
              <w:rPr>
                <w:rFonts w:ascii="宋体" w:hAnsi="宋体" w:hint="eastAsia"/>
              </w:rPr>
              <w:t xml:space="preserve">0.67%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0290D8" w14:textId="77777777" w:rsidR="0084647A" w:rsidRDefault="00DD0235">
            <w:pPr>
              <w:spacing w:line="360" w:lineRule="auto"/>
              <w:jc w:val="right"/>
            </w:pPr>
            <w:r>
              <w:rPr>
                <w:rFonts w:ascii="宋体" w:hAnsi="宋体" w:hint="eastAsia"/>
              </w:rPr>
              <w:t xml:space="preserve">9.79%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7B8349" w14:textId="77777777" w:rsidR="0084647A" w:rsidRDefault="00DD0235">
            <w:pPr>
              <w:spacing w:line="360" w:lineRule="auto"/>
              <w:jc w:val="right"/>
            </w:pPr>
            <w:r>
              <w:rPr>
                <w:rFonts w:ascii="宋体" w:hAnsi="宋体" w:hint="eastAsia"/>
              </w:rPr>
              <w:t xml:space="preserve">0.57%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468790A" w14:textId="77777777" w:rsidR="0084647A" w:rsidRDefault="00DD0235">
            <w:pPr>
              <w:spacing w:line="360" w:lineRule="auto"/>
              <w:jc w:val="right"/>
            </w:pPr>
            <w:r>
              <w:rPr>
                <w:rFonts w:ascii="宋体" w:hAnsi="宋体" w:hint="eastAsia"/>
              </w:rPr>
              <w:t xml:space="preserve">-13.40%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F82F3B" w14:textId="77777777" w:rsidR="0084647A" w:rsidRDefault="00DD0235">
            <w:pPr>
              <w:spacing w:line="360" w:lineRule="auto"/>
              <w:jc w:val="right"/>
            </w:pPr>
            <w:r>
              <w:rPr>
                <w:rFonts w:ascii="宋体" w:hAnsi="宋体" w:hint="eastAsia"/>
              </w:rPr>
              <w:t xml:space="preserve">0.10% </w:t>
            </w:r>
          </w:p>
        </w:tc>
      </w:tr>
    </w:tbl>
    <w:p w14:paraId="694E0278" w14:textId="77777777" w:rsidR="0084647A" w:rsidRDefault="00DD0235">
      <w:pPr>
        <w:pStyle w:val="XBRLTitle3"/>
        <w:spacing w:before="156"/>
        <w:ind w:left="0"/>
      </w:pPr>
      <w:bookmarkStart w:id="60" w:name="_Toc17899958"/>
      <w:bookmarkStart w:id="61" w:name="_Toc512519486"/>
      <w:bookmarkStart w:id="62" w:name="_Toc481075053"/>
      <w:bookmarkStart w:id="63" w:name="_Toc490050007"/>
      <w:bookmarkStart w:id="64" w:name="_Toc513295898"/>
      <w:r>
        <w:rPr>
          <w:rFonts w:hint="eastAsia"/>
        </w:rPr>
        <w:t>自基金合同生效以来基金累计净值增长率变动及其与同期业绩比较基准收益率变动的比较</w:t>
      </w:r>
      <w:bookmarkEnd w:id="60"/>
      <w:bookmarkEnd w:id="61"/>
      <w:bookmarkEnd w:id="62"/>
      <w:bookmarkEnd w:id="63"/>
      <w:bookmarkEnd w:id="64"/>
    </w:p>
    <w:p w14:paraId="70C1A768" w14:textId="77777777" w:rsidR="0084647A" w:rsidRDefault="00DD0235">
      <w:pPr>
        <w:spacing w:line="360" w:lineRule="auto"/>
        <w:jc w:val="left"/>
        <w:divId w:val="1224296779"/>
      </w:pPr>
      <w:bookmarkStart w:id="65" w:name="m07_04_07_09"/>
      <w:bookmarkStart w:id="66" w:name="m07_04_07_09_tab"/>
      <w:r>
        <w:rPr>
          <w:rFonts w:ascii="宋体" w:hAnsi="宋体"/>
          <w:noProof/>
        </w:rPr>
        <w:lastRenderedPageBreak/>
        <w:drawing>
          <wp:inline distT="0" distB="0" distL="0" distR="0" wp14:anchorId="5C6A1030" wp14:editId="6BFBF799">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0403D9C" w14:textId="77777777" w:rsidR="0084647A" w:rsidRDefault="00DD0235">
      <w:pPr>
        <w:spacing w:line="360" w:lineRule="auto"/>
        <w:jc w:val="left"/>
        <w:divId w:val="1582252410"/>
      </w:pPr>
      <w:r>
        <w:rPr>
          <w:rFonts w:ascii="宋体" w:hAnsi="宋体"/>
          <w:noProof/>
        </w:rPr>
        <w:drawing>
          <wp:inline distT="0" distB="0" distL="0" distR="0" wp14:anchorId="3C569395" wp14:editId="60687D4A">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B887B30" w14:textId="77777777" w:rsidR="0084647A" w:rsidRDefault="00DD0235">
      <w:pPr>
        <w:spacing w:line="360" w:lineRule="auto"/>
      </w:pPr>
      <w:r>
        <w:rPr>
          <w:rFonts w:ascii="宋体" w:hAnsi="宋体" w:hint="eastAsia"/>
        </w:rPr>
        <w:t>注：</w:t>
      </w:r>
      <w:r>
        <w:rPr>
          <w:rFonts w:ascii="宋体" w:hAnsi="宋体" w:hint="eastAsia"/>
          <w:lang w:eastAsia="zh-Hans"/>
        </w:rPr>
        <w:t>本基金合同生效日为2022年4月27日，图示的时间段为合同生效日至本报告期末。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4DEAC165" w14:textId="77777777" w:rsidR="0084647A" w:rsidRDefault="00DD0235">
      <w:pPr>
        <w:pStyle w:val="XBRLTitle1"/>
        <w:spacing w:before="156" w:line="360" w:lineRule="auto"/>
        <w:ind w:left="425"/>
      </w:pPr>
      <w:bookmarkStart w:id="67" w:name="_Toc17899960"/>
      <w:bookmarkStart w:id="68" w:name="_Toc481075054"/>
      <w:bookmarkStart w:id="69" w:name="_Toc438646458"/>
      <w:bookmarkStart w:id="70" w:name="_Toc490050008"/>
      <w:bookmarkStart w:id="71" w:name="_Toc512519487"/>
      <w:bookmarkStart w:id="72" w:name="_Toc513295851"/>
      <w:bookmarkStart w:id="73" w:name="_Toc513295899"/>
      <w:r>
        <w:rPr>
          <w:rFonts w:hAnsi="宋体" w:hint="eastAsia"/>
        </w:rPr>
        <w:t>管理人报告</w:t>
      </w:r>
      <w:bookmarkEnd w:id="67"/>
      <w:bookmarkEnd w:id="68"/>
      <w:bookmarkEnd w:id="69"/>
      <w:bookmarkEnd w:id="70"/>
      <w:bookmarkEnd w:id="71"/>
      <w:bookmarkEnd w:id="72"/>
      <w:bookmarkEnd w:id="73"/>
      <w:r>
        <w:rPr>
          <w:rFonts w:hAnsi="宋体" w:hint="eastAsia"/>
        </w:rPr>
        <w:t xml:space="preserve"> </w:t>
      </w:r>
    </w:p>
    <w:p w14:paraId="420A1B2E" w14:textId="77777777" w:rsidR="0084647A" w:rsidRDefault="00DD0235">
      <w:pPr>
        <w:pStyle w:val="XBRLTitle2"/>
        <w:spacing w:before="156" w:line="360" w:lineRule="auto"/>
        <w:ind w:left="454"/>
      </w:pPr>
      <w:bookmarkStart w:id="74" w:name="_Toc17899961"/>
      <w:bookmarkStart w:id="75" w:name="_Toc481075055"/>
      <w:bookmarkStart w:id="76" w:name="_Toc438646459"/>
      <w:bookmarkStart w:id="77" w:name="_Toc490050009"/>
      <w:bookmarkStart w:id="78" w:name="_Toc512519488"/>
      <w:bookmarkStart w:id="79" w:name="_Toc513295852"/>
      <w:bookmarkStart w:id="80" w:name="_Toc513295900"/>
      <w:r>
        <w:rPr>
          <w:rFonts w:hAnsi="宋体" w:hint="eastAsia"/>
        </w:rPr>
        <w:t>基金经理（或基金经理小组）简介</w:t>
      </w:r>
      <w:bookmarkEnd w:id="74"/>
      <w:bookmarkEnd w:id="75"/>
      <w:bookmarkEnd w:id="76"/>
      <w:bookmarkEnd w:id="77"/>
      <w:bookmarkEnd w:id="78"/>
      <w:bookmarkEnd w:id="79"/>
      <w:bookmarkEnd w:id="80"/>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4647A" w14:paraId="0AFE89EE" w14:textId="77777777">
        <w:trPr>
          <w:divId w:val="1175924288"/>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1853C" w14:textId="77777777" w:rsidR="0084647A" w:rsidRDefault="00DD0235">
            <w:pPr>
              <w:snapToGrid w:val="0"/>
              <w:jc w:val="center"/>
            </w:pPr>
            <w:bookmarkStart w:id="81" w:name="m04_02"/>
            <w:bookmarkEnd w:id="81"/>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11A40" w14:textId="77777777" w:rsidR="0084647A" w:rsidRDefault="00DD023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8DFB8" w14:textId="77777777" w:rsidR="0084647A" w:rsidRDefault="00DD0235">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AB60D8" w14:textId="77777777" w:rsidR="0084647A" w:rsidRDefault="00DD023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F37DB" w14:textId="77777777" w:rsidR="0084647A" w:rsidRDefault="00DD023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4647A" w14:paraId="73E89EFE" w14:textId="77777777">
        <w:trPr>
          <w:divId w:val="1175924288"/>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E19DE" w14:textId="77777777" w:rsidR="0084647A" w:rsidRDefault="008464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35281" w14:textId="77777777" w:rsidR="0084647A" w:rsidRDefault="0084647A">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F11E8B" w14:textId="77777777" w:rsidR="0084647A" w:rsidRDefault="00DD023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2D81C1" w14:textId="77777777" w:rsidR="0084647A" w:rsidRDefault="00DD023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98FD" w14:textId="77777777" w:rsidR="0084647A" w:rsidRDefault="0084647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4ED84" w14:textId="77777777" w:rsidR="0084647A" w:rsidRDefault="0084647A">
            <w:pPr>
              <w:widowControl/>
              <w:jc w:val="left"/>
            </w:pPr>
          </w:p>
        </w:tc>
      </w:tr>
      <w:tr w:rsidR="0084647A" w14:paraId="16DACD7F" w14:textId="77777777">
        <w:trPr>
          <w:divId w:val="117592428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85F66" w14:textId="77777777" w:rsidR="0084647A" w:rsidRDefault="00DD0235">
            <w:pPr>
              <w:jc w:val="center"/>
            </w:pPr>
            <w:r>
              <w:rPr>
                <w:rFonts w:ascii="宋体" w:hAnsi="宋体" w:hint="eastAsia"/>
                <w:szCs w:val="24"/>
                <w:lang w:eastAsia="zh-Hans"/>
              </w:rPr>
              <w:t>恩学海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E09FE7" w14:textId="77777777" w:rsidR="0084647A" w:rsidRDefault="00DD0235">
            <w:pPr>
              <w:jc w:val="left"/>
            </w:pPr>
            <w:r>
              <w:rPr>
                <w:rFonts w:ascii="宋体" w:hAnsi="宋体" w:hint="eastAsia"/>
                <w:szCs w:val="24"/>
                <w:lang w:eastAsia="zh-Hans"/>
              </w:rPr>
              <w:t>本基金基金经理、</w:t>
            </w:r>
            <w:r>
              <w:rPr>
                <w:rFonts w:ascii="宋体" w:hAnsi="宋体" w:hint="eastAsia"/>
                <w:szCs w:val="24"/>
                <w:lang w:eastAsia="zh-Hans"/>
              </w:rPr>
              <w:lastRenderedPageBreak/>
              <w:t>资产配置及退休金管理首席投资官</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631E36" w14:textId="77777777" w:rsidR="0084647A" w:rsidRDefault="00DD0235">
            <w:pPr>
              <w:jc w:val="center"/>
            </w:pPr>
            <w:r>
              <w:rPr>
                <w:rFonts w:ascii="宋体" w:hAnsi="宋体" w:hint="eastAsia"/>
                <w:szCs w:val="24"/>
                <w:lang w:eastAsia="zh-Hans"/>
              </w:rPr>
              <w:lastRenderedPageBreak/>
              <w:t>2022年4月27日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8AC76B" w14:textId="77777777" w:rsidR="0084647A" w:rsidRDefault="00DD023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150DA" w14:textId="77777777" w:rsidR="0084647A" w:rsidRDefault="00DD0235">
            <w:pPr>
              <w:jc w:val="center"/>
            </w:pPr>
            <w:r>
              <w:rPr>
                <w:rFonts w:ascii="宋体" w:hAnsi="宋体" w:hint="eastAsia"/>
                <w:szCs w:val="24"/>
                <w:lang w:eastAsia="zh-Hans"/>
              </w:rPr>
              <w:t>30年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579424" w14:textId="77777777" w:rsidR="0084647A" w:rsidRDefault="00DD0235">
            <w:pPr>
              <w:jc w:val="left"/>
            </w:pPr>
            <w:r>
              <w:rPr>
                <w:rFonts w:ascii="宋体" w:hAnsi="宋体" w:hint="eastAsia"/>
                <w:szCs w:val="24"/>
                <w:lang w:eastAsia="zh-Hans"/>
              </w:rPr>
              <w:t>恩学海先生曾就职于通用数据公司。自1994年至2017年就职于美国富达投资</w:t>
            </w:r>
            <w:r>
              <w:rPr>
                <w:rFonts w:ascii="宋体" w:hAnsi="宋体" w:hint="eastAsia"/>
                <w:szCs w:val="24"/>
                <w:lang w:eastAsia="zh-Hans"/>
              </w:rPr>
              <w:lastRenderedPageBreak/>
              <w:t>集团，先后于资本市场部任高级程序设计和系统分析员、项目经理；于资产管理服务部任高级量化分析师；于战略顾问部、全球资产配置任基金经理、基金策略师；自2018年10月加入摩根基金管理（中国）有限公司（原上投摩根基金管理有限公司），现任资产配置及退休金管理首席投资官。</w:t>
            </w:r>
          </w:p>
        </w:tc>
      </w:tr>
      <w:tr w:rsidR="0084647A" w14:paraId="59A55182" w14:textId="77777777">
        <w:trPr>
          <w:divId w:val="1175924288"/>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0A3F40" w14:textId="77777777" w:rsidR="0084647A" w:rsidRDefault="00DD0235">
            <w:pPr>
              <w:jc w:val="center"/>
            </w:pPr>
            <w:r>
              <w:rPr>
                <w:rFonts w:ascii="宋体" w:hAnsi="宋体" w:hint="eastAsia"/>
                <w:szCs w:val="24"/>
                <w:lang w:eastAsia="zh-Hans"/>
              </w:rPr>
              <w:lastRenderedPageBreak/>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296A58" w14:textId="77777777" w:rsidR="0084647A" w:rsidRDefault="00DD0235">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1819F" w14:textId="77777777" w:rsidR="0084647A" w:rsidRDefault="00DD0235">
            <w:pPr>
              <w:jc w:val="center"/>
            </w:pPr>
            <w:r>
              <w:rPr>
                <w:rFonts w:ascii="宋体" w:hAnsi="宋体" w:hint="eastAsia"/>
                <w:szCs w:val="24"/>
                <w:lang w:eastAsia="zh-Hans"/>
              </w:rPr>
              <w:t>2022年11月11日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366775" w14:textId="77777777" w:rsidR="0084647A" w:rsidRDefault="00DD023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2BE445" w14:textId="77777777" w:rsidR="0084647A" w:rsidRDefault="00DD0235">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E11311" w14:textId="77777777" w:rsidR="0084647A" w:rsidRDefault="00DD0235">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宏观策略研究。2018年7月加入摩根基金管理（中国）有限公司（原上投摩根基金管理有限公司），历任宏观研究员，现任高级基金经理。</w:t>
            </w:r>
          </w:p>
        </w:tc>
      </w:tr>
    </w:tbl>
    <w:p w14:paraId="3634DC5E" w14:textId="77777777" w:rsidR="0084647A" w:rsidRDefault="00DD0235">
      <w:pPr>
        <w:wordWrap w:val="0"/>
        <w:spacing w:line="360" w:lineRule="auto"/>
        <w:jc w:val="left"/>
        <w:divId w:val="1908370969"/>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24F6CA75" w14:textId="77777777" w:rsidR="0084647A" w:rsidRDefault="00DD0235">
      <w:pPr>
        <w:pStyle w:val="XBRLTitle2"/>
        <w:spacing w:before="156" w:line="360" w:lineRule="auto"/>
        <w:ind w:left="454"/>
      </w:pPr>
      <w:bookmarkStart w:id="82" w:name="_Toc17899962"/>
      <w:bookmarkStart w:id="83" w:name="_Toc481075056"/>
      <w:bookmarkStart w:id="84" w:name="_Toc438646460"/>
      <w:bookmarkStart w:id="85" w:name="_Toc490050010"/>
      <w:bookmarkStart w:id="86" w:name="_Toc512519489"/>
      <w:bookmarkStart w:id="87" w:name="_Toc513295853"/>
      <w:bookmarkStart w:id="88" w:name="_Toc513295901"/>
      <w:bookmarkStart w:id="89" w:name="m402"/>
      <w:r>
        <w:rPr>
          <w:rFonts w:hAnsi="宋体" w:hint="eastAsia"/>
        </w:rPr>
        <w:t>管理人对报告期内本基金运作遵规守信情况的说明</w:t>
      </w:r>
      <w:bookmarkEnd w:id="82"/>
      <w:bookmarkEnd w:id="83"/>
      <w:bookmarkEnd w:id="84"/>
      <w:bookmarkEnd w:id="85"/>
      <w:bookmarkEnd w:id="86"/>
      <w:bookmarkEnd w:id="87"/>
      <w:bookmarkEnd w:id="88"/>
      <w:r>
        <w:rPr>
          <w:rFonts w:hAnsi="宋体" w:hint="eastAsia"/>
        </w:rPr>
        <w:t xml:space="preserve"> </w:t>
      </w:r>
    </w:p>
    <w:p w14:paraId="2AC1A8D9" w14:textId="77777777" w:rsidR="0084647A" w:rsidRDefault="00DD0235">
      <w:pPr>
        <w:spacing w:line="360" w:lineRule="auto"/>
        <w:ind w:firstLineChars="200" w:firstLine="420"/>
        <w:jc w:val="left"/>
      </w:pPr>
      <w:bookmarkStart w:id="90" w:name="m403"/>
      <w:bookmarkEnd w:id="8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277451A" w14:textId="77777777" w:rsidR="0084647A" w:rsidRDefault="00DD0235">
      <w:pPr>
        <w:pStyle w:val="XBRLTitle2"/>
        <w:spacing w:before="156" w:line="360" w:lineRule="auto"/>
        <w:ind w:left="454"/>
      </w:pPr>
      <w:bookmarkStart w:id="91" w:name="_Toc17899963"/>
      <w:bookmarkStart w:id="92" w:name="_Toc481075057"/>
      <w:bookmarkStart w:id="93" w:name="_Toc438646462"/>
      <w:bookmarkStart w:id="94" w:name="_Toc490050011"/>
      <w:bookmarkStart w:id="95" w:name="_Toc512519490"/>
      <w:bookmarkStart w:id="96" w:name="_Toc513295854"/>
      <w:bookmarkStart w:id="97" w:name="_Toc513295902"/>
      <w:bookmarkEnd w:id="90"/>
      <w:r>
        <w:rPr>
          <w:rFonts w:hAnsi="宋体" w:hint="eastAsia"/>
        </w:rPr>
        <w:t>公平交易专项说明</w:t>
      </w:r>
      <w:bookmarkEnd w:id="91"/>
      <w:bookmarkEnd w:id="92"/>
      <w:bookmarkEnd w:id="93"/>
      <w:bookmarkEnd w:id="94"/>
      <w:bookmarkEnd w:id="95"/>
      <w:bookmarkEnd w:id="96"/>
      <w:bookmarkEnd w:id="97"/>
      <w:r>
        <w:rPr>
          <w:rFonts w:hAnsi="宋体" w:hint="eastAsia"/>
        </w:rPr>
        <w:t xml:space="preserve"> </w:t>
      </w:r>
    </w:p>
    <w:p w14:paraId="14A2E019" w14:textId="77777777" w:rsidR="0084647A" w:rsidRDefault="00DD0235">
      <w:pPr>
        <w:pStyle w:val="XBRLTitle3"/>
        <w:spacing w:before="156"/>
        <w:ind w:left="0"/>
      </w:pPr>
      <w:bookmarkStart w:id="98" w:name="_Toc17899964"/>
      <w:bookmarkStart w:id="99" w:name="_Toc481075058"/>
      <w:bookmarkStart w:id="100" w:name="_Toc490050012"/>
      <w:bookmarkStart w:id="101" w:name="_Toc512519491"/>
      <w:bookmarkStart w:id="102" w:name="_Toc513295903"/>
      <w:bookmarkStart w:id="103" w:name="m404_01_0570"/>
      <w:r>
        <w:rPr>
          <w:rFonts w:hint="eastAsia"/>
        </w:rPr>
        <w:t>公平交易制度的执行情况</w:t>
      </w:r>
      <w:bookmarkEnd w:id="98"/>
      <w:bookmarkEnd w:id="99"/>
      <w:bookmarkEnd w:id="100"/>
      <w:bookmarkEnd w:id="101"/>
      <w:bookmarkEnd w:id="102"/>
    </w:p>
    <w:p w14:paraId="477BD6E7" w14:textId="77777777" w:rsidR="0084647A" w:rsidRDefault="00DD023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4F0421E" w14:textId="77777777" w:rsidR="0084647A" w:rsidRDefault="00DD0235">
      <w:pPr>
        <w:pStyle w:val="XBRLTitle3"/>
        <w:spacing w:before="156"/>
        <w:ind w:left="0"/>
      </w:pPr>
      <w:bookmarkStart w:id="104" w:name="_Toc17899965"/>
      <w:bookmarkStart w:id="105" w:name="_Toc481075059"/>
      <w:bookmarkStart w:id="106" w:name="_Toc490050013"/>
      <w:bookmarkStart w:id="107" w:name="_Toc512519492"/>
      <w:bookmarkStart w:id="108" w:name="_Toc513295904"/>
      <w:bookmarkStart w:id="109" w:name="m404_01_0578"/>
      <w:bookmarkEnd w:id="103"/>
      <w:r>
        <w:rPr>
          <w:rFonts w:hint="eastAsia"/>
        </w:rPr>
        <w:t>异常交易行为的专项说明</w:t>
      </w:r>
      <w:bookmarkEnd w:id="104"/>
      <w:bookmarkEnd w:id="105"/>
      <w:bookmarkEnd w:id="106"/>
      <w:bookmarkEnd w:id="107"/>
      <w:bookmarkEnd w:id="108"/>
    </w:p>
    <w:p w14:paraId="40256FCF" w14:textId="77777777" w:rsidR="0084647A" w:rsidRDefault="00DD023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73F3C3A" w14:textId="77777777" w:rsidR="0084647A" w:rsidRDefault="00DD0235">
      <w:pPr>
        <w:pStyle w:val="XBRLTitle2"/>
        <w:spacing w:before="156" w:line="360" w:lineRule="auto"/>
        <w:ind w:left="454"/>
      </w:pPr>
      <w:bookmarkStart w:id="110" w:name="_Toc17899966"/>
      <w:bookmarkStart w:id="111" w:name="_Toc481075061"/>
      <w:bookmarkStart w:id="112" w:name="_Toc490050014"/>
      <w:bookmarkStart w:id="113" w:name="_Toc512519493"/>
      <w:bookmarkStart w:id="114" w:name="_Toc513295855"/>
      <w:bookmarkStart w:id="115" w:name="_Toc513295905"/>
      <w:bookmarkStart w:id="116" w:name="m405_01_2550"/>
      <w:bookmarkEnd w:id="109"/>
      <w:r>
        <w:rPr>
          <w:rFonts w:hAnsi="宋体" w:hint="eastAsia"/>
        </w:rPr>
        <w:t>报告期内基金的投资策略和运作分析</w:t>
      </w:r>
      <w:bookmarkEnd w:id="110"/>
      <w:bookmarkEnd w:id="111"/>
      <w:bookmarkEnd w:id="112"/>
      <w:bookmarkEnd w:id="113"/>
      <w:bookmarkEnd w:id="114"/>
      <w:bookmarkEnd w:id="115"/>
      <w:r>
        <w:rPr>
          <w:rFonts w:hAnsi="宋体" w:hint="eastAsia"/>
        </w:rPr>
        <w:t xml:space="preserve"> </w:t>
      </w:r>
    </w:p>
    <w:p w14:paraId="4FF669B7" w14:textId="77777777" w:rsidR="0084647A" w:rsidRDefault="00DD0235">
      <w:pPr>
        <w:spacing w:line="360" w:lineRule="auto"/>
        <w:ind w:firstLineChars="200" w:firstLine="420"/>
        <w:jc w:val="left"/>
      </w:pPr>
      <w:r>
        <w:rPr>
          <w:rFonts w:ascii="宋体" w:hAnsi="宋体" w:cs="宋体" w:hint="eastAsia"/>
          <w:color w:val="000000"/>
          <w:kern w:val="0"/>
        </w:rPr>
        <w:t>2025年一季度，宏观经济运行平稳，国内权益市场总体震荡走平，中证800涨跌幅为-0.3%；但结构上不乏亮点。春节之后Deepseek带动A股、港股相关科技股走强，部分周期板块受益于产能去化，医药等消费股在季度末也有所表现。一季度政府债券发行较多，短端流动性小幅偏紧，叠加市场风险偏好上升，国内债券收益率整体上行。一季度，10年期国债收益率上行14BP至1.81%，曲线走平。</w:t>
      </w:r>
      <w:r>
        <w:rPr>
          <w:rFonts w:ascii="宋体" w:hAnsi="宋体" w:cs="宋体" w:hint="eastAsia"/>
          <w:color w:val="000000"/>
          <w:kern w:val="0"/>
        </w:rPr>
        <w:br/>
        <w:t xml:space="preserve">　　海外方面，美股先涨后跌，标普500指数区间涨跌幅为-4.6%。进入2月中旬，美国对贸易伙伴的加征关税政策开始逐步落地，经济前景的不确定性上升，市场风险偏好回落。德国财政扩张计划逐步提上日程，欧元区股市表现明显强于美国，德国DAX指数一季度涨幅超过10%。美债方面，美国消费者信心走弱，市场对美联储年内降息预期升温，10年期美债收益率一季度下行35BP至4.23%。 </w:t>
      </w:r>
      <w:r>
        <w:rPr>
          <w:rFonts w:ascii="宋体" w:hAnsi="宋体" w:cs="宋体" w:hint="eastAsia"/>
          <w:color w:val="000000"/>
          <w:kern w:val="0"/>
        </w:rPr>
        <w:br/>
        <w:t xml:space="preserve">　　回顾基金在一季度的操作，大类资产配置上对高风险资产维持中性到超配区间操作，超配港股为主，3月份考虑美国关税政策扰动，小幅降低组合的风险敞口。债券基金部分，组合久期偏低，配置部分二级债基与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后市，两会明确的全年经济工作目标符合预期，财政、货币等宏观经济政策延续去年9.24以来的基调，对于稳定经济运行与资本市场信心的效果依然可以期待。目前，我们对高风险资产延续中性偏积极的看法。国内权益方面，继续关注消费、科技方向，包括促消费行动方案相关政策落地的效果、AI应用落地等产业机会。港股方面，上市公司盈利增长与国内经济复苏密切相关，同时估值受益于美债收益率下行，港股未来有望受益于国内经济的企稳回升、科技创</w:t>
      </w:r>
      <w:r>
        <w:rPr>
          <w:rFonts w:ascii="宋体" w:hAnsi="宋体" w:cs="宋体" w:hint="eastAsia"/>
          <w:color w:val="000000"/>
          <w:kern w:val="0"/>
        </w:rPr>
        <w:lastRenderedPageBreak/>
        <w:t>新增强与美联储降息周期的延续。国内债券方面，一季度债券收益率的反弹已反映了对经济增长预期、货币政策节奏预期的修正，债券收益率逐步回到更为合理的水平。后续债市潜在的扰动因素主要来自于国内经济基本面的恢复，包括持续低迷的价格指标能否寻得底部；潜在的积极因素，主要来自于外部中美利差制约的减少，目前市场定价美联储年内降息次数有所上调。考虑到两方面因素尚未明朗，仍需一定的时间确认趋势，二季度组合在债券基金的部分仍以关注中短债策略为主。</w:t>
      </w:r>
    </w:p>
    <w:p w14:paraId="3B427A02" w14:textId="77777777" w:rsidR="0084647A" w:rsidRDefault="00DD0235">
      <w:pPr>
        <w:pStyle w:val="XBRLTitle2"/>
        <w:spacing w:before="156" w:line="360" w:lineRule="auto"/>
        <w:ind w:left="454"/>
      </w:pPr>
      <w:bookmarkStart w:id="117" w:name="_Toc17899967"/>
      <w:bookmarkStart w:id="118" w:name="_Toc490050015"/>
      <w:bookmarkStart w:id="119" w:name="_Toc481075062"/>
      <w:bookmarkStart w:id="120" w:name="_Toc512519494"/>
      <w:bookmarkStart w:id="121" w:name="_Toc513295856"/>
      <w:bookmarkStart w:id="122" w:name="_Toc513295906"/>
      <w:bookmarkStart w:id="123" w:name="m405_01_2549"/>
      <w:bookmarkEnd w:id="116"/>
      <w:r>
        <w:rPr>
          <w:rFonts w:hAnsi="宋体" w:hint="eastAsia"/>
        </w:rPr>
        <w:t>报告期内基金的业绩表现</w:t>
      </w:r>
      <w:bookmarkEnd w:id="117"/>
      <w:bookmarkEnd w:id="118"/>
      <w:bookmarkEnd w:id="119"/>
      <w:bookmarkEnd w:id="120"/>
      <w:bookmarkEnd w:id="121"/>
      <w:bookmarkEnd w:id="122"/>
      <w:r>
        <w:rPr>
          <w:rFonts w:hAnsi="宋体" w:hint="eastAsia"/>
        </w:rPr>
        <w:t xml:space="preserve"> </w:t>
      </w:r>
      <w:bookmarkEnd w:id="123"/>
    </w:p>
    <w:p w14:paraId="004F611E" w14:textId="77777777" w:rsidR="0084647A" w:rsidRDefault="00DD0235">
      <w:pPr>
        <w:spacing w:line="360" w:lineRule="auto"/>
        <w:ind w:firstLineChars="200" w:firstLine="420"/>
      </w:pPr>
      <w:r>
        <w:rPr>
          <w:rFonts w:ascii="宋体" w:hAnsi="宋体" w:hint="eastAsia"/>
        </w:rPr>
        <w:t>本报告期摩根博睿均衡一年持有混合(FOF)A份额净值增长率为：2.70%，同期业绩比较基准收益率为：-0.39%；</w:t>
      </w:r>
      <w:r>
        <w:rPr>
          <w:rFonts w:ascii="宋体" w:hAnsi="宋体" w:hint="eastAsia"/>
        </w:rPr>
        <w:br/>
        <w:t xml:space="preserve">　　摩根博睿均衡一年持有混合(FOF)C份额净值增长率为：2.58%，同期业绩比较基准收益率为：-0.39%。</w:t>
      </w:r>
    </w:p>
    <w:p w14:paraId="004D6CD5" w14:textId="77777777" w:rsidR="0084647A" w:rsidRDefault="00DD0235">
      <w:pPr>
        <w:pStyle w:val="XBRLTitle2"/>
        <w:spacing w:before="156" w:line="360" w:lineRule="auto"/>
        <w:ind w:left="454"/>
      </w:pPr>
      <w:bookmarkStart w:id="124" w:name="m406"/>
      <w:bookmarkStart w:id="125" w:name="_Toc17899968"/>
      <w:bookmarkStart w:id="126" w:name="_Toc490050016"/>
      <w:bookmarkStart w:id="127" w:name="_Toc481075063"/>
      <w:bookmarkStart w:id="128" w:name="_Toc438646465"/>
      <w:bookmarkStart w:id="129" w:name="_Toc512519495"/>
      <w:bookmarkStart w:id="130" w:name="_Toc513295857"/>
      <w:bookmarkStart w:id="131" w:name="_Toc513295907"/>
      <w:bookmarkStart w:id="132" w:name="m407"/>
      <w:bookmarkEnd w:id="124"/>
      <w:r>
        <w:rPr>
          <w:rFonts w:hAnsi="宋体" w:hint="eastAsia"/>
        </w:rPr>
        <w:t>报告期内基金持有人数或基金资产净值预警说明</w:t>
      </w:r>
      <w:bookmarkEnd w:id="125"/>
      <w:bookmarkEnd w:id="126"/>
      <w:bookmarkEnd w:id="127"/>
      <w:bookmarkEnd w:id="128"/>
      <w:bookmarkEnd w:id="129"/>
      <w:bookmarkEnd w:id="130"/>
      <w:bookmarkEnd w:id="131"/>
      <w:r>
        <w:rPr>
          <w:rFonts w:hAnsi="宋体" w:hint="eastAsia"/>
        </w:rPr>
        <w:t xml:space="preserve"> </w:t>
      </w:r>
    </w:p>
    <w:p w14:paraId="3554CBF2" w14:textId="77777777" w:rsidR="0084647A" w:rsidRDefault="00DD0235">
      <w:pPr>
        <w:spacing w:line="360" w:lineRule="auto"/>
        <w:ind w:firstLineChars="200" w:firstLine="420"/>
        <w:jc w:val="left"/>
      </w:pPr>
      <w:r>
        <w:rPr>
          <w:rFonts w:ascii="宋体" w:hAnsi="宋体" w:hint="eastAsia"/>
        </w:rPr>
        <w:t>无。</w:t>
      </w:r>
    </w:p>
    <w:p w14:paraId="1120DD58" w14:textId="77777777" w:rsidR="0084647A" w:rsidRDefault="00DD0235">
      <w:pPr>
        <w:pStyle w:val="XBRLTitle1"/>
        <w:spacing w:before="156" w:line="360" w:lineRule="auto"/>
        <w:ind w:left="425"/>
      </w:pPr>
      <w:bookmarkStart w:id="133" w:name="_Toc17899969"/>
      <w:bookmarkStart w:id="134" w:name="_Toc512519496"/>
      <w:bookmarkStart w:id="135" w:name="_Toc481075064"/>
      <w:bookmarkStart w:id="136" w:name="_Toc438646466"/>
      <w:bookmarkStart w:id="137" w:name="_Toc490050017"/>
      <w:bookmarkStart w:id="138" w:name="_Toc513295858"/>
      <w:bookmarkStart w:id="139" w:name="_Toc513295908"/>
      <w:bookmarkEnd w:id="132"/>
      <w:r>
        <w:rPr>
          <w:rFonts w:hAnsi="宋体" w:hint="eastAsia"/>
        </w:rPr>
        <w:t>投资组合报告</w:t>
      </w:r>
      <w:bookmarkEnd w:id="133"/>
      <w:bookmarkEnd w:id="134"/>
      <w:bookmarkEnd w:id="135"/>
      <w:bookmarkEnd w:id="136"/>
      <w:bookmarkEnd w:id="137"/>
      <w:bookmarkEnd w:id="138"/>
      <w:bookmarkEnd w:id="139"/>
      <w:r>
        <w:rPr>
          <w:rFonts w:hAnsi="宋体" w:hint="eastAsia"/>
        </w:rPr>
        <w:t xml:space="preserve"> </w:t>
      </w:r>
    </w:p>
    <w:p w14:paraId="34D83001" w14:textId="77777777" w:rsidR="0084647A" w:rsidRDefault="00DD0235">
      <w:pPr>
        <w:pStyle w:val="XBRLTitle2"/>
        <w:spacing w:before="156" w:line="360" w:lineRule="auto"/>
        <w:ind w:left="454"/>
      </w:pPr>
      <w:bookmarkStart w:id="140" w:name="_Toc17899970"/>
      <w:bookmarkStart w:id="141" w:name="_Toc481075065"/>
      <w:bookmarkStart w:id="142" w:name="_Toc438646467"/>
      <w:bookmarkStart w:id="143" w:name="_Toc490050018"/>
      <w:bookmarkStart w:id="144" w:name="_Toc512519497"/>
      <w:bookmarkStart w:id="145" w:name="_Toc513295859"/>
      <w:bookmarkStart w:id="146" w:name="_Toc513295909"/>
      <w:bookmarkStart w:id="147" w:name="m501"/>
      <w:r>
        <w:rPr>
          <w:rFonts w:hAnsi="宋体" w:hint="eastAsia"/>
        </w:rPr>
        <w:t>报告期末基金资产组合情况</w:t>
      </w:r>
      <w:bookmarkEnd w:id="140"/>
      <w:bookmarkEnd w:id="141"/>
      <w:bookmarkEnd w:id="142"/>
      <w:bookmarkEnd w:id="143"/>
      <w:bookmarkEnd w:id="144"/>
      <w:bookmarkEnd w:id="145"/>
      <w:bookmarkEnd w:id="146"/>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4647A" w14:paraId="57B9718B"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B66CF1" w14:textId="77777777" w:rsidR="0084647A" w:rsidRDefault="00DD0235">
            <w:pPr>
              <w:jc w:val="center"/>
            </w:pPr>
            <w:bookmarkStart w:id="148" w:name="m08QD_01_tab"/>
            <w:bookmarkEnd w:id="148"/>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457E4230" w14:textId="77777777" w:rsidR="0084647A" w:rsidRDefault="00DD023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7BE0B80" w14:textId="77777777" w:rsidR="0084647A" w:rsidRDefault="00DD023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0CBDBBA" w14:textId="77777777" w:rsidR="0084647A" w:rsidRDefault="00DD023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4647A" w14:paraId="4AE3C525"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045CED2" w14:textId="77777777" w:rsidR="0084647A" w:rsidRDefault="00DD023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111C024B" w14:textId="77777777" w:rsidR="0084647A" w:rsidRDefault="00DD023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A90ACF8" w14:textId="77777777" w:rsidR="0084647A" w:rsidRDefault="00DD023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B48975F" w14:textId="77777777" w:rsidR="0084647A" w:rsidRDefault="00DD0235">
            <w:pPr>
              <w:jc w:val="right"/>
            </w:pPr>
            <w:r>
              <w:rPr>
                <w:rFonts w:ascii="宋体" w:hAnsi="宋体" w:hint="eastAsia"/>
                <w:szCs w:val="24"/>
                <w:lang w:eastAsia="zh-Hans"/>
              </w:rPr>
              <w:t>-</w:t>
            </w:r>
          </w:p>
        </w:tc>
      </w:tr>
      <w:tr w:rsidR="0084647A" w14:paraId="211E4A9A"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F0EE7AC" w14:textId="77777777" w:rsidR="0084647A" w:rsidRDefault="00DD023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9DA730D" w14:textId="77777777" w:rsidR="0084647A" w:rsidRDefault="00DD023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7C6AB9" w14:textId="77777777" w:rsidR="0084647A" w:rsidRDefault="00DD023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173377" w14:textId="77777777" w:rsidR="0084647A" w:rsidRDefault="00DD0235">
            <w:pPr>
              <w:jc w:val="right"/>
            </w:pPr>
            <w:r>
              <w:rPr>
                <w:rFonts w:ascii="宋体" w:hAnsi="宋体" w:hint="eastAsia"/>
                <w:szCs w:val="24"/>
                <w:lang w:eastAsia="zh-Hans"/>
              </w:rPr>
              <w:t>-</w:t>
            </w:r>
          </w:p>
        </w:tc>
      </w:tr>
      <w:tr w:rsidR="0084647A" w14:paraId="0C59AF8E"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220BEDA" w14:textId="77777777" w:rsidR="0084647A" w:rsidRDefault="00DD023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D4680EB" w14:textId="77777777" w:rsidR="0084647A" w:rsidRDefault="00DD023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4CC9B66" w14:textId="77777777" w:rsidR="0084647A" w:rsidRDefault="00DD0235">
            <w:pPr>
              <w:jc w:val="right"/>
            </w:pPr>
            <w:r>
              <w:rPr>
                <w:rFonts w:ascii="宋体" w:hAnsi="宋体" w:hint="eastAsia"/>
                <w:szCs w:val="24"/>
                <w:lang w:eastAsia="zh-Hans"/>
              </w:rPr>
              <w:t>251,826,322.96</w:t>
            </w:r>
          </w:p>
        </w:tc>
        <w:tc>
          <w:tcPr>
            <w:tcW w:w="1333" w:type="pct"/>
            <w:tcBorders>
              <w:top w:val="single" w:sz="4" w:space="0" w:color="auto"/>
              <w:left w:val="nil"/>
              <w:bottom w:val="single" w:sz="4" w:space="0" w:color="auto"/>
              <w:right w:val="single" w:sz="4" w:space="0" w:color="auto"/>
            </w:tcBorders>
            <w:vAlign w:val="center"/>
            <w:hideMark/>
          </w:tcPr>
          <w:p w14:paraId="687284B3" w14:textId="77777777" w:rsidR="0084647A" w:rsidRDefault="00DD0235">
            <w:pPr>
              <w:jc w:val="right"/>
            </w:pPr>
            <w:r>
              <w:rPr>
                <w:rFonts w:ascii="宋体" w:hAnsi="宋体" w:hint="eastAsia"/>
                <w:szCs w:val="24"/>
                <w:lang w:eastAsia="zh-Hans"/>
              </w:rPr>
              <w:t>92.27</w:t>
            </w:r>
          </w:p>
        </w:tc>
      </w:tr>
      <w:tr w:rsidR="0084647A" w14:paraId="41A82431"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7B09CF8" w14:textId="77777777" w:rsidR="0084647A" w:rsidRDefault="00DD023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D82D3BF" w14:textId="77777777" w:rsidR="0084647A" w:rsidRDefault="00DD023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F0237AE" w14:textId="77777777" w:rsidR="0084647A" w:rsidRDefault="00DD0235">
            <w:pPr>
              <w:jc w:val="right"/>
            </w:pPr>
            <w:r>
              <w:rPr>
                <w:rFonts w:ascii="宋体" w:hAnsi="宋体" w:hint="eastAsia"/>
                <w:szCs w:val="24"/>
                <w:lang w:eastAsia="zh-Hans"/>
              </w:rPr>
              <w:t>14,533,416.16</w:t>
            </w:r>
          </w:p>
        </w:tc>
        <w:tc>
          <w:tcPr>
            <w:tcW w:w="1333" w:type="pct"/>
            <w:tcBorders>
              <w:top w:val="single" w:sz="4" w:space="0" w:color="auto"/>
              <w:left w:val="nil"/>
              <w:bottom w:val="single" w:sz="4" w:space="0" w:color="auto"/>
              <w:right w:val="single" w:sz="4" w:space="0" w:color="auto"/>
            </w:tcBorders>
            <w:vAlign w:val="center"/>
            <w:hideMark/>
          </w:tcPr>
          <w:p w14:paraId="331EDA44" w14:textId="77777777" w:rsidR="0084647A" w:rsidRDefault="00DD0235">
            <w:pPr>
              <w:jc w:val="right"/>
            </w:pPr>
            <w:r>
              <w:rPr>
                <w:rFonts w:ascii="宋体" w:hAnsi="宋体" w:hint="eastAsia"/>
                <w:szCs w:val="24"/>
                <w:lang w:eastAsia="zh-Hans"/>
              </w:rPr>
              <w:t>5.33</w:t>
            </w:r>
          </w:p>
        </w:tc>
      </w:tr>
      <w:tr w:rsidR="0084647A" w14:paraId="3A3C04F7"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813C32" w14:textId="77777777" w:rsidR="0084647A" w:rsidRDefault="00DD023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AEF468B" w14:textId="77777777" w:rsidR="0084647A" w:rsidRDefault="00DD023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72306A" w14:textId="77777777" w:rsidR="0084647A" w:rsidRDefault="00DD0235">
            <w:pPr>
              <w:jc w:val="right"/>
            </w:pPr>
            <w:r>
              <w:rPr>
                <w:rFonts w:ascii="宋体" w:hAnsi="宋体" w:hint="eastAsia"/>
                <w:szCs w:val="24"/>
                <w:lang w:eastAsia="zh-Hans"/>
              </w:rPr>
              <w:t>14,533,416.16</w:t>
            </w:r>
          </w:p>
        </w:tc>
        <w:tc>
          <w:tcPr>
            <w:tcW w:w="1333" w:type="pct"/>
            <w:tcBorders>
              <w:top w:val="single" w:sz="4" w:space="0" w:color="auto"/>
              <w:left w:val="nil"/>
              <w:bottom w:val="single" w:sz="4" w:space="0" w:color="auto"/>
              <w:right w:val="single" w:sz="4" w:space="0" w:color="auto"/>
            </w:tcBorders>
            <w:vAlign w:val="center"/>
            <w:hideMark/>
          </w:tcPr>
          <w:p w14:paraId="5FB83E54" w14:textId="77777777" w:rsidR="0084647A" w:rsidRDefault="00DD0235">
            <w:pPr>
              <w:jc w:val="right"/>
            </w:pPr>
            <w:r>
              <w:rPr>
                <w:rFonts w:ascii="宋体" w:hAnsi="宋体" w:hint="eastAsia"/>
                <w:szCs w:val="24"/>
                <w:lang w:eastAsia="zh-Hans"/>
              </w:rPr>
              <w:t>5.33</w:t>
            </w:r>
          </w:p>
        </w:tc>
      </w:tr>
      <w:tr w:rsidR="0084647A" w14:paraId="0288D203"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B975983" w14:textId="77777777" w:rsidR="0084647A" w:rsidRDefault="00DD023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851D200" w14:textId="77777777" w:rsidR="0084647A" w:rsidRDefault="00DD023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F23AEB" w14:textId="77777777" w:rsidR="0084647A" w:rsidRDefault="00DD023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8CB18F2" w14:textId="77777777" w:rsidR="0084647A" w:rsidRDefault="00DD0235">
            <w:pPr>
              <w:jc w:val="right"/>
            </w:pPr>
            <w:r>
              <w:rPr>
                <w:rFonts w:ascii="宋体" w:hAnsi="宋体" w:hint="eastAsia"/>
                <w:szCs w:val="24"/>
                <w:lang w:eastAsia="zh-Hans"/>
              </w:rPr>
              <w:t>-</w:t>
            </w:r>
          </w:p>
        </w:tc>
      </w:tr>
      <w:tr w:rsidR="0084647A" w14:paraId="17A97FCB"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ED6540" w14:textId="77777777" w:rsidR="0084647A" w:rsidRDefault="00DD023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F522FE2" w14:textId="77777777" w:rsidR="0084647A" w:rsidRDefault="00DD023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039D3C" w14:textId="77777777" w:rsidR="0084647A" w:rsidRDefault="00DD023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8B3E01D" w14:textId="77777777" w:rsidR="0084647A" w:rsidRDefault="00DD0235">
            <w:pPr>
              <w:jc w:val="right"/>
            </w:pPr>
            <w:r>
              <w:rPr>
                <w:rFonts w:ascii="宋体" w:hAnsi="宋体" w:hint="eastAsia"/>
                <w:szCs w:val="24"/>
                <w:lang w:eastAsia="zh-Hans"/>
              </w:rPr>
              <w:t>-</w:t>
            </w:r>
          </w:p>
        </w:tc>
      </w:tr>
      <w:tr w:rsidR="0084647A" w14:paraId="07062716"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985E9E" w14:textId="77777777" w:rsidR="0084647A" w:rsidRDefault="00DD023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C72C55D" w14:textId="77777777" w:rsidR="0084647A" w:rsidRDefault="00DD0235">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A0A6531" w14:textId="77777777" w:rsidR="0084647A" w:rsidRDefault="00DD023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BD8CB90" w14:textId="77777777" w:rsidR="0084647A" w:rsidRDefault="00DD0235">
            <w:pPr>
              <w:jc w:val="right"/>
            </w:pPr>
            <w:r>
              <w:rPr>
                <w:rFonts w:ascii="宋体" w:hAnsi="宋体" w:hint="eastAsia"/>
                <w:szCs w:val="24"/>
                <w:lang w:eastAsia="zh-Hans"/>
              </w:rPr>
              <w:t>-</w:t>
            </w:r>
          </w:p>
        </w:tc>
      </w:tr>
      <w:tr w:rsidR="0084647A" w14:paraId="16661A90"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2162D51" w14:textId="77777777" w:rsidR="0084647A" w:rsidRDefault="00DD023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7D54A59" w14:textId="77777777" w:rsidR="0084647A" w:rsidRDefault="00DD023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9234F0" w14:textId="77777777" w:rsidR="0084647A" w:rsidRDefault="00DD0235">
            <w:pPr>
              <w:jc w:val="right"/>
            </w:pPr>
            <w:r>
              <w:rPr>
                <w:rFonts w:ascii="宋体" w:hAnsi="宋体" w:hint="eastAsia"/>
                <w:szCs w:val="24"/>
                <w:lang w:eastAsia="zh-Hans"/>
              </w:rPr>
              <w:t>2,000,000.00</w:t>
            </w:r>
          </w:p>
        </w:tc>
        <w:tc>
          <w:tcPr>
            <w:tcW w:w="1333" w:type="pct"/>
            <w:tcBorders>
              <w:top w:val="single" w:sz="4" w:space="0" w:color="auto"/>
              <w:left w:val="nil"/>
              <w:bottom w:val="single" w:sz="4" w:space="0" w:color="auto"/>
              <w:right w:val="single" w:sz="4" w:space="0" w:color="auto"/>
            </w:tcBorders>
            <w:vAlign w:val="center"/>
            <w:hideMark/>
          </w:tcPr>
          <w:p w14:paraId="2005B7BA" w14:textId="77777777" w:rsidR="0084647A" w:rsidRDefault="00DD0235">
            <w:pPr>
              <w:jc w:val="right"/>
            </w:pPr>
            <w:r>
              <w:rPr>
                <w:rFonts w:ascii="宋体" w:hAnsi="宋体" w:hint="eastAsia"/>
                <w:szCs w:val="24"/>
                <w:lang w:eastAsia="zh-Hans"/>
              </w:rPr>
              <w:t>0.73</w:t>
            </w:r>
          </w:p>
        </w:tc>
      </w:tr>
      <w:tr w:rsidR="0084647A" w14:paraId="5F084B5C"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615BE6F" w14:textId="77777777" w:rsidR="0084647A" w:rsidRDefault="00DD023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B378409" w14:textId="77777777" w:rsidR="0084647A" w:rsidRDefault="00DD023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D133B2" w14:textId="77777777" w:rsidR="0084647A" w:rsidRDefault="00DD023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3B91931" w14:textId="77777777" w:rsidR="0084647A" w:rsidRDefault="00DD0235">
            <w:pPr>
              <w:jc w:val="right"/>
            </w:pPr>
            <w:r>
              <w:rPr>
                <w:rFonts w:ascii="宋体" w:hAnsi="宋体" w:hint="eastAsia"/>
                <w:szCs w:val="24"/>
                <w:lang w:eastAsia="zh-Hans"/>
              </w:rPr>
              <w:t>-</w:t>
            </w:r>
          </w:p>
        </w:tc>
      </w:tr>
      <w:tr w:rsidR="0084647A" w14:paraId="648841F0"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C3FEB1A" w14:textId="77777777" w:rsidR="0084647A" w:rsidRDefault="00DD023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B2B26C1" w14:textId="77777777" w:rsidR="0084647A" w:rsidRDefault="00DD023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17A7993" w14:textId="77777777" w:rsidR="0084647A" w:rsidRDefault="00DD0235">
            <w:pPr>
              <w:jc w:val="right"/>
            </w:pPr>
            <w:r>
              <w:rPr>
                <w:rFonts w:ascii="宋体" w:hAnsi="宋体" w:hint="eastAsia"/>
                <w:szCs w:val="24"/>
                <w:lang w:eastAsia="zh-Hans"/>
              </w:rPr>
              <w:t>4,555,033.00</w:t>
            </w:r>
          </w:p>
        </w:tc>
        <w:tc>
          <w:tcPr>
            <w:tcW w:w="1333" w:type="pct"/>
            <w:tcBorders>
              <w:top w:val="single" w:sz="4" w:space="0" w:color="auto"/>
              <w:left w:val="nil"/>
              <w:bottom w:val="single" w:sz="4" w:space="0" w:color="auto"/>
              <w:right w:val="single" w:sz="4" w:space="0" w:color="auto"/>
            </w:tcBorders>
            <w:vAlign w:val="center"/>
            <w:hideMark/>
          </w:tcPr>
          <w:p w14:paraId="3296F6D6" w14:textId="77777777" w:rsidR="0084647A" w:rsidRDefault="00DD0235">
            <w:pPr>
              <w:jc w:val="right"/>
            </w:pPr>
            <w:r>
              <w:rPr>
                <w:rFonts w:ascii="宋体" w:hAnsi="宋体" w:hint="eastAsia"/>
                <w:szCs w:val="24"/>
                <w:lang w:eastAsia="zh-Hans"/>
              </w:rPr>
              <w:t>1.67</w:t>
            </w:r>
          </w:p>
        </w:tc>
      </w:tr>
      <w:tr w:rsidR="0084647A" w14:paraId="0518D77E"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A5677FE" w14:textId="77777777" w:rsidR="0084647A" w:rsidRDefault="00DD023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2462304" w14:textId="77777777" w:rsidR="0084647A" w:rsidRDefault="00DD023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BA1ED5" w14:textId="77777777" w:rsidR="0084647A" w:rsidRDefault="00DD0235">
            <w:pPr>
              <w:jc w:val="right"/>
            </w:pPr>
            <w:r>
              <w:rPr>
                <w:rFonts w:ascii="宋体" w:hAnsi="宋体" w:hint="eastAsia"/>
                <w:szCs w:val="24"/>
                <w:lang w:eastAsia="zh-Hans"/>
              </w:rPr>
              <w:t>11,146.26</w:t>
            </w:r>
          </w:p>
        </w:tc>
        <w:tc>
          <w:tcPr>
            <w:tcW w:w="1333" w:type="pct"/>
            <w:tcBorders>
              <w:top w:val="single" w:sz="4" w:space="0" w:color="auto"/>
              <w:left w:val="nil"/>
              <w:bottom w:val="single" w:sz="4" w:space="0" w:color="auto"/>
              <w:right w:val="single" w:sz="4" w:space="0" w:color="auto"/>
            </w:tcBorders>
            <w:vAlign w:val="center"/>
            <w:hideMark/>
          </w:tcPr>
          <w:p w14:paraId="5A3D84B4" w14:textId="77777777" w:rsidR="0084647A" w:rsidRDefault="00DD0235">
            <w:pPr>
              <w:jc w:val="right"/>
            </w:pPr>
            <w:r>
              <w:rPr>
                <w:rFonts w:ascii="宋体" w:hAnsi="宋体" w:hint="eastAsia"/>
                <w:szCs w:val="24"/>
                <w:lang w:eastAsia="zh-Hans"/>
              </w:rPr>
              <w:t>0.00</w:t>
            </w:r>
          </w:p>
        </w:tc>
      </w:tr>
      <w:tr w:rsidR="0084647A" w14:paraId="0B647154" w14:textId="77777777">
        <w:trPr>
          <w:divId w:val="83587736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50FB80B" w14:textId="77777777" w:rsidR="0084647A" w:rsidRDefault="00DD023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7144B78" w14:textId="77777777" w:rsidR="0084647A" w:rsidRDefault="00DD023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A033C2" w14:textId="77777777" w:rsidR="0084647A" w:rsidRDefault="00DD0235">
            <w:pPr>
              <w:jc w:val="right"/>
            </w:pPr>
            <w:r>
              <w:rPr>
                <w:rFonts w:ascii="宋体" w:hAnsi="宋体" w:hint="eastAsia"/>
                <w:szCs w:val="24"/>
                <w:lang w:eastAsia="zh-Hans"/>
              </w:rPr>
              <w:t>272,925,918.38</w:t>
            </w:r>
          </w:p>
        </w:tc>
        <w:tc>
          <w:tcPr>
            <w:tcW w:w="1333" w:type="pct"/>
            <w:tcBorders>
              <w:top w:val="single" w:sz="4" w:space="0" w:color="auto"/>
              <w:left w:val="nil"/>
              <w:bottom w:val="single" w:sz="4" w:space="0" w:color="auto"/>
              <w:right w:val="single" w:sz="4" w:space="0" w:color="auto"/>
            </w:tcBorders>
            <w:vAlign w:val="center"/>
            <w:hideMark/>
          </w:tcPr>
          <w:p w14:paraId="6CEE41EF" w14:textId="77777777" w:rsidR="0084647A" w:rsidRDefault="00DD0235">
            <w:pPr>
              <w:jc w:val="right"/>
            </w:pPr>
            <w:r>
              <w:rPr>
                <w:rFonts w:ascii="宋体" w:hAnsi="宋体" w:hint="eastAsia"/>
                <w:szCs w:val="24"/>
                <w:lang w:eastAsia="zh-Hans"/>
              </w:rPr>
              <w:t>100.00</w:t>
            </w:r>
          </w:p>
        </w:tc>
      </w:tr>
    </w:tbl>
    <w:p w14:paraId="275C4E9A" w14:textId="77777777" w:rsidR="0084647A" w:rsidRDefault="00DD0235">
      <w:pPr>
        <w:pStyle w:val="XBRLTitle2"/>
        <w:spacing w:before="156" w:line="360" w:lineRule="auto"/>
        <w:ind w:left="454"/>
      </w:pPr>
      <w:bookmarkStart w:id="149" w:name="_Toc17899971"/>
      <w:bookmarkStart w:id="150" w:name="_Toc512519498"/>
      <w:bookmarkStart w:id="151" w:name="_Toc481075066"/>
      <w:bookmarkStart w:id="152" w:name="_Toc438646468"/>
      <w:bookmarkStart w:id="153" w:name="_Toc490050019"/>
      <w:bookmarkStart w:id="154" w:name="_Toc513295860"/>
      <w:bookmarkStart w:id="155" w:name="_Toc513295910"/>
      <w:bookmarkEnd w:id="147"/>
      <w:r>
        <w:rPr>
          <w:rFonts w:hAnsi="宋体" w:hint="eastAsia"/>
        </w:rPr>
        <w:t>报告期末按行业分类的股票投资组合</w:t>
      </w:r>
      <w:bookmarkEnd w:id="149"/>
      <w:bookmarkEnd w:id="150"/>
      <w:bookmarkEnd w:id="151"/>
      <w:bookmarkEnd w:id="152"/>
      <w:bookmarkEnd w:id="153"/>
      <w:bookmarkEnd w:id="154"/>
      <w:bookmarkEnd w:id="155"/>
      <w:r>
        <w:rPr>
          <w:rFonts w:hAnsi="宋体" w:hint="eastAsia"/>
          <w:lang w:eastAsia="zh-CN"/>
        </w:rPr>
        <w:t xml:space="preserve"> </w:t>
      </w:r>
    </w:p>
    <w:p w14:paraId="1B402E6F" w14:textId="77777777" w:rsidR="0084647A" w:rsidRDefault="00DD0235">
      <w:pPr>
        <w:pStyle w:val="XBRLTitle3"/>
        <w:spacing w:before="156"/>
        <w:ind w:left="0"/>
      </w:pPr>
      <w:bookmarkStart w:id="156" w:name="_Toc17899972"/>
      <w:bookmarkStart w:id="157" w:name="_Toc481075067"/>
      <w:bookmarkStart w:id="158" w:name="_Toc490050020"/>
      <w:bookmarkStart w:id="159" w:name="_Toc512519499"/>
      <w:bookmarkStart w:id="160" w:name="_Toc513295911"/>
      <w:r>
        <w:rPr>
          <w:rFonts w:hint="eastAsia"/>
        </w:rPr>
        <w:t>报告期末按行业分类的境内股票投资组合</w:t>
      </w:r>
      <w:bookmarkEnd w:id="156"/>
      <w:r>
        <w:rPr>
          <w:rFonts w:hint="eastAsia"/>
          <w:lang w:eastAsia="zh-CN"/>
        </w:rPr>
        <w:t xml:space="preserve"> </w:t>
      </w:r>
    </w:p>
    <w:p w14:paraId="08420C8E" w14:textId="77777777" w:rsidR="0084647A" w:rsidRDefault="00DD0235">
      <w:pPr>
        <w:spacing w:line="360" w:lineRule="auto"/>
        <w:ind w:firstLineChars="200" w:firstLine="420"/>
        <w:divId w:val="2102024213"/>
      </w:pPr>
      <w:r>
        <w:rPr>
          <w:rFonts w:ascii="宋体" w:hAnsi="宋体" w:hint="eastAsia"/>
          <w:szCs w:val="21"/>
          <w:lang w:eastAsia="zh-Hans"/>
        </w:rPr>
        <w:lastRenderedPageBreak/>
        <w:t>本基金本报告期末未持有境内股票。</w:t>
      </w:r>
    </w:p>
    <w:p w14:paraId="68E847D9" w14:textId="77777777" w:rsidR="0084647A" w:rsidRDefault="00DD0235">
      <w:pPr>
        <w:pStyle w:val="XBRLTitle3"/>
        <w:spacing w:before="156"/>
        <w:ind w:left="0"/>
      </w:pPr>
      <w:bookmarkStart w:id="161" w:name="_Toc17899973"/>
      <w:bookmarkStart w:id="162" w:name="m502_tab"/>
      <w:bookmarkStart w:id="163" w:name="_Toc481075068"/>
      <w:bookmarkStart w:id="164" w:name="_Toc490050021"/>
      <w:bookmarkStart w:id="165" w:name="_Toc512519500"/>
      <w:bookmarkStart w:id="166" w:name="_Toc513295912"/>
      <w:r>
        <w:rPr>
          <w:rFonts w:hint="eastAsia"/>
        </w:rPr>
        <w:t>报告期末按行业分类的港股通投资股票投资组合</w:t>
      </w:r>
      <w:bookmarkEnd w:id="161"/>
      <w:r>
        <w:rPr>
          <w:rFonts w:hint="eastAsia"/>
          <w:szCs w:val="24"/>
        </w:rPr>
        <w:t xml:space="preserve"> </w:t>
      </w:r>
    </w:p>
    <w:p w14:paraId="32194CBD" w14:textId="77777777" w:rsidR="0084647A" w:rsidRDefault="00DD0235">
      <w:pPr>
        <w:spacing w:line="360" w:lineRule="auto"/>
        <w:ind w:firstLineChars="200" w:firstLine="420"/>
        <w:divId w:val="1224178809"/>
      </w:pPr>
      <w:r>
        <w:rPr>
          <w:rFonts w:ascii="宋体" w:hAnsi="宋体" w:hint="eastAsia"/>
          <w:szCs w:val="21"/>
          <w:lang w:eastAsia="zh-Hans"/>
        </w:rPr>
        <w:t>本基金本报告期末未持有港股通股票 。</w:t>
      </w:r>
    </w:p>
    <w:p w14:paraId="0FA1C0A3" w14:textId="77777777" w:rsidR="0084647A" w:rsidRDefault="00DD0235">
      <w:pPr>
        <w:pStyle w:val="XBRLTitle2"/>
        <w:spacing w:before="156"/>
        <w:ind w:left="454"/>
      </w:pPr>
      <w:bookmarkStart w:id="167" w:name="_Toc178982961"/>
      <w:bookmarkStart w:id="168" w:name="_Toc17897958"/>
      <w:bookmarkStart w:id="169" w:name="_Toc485300375"/>
      <w:bookmarkStart w:id="170" w:name="_Toc453852755"/>
      <w:bookmarkStart w:id="171" w:name="_Toc452398761"/>
      <w:bookmarkStart w:id="172" w:name="_Toc454983410"/>
      <w:bookmarkStart w:id="173" w:name="_Toc497398255"/>
      <w:bookmarkStart w:id="174" w:name="_Toc506208451"/>
      <w:bookmarkStart w:id="175" w:name="m08QD_10"/>
      <w:r>
        <w:rPr>
          <w:rFonts w:hint="eastAsia"/>
        </w:rPr>
        <w:t>期末按公允价值占基金资产净值比例大小排序的股票投资明细</w:t>
      </w:r>
      <w:bookmarkEnd w:id="167"/>
      <w:bookmarkEnd w:id="168"/>
    </w:p>
    <w:p w14:paraId="4B67D5C0" w14:textId="77777777" w:rsidR="0084647A" w:rsidRDefault="00DD0235">
      <w:pPr>
        <w:pStyle w:val="XBRLTitle3"/>
        <w:spacing w:before="156"/>
        <w:ind w:left="0"/>
      </w:pPr>
      <w:bookmarkStart w:id="176" w:name="_Toc178982962"/>
      <w:bookmarkStart w:id="177" w:name="_Toc485300376"/>
      <w:bookmarkStart w:id="178" w:name="_Toc497398256"/>
      <w:bookmarkStart w:id="179" w:name="_Toc453852756"/>
      <w:bookmarkStart w:id="180" w:name="_Toc454983411"/>
      <w:r>
        <w:rPr>
          <w:rFonts w:hAnsi="宋体" w:hint="eastAsia"/>
        </w:rPr>
        <w:t>报告期末按公允价值占基金资产净值比例大小排序的前十名股票投资明细</w:t>
      </w:r>
      <w:bookmarkEnd w:id="176"/>
      <w:bookmarkEnd w:id="177"/>
      <w:bookmarkEnd w:id="178"/>
      <w:bookmarkEnd w:id="179"/>
      <w:bookmarkEnd w:id="180"/>
    </w:p>
    <w:p w14:paraId="69800ADA" w14:textId="77777777" w:rsidR="0084647A" w:rsidRDefault="00DD0235">
      <w:pPr>
        <w:spacing w:line="360" w:lineRule="auto"/>
        <w:ind w:firstLineChars="200" w:firstLine="420"/>
        <w:jc w:val="left"/>
      </w:pPr>
      <w:r>
        <w:rPr>
          <w:rFonts w:ascii="宋体" w:hAnsi="宋体" w:hint="eastAsia"/>
          <w:color w:val="000000"/>
          <w:szCs w:val="21"/>
          <w:lang w:eastAsia="zh-Hans"/>
        </w:rPr>
        <w:t>本基金本报告期末未持有股票。</w:t>
      </w:r>
    </w:p>
    <w:p w14:paraId="702D40CF" w14:textId="77777777" w:rsidR="0084647A" w:rsidRDefault="00DD0235">
      <w:pPr>
        <w:pStyle w:val="XBRLTitle2"/>
        <w:spacing w:before="156" w:line="360" w:lineRule="auto"/>
        <w:ind w:left="454"/>
      </w:pPr>
      <w:bookmarkStart w:id="181" w:name="_Toc17899975"/>
      <w:bookmarkStart w:id="182" w:name="_Toc481075070"/>
      <w:bookmarkStart w:id="183" w:name="_Toc438646471"/>
      <w:bookmarkStart w:id="184" w:name="_Toc490050023"/>
      <w:bookmarkStart w:id="185" w:name="_Toc512519502"/>
      <w:bookmarkStart w:id="186" w:name="_Toc513295862"/>
      <w:bookmarkStart w:id="187" w:name="_Toc513295914"/>
      <w:bookmarkStart w:id="188" w:name="m505"/>
      <w:r>
        <w:rPr>
          <w:rFonts w:hAnsi="宋体" w:hint="eastAsia"/>
        </w:rPr>
        <w:t>报告期末按债券品种分类的债券投资组合</w:t>
      </w:r>
      <w:bookmarkEnd w:id="181"/>
      <w:bookmarkEnd w:id="182"/>
      <w:bookmarkEnd w:id="183"/>
      <w:bookmarkEnd w:id="184"/>
      <w:bookmarkEnd w:id="185"/>
      <w:bookmarkEnd w:id="186"/>
      <w:bookmarkEnd w:id="1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84647A" w14:paraId="00F43C90"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1C2975" w14:textId="77777777" w:rsidR="0084647A" w:rsidRDefault="00DD0235">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6F227B" w14:textId="77777777" w:rsidR="0084647A" w:rsidRDefault="00DD0235">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8A8C45" w14:textId="77777777" w:rsidR="0084647A" w:rsidRDefault="00DD0235">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3406C2" w14:textId="77777777" w:rsidR="0084647A" w:rsidRDefault="00DD0235">
            <w:pPr>
              <w:jc w:val="center"/>
            </w:pPr>
            <w:r>
              <w:rPr>
                <w:rFonts w:ascii="宋体" w:hAnsi="宋体" w:hint="eastAsia"/>
                <w:color w:val="000000"/>
              </w:rPr>
              <w:t xml:space="preserve">占基金资产净值比例（%） </w:t>
            </w:r>
          </w:p>
        </w:tc>
      </w:tr>
      <w:tr w:rsidR="0084647A" w14:paraId="54812C63"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4C40BFF" w14:textId="77777777" w:rsidR="0084647A" w:rsidRDefault="00DD0235">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00D0B81" w14:textId="77777777" w:rsidR="0084647A" w:rsidRDefault="00DD0235">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F7F3F58" w14:textId="77777777" w:rsidR="0084647A" w:rsidRDefault="00DD0235">
            <w:pPr>
              <w:jc w:val="right"/>
            </w:pPr>
            <w:r>
              <w:rPr>
                <w:rFonts w:ascii="宋体" w:hAnsi="宋体" w:hint="eastAsia"/>
                <w:szCs w:val="24"/>
                <w:lang w:eastAsia="zh-Hans"/>
              </w:rPr>
              <w:t>14,533,416.16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FAE15A4" w14:textId="77777777" w:rsidR="0084647A" w:rsidRDefault="00DD0235">
            <w:pPr>
              <w:jc w:val="right"/>
            </w:pPr>
            <w:r>
              <w:rPr>
                <w:rFonts w:ascii="宋体" w:hAnsi="宋体" w:hint="eastAsia"/>
                <w:szCs w:val="24"/>
                <w:lang w:eastAsia="zh-Hans"/>
              </w:rPr>
              <w:t>5.38</w:t>
            </w:r>
          </w:p>
        </w:tc>
      </w:tr>
      <w:tr w:rsidR="0084647A" w14:paraId="5A1D17CA"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A90BCE2" w14:textId="77777777" w:rsidR="0084647A" w:rsidRDefault="00DD0235">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DAB3206" w14:textId="77777777" w:rsidR="0084647A" w:rsidRDefault="00DD0235">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BAAD6D6"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400B498" w14:textId="77777777" w:rsidR="0084647A" w:rsidRDefault="00DD0235">
            <w:pPr>
              <w:jc w:val="right"/>
            </w:pPr>
            <w:r>
              <w:rPr>
                <w:rFonts w:ascii="宋体" w:hAnsi="宋体" w:hint="eastAsia"/>
                <w:szCs w:val="24"/>
                <w:lang w:eastAsia="zh-Hans"/>
              </w:rPr>
              <w:t>-</w:t>
            </w:r>
          </w:p>
        </w:tc>
      </w:tr>
      <w:tr w:rsidR="0084647A" w14:paraId="13A0D5E0"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92681DE" w14:textId="77777777" w:rsidR="0084647A" w:rsidRDefault="00DD0235">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550E130" w14:textId="77777777" w:rsidR="0084647A" w:rsidRDefault="00DD0235">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ADBC97A"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CCD1B65" w14:textId="77777777" w:rsidR="0084647A" w:rsidRDefault="00DD0235">
            <w:pPr>
              <w:jc w:val="right"/>
            </w:pPr>
            <w:r>
              <w:rPr>
                <w:rFonts w:ascii="宋体" w:hAnsi="宋体" w:hint="eastAsia"/>
                <w:szCs w:val="24"/>
                <w:lang w:eastAsia="zh-Hans"/>
              </w:rPr>
              <w:t>-</w:t>
            </w:r>
          </w:p>
        </w:tc>
      </w:tr>
      <w:tr w:rsidR="0084647A" w14:paraId="0AE12A5F"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C39A04F" w14:textId="77777777" w:rsidR="0084647A" w:rsidRDefault="00DD0235">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9C7B76F" w14:textId="77777777" w:rsidR="0084647A" w:rsidRDefault="00DD0235">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DD51B21"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37E99DA" w14:textId="77777777" w:rsidR="0084647A" w:rsidRDefault="00DD0235">
            <w:pPr>
              <w:jc w:val="right"/>
            </w:pPr>
            <w:r>
              <w:rPr>
                <w:rFonts w:ascii="宋体" w:hAnsi="宋体" w:hint="eastAsia"/>
                <w:szCs w:val="24"/>
                <w:lang w:eastAsia="zh-Hans"/>
              </w:rPr>
              <w:t>-</w:t>
            </w:r>
          </w:p>
        </w:tc>
      </w:tr>
      <w:tr w:rsidR="0084647A" w14:paraId="4F590ED5"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2340BF" w14:textId="77777777" w:rsidR="0084647A" w:rsidRDefault="00DD0235">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277CF1C" w14:textId="77777777" w:rsidR="0084647A" w:rsidRDefault="00DD0235">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951120E"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62E755B" w14:textId="77777777" w:rsidR="0084647A" w:rsidRDefault="00DD0235">
            <w:pPr>
              <w:jc w:val="right"/>
            </w:pPr>
            <w:r>
              <w:rPr>
                <w:rFonts w:ascii="宋体" w:hAnsi="宋体" w:hint="eastAsia"/>
                <w:szCs w:val="24"/>
                <w:lang w:eastAsia="zh-Hans"/>
              </w:rPr>
              <w:t>-</w:t>
            </w:r>
          </w:p>
        </w:tc>
      </w:tr>
      <w:tr w:rsidR="0084647A" w14:paraId="0FCEFBCB"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69AD500" w14:textId="77777777" w:rsidR="0084647A" w:rsidRDefault="00DD0235">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CEA2FC1" w14:textId="77777777" w:rsidR="0084647A" w:rsidRDefault="00DD0235">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F36AEEA"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FE142DD" w14:textId="77777777" w:rsidR="0084647A" w:rsidRDefault="00DD0235">
            <w:pPr>
              <w:jc w:val="right"/>
            </w:pPr>
            <w:r>
              <w:rPr>
                <w:rFonts w:ascii="宋体" w:hAnsi="宋体" w:hint="eastAsia"/>
                <w:szCs w:val="24"/>
                <w:lang w:eastAsia="zh-Hans"/>
              </w:rPr>
              <w:t>-</w:t>
            </w:r>
          </w:p>
        </w:tc>
      </w:tr>
      <w:tr w:rsidR="0084647A" w14:paraId="27095390"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29E569E" w14:textId="77777777" w:rsidR="0084647A" w:rsidRDefault="00DD0235">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6DA3E5" w14:textId="77777777" w:rsidR="0084647A" w:rsidRDefault="00DD0235">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C356063"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6BF616C" w14:textId="77777777" w:rsidR="0084647A" w:rsidRDefault="00DD0235">
            <w:pPr>
              <w:jc w:val="right"/>
            </w:pPr>
            <w:r>
              <w:rPr>
                <w:rFonts w:ascii="宋体" w:hAnsi="宋体" w:hint="eastAsia"/>
                <w:szCs w:val="24"/>
                <w:lang w:eastAsia="zh-Hans"/>
              </w:rPr>
              <w:t>-</w:t>
            </w:r>
          </w:p>
        </w:tc>
      </w:tr>
      <w:tr w:rsidR="0084647A" w14:paraId="32D9AB20"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BD7815F" w14:textId="77777777" w:rsidR="0084647A" w:rsidRDefault="00DD0235">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58AECFC" w14:textId="77777777" w:rsidR="0084647A" w:rsidRDefault="00DD0235">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DB2405C"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A5BE7D4" w14:textId="77777777" w:rsidR="0084647A" w:rsidRDefault="00DD0235">
            <w:pPr>
              <w:jc w:val="right"/>
            </w:pPr>
            <w:r>
              <w:rPr>
                <w:rFonts w:ascii="宋体" w:hAnsi="宋体" w:hint="eastAsia"/>
                <w:szCs w:val="24"/>
                <w:lang w:eastAsia="zh-Hans"/>
              </w:rPr>
              <w:t>-</w:t>
            </w:r>
          </w:p>
        </w:tc>
      </w:tr>
      <w:tr w:rsidR="0084647A" w14:paraId="17D44A95"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386AEE2" w14:textId="77777777" w:rsidR="0084647A" w:rsidRDefault="00DD0235">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0F00026" w14:textId="77777777" w:rsidR="0084647A" w:rsidRDefault="00DD0235">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24288CC"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D86CF87" w14:textId="77777777" w:rsidR="0084647A" w:rsidRDefault="00DD0235">
            <w:pPr>
              <w:jc w:val="right"/>
            </w:pPr>
            <w:r>
              <w:rPr>
                <w:rFonts w:ascii="宋体" w:hAnsi="宋体" w:hint="eastAsia"/>
                <w:szCs w:val="24"/>
                <w:lang w:eastAsia="zh-Hans"/>
              </w:rPr>
              <w:t>-</w:t>
            </w:r>
          </w:p>
        </w:tc>
      </w:tr>
      <w:tr w:rsidR="0084647A" w14:paraId="3DA9E1F0"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63DF61E" w14:textId="77777777" w:rsidR="0084647A" w:rsidRDefault="00DD0235">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217BB62" w14:textId="77777777" w:rsidR="0084647A" w:rsidRDefault="00DD0235">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37C7A50" w14:textId="77777777" w:rsidR="0084647A" w:rsidRDefault="00DD023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96D357E" w14:textId="77777777" w:rsidR="0084647A" w:rsidRDefault="00DD0235">
            <w:pPr>
              <w:jc w:val="right"/>
            </w:pPr>
            <w:r>
              <w:rPr>
                <w:rFonts w:ascii="宋体" w:hAnsi="宋体" w:hint="eastAsia"/>
                <w:szCs w:val="24"/>
                <w:lang w:eastAsia="zh-Hans"/>
              </w:rPr>
              <w:t>-</w:t>
            </w:r>
          </w:p>
        </w:tc>
      </w:tr>
      <w:tr w:rsidR="0084647A" w14:paraId="2ABF13A9" w14:textId="77777777">
        <w:trPr>
          <w:divId w:val="47121200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94D92BF" w14:textId="77777777" w:rsidR="0084647A" w:rsidRDefault="00DD0235">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0038C11" w14:textId="77777777" w:rsidR="0084647A" w:rsidRDefault="00DD0235">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3214A7B" w14:textId="77777777" w:rsidR="0084647A" w:rsidRDefault="00DD0235">
            <w:pPr>
              <w:jc w:val="right"/>
            </w:pPr>
            <w:r>
              <w:rPr>
                <w:rFonts w:ascii="宋体" w:hAnsi="宋体" w:hint="eastAsia"/>
                <w:szCs w:val="24"/>
                <w:lang w:eastAsia="zh-Hans"/>
              </w:rPr>
              <w:t>14,533,416.16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F333683" w14:textId="77777777" w:rsidR="0084647A" w:rsidRDefault="00DD0235">
            <w:pPr>
              <w:jc w:val="right"/>
            </w:pPr>
            <w:r>
              <w:rPr>
                <w:rFonts w:ascii="宋体" w:hAnsi="宋体" w:hint="eastAsia"/>
                <w:szCs w:val="24"/>
                <w:lang w:eastAsia="zh-Hans"/>
              </w:rPr>
              <w:t>5.38</w:t>
            </w:r>
          </w:p>
        </w:tc>
      </w:tr>
    </w:tbl>
    <w:p w14:paraId="7F620C96" w14:textId="77777777" w:rsidR="0084647A" w:rsidRDefault="00DD0235">
      <w:pPr>
        <w:pStyle w:val="XBRLTitle2"/>
        <w:spacing w:before="156" w:line="360" w:lineRule="auto"/>
        <w:ind w:left="454"/>
      </w:pPr>
      <w:bookmarkStart w:id="189" w:name="_Toc17899976"/>
      <w:bookmarkStart w:id="190" w:name="_Toc481075071"/>
      <w:bookmarkStart w:id="191" w:name="_Toc438646472"/>
      <w:bookmarkStart w:id="192" w:name="_Toc490050024"/>
      <w:bookmarkStart w:id="193" w:name="_Toc512519503"/>
      <w:bookmarkStart w:id="194" w:name="_Toc513295863"/>
      <w:bookmarkStart w:id="195" w:name="_Toc513295915"/>
      <w:bookmarkStart w:id="196" w:name="m506"/>
      <w:bookmarkEnd w:id="188"/>
      <w:r>
        <w:rPr>
          <w:rFonts w:hAnsi="宋体" w:hint="eastAsia"/>
        </w:rPr>
        <w:t>报告期末按公允价值占基金资产净值比例大小排序的前五名债券投资明细</w:t>
      </w:r>
      <w:bookmarkEnd w:id="189"/>
      <w:bookmarkEnd w:id="190"/>
      <w:bookmarkEnd w:id="191"/>
      <w:bookmarkEnd w:id="192"/>
      <w:bookmarkEnd w:id="193"/>
      <w:bookmarkEnd w:id="194"/>
      <w:bookmarkEnd w:id="195"/>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4647A" w14:paraId="699C4B8A" w14:textId="77777777">
        <w:trPr>
          <w:divId w:val="49430174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89E0A8" w14:textId="77777777" w:rsidR="0084647A" w:rsidRDefault="00DD023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7C8B23" w14:textId="77777777" w:rsidR="0084647A" w:rsidRDefault="00DD0235">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F28C2B" w14:textId="77777777" w:rsidR="0084647A" w:rsidRDefault="00DD0235">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6F807EB" w14:textId="77777777" w:rsidR="0084647A" w:rsidRDefault="00DD0235">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5481FC" w14:textId="77777777" w:rsidR="0084647A" w:rsidRDefault="00DD0235">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0B828E" w14:textId="77777777" w:rsidR="0084647A" w:rsidRDefault="00DD0235">
            <w:pPr>
              <w:jc w:val="center"/>
            </w:pPr>
            <w:r>
              <w:rPr>
                <w:rFonts w:ascii="宋体" w:hAnsi="宋体" w:hint="eastAsia"/>
                <w:color w:val="000000"/>
              </w:rPr>
              <w:t xml:space="preserve">占基金资产净值比例（%） </w:t>
            </w:r>
          </w:p>
        </w:tc>
      </w:tr>
      <w:tr w:rsidR="0084647A" w14:paraId="467F1CA6" w14:textId="77777777">
        <w:trPr>
          <w:divId w:val="4943017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0AD1B0" w14:textId="77777777" w:rsidR="0084647A" w:rsidRDefault="00DD023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B1DA3" w14:textId="77777777" w:rsidR="0084647A" w:rsidRDefault="00DD0235">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4CC1BE" w14:textId="77777777" w:rsidR="0084647A" w:rsidRDefault="00DD0235">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17376" w14:textId="77777777" w:rsidR="0084647A" w:rsidRDefault="00DD0235">
            <w:pPr>
              <w:jc w:val="right"/>
            </w:pPr>
            <w:r>
              <w:rPr>
                <w:rFonts w:ascii="宋体" w:hAnsi="宋体" w:hint="eastAsia"/>
                <w:szCs w:val="24"/>
                <w:lang w:eastAsia="zh-Hans"/>
              </w:rPr>
              <w:t>129,000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A73CC0" w14:textId="77777777" w:rsidR="0084647A" w:rsidRDefault="00DD0235">
            <w:pPr>
              <w:jc w:val="right"/>
            </w:pPr>
            <w:r>
              <w:rPr>
                <w:rFonts w:ascii="宋体" w:hAnsi="宋体" w:hint="eastAsia"/>
                <w:szCs w:val="24"/>
                <w:lang w:eastAsia="zh-Hans"/>
              </w:rPr>
              <w:t>13,011,134.38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26524" w14:textId="77777777" w:rsidR="0084647A" w:rsidRDefault="00DD0235">
            <w:pPr>
              <w:jc w:val="right"/>
            </w:pPr>
            <w:r>
              <w:rPr>
                <w:rFonts w:ascii="宋体" w:hAnsi="宋体" w:hint="eastAsia"/>
                <w:szCs w:val="24"/>
                <w:lang w:eastAsia="zh-Hans"/>
              </w:rPr>
              <w:t>4.81</w:t>
            </w:r>
          </w:p>
        </w:tc>
      </w:tr>
      <w:tr w:rsidR="0084647A" w14:paraId="7271A3EC" w14:textId="77777777">
        <w:trPr>
          <w:divId w:val="49430174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7AEED7" w14:textId="77777777" w:rsidR="0084647A" w:rsidRDefault="00DD023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295C1D" w14:textId="77777777" w:rsidR="0084647A" w:rsidRDefault="00DD0235">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F8C3E" w14:textId="77777777" w:rsidR="0084647A" w:rsidRDefault="00DD0235">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3F9D8" w14:textId="77777777" w:rsidR="0084647A" w:rsidRDefault="00DD0235">
            <w:pPr>
              <w:jc w:val="right"/>
            </w:pPr>
            <w:r>
              <w:rPr>
                <w:rFonts w:ascii="宋体" w:hAnsi="宋体" w:hint="eastAsia"/>
                <w:szCs w:val="24"/>
                <w:lang w:eastAsia="zh-Hans"/>
              </w:rPr>
              <w:t>15,000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44ACB5" w14:textId="77777777" w:rsidR="0084647A" w:rsidRDefault="00DD0235">
            <w:pPr>
              <w:jc w:val="right"/>
            </w:pPr>
            <w:r>
              <w:rPr>
                <w:rFonts w:ascii="宋体" w:hAnsi="宋体" w:hint="eastAsia"/>
                <w:szCs w:val="24"/>
                <w:lang w:eastAsia="zh-Hans"/>
              </w:rPr>
              <w:t>1,522,281.78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A28268" w14:textId="77777777" w:rsidR="0084647A" w:rsidRDefault="00DD0235">
            <w:pPr>
              <w:jc w:val="right"/>
            </w:pPr>
            <w:r>
              <w:rPr>
                <w:rFonts w:ascii="宋体" w:hAnsi="宋体" w:hint="eastAsia"/>
                <w:szCs w:val="24"/>
                <w:lang w:eastAsia="zh-Hans"/>
              </w:rPr>
              <w:t>0.56</w:t>
            </w:r>
          </w:p>
        </w:tc>
      </w:tr>
    </w:tbl>
    <w:p w14:paraId="0CAA9444" w14:textId="77777777" w:rsidR="0084647A" w:rsidRDefault="00DD0235">
      <w:pPr>
        <w:pStyle w:val="XBRLTitle2"/>
        <w:spacing w:before="156" w:line="360" w:lineRule="auto"/>
        <w:ind w:left="454"/>
      </w:pPr>
      <w:bookmarkStart w:id="197" w:name="_Toc17899977"/>
      <w:bookmarkStart w:id="198" w:name="_Toc481075072"/>
      <w:bookmarkStart w:id="199" w:name="_Toc438646473"/>
      <w:bookmarkStart w:id="200" w:name="_Toc490050025"/>
      <w:bookmarkStart w:id="201" w:name="_Toc512519504"/>
      <w:bookmarkStart w:id="202" w:name="_Toc513295864"/>
      <w:bookmarkStart w:id="203" w:name="_Toc513295916"/>
      <w:bookmarkStart w:id="204" w:name="m507"/>
      <w:bookmarkEnd w:id="196"/>
      <w:r>
        <w:rPr>
          <w:rFonts w:hAnsi="宋体" w:hint="eastAsia"/>
        </w:rPr>
        <w:t>报告期末按公允价值占基金资产净值比例大小排序的前十名资产支持证券投资明细</w:t>
      </w:r>
      <w:bookmarkEnd w:id="197"/>
      <w:bookmarkEnd w:id="198"/>
      <w:bookmarkEnd w:id="199"/>
      <w:bookmarkEnd w:id="200"/>
      <w:bookmarkEnd w:id="201"/>
      <w:bookmarkEnd w:id="202"/>
      <w:bookmarkEnd w:id="203"/>
      <w:r>
        <w:rPr>
          <w:rFonts w:hAnsi="宋体" w:hint="eastAsia"/>
        </w:rPr>
        <w:t xml:space="preserve"> </w:t>
      </w:r>
    </w:p>
    <w:p w14:paraId="0706AE2D" w14:textId="77777777" w:rsidR="0084647A" w:rsidRDefault="00DD0235">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654B40A" w14:textId="77777777" w:rsidR="0084647A" w:rsidRDefault="00DD0235">
      <w:pPr>
        <w:pStyle w:val="XBRLTitle2"/>
        <w:spacing w:before="156" w:line="360" w:lineRule="auto"/>
        <w:ind w:left="454"/>
      </w:pPr>
      <w:bookmarkStart w:id="205" w:name="_Toc17899978"/>
      <w:bookmarkStart w:id="206" w:name="_Toc481075073"/>
      <w:bookmarkStart w:id="207" w:name="_Toc438646474"/>
      <w:bookmarkStart w:id="208" w:name="_Toc490050026"/>
      <w:bookmarkStart w:id="209" w:name="_Toc512519505"/>
      <w:bookmarkStart w:id="210" w:name="_Toc513295865"/>
      <w:bookmarkStart w:id="211" w:name="_Toc513295917"/>
      <w:bookmarkStart w:id="212" w:name="m508"/>
      <w:bookmarkEnd w:id="204"/>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5"/>
      <w:bookmarkEnd w:id="206"/>
      <w:bookmarkEnd w:id="207"/>
      <w:bookmarkEnd w:id="208"/>
      <w:bookmarkEnd w:id="209"/>
      <w:bookmarkEnd w:id="210"/>
      <w:bookmarkEnd w:id="211"/>
      <w:r>
        <w:rPr>
          <w:rFonts w:hAnsi="宋体" w:hint="eastAsia"/>
        </w:rPr>
        <w:t xml:space="preserve"> </w:t>
      </w:r>
    </w:p>
    <w:p w14:paraId="1A8BA63F" w14:textId="77777777" w:rsidR="0084647A" w:rsidRDefault="00DD0235">
      <w:pPr>
        <w:spacing w:line="360" w:lineRule="auto"/>
        <w:ind w:firstLineChars="200" w:firstLine="420"/>
        <w:divId w:val="1933124427"/>
      </w:pPr>
      <w:r>
        <w:rPr>
          <w:rFonts w:ascii="宋体" w:hAnsi="宋体" w:hint="eastAsia"/>
          <w:szCs w:val="21"/>
          <w:lang w:eastAsia="zh-Hans"/>
        </w:rPr>
        <w:t>本基金本报告期末未持有贵金属。</w:t>
      </w:r>
    </w:p>
    <w:p w14:paraId="7A7584B7" w14:textId="77777777" w:rsidR="0084647A" w:rsidRDefault="00DD0235">
      <w:pPr>
        <w:pStyle w:val="XBRLTitle2"/>
        <w:spacing w:before="156" w:line="360" w:lineRule="auto"/>
        <w:ind w:left="454"/>
      </w:pPr>
      <w:bookmarkStart w:id="213" w:name="_Toc17899979"/>
      <w:bookmarkStart w:id="214" w:name="_Toc481075074"/>
      <w:bookmarkStart w:id="215" w:name="_Toc438646475"/>
      <w:bookmarkStart w:id="216" w:name="_Toc490050027"/>
      <w:bookmarkStart w:id="217" w:name="_Toc512519506"/>
      <w:bookmarkStart w:id="218" w:name="_Toc513295866"/>
      <w:bookmarkStart w:id="219" w:name="_Toc513295918"/>
      <w:bookmarkStart w:id="220" w:name="m509"/>
      <w:bookmarkEnd w:id="212"/>
      <w:r>
        <w:rPr>
          <w:rFonts w:hAnsi="宋体" w:hint="eastAsia"/>
        </w:rPr>
        <w:t>报告期末按公允价值占基金资产净值比例大小排序的前五名权证投资明细</w:t>
      </w:r>
      <w:bookmarkEnd w:id="213"/>
      <w:bookmarkEnd w:id="214"/>
      <w:bookmarkEnd w:id="215"/>
      <w:bookmarkEnd w:id="216"/>
      <w:bookmarkEnd w:id="217"/>
      <w:bookmarkEnd w:id="218"/>
      <w:bookmarkEnd w:id="219"/>
      <w:r>
        <w:rPr>
          <w:rFonts w:hAnsi="宋体" w:hint="eastAsia"/>
        </w:rPr>
        <w:t xml:space="preserve"> </w:t>
      </w:r>
      <w:bookmarkEnd w:id="220"/>
    </w:p>
    <w:p w14:paraId="09716BC7" w14:textId="77777777" w:rsidR="0084647A" w:rsidRDefault="00DD0235">
      <w:pPr>
        <w:spacing w:line="360" w:lineRule="auto"/>
        <w:ind w:firstLineChars="200" w:firstLine="420"/>
        <w:divId w:val="1952930968"/>
      </w:pPr>
      <w:r>
        <w:rPr>
          <w:rFonts w:ascii="宋体" w:hAnsi="宋体" w:hint="eastAsia"/>
          <w:szCs w:val="21"/>
          <w:lang w:eastAsia="zh-Hans"/>
        </w:rPr>
        <w:t>本基金本报告期末未持有权证。</w:t>
      </w:r>
    </w:p>
    <w:p w14:paraId="5F40582E" w14:textId="77777777" w:rsidR="0084647A" w:rsidRDefault="00DD0235">
      <w:pPr>
        <w:pStyle w:val="XBRLTitle2"/>
        <w:spacing w:before="156"/>
        <w:ind w:left="454"/>
      </w:pPr>
      <w:bookmarkStart w:id="221" w:name="_Toc17899980"/>
      <w:r>
        <w:rPr>
          <w:rFonts w:hint="eastAsia"/>
        </w:rPr>
        <w:t>报告期末本基金投资的股指期货交易情况说明</w:t>
      </w:r>
      <w:bookmarkEnd w:id="221"/>
      <w:bookmarkEnd w:id="169"/>
      <w:bookmarkEnd w:id="170"/>
      <w:bookmarkEnd w:id="171"/>
      <w:bookmarkEnd w:id="172"/>
      <w:bookmarkEnd w:id="173"/>
      <w:bookmarkEnd w:id="174"/>
    </w:p>
    <w:p w14:paraId="4283C0F7" w14:textId="77777777" w:rsidR="0084647A" w:rsidRDefault="00DD0235">
      <w:pPr>
        <w:spacing w:line="360" w:lineRule="auto"/>
        <w:ind w:firstLineChars="200" w:firstLine="420"/>
        <w:divId w:val="1644773389"/>
      </w:pPr>
      <w:r>
        <w:rPr>
          <w:rFonts w:ascii="宋体" w:hAnsi="宋体" w:hint="eastAsia"/>
          <w:szCs w:val="21"/>
          <w:lang w:eastAsia="zh-Hans"/>
        </w:rPr>
        <w:t>本基金本报告期末未持有股指期货。</w:t>
      </w:r>
    </w:p>
    <w:p w14:paraId="538E9EEB" w14:textId="77777777" w:rsidR="0084647A" w:rsidRDefault="00DD0235">
      <w:pPr>
        <w:pStyle w:val="XBRLTitle2"/>
        <w:spacing w:before="156" w:line="360" w:lineRule="auto"/>
        <w:ind w:left="454"/>
      </w:pPr>
      <w:bookmarkStart w:id="222" w:name="_Toc17899983"/>
      <w:bookmarkStart w:id="223" w:name="_Toc512519510"/>
      <w:bookmarkStart w:id="224" w:name="_Toc481075078"/>
      <w:bookmarkStart w:id="225" w:name="_Toc490050031"/>
      <w:bookmarkStart w:id="226" w:name="_Toc513295868"/>
      <w:bookmarkStart w:id="227" w:name="_Toc513295922"/>
      <w:bookmarkStart w:id="228" w:name="_Toc438646476"/>
      <w:r>
        <w:rPr>
          <w:rFonts w:hAnsi="宋体" w:hint="eastAsia"/>
        </w:rPr>
        <w:lastRenderedPageBreak/>
        <w:t>报告期末本基金投资的国债期货交易情况说明</w:t>
      </w:r>
      <w:bookmarkEnd w:id="222"/>
      <w:bookmarkEnd w:id="223"/>
      <w:bookmarkEnd w:id="224"/>
      <w:bookmarkEnd w:id="225"/>
      <w:bookmarkEnd w:id="226"/>
      <w:bookmarkEnd w:id="227"/>
      <w:r>
        <w:rPr>
          <w:rFonts w:hAnsi="宋体" w:hint="eastAsia"/>
        </w:rPr>
        <w:t xml:space="preserve"> </w:t>
      </w:r>
      <w:bookmarkEnd w:id="228"/>
    </w:p>
    <w:p w14:paraId="21737963" w14:textId="77777777" w:rsidR="0084647A" w:rsidRDefault="00DD0235">
      <w:pPr>
        <w:spacing w:line="360" w:lineRule="auto"/>
        <w:ind w:firstLineChars="200" w:firstLine="420"/>
        <w:divId w:val="1201281878"/>
      </w:pPr>
      <w:bookmarkStart w:id="229" w:name="m510_01_1597"/>
      <w:bookmarkStart w:id="230" w:name="m510_01_1598"/>
      <w:bookmarkEnd w:id="229"/>
      <w:r>
        <w:rPr>
          <w:rFonts w:ascii="宋体" w:hAnsi="宋体" w:hint="eastAsia"/>
          <w:szCs w:val="21"/>
          <w:lang w:eastAsia="zh-Hans"/>
        </w:rPr>
        <w:t>本基金本报告期末未持有国债期货。</w:t>
      </w:r>
    </w:p>
    <w:p w14:paraId="66048089" w14:textId="77777777" w:rsidR="0084647A" w:rsidRDefault="00DD0235">
      <w:pPr>
        <w:pStyle w:val="XBRLTitle2"/>
        <w:spacing w:before="156" w:line="360" w:lineRule="auto"/>
        <w:ind w:left="454"/>
      </w:pPr>
      <w:bookmarkStart w:id="231" w:name="_Toc17899987"/>
      <w:bookmarkStart w:id="232" w:name="_Toc512519514"/>
      <w:bookmarkStart w:id="233" w:name="_Toc481075082"/>
      <w:bookmarkStart w:id="234" w:name="_Toc490050035"/>
      <w:bookmarkStart w:id="235" w:name="_Toc513295869"/>
      <w:bookmarkStart w:id="236" w:name="_Toc513295926"/>
      <w:r>
        <w:rPr>
          <w:rFonts w:hAnsi="宋体" w:hint="eastAsia"/>
        </w:rPr>
        <w:t>投资组合报告附注</w:t>
      </w:r>
      <w:bookmarkEnd w:id="231"/>
      <w:bookmarkEnd w:id="232"/>
      <w:bookmarkEnd w:id="233"/>
      <w:bookmarkEnd w:id="234"/>
      <w:bookmarkEnd w:id="235"/>
      <w:bookmarkEnd w:id="236"/>
      <w:r>
        <w:rPr>
          <w:rFonts w:hAnsi="宋体" w:hint="eastAsia"/>
        </w:rPr>
        <w:t xml:space="preserve"> </w:t>
      </w:r>
    </w:p>
    <w:p w14:paraId="55C4031A" w14:textId="77777777" w:rsidR="0084647A" w:rsidRDefault="00DD0235">
      <w:pPr>
        <w:pStyle w:val="XBRLTitle3"/>
        <w:spacing w:before="156"/>
        <w:ind w:left="0"/>
      </w:pPr>
      <w:bookmarkStart w:id="237" w:name="_Toc513295927"/>
      <w:bookmarkStart w:id="238" w:name="_Toc490050036"/>
      <w:bookmarkStart w:id="239" w:name="_Toc481075083"/>
      <w:bookmarkStart w:id="240" w:name="_Toc512519515"/>
      <w:bookmarkStart w:id="241" w:name="_Toc17899988"/>
      <w:bookmarkEnd w:id="237"/>
      <w:bookmarkEnd w:id="238"/>
      <w:bookmarkEnd w:id="239"/>
      <w:bookmarkEnd w:id="240"/>
      <w:r>
        <w:rPr>
          <w:rFonts w:hint="eastAsia"/>
          <w:lang w:eastAsia="zh-CN"/>
        </w:rPr>
        <w:t xml:space="preserve"> </w:t>
      </w:r>
      <w:bookmarkEnd w:id="241"/>
    </w:p>
    <w:p w14:paraId="5BB7D589" w14:textId="77777777" w:rsidR="0084647A" w:rsidRDefault="00DD0235">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687C17C" w14:textId="77777777" w:rsidR="0084647A" w:rsidRDefault="00DD0235">
      <w:pPr>
        <w:pStyle w:val="XBRLTitle3"/>
        <w:spacing w:before="156"/>
        <w:ind w:left="0"/>
      </w:pPr>
      <w:bookmarkStart w:id="242" w:name="_Toc490050037"/>
      <w:bookmarkStart w:id="243" w:name="_Toc481075084"/>
      <w:bookmarkStart w:id="244" w:name="_Toc512519516"/>
      <w:bookmarkStart w:id="245" w:name="_Toc513295928"/>
      <w:bookmarkStart w:id="246" w:name="_Toc17899989"/>
      <w:bookmarkEnd w:id="242"/>
      <w:bookmarkEnd w:id="243"/>
      <w:bookmarkEnd w:id="244"/>
      <w:bookmarkEnd w:id="245"/>
      <w:r>
        <w:rPr>
          <w:rFonts w:hint="eastAsia"/>
          <w:lang w:eastAsia="zh-CN"/>
        </w:rPr>
        <w:t xml:space="preserve"> </w:t>
      </w:r>
      <w:bookmarkEnd w:id="246"/>
    </w:p>
    <w:p w14:paraId="11168E49" w14:textId="77777777" w:rsidR="0084647A" w:rsidRDefault="00DD0235">
      <w:pPr>
        <w:spacing w:line="360" w:lineRule="auto"/>
        <w:ind w:firstLineChars="200" w:firstLine="420"/>
      </w:pPr>
      <w:r>
        <w:rPr>
          <w:rFonts w:ascii="宋体" w:hAnsi="宋体" w:hint="eastAsia"/>
        </w:rPr>
        <w:t>报告期内本基金投资的前十名股票中没有在基金合同规定备选股票库之外的股票。</w:t>
      </w:r>
    </w:p>
    <w:p w14:paraId="295D5100" w14:textId="77777777" w:rsidR="0084647A" w:rsidRDefault="00DD0235">
      <w:pPr>
        <w:pStyle w:val="XBRLTitle3"/>
        <w:spacing w:before="156"/>
        <w:ind w:left="0"/>
      </w:pPr>
      <w:bookmarkStart w:id="247" w:name="_Toc17899990"/>
      <w:bookmarkStart w:id="248" w:name="_Toc481075085"/>
      <w:bookmarkStart w:id="249" w:name="_Toc490050038"/>
      <w:bookmarkStart w:id="250" w:name="_Toc512519517"/>
      <w:bookmarkStart w:id="251" w:name="_Toc513295929"/>
      <w:bookmarkStart w:id="252" w:name="m510_02"/>
      <w:bookmarkEnd w:id="230"/>
      <w:r>
        <w:rPr>
          <w:rFonts w:hint="eastAsia"/>
        </w:rPr>
        <w:t>其他资产构成</w:t>
      </w:r>
      <w:bookmarkEnd w:id="247"/>
      <w:bookmarkEnd w:id="248"/>
      <w:bookmarkEnd w:id="249"/>
      <w:bookmarkEnd w:id="250"/>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4647A" w14:paraId="0208872B" w14:textId="77777777">
        <w:trPr>
          <w:divId w:val="109786158"/>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9359A" w14:textId="77777777" w:rsidR="0084647A" w:rsidRDefault="00DD023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A5586" w14:textId="77777777" w:rsidR="0084647A" w:rsidRDefault="00DD023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C3D5" w14:textId="77777777" w:rsidR="0084647A" w:rsidRDefault="00DD0235">
            <w:pPr>
              <w:jc w:val="center"/>
            </w:pPr>
            <w:r>
              <w:rPr>
                <w:rFonts w:ascii="宋体" w:hAnsi="宋体" w:hint="eastAsia"/>
              </w:rPr>
              <w:t>金额（元）</w:t>
            </w:r>
            <w:r>
              <w:t xml:space="preserve"> </w:t>
            </w:r>
          </w:p>
        </w:tc>
      </w:tr>
      <w:tr w:rsidR="0084647A" w14:paraId="601C7206"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36265C" w14:textId="77777777" w:rsidR="0084647A" w:rsidRDefault="00DD023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A5191" w14:textId="77777777" w:rsidR="0084647A" w:rsidRDefault="00DD023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C816B8" w14:textId="77777777" w:rsidR="0084647A" w:rsidRDefault="00DD0235">
            <w:pPr>
              <w:jc w:val="right"/>
            </w:pPr>
            <w:r>
              <w:rPr>
                <w:rFonts w:ascii="宋体" w:hAnsi="宋体" w:hint="eastAsia"/>
              </w:rPr>
              <w:t>10,333.51</w:t>
            </w:r>
          </w:p>
        </w:tc>
      </w:tr>
      <w:tr w:rsidR="0084647A" w14:paraId="256642BC"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F4093" w14:textId="77777777" w:rsidR="0084647A" w:rsidRDefault="00DD023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6D0C91" w14:textId="77777777" w:rsidR="0084647A" w:rsidRDefault="00DD023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7BCE3" w14:textId="77777777" w:rsidR="0084647A" w:rsidRDefault="00DD0235">
            <w:pPr>
              <w:jc w:val="right"/>
            </w:pPr>
            <w:r>
              <w:rPr>
                <w:rFonts w:ascii="宋体" w:hAnsi="宋体" w:hint="eastAsia"/>
              </w:rPr>
              <w:t>-</w:t>
            </w:r>
          </w:p>
        </w:tc>
      </w:tr>
      <w:tr w:rsidR="0084647A" w14:paraId="6DF06BB1"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1AE54F" w14:textId="77777777" w:rsidR="0084647A" w:rsidRDefault="00DD023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DBFEB0" w14:textId="77777777" w:rsidR="0084647A" w:rsidRDefault="00DD023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66A80" w14:textId="77777777" w:rsidR="0084647A" w:rsidRDefault="00DD0235">
            <w:pPr>
              <w:jc w:val="right"/>
            </w:pPr>
            <w:r>
              <w:rPr>
                <w:rFonts w:ascii="宋体" w:hAnsi="宋体" w:hint="eastAsia"/>
              </w:rPr>
              <w:t>-</w:t>
            </w:r>
          </w:p>
        </w:tc>
      </w:tr>
      <w:tr w:rsidR="0084647A" w14:paraId="1F0C94B3"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60522C" w14:textId="77777777" w:rsidR="0084647A" w:rsidRDefault="00DD023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3D38F9" w14:textId="77777777" w:rsidR="0084647A" w:rsidRDefault="00DD023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BFA43D" w14:textId="77777777" w:rsidR="0084647A" w:rsidRDefault="00DD0235">
            <w:pPr>
              <w:jc w:val="right"/>
            </w:pPr>
            <w:r>
              <w:rPr>
                <w:rFonts w:ascii="宋体" w:hAnsi="宋体" w:hint="eastAsia"/>
              </w:rPr>
              <w:t>-</w:t>
            </w:r>
          </w:p>
        </w:tc>
      </w:tr>
      <w:tr w:rsidR="0084647A" w14:paraId="36F3C9FC"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B15704" w14:textId="77777777" w:rsidR="0084647A" w:rsidRDefault="00DD023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6412EF" w14:textId="77777777" w:rsidR="0084647A" w:rsidRDefault="00DD023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375CE7" w14:textId="77777777" w:rsidR="0084647A" w:rsidRDefault="00DD0235">
            <w:pPr>
              <w:jc w:val="right"/>
            </w:pPr>
            <w:r>
              <w:rPr>
                <w:rFonts w:ascii="宋体" w:hAnsi="宋体" w:hint="eastAsia"/>
              </w:rPr>
              <w:t>811.85</w:t>
            </w:r>
          </w:p>
        </w:tc>
      </w:tr>
      <w:tr w:rsidR="0084647A" w14:paraId="3F32E726"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887A3" w14:textId="77777777" w:rsidR="0084647A" w:rsidRDefault="00DD023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984FCF" w14:textId="77777777" w:rsidR="0084647A" w:rsidRDefault="00DD023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3A78A3" w14:textId="77777777" w:rsidR="0084647A" w:rsidRDefault="00DD0235">
            <w:pPr>
              <w:jc w:val="right"/>
            </w:pPr>
            <w:r>
              <w:rPr>
                <w:rFonts w:ascii="宋体" w:hAnsi="宋体" w:hint="eastAsia"/>
              </w:rPr>
              <w:t>0.90</w:t>
            </w:r>
          </w:p>
        </w:tc>
      </w:tr>
      <w:tr w:rsidR="0084647A" w14:paraId="3535E6FB"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DA5FCB" w14:textId="77777777" w:rsidR="0084647A" w:rsidRDefault="00DD023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9B10F" w14:textId="77777777" w:rsidR="0084647A" w:rsidRDefault="00DD023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2A5CC6" w14:textId="77777777" w:rsidR="0084647A" w:rsidRDefault="00DD0235">
            <w:pPr>
              <w:jc w:val="right"/>
            </w:pPr>
            <w:r>
              <w:rPr>
                <w:rFonts w:ascii="宋体" w:hAnsi="宋体" w:hint="eastAsia"/>
              </w:rPr>
              <w:t>-</w:t>
            </w:r>
          </w:p>
        </w:tc>
      </w:tr>
      <w:tr w:rsidR="0084647A" w14:paraId="1E4EAE44" w14:textId="77777777">
        <w:trPr>
          <w:divId w:val="109786158"/>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EAF6DC" w14:textId="77777777" w:rsidR="0084647A" w:rsidRDefault="00DD023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0D414C" w14:textId="77777777" w:rsidR="0084647A" w:rsidRDefault="00DD023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8EBF53" w14:textId="77777777" w:rsidR="0084647A" w:rsidRDefault="00DD0235">
            <w:pPr>
              <w:jc w:val="right"/>
            </w:pPr>
            <w:r>
              <w:rPr>
                <w:rFonts w:ascii="宋体" w:hAnsi="宋体" w:hint="eastAsia"/>
              </w:rPr>
              <w:t>11,146.26</w:t>
            </w:r>
          </w:p>
        </w:tc>
      </w:tr>
    </w:tbl>
    <w:p w14:paraId="4B803BBF" w14:textId="77777777" w:rsidR="0084647A" w:rsidRDefault="00DD0235">
      <w:pPr>
        <w:pStyle w:val="XBRLTitle3"/>
        <w:spacing w:before="156"/>
        <w:ind w:left="0"/>
      </w:pPr>
      <w:bookmarkStart w:id="253" w:name="_Toc17899991"/>
      <w:bookmarkStart w:id="254" w:name="_Toc481075086"/>
      <w:bookmarkStart w:id="255" w:name="_Toc490050039"/>
      <w:bookmarkStart w:id="256" w:name="_Toc512519518"/>
      <w:bookmarkStart w:id="257" w:name="_Toc513295930"/>
      <w:bookmarkStart w:id="258" w:name="m510_03"/>
      <w:bookmarkEnd w:id="252"/>
      <w:r>
        <w:rPr>
          <w:rFonts w:hint="eastAsia"/>
        </w:rPr>
        <w:t>报告期末持有的处于转股期的可转换债券明细</w:t>
      </w:r>
      <w:bookmarkEnd w:id="253"/>
      <w:bookmarkEnd w:id="254"/>
      <w:bookmarkEnd w:id="255"/>
      <w:bookmarkEnd w:id="256"/>
      <w:bookmarkEnd w:id="257"/>
    </w:p>
    <w:p w14:paraId="1180EE73" w14:textId="77777777" w:rsidR="0084647A" w:rsidRDefault="00DD0235">
      <w:pPr>
        <w:spacing w:line="360" w:lineRule="auto"/>
        <w:ind w:firstLineChars="200" w:firstLine="420"/>
        <w:jc w:val="left"/>
      </w:pPr>
      <w:r>
        <w:rPr>
          <w:rFonts w:ascii="宋体" w:hAnsi="宋体" w:hint="eastAsia"/>
        </w:rPr>
        <w:t xml:space="preserve">本基金本报告期末未持有处于转股期的可转换债券。 </w:t>
      </w:r>
    </w:p>
    <w:p w14:paraId="1A486003" w14:textId="77777777" w:rsidR="0084647A" w:rsidRDefault="00DD0235">
      <w:pPr>
        <w:pStyle w:val="XBRLTitle3"/>
        <w:spacing w:before="156"/>
        <w:ind w:left="0"/>
      </w:pPr>
      <w:bookmarkStart w:id="259" w:name="_Toc17899992"/>
      <w:bookmarkStart w:id="260" w:name="_Toc481075087"/>
      <w:bookmarkStart w:id="261" w:name="_Toc490050040"/>
      <w:bookmarkStart w:id="262" w:name="_Toc512519519"/>
      <w:bookmarkStart w:id="263" w:name="_Toc513295931"/>
      <w:bookmarkStart w:id="264" w:name="m510_04"/>
      <w:bookmarkEnd w:id="258"/>
      <w:r>
        <w:rPr>
          <w:rFonts w:hint="eastAsia"/>
        </w:rPr>
        <w:t>报告期末前十名股票中存在流通受限情况的说明</w:t>
      </w:r>
      <w:bookmarkEnd w:id="259"/>
      <w:bookmarkEnd w:id="260"/>
      <w:bookmarkEnd w:id="261"/>
      <w:bookmarkEnd w:id="262"/>
      <w:bookmarkEnd w:id="263"/>
    </w:p>
    <w:p w14:paraId="65980956" w14:textId="77777777" w:rsidR="0084647A" w:rsidRDefault="00DD0235">
      <w:pPr>
        <w:spacing w:line="360" w:lineRule="auto"/>
        <w:ind w:firstLineChars="200" w:firstLine="420"/>
        <w:jc w:val="left"/>
        <w:divId w:val="193277317"/>
      </w:pPr>
      <w:r>
        <w:rPr>
          <w:rFonts w:ascii="宋体" w:hAnsi="宋体" w:hint="eastAsia"/>
        </w:rPr>
        <w:t>本基金本报告期末前十名股票中不存在流通受限情况。</w:t>
      </w:r>
      <w:bookmarkEnd w:id="17"/>
    </w:p>
    <w:p w14:paraId="14AB1591" w14:textId="77777777" w:rsidR="0084647A" w:rsidRDefault="00DD0235">
      <w:pPr>
        <w:pStyle w:val="XBRLTitle3"/>
        <w:spacing w:before="156"/>
        <w:ind w:left="0"/>
      </w:pPr>
      <w:bookmarkStart w:id="265" w:name="_Toc17899993"/>
      <w:bookmarkStart w:id="266" w:name="_Toc512519520"/>
      <w:bookmarkStart w:id="267" w:name="_Toc481075088"/>
      <w:bookmarkStart w:id="268" w:name="_Toc490050041"/>
      <w:bookmarkStart w:id="269" w:name="_Toc513295932"/>
      <w:bookmarkStart w:id="270" w:name="m510_05_1678"/>
      <w:bookmarkEnd w:id="264"/>
      <w:r>
        <w:rPr>
          <w:rFonts w:hint="eastAsia"/>
        </w:rPr>
        <w:t>投资组合报告附注的其他文字描述部分</w:t>
      </w:r>
      <w:bookmarkEnd w:id="265"/>
      <w:bookmarkEnd w:id="266"/>
      <w:bookmarkEnd w:id="267"/>
      <w:bookmarkEnd w:id="268"/>
      <w:bookmarkEnd w:id="269"/>
      <w:r>
        <w:rPr>
          <w:rFonts w:hint="eastAsia"/>
          <w:sz w:val="21"/>
        </w:rPr>
        <w:t xml:space="preserve"> </w:t>
      </w:r>
    </w:p>
    <w:p w14:paraId="02670FAE" w14:textId="77777777" w:rsidR="0084647A" w:rsidRDefault="00DD0235">
      <w:pPr>
        <w:spacing w:line="360" w:lineRule="auto"/>
        <w:ind w:firstLineChars="200" w:firstLine="420"/>
        <w:jc w:val="left"/>
      </w:pPr>
      <w:r>
        <w:rPr>
          <w:rFonts w:ascii="宋体" w:hAnsi="宋体" w:hint="eastAsia"/>
        </w:rPr>
        <w:t>因四舍五入原因，投资组合报告中分项之和与合计可能存在尾差。</w:t>
      </w:r>
    </w:p>
    <w:p w14:paraId="46D13BEF" w14:textId="77777777" w:rsidR="0084647A" w:rsidRDefault="00DD0235">
      <w:pPr>
        <w:pStyle w:val="XBRLTitle1"/>
        <w:spacing w:before="156" w:line="360" w:lineRule="auto"/>
        <w:ind w:left="425"/>
      </w:pPr>
      <w:bookmarkStart w:id="271" w:name="_Toc17899994"/>
      <w:r>
        <w:rPr>
          <w:rFonts w:hint="eastAsia"/>
        </w:rPr>
        <w:t>基金中基金</w:t>
      </w:r>
      <w:bookmarkEnd w:id="271"/>
      <w:r>
        <w:rPr>
          <w:rFonts w:hint="eastAsia"/>
          <w:lang w:eastAsia="zh-CN"/>
        </w:rPr>
        <w:t xml:space="preserve"> </w:t>
      </w:r>
    </w:p>
    <w:p w14:paraId="63F522BB" w14:textId="77777777" w:rsidR="0084647A" w:rsidRDefault="00DD0235">
      <w:pPr>
        <w:pStyle w:val="XBRLTitle2"/>
        <w:spacing w:before="156"/>
        <w:ind w:left="454"/>
      </w:pPr>
      <w:bookmarkStart w:id="272" w:name="_Toc502858550"/>
      <w:bookmarkStart w:id="273" w:name="_Toc17899995"/>
      <w:bookmarkStart w:id="274" w:name="_Toc514255300"/>
      <w:r>
        <w:rPr>
          <w:rFonts w:hint="eastAsia"/>
        </w:rPr>
        <w:t>报告期末按公允价值占基金资产净值比例大小排序的前十名基金投资明细</w:t>
      </w:r>
      <w:bookmarkEnd w:id="272"/>
      <w:bookmarkEnd w:id="273"/>
      <w:bookmarkEnd w:id="274"/>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085"/>
        <w:gridCol w:w="1021"/>
        <w:gridCol w:w="1131"/>
        <w:gridCol w:w="1377"/>
        <w:gridCol w:w="1377"/>
        <w:gridCol w:w="944"/>
        <w:gridCol w:w="880"/>
      </w:tblGrid>
      <w:tr w:rsidR="0084647A" w14:paraId="62220624" w14:textId="77777777">
        <w:trPr>
          <w:divId w:val="367881422"/>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E4247C9" w14:textId="77777777" w:rsidR="0084647A" w:rsidRDefault="00DD0235">
            <w:pPr>
              <w:pStyle w:val="a5"/>
              <w:spacing w:before="0" w:beforeAutospacing="0" w:after="0" w:afterAutospacing="0"/>
              <w:ind w:firstLineChars="50" w:firstLine="105"/>
              <w:jc w:val="center"/>
            </w:pPr>
            <w:bookmarkStart w:id="275" w:name="OLE_LINK46"/>
            <w:bookmarkStart w:id="276" w:name="OLE_LINK45"/>
            <w:bookmarkStart w:id="277" w:name="OLE_LINK42"/>
            <w:bookmarkStart w:id="278"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FC8BA6A" w14:textId="77777777" w:rsidR="0084647A" w:rsidRDefault="00DD0235">
            <w:pPr>
              <w:pStyle w:val="a5"/>
              <w:spacing w:before="0" w:beforeAutospacing="0" w:after="0" w:afterAutospacing="0"/>
              <w:jc w:val="cente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2A470E4" w14:textId="77777777" w:rsidR="0084647A" w:rsidRDefault="00DD0235">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98BA262" w14:textId="77777777" w:rsidR="0084647A" w:rsidRDefault="00DD0235">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CE1755A" w14:textId="77777777" w:rsidR="0084647A" w:rsidRDefault="00DD0235">
            <w:pPr>
              <w:pStyle w:val="a5"/>
              <w:spacing w:before="0" w:beforeAutospacing="0" w:after="0" w:afterAutospacing="0"/>
              <w:jc w:val="cente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05FB8D0" w14:textId="77777777" w:rsidR="0084647A" w:rsidRDefault="00DD0235">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341E977" w14:textId="77777777" w:rsidR="0084647A" w:rsidRDefault="00DD0235">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22A65545" w14:textId="77777777" w:rsidR="0084647A" w:rsidRDefault="00DD0235">
            <w:pPr>
              <w:pStyle w:val="a5"/>
              <w:spacing w:before="0" w:beforeAutospacing="0" w:after="0" w:afterAutospacing="0"/>
              <w:jc w:val="center"/>
            </w:pPr>
            <w:r>
              <w:rPr>
                <w:rFonts w:hint="eastAsia"/>
                <w:kern w:val="2"/>
                <w:sz w:val="21"/>
              </w:rPr>
              <w:t>是否属于基金管理人及管理人关联方</w:t>
            </w:r>
            <w:r>
              <w:rPr>
                <w:rFonts w:hint="eastAsia"/>
                <w:kern w:val="2"/>
                <w:sz w:val="21"/>
              </w:rPr>
              <w:lastRenderedPageBreak/>
              <w:t>所管理的基金</w:t>
            </w:r>
            <w:r>
              <w:rPr>
                <w:rFonts w:hint="eastAsia"/>
                <w:kern w:val="2"/>
                <w:sz w:val="21"/>
                <w:lang w:eastAsia="zh-Hans"/>
              </w:rPr>
              <w:t xml:space="preserve"> </w:t>
            </w:r>
          </w:p>
        </w:tc>
      </w:tr>
      <w:tr w:rsidR="0084647A" w14:paraId="3DD01B0E"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E527742" w14:textId="77777777" w:rsidR="0084647A" w:rsidRDefault="00DD0235">
            <w:pPr>
              <w:pStyle w:val="a5"/>
              <w:spacing w:before="0" w:beforeAutospacing="0" w:after="0" w:afterAutospacing="0"/>
              <w:ind w:firstLineChars="50" w:firstLine="105"/>
              <w:jc w:val="center"/>
            </w:pPr>
            <w:r>
              <w:rPr>
                <w:rFonts w:hint="eastAsia"/>
                <w:kern w:val="2"/>
                <w:sz w:val="21"/>
                <w:lang w:eastAsia="zh-Hans"/>
              </w:rPr>
              <w:lastRenderedPageBreak/>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B5F332" w14:textId="77777777" w:rsidR="0084647A" w:rsidRDefault="00DD0235">
            <w:pPr>
              <w:pStyle w:val="a5"/>
              <w:spacing w:before="0" w:beforeAutospacing="0" w:after="0" w:afterAutospacing="0"/>
              <w:jc w:val="center"/>
            </w:pPr>
            <w:r>
              <w:rPr>
                <w:rFonts w:hint="eastAsia"/>
                <w:kern w:val="2"/>
                <w:sz w:val="21"/>
                <w:lang w:eastAsia="zh-Hans"/>
              </w:rPr>
              <w:t>968050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3FA54B" w14:textId="77777777" w:rsidR="0084647A" w:rsidRDefault="00DD0235">
            <w:pPr>
              <w:pStyle w:val="a5"/>
              <w:spacing w:before="0" w:beforeAutospacing="0" w:after="0" w:afterAutospacing="0"/>
              <w:jc w:val="center"/>
            </w:pPr>
            <w:r>
              <w:rPr>
                <w:rFonts w:hint="eastAsia"/>
                <w:kern w:val="2"/>
                <w:sz w:val="21"/>
                <w:lang w:eastAsia="zh-Hans"/>
              </w:rPr>
              <w:t>摩根国际债券人民币对冲累计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B5302C"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905E09F" w14:textId="77777777" w:rsidR="0084647A" w:rsidRDefault="00DD0235">
            <w:pPr>
              <w:pStyle w:val="a5"/>
              <w:spacing w:before="0" w:beforeAutospacing="0" w:after="0" w:afterAutospacing="0"/>
              <w:jc w:val="right"/>
            </w:pPr>
            <w:r>
              <w:rPr>
                <w:rFonts w:hint="eastAsia"/>
                <w:kern w:val="2"/>
                <w:sz w:val="21"/>
                <w:lang w:eastAsia="zh-Hans"/>
              </w:rPr>
              <w:t>1,432,878.35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872F65" w14:textId="77777777" w:rsidR="0084647A" w:rsidRDefault="00DD0235">
            <w:pPr>
              <w:pStyle w:val="a5"/>
              <w:spacing w:before="0" w:beforeAutospacing="0" w:after="0" w:afterAutospacing="0"/>
              <w:jc w:val="right"/>
            </w:pPr>
            <w:r>
              <w:rPr>
                <w:rFonts w:hint="eastAsia"/>
                <w:kern w:val="2"/>
                <w:sz w:val="21"/>
                <w:lang w:eastAsia="zh-Hans"/>
              </w:rPr>
              <w:t>15,360,455.91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32044A" w14:textId="77777777" w:rsidR="0084647A" w:rsidRDefault="00DD0235">
            <w:pPr>
              <w:pStyle w:val="a5"/>
              <w:spacing w:before="0" w:beforeAutospacing="0" w:after="0" w:afterAutospacing="0"/>
              <w:jc w:val="right"/>
            </w:pPr>
            <w:r>
              <w:rPr>
                <w:rFonts w:hint="eastAsia"/>
                <w:kern w:val="2"/>
                <w:sz w:val="21"/>
                <w:lang w:eastAsia="zh-Hans"/>
              </w:rPr>
              <w:t>5.68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DB797A" w14:textId="77777777" w:rsidR="0084647A" w:rsidRDefault="00DD0235">
            <w:pPr>
              <w:pStyle w:val="a5"/>
              <w:spacing w:before="0" w:beforeAutospacing="0" w:after="0" w:afterAutospacing="0"/>
              <w:jc w:val="right"/>
            </w:pPr>
            <w:r>
              <w:rPr>
                <w:rFonts w:hint="eastAsia"/>
                <w:kern w:val="2"/>
                <w:sz w:val="21"/>
                <w:lang w:eastAsia="zh-Hans"/>
              </w:rPr>
              <w:t>是</w:t>
            </w:r>
          </w:p>
        </w:tc>
      </w:tr>
      <w:tr w:rsidR="0084647A" w14:paraId="75234737"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AACAD7"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348360" w14:textId="77777777" w:rsidR="0084647A" w:rsidRDefault="00DD0235">
            <w:pPr>
              <w:pStyle w:val="a5"/>
              <w:spacing w:before="0" w:beforeAutospacing="0" w:after="0" w:afterAutospacing="0"/>
              <w:jc w:val="center"/>
            </w:pPr>
            <w:r>
              <w:rPr>
                <w:rFonts w:hint="eastAsia"/>
                <w:kern w:val="2"/>
                <w:sz w:val="21"/>
                <w:lang w:eastAsia="zh-Hans"/>
              </w:rPr>
              <w:t>377240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A10205" w14:textId="77777777" w:rsidR="0084647A" w:rsidRDefault="00DD0235">
            <w:pPr>
              <w:pStyle w:val="a5"/>
              <w:spacing w:before="0" w:beforeAutospacing="0" w:after="0" w:afterAutospacing="0"/>
              <w:jc w:val="center"/>
            </w:pPr>
            <w:r>
              <w:rPr>
                <w:rFonts w:hint="eastAsia"/>
                <w:kern w:val="2"/>
                <w:sz w:val="21"/>
                <w:lang w:eastAsia="zh-Hans"/>
              </w:rPr>
              <w:t>摩根新兴动力混合A类</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D7554D"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F062DC" w14:textId="77777777" w:rsidR="0084647A" w:rsidRDefault="00DD0235">
            <w:pPr>
              <w:pStyle w:val="a5"/>
              <w:spacing w:before="0" w:beforeAutospacing="0" w:after="0" w:afterAutospacing="0"/>
              <w:jc w:val="right"/>
            </w:pPr>
            <w:r>
              <w:rPr>
                <w:rFonts w:hint="eastAsia"/>
                <w:kern w:val="2"/>
                <w:sz w:val="21"/>
                <w:lang w:eastAsia="zh-Hans"/>
              </w:rPr>
              <w:t>2,939,725.44</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E0D5D5F" w14:textId="77777777" w:rsidR="0084647A" w:rsidRDefault="00DD0235">
            <w:pPr>
              <w:pStyle w:val="a5"/>
              <w:spacing w:before="0" w:beforeAutospacing="0" w:after="0" w:afterAutospacing="0"/>
              <w:jc w:val="right"/>
            </w:pPr>
            <w:r>
              <w:rPr>
                <w:rFonts w:hint="eastAsia"/>
                <w:kern w:val="2"/>
                <w:sz w:val="21"/>
                <w:lang w:eastAsia="zh-Hans"/>
              </w:rPr>
              <w:t>15,211,903.26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1C40258" w14:textId="77777777" w:rsidR="0084647A" w:rsidRDefault="00DD0235">
            <w:pPr>
              <w:pStyle w:val="a5"/>
              <w:spacing w:before="0" w:beforeAutospacing="0" w:after="0" w:afterAutospacing="0"/>
              <w:jc w:val="right"/>
            </w:pPr>
            <w:r>
              <w:rPr>
                <w:rFonts w:hint="eastAsia"/>
                <w:kern w:val="2"/>
                <w:sz w:val="21"/>
                <w:lang w:eastAsia="zh-Hans"/>
              </w:rPr>
              <w:t>5.63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79AB520" w14:textId="77777777" w:rsidR="0084647A" w:rsidRDefault="00DD0235">
            <w:pPr>
              <w:pStyle w:val="a5"/>
              <w:spacing w:before="0" w:beforeAutospacing="0" w:after="0" w:afterAutospacing="0"/>
              <w:jc w:val="right"/>
            </w:pPr>
            <w:r>
              <w:rPr>
                <w:rFonts w:hint="eastAsia"/>
                <w:kern w:val="2"/>
                <w:sz w:val="21"/>
                <w:lang w:eastAsia="zh-Hans"/>
              </w:rPr>
              <w:t>是</w:t>
            </w:r>
          </w:p>
        </w:tc>
      </w:tr>
      <w:tr w:rsidR="0084647A" w14:paraId="0D4656B4"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700AD4"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5C5EFB" w14:textId="77777777" w:rsidR="0084647A" w:rsidRDefault="00DD0235">
            <w:pPr>
              <w:pStyle w:val="a5"/>
              <w:spacing w:before="0" w:beforeAutospacing="0" w:after="0" w:afterAutospacing="0"/>
              <w:jc w:val="center"/>
            </w:pPr>
            <w:r>
              <w:rPr>
                <w:rFonts w:hint="eastAsia"/>
                <w:kern w:val="2"/>
                <w:sz w:val="21"/>
                <w:lang w:eastAsia="zh-Hans"/>
              </w:rPr>
              <w:t>968052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B46F3D" w14:textId="77777777" w:rsidR="0084647A" w:rsidRDefault="00DD0235">
            <w:pPr>
              <w:pStyle w:val="a5"/>
              <w:spacing w:before="0" w:beforeAutospacing="0" w:after="0" w:afterAutospacing="0"/>
              <w:jc w:val="center"/>
            </w:pPr>
            <w:r>
              <w:rPr>
                <w:rFonts w:hint="eastAsia"/>
                <w:kern w:val="2"/>
                <w:sz w:val="21"/>
                <w:lang w:eastAsia="zh-Hans"/>
              </w:rPr>
              <w:t>摩根国际债券人民币累计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1C6FDE"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FC8977" w14:textId="77777777" w:rsidR="0084647A" w:rsidRDefault="00DD0235">
            <w:pPr>
              <w:pStyle w:val="a5"/>
              <w:spacing w:before="0" w:beforeAutospacing="0" w:after="0" w:afterAutospacing="0"/>
              <w:jc w:val="right"/>
            </w:pPr>
            <w:r>
              <w:rPr>
                <w:rFonts w:hint="eastAsia"/>
                <w:kern w:val="2"/>
                <w:sz w:val="21"/>
                <w:lang w:eastAsia="zh-Hans"/>
              </w:rPr>
              <w:t>1,194,802.50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3270B2" w14:textId="77777777" w:rsidR="0084647A" w:rsidRDefault="00DD0235">
            <w:pPr>
              <w:pStyle w:val="a5"/>
              <w:spacing w:before="0" w:beforeAutospacing="0" w:after="0" w:afterAutospacing="0"/>
              <w:jc w:val="right"/>
            </w:pPr>
            <w:r>
              <w:rPr>
                <w:rFonts w:hint="eastAsia"/>
                <w:kern w:val="2"/>
                <w:sz w:val="21"/>
                <w:lang w:eastAsia="zh-Hans"/>
              </w:rPr>
              <w:t>13,429,580.10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1A4E08" w14:textId="77777777" w:rsidR="0084647A" w:rsidRDefault="00DD0235">
            <w:pPr>
              <w:pStyle w:val="a5"/>
              <w:spacing w:before="0" w:beforeAutospacing="0" w:after="0" w:afterAutospacing="0"/>
              <w:jc w:val="right"/>
            </w:pPr>
            <w:r>
              <w:rPr>
                <w:rFonts w:hint="eastAsia"/>
                <w:kern w:val="2"/>
                <w:sz w:val="21"/>
                <w:lang w:eastAsia="zh-Hans"/>
              </w:rPr>
              <w:t>4.97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305C00" w14:textId="77777777" w:rsidR="0084647A" w:rsidRDefault="00DD0235">
            <w:pPr>
              <w:pStyle w:val="a5"/>
              <w:spacing w:before="0" w:beforeAutospacing="0" w:after="0" w:afterAutospacing="0"/>
              <w:jc w:val="right"/>
            </w:pPr>
            <w:r>
              <w:rPr>
                <w:rFonts w:hint="eastAsia"/>
                <w:kern w:val="2"/>
                <w:sz w:val="21"/>
                <w:lang w:eastAsia="zh-Hans"/>
              </w:rPr>
              <w:t>是</w:t>
            </w:r>
          </w:p>
        </w:tc>
      </w:tr>
      <w:tr w:rsidR="0084647A" w14:paraId="041EA18F"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78DDAD"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DD2F15" w14:textId="77777777" w:rsidR="0084647A" w:rsidRDefault="00DD0235">
            <w:pPr>
              <w:pStyle w:val="a5"/>
              <w:spacing w:before="0" w:beforeAutospacing="0" w:after="0" w:afterAutospacing="0"/>
              <w:jc w:val="center"/>
            </w:pPr>
            <w:r>
              <w:rPr>
                <w:rFonts w:hint="eastAsia"/>
                <w:kern w:val="2"/>
                <w:sz w:val="21"/>
                <w:lang w:eastAsia="zh-Hans"/>
              </w:rPr>
              <w:t>006567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640E6D" w14:textId="77777777" w:rsidR="0084647A" w:rsidRDefault="00DD0235">
            <w:pPr>
              <w:pStyle w:val="a5"/>
              <w:spacing w:before="0" w:beforeAutospacing="0" w:after="0" w:afterAutospacing="0"/>
              <w:jc w:val="center"/>
            </w:pPr>
            <w:r>
              <w:rPr>
                <w:rFonts w:hint="eastAsia"/>
                <w:kern w:val="2"/>
                <w:sz w:val="21"/>
                <w:lang w:eastAsia="zh-Hans"/>
              </w:rPr>
              <w:t>中泰星元灵活配置混合A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E8A1E3F"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B74EFE" w14:textId="77777777" w:rsidR="0084647A" w:rsidRDefault="00DD0235">
            <w:pPr>
              <w:pStyle w:val="a5"/>
              <w:spacing w:before="0" w:beforeAutospacing="0" w:after="0" w:afterAutospacing="0"/>
              <w:jc w:val="right"/>
            </w:pPr>
            <w:r>
              <w:rPr>
                <w:rFonts w:hint="eastAsia"/>
                <w:kern w:val="2"/>
                <w:sz w:val="21"/>
                <w:lang w:eastAsia="zh-Hans"/>
              </w:rPr>
              <w:t>4,738,210.88</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5E6CFE" w14:textId="77777777" w:rsidR="0084647A" w:rsidRDefault="00DD0235">
            <w:pPr>
              <w:pStyle w:val="a5"/>
              <w:spacing w:before="0" w:beforeAutospacing="0" w:after="0" w:afterAutospacing="0"/>
              <w:jc w:val="right"/>
            </w:pPr>
            <w:r>
              <w:rPr>
                <w:rFonts w:hint="eastAsia"/>
                <w:kern w:val="2"/>
                <w:sz w:val="21"/>
                <w:lang w:eastAsia="zh-Hans"/>
              </w:rPr>
              <w:t>12,672,345.00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883CE3" w14:textId="77777777" w:rsidR="0084647A" w:rsidRDefault="00DD0235">
            <w:pPr>
              <w:pStyle w:val="a5"/>
              <w:spacing w:before="0" w:beforeAutospacing="0" w:after="0" w:afterAutospacing="0"/>
              <w:jc w:val="right"/>
            </w:pPr>
            <w:r>
              <w:rPr>
                <w:rFonts w:hint="eastAsia"/>
                <w:kern w:val="2"/>
                <w:sz w:val="21"/>
                <w:lang w:eastAsia="zh-Hans"/>
              </w:rPr>
              <w:t>4.69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94D0E4" w14:textId="77777777" w:rsidR="0084647A" w:rsidRDefault="00DD0235">
            <w:pPr>
              <w:pStyle w:val="a5"/>
              <w:spacing w:before="0" w:beforeAutospacing="0" w:after="0" w:afterAutospacing="0"/>
              <w:jc w:val="right"/>
            </w:pPr>
            <w:r>
              <w:rPr>
                <w:rFonts w:hint="eastAsia"/>
                <w:kern w:val="2"/>
                <w:sz w:val="21"/>
                <w:lang w:eastAsia="zh-Hans"/>
              </w:rPr>
              <w:t>否</w:t>
            </w:r>
          </w:p>
        </w:tc>
      </w:tr>
      <w:tr w:rsidR="0084647A" w14:paraId="6798D5F1"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289F8D"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F7DAB53" w14:textId="77777777" w:rsidR="0084647A" w:rsidRDefault="00DD0235">
            <w:pPr>
              <w:pStyle w:val="a5"/>
              <w:spacing w:before="0" w:beforeAutospacing="0" w:after="0" w:afterAutospacing="0"/>
              <w:jc w:val="center"/>
            </w:pPr>
            <w:r>
              <w:rPr>
                <w:rFonts w:hint="eastAsia"/>
                <w:kern w:val="2"/>
                <w:sz w:val="21"/>
                <w:lang w:eastAsia="zh-Hans"/>
              </w:rPr>
              <w:t>000107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229DD2" w14:textId="77777777" w:rsidR="0084647A" w:rsidRDefault="00DD0235">
            <w:pPr>
              <w:pStyle w:val="a5"/>
              <w:spacing w:before="0" w:beforeAutospacing="0" w:after="0" w:afterAutospacing="0"/>
              <w:jc w:val="center"/>
            </w:pPr>
            <w:r>
              <w:rPr>
                <w:rFonts w:hint="eastAsia"/>
                <w:kern w:val="2"/>
                <w:sz w:val="21"/>
                <w:lang w:eastAsia="zh-Hans"/>
              </w:rPr>
              <w:t>富国稳健增强债券A/B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0D2EC6"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EC81F39" w14:textId="77777777" w:rsidR="0084647A" w:rsidRDefault="00DD0235">
            <w:pPr>
              <w:pStyle w:val="a5"/>
              <w:spacing w:before="0" w:beforeAutospacing="0" w:after="0" w:afterAutospacing="0"/>
              <w:jc w:val="right"/>
            </w:pPr>
            <w:r>
              <w:rPr>
                <w:rFonts w:hint="eastAsia"/>
                <w:kern w:val="2"/>
                <w:sz w:val="21"/>
                <w:lang w:eastAsia="zh-Hans"/>
              </w:rPr>
              <w:t>9,573,461.99</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E629784" w14:textId="77777777" w:rsidR="0084647A" w:rsidRDefault="00DD0235">
            <w:pPr>
              <w:pStyle w:val="a5"/>
              <w:spacing w:before="0" w:beforeAutospacing="0" w:after="0" w:afterAutospacing="0"/>
              <w:jc w:val="right"/>
            </w:pPr>
            <w:r>
              <w:rPr>
                <w:rFonts w:hint="eastAsia"/>
                <w:kern w:val="2"/>
                <w:sz w:val="21"/>
                <w:lang w:eastAsia="zh-Hans"/>
              </w:rPr>
              <w:t>12,397,633.28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5B5335" w14:textId="77777777" w:rsidR="0084647A" w:rsidRDefault="00DD0235">
            <w:pPr>
              <w:pStyle w:val="a5"/>
              <w:spacing w:before="0" w:beforeAutospacing="0" w:after="0" w:afterAutospacing="0"/>
              <w:jc w:val="right"/>
            </w:pPr>
            <w:r>
              <w:rPr>
                <w:rFonts w:hint="eastAsia"/>
                <w:kern w:val="2"/>
                <w:sz w:val="21"/>
                <w:lang w:eastAsia="zh-Hans"/>
              </w:rPr>
              <w:t>4.59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93F132" w14:textId="77777777" w:rsidR="0084647A" w:rsidRDefault="00DD0235">
            <w:pPr>
              <w:pStyle w:val="a5"/>
              <w:spacing w:before="0" w:beforeAutospacing="0" w:after="0" w:afterAutospacing="0"/>
              <w:jc w:val="right"/>
            </w:pPr>
            <w:r>
              <w:rPr>
                <w:rFonts w:hint="eastAsia"/>
                <w:kern w:val="2"/>
                <w:sz w:val="21"/>
                <w:lang w:eastAsia="zh-Hans"/>
              </w:rPr>
              <w:t>否</w:t>
            </w:r>
          </w:p>
        </w:tc>
      </w:tr>
      <w:tr w:rsidR="0084647A" w14:paraId="34F6329C"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D546307"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967F3A2" w14:textId="77777777" w:rsidR="0084647A" w:rsidRDefault="00DD0235">
            <w:pPr>
              <w:pStyle w:val="a5"/>
              <w:spacing w:before="0" w:beforeAutospacing="0" w:after="0" w:afterAutospacing="0"/>
              <w:jc w:val="center"/>
            </w:pPr>
            <w:r>
              <w:rPr>
                <w:rFonts w:hint="eastAsia"/>
                <w:kern w:val="2"/>
                <w:sz w:val="21"/>
                <w:lang w:eastAsia="zh-Hans"/>
              </w:rPr>
              <w:t>005994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3FA83DE" w14:textId="77777777" w:rsidR="0084647A" w:rsidRDefault="00DD0235">
            <w:pPr>
              <w:pStyle w:val="a5"/>
              <w:spacing w:before="0" w:beforeAutospacing="0" w:after="0" w:afterAutospacing="0"/>
              <w:jc w:val="center"/>
            </w:pPr>
            <w:r>
              <w:rPr>
                <w:rFonts w:hint="eastAsia"/>
                <w:kern w:val="2"/>
                <w:sz w:val="21"/>
                <w:lang w:eastAsia="zh-Hans"/>
              </w:rPr>
              <w:t>国投瑞银中证500指数量化增强A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CA19259"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782ABD" w14:textId="77777777" w:rsidR="0084647A" w:rsidRDefault="00DD0235">
            <w:pPr>
              <w:pStyle w:val="a5"/>
              <w:spacing w:before="0" w:beforeAutospacing="0" w:after="0" w:afterAutospacing="0"/>
              <w:jc w:val="right"/>
            </w:pPr>
            <w:r>
              <w:rPr>
                <w:rFonts w:hint="eastAsia"/>
                <w:kern w:val="2"/>
                <w:sz w:val="21"/>
                <w:lang w:eastAsia="zh-Hans"/>
              </w:rPr>
              <w:t>5,684,099.16</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60C564D" w14:textId="77777777" w:rsidR="0084647A" w:rsidRDefault="00DD0235">
            <w:pPr>
              <w:pStyle w:val="a5"/>
              <w:spacing w:before="0" w:beforeAutospacing="0" w:after="0" w:afterAutospacing="0"/>
              <w:jc w:val="right"/>
            </w:pPr>
            <w:r>
              <w:rPr>
                <w:rFonts w:hint="eastAsia"/>
                <w:kern w:val="2"/>
                <w:sz w:val="21"/>
                <w:lang w:eastAsia="zh-Hans"/>
              </w:rPr>
              <w:t>12,090,078.91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577FF2" w14:textId="77777777" w:rsidR="0084647A" w:rsidRDefault="00DD0235">
            <w:pPr>
              <w:pStyle w:val="a5"/>
              <w:spacing w:before="0" w:beforeAutospacing="0" w:after="0" w:afterAutospacing="0"/>
              <w:jc w:val="right"/>
            </w:pPr>
            <w:r>
              <w:rPr>
                <w:rFonts w:hint="eastAsia"/>
                <w:kern w:val="2"/>
                <w:sz w:val="21"/>
                <w:lang w:eastAsia="zh-Hans"/>
              </w:rPr>
              <w:t>4.47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D434B1" w14:textId="77777777" w:rsidR="0084647A" w:rsidRDefault="00DD0235">
            <w:pPr>
              <w:pStyle w:val="a5"/>
              <w:spacing w:before="0" w:beforeAutospacing="0" w:after="0" w:afterAutospacing="0"/>
              <w:jc w:val="right"/>
            </w:pPr>
            <w:r>
              <w:rPr>
                <w:rFonts w:hint="eastAsia"/>
                <w:kern w:val="2"/>
                <w:sz w:val="21"/>
                <w:lang w:eastAsia="zh-Hans"/>
              </w:rPr>
              <w:t>否</w:t>
            </w:r>
          </w:p>
        </w:tc>
      </w:tr>
      <w:tr w:rsidR="0084647A" w14:paraId="194298E6"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4004903"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9FDD6B9" w14:textId="77777777" w:rsidR="0084647A" w:rsidRDefault="00DD0235">
            <w:pPr>
              <w:pStyle w:val="a5"/>
              <w:spacing w:before="0" w:beforeAutospacing="0" w:after="0" w:afterAutospacing="0"/>
              <w:jc w:val="center"/>
            </w:pPr>
            <w:r>
              <w:rPr>
                <w:rFonts w:hint="eastAsia"/>
                <w:kern w:val="2"/>
                <w:sz w:val="21"/>
                <w:lang w:eastAsia="zh-Hans"/>
              </w:rPr>
              <w:t>001856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2360DC" w14:textId="77777777" w:rsidR="0084647A" w:rsidRDefault="00DD0235">
            <w:pPr>
              <w:pStyle w:val="a5"/>
              <w:spacing w:before="0" w:beforeAutospacing="0" w:after="0" w:afterAutospacing="0"/>
              <w:jc w:val="center"/>
            </w:pPr>
            <w:r>
              <w:rPr>
                <w:rFonts w:hint="eastAsia"/>
                <w:kern w:val="2"/>
                <w:sz w:val="21"/>
                <w:lang w:eastAsia="zh-Hans"/>
              </w:rPr>
              <w:t>易方达环保主题混合A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A478FE4"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66811F9" w14:textId="77777777" w:rsidR="0084647A" w:rsidRDefault="00DD0235">
            <w:pPr>
              <w:pStyle w:val="a5"/>
              <w:spacing w:before="0" w:beforeAutospacing="0" w:after="0" w:afterAutospacing="0"/>
              <w:jc w:val="right"/>
            </w:pPr>
            <w:r>
              <w:rPr>
                <w:rFonts w:hint="eastAsia"/>
                <w:kern w:val="2"/>
                <w:sz w:val="21"/>
                <w:lang w:eastAsia="zh-Hans"/>
              </w:rPr>
              <w:t>3,284,763.28</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861F66" w14:textId="77777777" w:rsidR="0084647A" w:rsidRDefault="00DD0235">
            <w:pPr>
              <w:pStyle w:val="a5"/>
              <w:spacing w:before="0" w:beforeAutospacing="0" w:after="0" w:afterAutospacing="0"/>
              <w:jc w:val="right"/>
            </w:pPr>
            <w:r>
              <w:rPr>
                <w:rFonts w:hint="eastAsia"/>
                <w:kern w:val="2"/>
                <w:sz w:val="21"/>
                <w:lang w:eastAsia="zh-Hans"/>
              </w:rPr>
              <w:t>10,859,427.40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6F70C1" w14:textId="77777777" w:rsidR="0084647A" w:rsidRDefault="00DD0235">
            <w:pPr>
              <w:pStyle w:val="a5"/>
              <w:spacing w:before="0" w:beforeAutospacing="0" w:after="0" w:afterAutospacing="0"/>
              <w:jc w:val="right"/>
            </w:pPr>
            <w:r>
              <w:rPr>
                <w:rFonts w:hint="eastAsia"/>
                <w:kern w:val="2"/>
                <w:sz w:val="21"/>
                <w:lang w:eastAsia="zh-Hans"/>
              </w:rPr>
              <w:t>4.02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B45A11C" w14:textId="77777777" w:rsidR="0084647A" w:rsidRDefault="00DD0235">
            <w:pPr>
              <w:pStyle w:val="a5"/>
              <w:spacing w:before="0" w:beforeAutospacing="0" w:after="0" w:afterAutospacing="0"/>
              <w:jc w:val="right"/>
            </w:pPr>
            <w:r>
              <w:rPr>
                <w:rFonts w:hint="eastAsia"/>
                <w:kern w:val="2"/>
                <w:sz w:val="21"/>
                <w:lang w:eastAsia="zh-Hans"/>
              </w:rPr>
              <w:t>否</w:t>
            </w:r>
          </w:p>
        </w:tc>
      </w:tr>
      <w:tr w:rsidR="0084647A" w14:paraId="7C3A6238"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AF06E59"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4C6080C" w14:textId="77777777" w:rsidR="0084647A" w:rsidRDefault="00DD0235">
            <w:pPr>
              <w:pStyle w:val="a5"/>
              <w:spacing w:before="0" w:beforeAutospacing="0" w:after="0" w:afterAutospacing="0"/>
              <w:jc w:val="center"/>
            </w:pPr>
            <w:r>
              <w:rPr>
                <w:rFonts w:hint="eastAsia"/>
                <w:kern w:val="2"/>
                <w:sz w:val="21"/>
                <w:lang w:eastAsia="zh-Hans"/>
              </w:rPr>
              <w:t>159920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C2FABA6" w14:textId="77777777" w:rsidR="0084647A" w:rsidRDefault="00DD0235">
            <w:pPr>
              <w:pStyle w:val="a5"/>
              <w:spacing w:before="0" w:beforeAutospacing="0" w:after="0" w:afterAutospacing="0"/>
              <w:jc w:val="center"/>
            </w:pPr>
            <w:r>
              <w:rPr>
                <w:rFonts w:hint="eastAsia"/>
                <w:kern w:val="2"/>
                <w:sz w:val="21"/>
                <w:lang w:eastAsia="zh-Hans"/>
              </w:rPr>
              <w:t>恒生ETF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D8B95F" w14:textId="77777777" w:rsidR="0084647A" w:rsidRDefault="00DD0235">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44C68F2" w14:textId="77777777" w:rsidR="0084647A" w:rsidRDefault="00DD0235">
            <w:pPr>
              <w:pStyle w:val="a5"/>
              <w:spacing w:before="0" w:beforeAutospacing="0" w:after="0" w:afterAutospacing="0"/>
              <w:jc w:val="right"/>
            </w:pPr>
            <w:r>
              <w:rPr>
                <w:rFonts w:hint="eastAsia"/>
                <w:kern w:val="2"/>
                <w:sz w:val="21"/>
                <w:lang w:eastAsia="zh-Hans"/>
              </w:rPr>
              <w:t>7,369,200.00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62FA6F" w14:textId="77777777" w:rsidR="0084647A" w:rsidRDefault="00DD0235">
            <w:pPr>
              <w:pStyle w:val="a5"/>
              <w:spacing w:before="0" w:beforeAutospacing="0" w:after="0" w:afterAutospacing="0"/>
              <w:jc w:val="right"/>
            </w:pPr>
            <w:r>
              <w:rPr>
                <w:rFonts w:hint="eastAsia"/>
                <w:kern w:val="2"/>
                <w:sz w:val="21"/>
                <w:lang w:eastAsia="zh-Hans"/>
              </w:rPr>
              <w:t>10,537,956.00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2E4B2B" w14:textId="77777777" w:rsidR="0084647A" w:rsidRDefault="00DD0235">
            <w:pPr>
              <w:pStyle w:val="a5"/>
              <w:spacing w:before="0" w:beforeAutospacing="0" w:after="0" w:afterAutospacing="0"/>
              <w:jc w:val="right"/>
            </w:pPr>
            <w:r>
              <w:rPr>
                <w:rFonts w:hint="eastAsia"/>
                <w:kern w:val="2"/>
                <w:sz w:val="21"/>
                <w:lang w:eastAsia="zh-Hans"/>
              </w:rPr>
              <w:t>3.90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067819" w14:textId="77777777" w:rsidR="0084647A" w:rsidRDefault="00DD0235">
            <w:pPr>
              <w:pStyle w:val="a5"/>
              <w:spacing w:before="0" w:beforeAutospacing="0" w:after="0" w:afterAutospacing="0"/>
              <w:jc w:val="right"/>
            </w:pPr>
            <w:r>
              <w:rPr>
                <w:rFonts w:hint="eastAsia"/>
                <w:kern w:val="2"/>
                <w:sz w:val="21"/>
                <w:lang w:eastAsia="zh-Hans"/>
              </w:rPr>
              <w:t>否</w:t>
            </w:r>
          </w:p>
        </w:tc>
      </w:tr>
      <w:tr w:rsidR="0084647A" w14:paraId="49187B87"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D70A62"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B63E2C" w14:textId="77777777" w:rsidR="0084647A" w:rsidRDefault="00DD0235">
            <w:pPr>
              <w:pStyle w:val="a5"/>
              <w:spacing w:before="0" w:beforeAutospacing="0" w:after="0" w:afterAutospacing="0"/>
              <w:jc w:val="center"/>
            </w:pPr>
            <w:r>
              <w:rPr>
                <w:rFonts w:hint="eastAsia"/>
                <w:kern w:val="2"/>
                <w:sz w:val="21"/>
                <w:lang w:eastAsia="zh-Hans"/>
              </w:rPr>
              <w:t>512070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7BFF65" w14:textId="77777777" w:rsidR="0084647A" w:rsidRDefault="00DD0235">
            <w:pPr>
              <w:pStyle w:val="a5"/>
              <w:spacing w:before="0" w:beforeAutospacing="0" w:after="0" w:afterAutospacing="0"/>
              <w:jc w:val="center"/>
            </w:pPr>
            <w:r>
              <w:rPr>
                <w:rFonts w:hint="eastAsia"/>
                <w:kern w:val="2"/>
                <w:sz w:val="21"/>
                <w:lang w:eastAsia="zh-Hans"/>
              </w:rPr>
              <w:t>易方达沪深300非银ETF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4017E44" w14:textId="77777777" w:rsidR="0084647A" w:rsidRDefault="00DD0235">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855AF7F" w14:textId="77777777" w:rsidR="0084647A" w:rsidRDefault="00DD0235">
            <w:pPr>
              <w:pStyle w:val="a5"/>
              <w:spacing w:before="0" w:beforeAutospacing="0" w:after="0" w:afterAutospacing="0"/>
              <w:jc w:val="right"/>
            </w:pPr>
            <w:r>
              <w:rPr>
                <w:rFonts w:hint="eastAsia"/>
                <w:kern w:val="2"/>
                <w:sz w:val="21"/>
                <w:lang w:eastAsia="zh-Hans"/>
              </w:rPr>
              <w:t>13,670,400.00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A3A8F34" w14:textId="77777777" w:rsidR="0084647A" w:rsidRDefault="00DD0235">
            <w:pPr>
              <w:pStyle w:val="a5"/>
              <w:spacing w:before="0" w:beforeAutospacing="0" w:after="0" w:afterAutospacing="0"/>
              <w:jc w:val="right"/>
            </w:pPr>
            <w:r>
              <w:rPr>
                <w:rFonts w:hint="eastAsia"/>
                <w:kern w:val="2"/>
                <w:sz w:val="21"/>
                <w:lang w:eastAsia="zh-Hans"/>
              </w:rPr>
              <w:t>10,430,515.20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947F3A" w14:textId="77777777" w:rsidR="0084647A" w:rsidRDefault="00DD0235">
            <w:pPr>
              <w:pStyle w:val="a5"/>
              <w:spacing w:before="0" w:beforeAutospacing="0" w:after="0" w:afterAutospacing="0"/>
              <w:jc w:val="right"/>
            </w:pPr>
            <w:r>
              <w:rPr>
                <w:rFonts w:hint="eastAsia"/>
                <w:kern w:val="2"/>
                <w:sz w:val="21"/>
                <w:lang w:eastAsia="zh-Hans"/>
              </w:rPr>
              <w:t>3.86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E1BCE6" w14:textId="77777777" w:rsidR="0084647A" w:rsidRDefault="00DD0235">
            <w:pPr>
              <w:pStyle w:val="a5"/>
              <w:spacing w:before="0" w:beforeAutospacing="0" w:after="0" w:afterAutospacing="0"/>
              <w:jc w:val="right"/>
            </w:pPr>
            <w:r>
              <w:rPr>
                <w:rFonts w:hint="eastAsia"/>
                <w:kern w:val="2"/>
                <w:sz w:val="21"/>
                <w:lang w:eastAsia="zh-Hans"/>
              </w:rPr>
              <w:t>否</w:t>
            </w:r>
          </w:p>
        </w:tc>
      </w:tr>
      <w:tr w:rsidR="0084647A" w14:paraId="7899201B" w14:textId="77777777">
        <w:trPr>
          <w:divId w:val="367881422"/>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B47B7D1" w14:textId="77777777" w:rsidR="0084647A" w:rsidRDefault="00DD0235">
            <w:pPr>
              <w:pStyle w:val="a5"/>
              <w:spacing w:before="0" w:beforeAutospacing="0" w:after="0" w:afterAutospacing="0"/>
              <w:ind w:firstLineChars="50" w:firstLine="105"/>
              <w:jc w:val="cente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963BB99" w14:textId="77777777" w:rsidR="0084647A" w:rsidRDefault="00DD0235">
            <w:pPr>
              <w:pStyle w:val="a5"/>
              <w:spacing w:before="0" w:beforeAutospacing="0" w:after="0" w:afterAutospacing="0"/>
              <w:jc w:val="center"/>
            </w:pPr>
            <w:r>
              <w:rPr>
                <w:rFonts w:hint="eastAsia"/>
                <w:kern w:val="2"/>
                <w:sz w:val="21"/>
                <w:lang w:eastAsia="zh-Hans"/>
              </w:rPr>
              <w:t>004200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2209AED" w14:textId="77777777" w:rsidR="0084647A" w:rsidRDefault="00DD0235">
            <w:pPr>
              <w:pStyle w:val="a5"/>
              <w:spacing w:before="0" w:beforeAutospacing="0" w:after="0" w:afterAutospacing="0"/>
              <w:jc w:val="center"/>
            </w:pPr>
            <w:r>
              <w:rPr>
                <w:rFonts w:hint="eastAsia"/>
                <w:kern w:val="2"/>
                <w:sz w:val="21"/>
                <w:lang w:eastAsia="zh-Hans"/>
              </w:rPr>
              <w:t>博时富瑞纯债债券A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E42E5E" w14:textId="77777777" w:rsidR="0084647A" w:rsidRDefault="00DD0235">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D3B5CC" w14:textId="77777777" w:rsidR="0084647A" w:rsidRDefault="00DD0235">
            <w:pPr>
              <w:pStyle w:val="a5"/>
              <w:spacing w:before="0" w:beforeAutospacing="0" w:after="0" w:afterAutospacing="0"/>
              <w:jc w:val="right"/>
            </w:pPr>
            <w:r>
              <w:rPr>
                <w:rFonts w:hint="eastAsia"/>
                <w:kern w:val="2"/>
                <w:sz w:val="21"/>
                <w:lang w:eastAsia="zh-Hans"/>
              </w:rPr>
              <w:t>9,451,790.25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FF2314B" w14:textId="77777777" w:rsidR="0084647A" w:rsidRDefault="00DD0235">
            <w:pPr>
              <w:pStyle w:val="a5"/>
              <w:spacing w:before="0" w:beforeAutospacing="0" w:after="0" w:afterAutospacing="0"/>
              <w:jc w:val="right"/>
            </w:pPr>
            <w:r>
              <w:rPr>
                <w:rFonts w:hint="eastAsia"/>
                <w:kern w:val="2"/>
                <w:sz w:val="21"/>
                <w:lang w:eastAsia="zh-Hans"/>
              </w:rPr>
              <w:t>10,150,277.55</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59F073" w14:textId="77777777" w:rsidR="0084647A" w:rsidRDefault="00DD0235">
            <w:pPr>
              <w:pStyle w:val="a5"/>
              <w:spacing w:before="0" w:beforeAutospacing="0" w:after="0" w:afterAutospacing="0"/>
              <w:jc w:val="right"/>
            </w:pPr>
            <w:r>
              <w:rPr>
                <w:rFonts w:hint="eastAsia"/>
                <w:kern w:val="2"/>
                <w:sz w:val="21"/>
                <w:lang w:eastAsia="zh-Hans"/>
              </w:rPr>
              <w:t>3.76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6A3C54" w14:textId="77777777" w:rsidR="0084647A" w:rsidRDefault="00DD0235">
            <w:pPr>
              <w:pStyle w:val="a5"/>
              <w:spacing w:before="0" w:beforeAutospacing="0" w:after="0" w:afterAutospacing="0"/>
              <w:jc w:val="right"/>
            </w:pPr>
            <w:r>
              <w:rPr>
                <w:rFonts w:hint="eastAsia"/>
                <w:kern w:val="2"/>
                <w:sz w:val="21"/>
                <w:lang w:eastAsia="zh-Hans"/>
              </w:rPr>
              <w:t>否</w:t>
            </w:r>
            <w:bookmarkEnd w:id="275"/>
            <w:bookmarkEnd w:id="276"/>
            <w:bookmarkEnd w:id="277"/>
            <w:bookmarkEnd w:id="278"/>
            <w:bookmarkEnd w:id="175"/>
          </w:p>
        </w:tc>
      </w:tr>
    </w:tbl>
    <w:p w14:paraId="2571917D" w14:textId="77777777" w:rsidR="0084647A" w:rsidRDefault="00DD0235">
      <w:pPr>
        <w:pStyle w:val="XBRLTitle3"/>
        <w:spacing w:before="156"/>
        <w:ind w:left="0"/>
      </w:pPr>
      <w:bookmarkStart w:id="279" w:name="_Toc178112372"/>
      <w:r>
        <w:rPr>
          <w:rFonts w:hint="eastAsia"/>
        </w:rPr>
        <w:t>报告期末按公允价值占基金资产净值比例大小排序的前十名公开募集基础设施证券投资基金投资明细</w:t>
      </w:r>
      <w:bookmarkEnd w:id="279"/>
      <w:bookmarkEnd w:id="157"/>
      <w:bookmarkEnd w:id="158"/>
      <w:bookmarkEnd w:id="159"/>
      <w:bookmarkEnd w:id="160"/>
      <w:r>
        <w:rPr>
          <w:rFonts w:hint="eastAsia"/>
          <w:lang w:eastAsia="zh-CN"/>
        </w:rPr>
        <w:t xml:space="preserve"> </w:t>
      </w:r>
    </w:p>
    <w:p w14:paraId="10E72E9F" w14:textId="77777777" w:rsidR="0084647A" w:rsidRDefault="00DD0235">
      <w:pPr>
        <w:spacing w:line="360" w:lineRule="auto"/>
        <w:ind w:firstLineChars="200" w:firstLine="420"/>
        <w:divId w:val="987562565"/>
        <w:rPr>
          <w:rFonts w:ascii="宋体" w:hAnsi="宋体"/>
          <w:szCs w:val="21"/>
          <w:lang w:eastAsia="zh-Hans"/>
        </w:rPr>
      </w:pPr>
      <w:r>
        <w:rPr>
          <w:rFonts w:ascii="宋体" w:hAnsi="宋体" w:hint="eastAsia"/>
          <w:szCs w:val="21"/>
          <w:lang w:eastAsia="zh-Hans"/>
        </w:rPr>
        <w:t>无。</w:t>
      </w:r>
    </w:p>
    <w:p w14:paraId="0FF444CF" w14:textId="77777777" w:rsidR="0084647A" w:rsidRDefault="00DD0235">
      <w:pPr>
        <w:pStyle w:val="XBRLTitle3"/>
        <w:spacing w:before="156"/>
        <w:ind w:left="0"/>
      </w:pPr>
      <w:bookmarkStart w:id="280" w:name="_Toc178112373"/>
      <w:bookmarkEnd w:id="162"/>
      <w:r>
        <w:rPr>
          <w:rFonts w:hint="eastAsia"/>
        </w:rPr>
        <w:t>报告期末基金持有的全部公开募集基础设施证券投资基金情况</w:t>
      </w:r>
      <w:bookmarkEnd w:id="280"/>
      <w:bookmarkEnd w:id="163"/>
      <w:bookmarkEnd w:id="164"/>
      <w:bookmarkEnd w:id="165"/>
      <w:bookmarkEnd w:id="166"/>
      <w:r>
        <w:rPr>
          <w:rFonts w:hint="eastAsia"/>
          <w:szCs w:val="24"/>
        </w:rPr>
        <w:t xml:space="preserve"> </w:t>
      </w:r>
      <w:bookmarkEnd w:id="18"/>
      <w:bookmarkEnd w:id="19"/>
      <w:bookmarkEnd w:id="20"/>
      <w:bookmarkEnd w:id="65"/>
      <w:bookmarkEnd w:id="66"/>
      <w:bookmarkEnd w:id="15"/>
      <w:bookmarkEnd w:id="16"/>
    </w:p>
    <w:p w14:paraId="290071C6" w14:textId="77777777" w:rsidR="0084647A" w:rsidRDefault="00DD0235">
      <w:pPr>
        <w:spacing w:line="360" w:lineRule="auto"/>
        <w:ind w:firstLineChars="200" w:firstLine="420"/>
        <w:divId w:val="562646164"/>
        <w:rPr>
          <w:rFonts w:ascii="宋体" w:hAnsi="宋体"/>
          <w:szCs w:val="21"/>
          <w:lang w:eastAsia="zh-Hans"/>
        </w:rPr>
      </w:pPr>
      <w:r>
        <w:rPr>
          <w:rFonts w:ascii="宋体" w:hAnsi="宋体" w:hint="eastAsia"/>
          <w:szCs w:val="21"/>
          <w:lang w:eastAsia="zh-Hans"/>
        </w:rPr>
        <w:t>无。</w:t>
      </w:r>
    </w:p>
    <w:p w14:paraId="111971BB" w14:textId="77777777" w:rsidR="0084647A" w:rsidRDefault="00DD0235">
      <w:pPr>
        <w:pStyle w:val="XBRLTitle2"/>
        <w:spacing w:before="156"/>
        <w:ind w:left="454"/>
      </w:pPr>
      <w:bookmarkStart w:id="281" w:name="_Toc502822090"/>
      <w:bookmarkStart w:id="282" w:name="_Toc17899996"/>
      <w:bookmarkStart w:id="283" w:name="_Toc514255301"/>
      <w:r>
        <w:rPr>
          <w:rFonts w:hint="eastAsia"/>
        </w:rPr>
        <w:t>当期交易及持有基金产生的费用</w:t>
      </w:r>
      <w:bookmarkEnd w:id="281"/>
      <w:bookmarkEnd w:id="282"/>
      <w:bookmarkEnd w:id="283"/>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84647A" w14:paraId="284F62CE"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182CBA46" w14:textId="77777777" w:rsidR="0084647A" w:rsidRDefault="00DD0235">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06F2D0C5" w14:textId="77777777" w:rsidR="0084647A" w:rsidRDefault="00DD0235">
            <w:pPr>
              <w:jc w:val="center"/>
            </w:pPr>
            <w:r>
              <w:rPr>
                <w:rFonts w:ascii="宋体" w:hAnsi="宋体" w:hint="eastAsia"/>
                <w:color w:val="000000"/>
              </w:rPr>
              <w:t>本期费用2025年1月1日至2025</w:t>
            </w:r>
            <w:r>
              <w:rPr>
                <w:rFonts w:ascii="宋体" w:hAnsi="宋体" w:hint="eastAsia"/>
                <w:color w:val="000000"/>
              </w:rPr>
              <w:lastRenderedPageBreak/>
              <w:t>年3月31日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2C3FD808" w14:textId="77777777" w:rsidR="0084647A" w:rsidRDefault="00DD0235">
            <w:pPr>
              <w:jc w:val="center"/>
            </w:pPr>
            <w:r>
              <w:rPr>
                <w:rFonts w:ascii="宋体" w:hAnsi="宋体" w:hint="eastAsia"/>
                <w:color w:val="000000"/>
              </w:rPr>
              <w:lastRenderedPageBreak/>
              <w:t>其中：交易及持有基金管理</w:t>
            </w:r>
            <w:r>
              <w:rPr>
                <w:rFonts w:ascii="宋体" w:hAnsi="宋体" w:hint="eastAsia"/>
                <w:color w:val="000000"/>
              </w:rPr>
              <w:lastRenderedPageBreak/>
              <w:t xml:space="preserve">人以及管理人关联方所管理基金产生的费用 </w:t>
            </w:r>
          </w:p>
        </w:tc>
      </w:tr>
      <w:tr w:rsidR="0084647A" w14:paraId="2C6B6D7A"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8E3FA6" w14:textId="77777777" w:rsidR="0084647A" w:rsidRDefault="00DD0235">
            <w:pPr>
              <w:jc w:val="left"/>
            </w:pPr>
            <w:r>
              <w:rPr>
                <w:rFonts w:ascii="宋体" w:hAnsi="宋体" w:hint="eastAsia"/>
                <w:szCs w:val="24"/>
                <w:lang w:eastAsia="zh-Hans"/>
              </w:rPr>
              <w:lastRenderedPageBreak/>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2C695E" w14:textId="77777777" w:rsidR="0084647A" w:rsidRDefault="00DD0235">
            <w:pPr>
              <w:jc w:val="right"/>
            </w:pPr>
            <w:r>
              <w:rPr>
                <w:rFonts w:ascii="宋体" w:hAnsi="宋体" w:hint="eastAsia"/>
                <w:szCs w:val="24"/>
                <w:lang w:eastAsia="zh-Hans"/>
              </w:rPr>
              <w:t>-</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D31F7A" w14:textId="77777777" w:rsidR="0084647A" w:rsidRDefault="00DD0235">
            <w:pPr>
              <w:jc w:val="right"/>
            </w:pPr>
            <w:r>
              <w:rPr>
                <w:rFonts w:ascii="宋体" w:hAnsi="宋体" w:hint="eastAsia"/>
                <w:szCs w:val="24"/>
                <w:lang w:eastAsia="zh-Hans"/>
              </w:rPr>
              <w:t>-</w:t>
            </w:r>
          </w:p>
        </w:tc>
      </w:tr>
      <w:tr w:rsidR="0084647A" w14:paraId="0B12C622"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053B936" w14:textId="77777777" w:rsidR="0084647A" w:rsidRDefault="00DD0235">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6F528EF" w14:textId="77777777" w:rsidR="0084647A" w:rsidRDefault="00DD0235">
            <w:pPr>
              <w:jc w:val="right"/>
            </w:pPr>
            <w:r>
              <w:rPr>
                <w:rFonts w:ascii="宋体" w:hAnsi="宋体" w:hint="eastAsia"/>
                <w:szCs w:val="24"/>
                <w:lang w:eastAsia="zh-Hans"/>
              </w:rPr>
              <w:t>3,675.86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3003E8" w14:textId="77777777" w:rsidR="0084647A" w:rsidRDefault="00DD0235">
            <w:pPr>
              <w:jc w:val="right"/>
            </w:pPr>
            <w:r>
              <w:rPr>
                <w:rFonts w:ascii="宋体" w:hAnsi="宋体" w:hint="eastAsia"/>
                <w:szCs w:val="24"/>
                <w:lang w:eastAsia="zh-Hans"/>
              </w:rPr>
              <w:t>-</w:t>
            </w:r>
          </w:p>
        </w:tc>
      </w:tr>
      <w:tr w:rsidR="0084647A" w14:paraId="2D789EC5"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A47BA93" w14:textId="77777777" w:rsidR="0084647A" w:rsidRDefault="00DD0235">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CCD8A65" w14:textId="77777777" w:rsidR="0084647A" w:rsidRDefault="00DD0235">
            <w:pPr>
              <w:jc w:val="right"/>
            </w:pPr>
            <w:r>
              <w:rPr>
                <w:rFonts w:ascii="宋体" w:hAnsi="宋体" w:hint="eastAsia"/>
                <w:szCs w:val="24"/>
                <w:lang w:eastAsia="zh-Hans"/>
              </w:rPr>
              <w:t>17,832.59</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431B3C" w14:textId="77777777" w:rsidR="0084647A" w:rsidRDefault="00DD0235">
            <w:pPr>
              <w:jc w:val="right"/>
            </w:pPr>
            <w:r>
              <w:rPr>
                <w:rFonts w:ascii="宋体" w:hAnsi="宋体" w:hint="eastAsia"/>
                <w:szCs w:val="24"/>
                <w:lang w:eastAsia="zh-Hans"/>
              </w:rPr>
              <w:t>0.90</w:t>
            </w:r>
          </w:p>
        </w:tc>
      </w:tr>
      <w:tr w:rsidR="0084647A" w14:paraId="00C79908"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6FBA78" w14:textId="77777777" w:rsidR="0084647A" w:rsidRDefault="00DD0235">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4514B55" w14:textId="77777777" w:rsidR="0084647A" w:rsidRDefault="00DD0235">
            <w:pPr>
              <w:jc w:val="right"/>
            </w:pPr>
            <w:r>
              <w:rPr>
                <w:rFonts w:ascii="宋体" w:hAnsi="宋体" w:hint="eastAsia"/>
                <w:szCs w:val="24"/>
                <w:lang w:eastAsia="zh-Hans"/>
              </w:rPr>
              <w:t>519,661.27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C3EF7F" w14:textId="77777777" w:rsidR="0084647A" w:rsidRDefault="00DD0235">
            <w:pPr>
              <w:jc w:val="right"/>
            </w:pPr>
            <w:r>
              <w:rPr>
                <w:rFonts w:ascii="宋体" w:hAnsi="宋体" w:hint="eastAsia"/>
                <w:szCs w:val="24"/>
                <w:lang w:eastAsia="zh-Hans"/>
              </w:rPr>
              <w:t>125,121.65</w:t>
            </w:r>
          </w:p>
        </w:tc>
      </w:tr>
      <w:tr w:rsidR="0084647A" w14:paraId="02CEE650"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4467CBC" w14:textId="77777777" w:rsidR="0084647A" w:rsidRDefault="00DD0235">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F2BEDF3" w14:textId="77777777" w:rsidR="0084647A" w:rsidRDefault="00DD0235">
            <w:pPr>
              <w:jc w:val="right"/>
            </w:pPr>
            <w:r>
              <w:rPr>
                <w:rFonts w:ascii="宋体" w:hAnsi="宋体" w:hint="eastAsia"/>
                <w:szCs w:val="24"/>
                <w:lang w:eastAsia="zh-Hans"/>
              </w:rPr>
              <w:t>92,191.87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544458" w14:textId="77777777" w:rsidR="0084647A" w:rsidRDefault="00DD0235">
            <w:pPr>
              <w:jc w:val="right"/>
            </w:pPr>
            <w:r>
              <w:rPr>
                <w:rFonts w:ascii="宋体" w:hAnsi="宋体" w:hint="eastAsia"/>
                <w:szCs w:val="24"/>
                <w:lang w:eastAsia="zh-Hans"/>
              </w:rPr>
              <w:t>14,105.74</w:t>
            </w:r>
          </w:p>
        </w:tc>
      </w:tr>
      <w:tr w:rsidR="0084647A" w14:paraId="668AE508" w14:textId="77777777">
        <w:trPr>
          <w:divId w:val="1408652799"/>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6662A02" w14:textId="77777777" w:rsidR="0084647A" w:rsidRDefault="00DD0235">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66693E" w14:textId="77777777" w:rsidR="0084647A" w:rsidRDefault="00DD0235">
            <w:pPr>
              <w:jc w:val="right"/>
            </w:pPr>
            <w:r>
              <w:rPr>
                <w:rFonts w:ascii="宋体" w:hAnsi="宋体" w:hint="eastAsia"/>
                <w:szCs w:val="24"/>
                <w:lang w:eastAsia="zh-Hans"/>
              </w:rPr>
              <w:t>516.81</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E04A2F" w14:textId="77777777" w:rsidR="0084647A" w:rsidRDefault="00DD0235">
            <w:pPr>
              <w:jc w:val="right"/>
            </w:pPr>
            <w:r>
              <w:rPr>
                <w:rFonts w:ascii="宋体" w:hAnsi="宋体" w:hint="eastAsia"/>
                <w:szCs w:val="24"/>
                <w:lang w:eastAsia="zh-Hans"/>
              </w:rPr>
              <w:t>-</w:t>
            </w:r>
          </w:p>
        </w:tc>
      </w:tr>
    </w:tbl>
    <w:p w14:paraId="79815CC3" w14:textId="77777777" w:rsidR="0084647A" w:rsidRDefault="00DD0235">
      <w:pPr>
        <w:pStyle w:val="XBRLTitle2"/>
        <w:spacing w:before="156"/>
        <w:ind w:left="454"/>
      </w:pPr>
      <w:bookmarkStart w:id="284" w:name="_Toc502858552"/>
      <w:bookmarkStart w:id="285" w:name="_Toc17899997"/>
      <w:bookmarkStart w:id="286" w:name="_Toc514255302"/>
      <w:r>
        <w:rPr>
          <w:rFonts w:hint="eastAsia"/>
        </w:rPr>
        <w:t>本报告期持有的基金发生的重大影响事件</w:t>
      </w:r>
      <w:bookmarkEnd w:id="284"/>
      <w:bookmarkEnd w:id="285"/>
      <w:bookmarkEnd w:id="286"/>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84647A" w14:paraId="49444993" w14:textId="77777777">
        <w:trPr>
          <w:divId w:val="891426982"/>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72D0A484" w14:textId="77777777" w:rsidR="0084647A" w:rsidRDefault="00DD0235">
            <w:pPr>
              <w:spacing w:line="360" w:lineRule="auto"/>
              <w:jc w:val="left"/>
            </w:pPr>
            <w:r>
              <w:rPr>
                <w:rFonts w:ascii="宋体" w:hAnsi="宋体" w:cs="宋体" w:hint="eastAsia"/>
                <w:color w:val="000000"/>
                <w:kern w:val="0"/>
              </w:rPr>
              <w:t>无。</w:t>
            </w:r>
          </w:p>
        </w:tc>
      </w:tr>
    </w:tbl>
    <w:p w14:paraId="5BC75C59" w14:textId="77777777" w:rsidR="0084647A" w:rsidRDefault="00DD0235">
      <w:pPr>
        <w:pStyle w:val="XBRLTitle1"/>
        <w:spacing w:before="156" w:line="360" w:lineRule="auto"/>
        <w:ind w:left="425"/>
      </w:pPr>
      <w:bookmarkStart w:id="287" w:name="_Toc17899998"/>
      <w:bookmarkStart w:id="288" w:name="_Toc512519521"/>
      <w:bookmarkStart w:id="289" w:name="_Toc481075089"/>
      <w:bookmarkStart w:id="290" w:name="_Toc438646477"/>
      <w:bookmarkStart w:id="291" w:name="_Toc490050042"/>
      <w:bookmarkStart w:id="292" w:name="_Toc513295870"/>
      <w:bookmarkStart w:id="293" w:name="_Toc513295933"/>
      <w:bookmarkStart w:id="294" w:name="m601"/>
      <w:bookmarkEnd w:id="270"/>
      <w:r>
        <w:rPr>
          <w:rFonts w:hAnsi="宋体" w:hint="eastAsia"/>
        </w:rPr>
        <w:t>开放式基金份额变动</w:t>
      </w:r>
      <w:bookmarkStart w:id="295" w:name="m601_tab"/>
      <w:bookmarkEnd w:id="287"/>
      <w:bookmarkEnd w:id="288"/>
      <w:bookmarkEnd w:id="289"/>
      <w:bookmarkEnd w:id="290"/>
      <w:bookmarkEnd w:id="291"/>
      <w:bookmarkEnd w:id="292"/>
      <w:bookmarkEnd w:id="293"/>
      <w:r>
        <w:rPr>
          <w:rFonts w:hAnsi="宋体" w:hint="eastAsia"/>
        </w:rPr>
        <w:t xml:space="preserve"> </w:t>
      </w:r>
    </w:p>
    <w:p w14:paraId="0A2EBB45" w14:textId="77777777" w:rsidR="0084647A" w:rsidRDefault="00DD0235">
      <w:pPr>
        <w:wordWrap w:val="0"/>
        <w:spacing w:line="360" w:lineRule="auto"/>
        <w:jc w:val="right"/>
        <w:divId w:val="1326207247"/>
      </w:pPr>
      <w:bookmarkStart w:id="29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84647A" w14:paraId="2B74A4C1" w14:textId="77777777">
        <w:trPr>
          <w:divId w:val="1326207247"/>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DD2FFFD" w14:textId="77777777" w:rsidR="0084647A" w:rsidRDefault="00DD0235">
            <w:pPr>
              <w:pStyle w:val="xl33"/>
              <w:widowControl w:val="0"/>
              <w:pBdr>
                <w:left w:val="none" w:sz="0" w:space="0" w:color="auto"/>
                <w:bottom w:val="none" w:sz="0" w:space="0" w:color="auto"/>
                <w:right w:val="none" w:sz="0" w:space="0" w:color="auto"/>
              </w:pBdr>
              <w:spacing w:before="0" w:beforeAutospacing="0" w:after="0" w:afterAutospacing="0"/>
              <w:jc w:val="both"/>
            </w:pPr>
            <w:bookmarkStart w:id="297" w:name="m10_01" w:colFirst="1" w:colLast="2"/>
            <w:bookmarkEnd w:id="296"/>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3500B" w14:textId="77777777" w:rsidR="0084647A" w:rsidRDefault="00DD0235">
            <w:pPr>
              <w:ind w:right="3"/>
              <w:jc w:val="center"/>
            </w:pPr>
            <w:r>
              <w:rPr>
                <w:rFonts w:ascii="宋体" w:hAnsi="宋体" w:hint="eastAsia"/>
                <w:lang w:eastAsia="zh-Hans"/>
              </w:rPr>
              <w:t>摩根博睿均衡一年持有混合(FOF)A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AC9C" w14:textId="77777777" w:rsidR="0084647A" w:rsidRDefault="00DD0235">
            <w:pPr>
              <w:ind w:right="3"/>
              <w:jc w:val="center"/>
            </w:pPr>
            <w:r>
              <w:rPr>
                <w:rFonts w:ascii="宋体" w:hAnsi="宋体" w:hint="eastAsia"/>
                <w:lang w:eastAsia="zh-Hans"/>
              </w:rPr>
              <w:t>摩根博睿均衡一年持有混合(FOF)C</w:t>
            </w:r>
            <w:r>
              <w:rPr>
                <w:rFonts w:ascii="宋体" w:hAnsi="宋体" w:hint="eastAsia"/>
                <w:kern w:val="0"/>
                <w:szCs w:val="24"/>
                <w:lang w:eastAsia="zh-Hans"/>
              </w:rPr>
              <w:t xml:space="preserve"> </w:t>
            </w:r>
          </w:p>
        </w:tc>
      </w:tr>
      <w:tr w:rsidR="0084647A" w14:paraId="4704A232" w14:textId="77777777">
        <w:trPr>
          <w:divId w:val="1326207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E14FEA" w14:textId="77777777" w:rsidR="0084647A" w:rsidRDefault="00DD023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C388A4" w14:textId="77777777" w:rsidR="0084647A" w:rsidRDefault="00DD0235">
            <w:pPr>
              <w:jc w:val="right"/>
            </w:pPr>
            <w:r>
              <w:rPr>
                <w:rFonts w:ascii="宋体" w:hAnsi="宋体" w:hint="eastAsia"/>
              </w:rPr>
              <w:t>142,210,589.68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5DE41A" w14:textId="77777777" w:rsidR="0084647A" w:rsidRDefault="00DD0235">
            <w:pPr>
              <w:jc w:val="right"/>
            </w:pPr>
            <w:r>
              <w:rPr>
                <w:rFonts w:ascii="宋体" w:hAnsi="宋体" w:hint="eastAsia"/>
              </w:rPr>
              <w:t>165,315,890.44</w:t>
            </w:r>
          </w:p>
        </w:tc>
      </w:tr>
      <w:tr w:rsidR="0084647A" w14:paraId="7EFA56B9" w14:textId="77777777">
        <w:trPr>
          <w:divId w:val="1326207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CF2F75" w14:textId="77777777" w:rsidR="0084647A" w:rsidRDefault="00DD023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5C6670" w14:textId="77777777" w:rsidR="0084647A" w:rsidRDefault="00DD0235">
            <w:pPr>
              <w:jc w:val="right"/>
            </w:pPr>
            <w:r>
              <w:rPr>
                <w:rFonts w:ascii="宋体" w:hAnsi="宋体" w:hint="eastAsia"/>
              </w:rPr>
              <w:t>690,376.57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D27C61" w14:textId="77777777" w:rsidR="0084647A" w:rsidRDefault="00DD0235">
            <w:pPr>
              <w:jc w:val="right"/>
            </w:pPr>
            <w:r>
              <w:rPr>
                <w:rFonts w:ascii="宋体" w:hAnsi="宋体" w:hint="eastAsia"/>
              </w:rPr>
              <w:t>66,084.94</w:t>
            </w:r>
          </w:p>
        </w:tc>
      </w:tr>
      <w:tr w:rsidR="0084647A" w14:paraId="644CCD5A" w14:textId="77777777">
        <w:trPr>
          <w:divId w:val="1326207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DE04F8" w14:textId="77777777" w:rsidR="0084647A" w:rsidRDefault="00DD023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719169" w14:textId="77777777" w:rsidR="0084647A" w:rsidRDefault="00DD0235">
            <w:pPr>
              <w:jc w:val="right"/>
            </w:pPr>
            <w:r>
              <w:rPr>
                <w:rFonts w:ascii="宋体" w:hAnsi="宋体" w:hint="eastAsia"/>
              </w:rPr>
              <w:t>15,186,439.79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E43187" w14:textId="77777777" w:rsidR="0084647A" w:rsidRDefault="00DD0235">
            <w:pPr>
              <w:jc w:val="right"/>
            </w:pPr>
            <w:r>
              <w:rPr>
                <w:rFonts w:ascii="宋体" w:hAnsi="宋体" w:hint="eastAsia"/>
              </w:rPr>
              <w:t>14,609,033.81</w:t>
            </w:r>
          </w:p>
        </w:tc>
      </w:tr>
      <w:tr w:rsidR="0084647A" w14:paraId="371702F9" w14:textId="77777777">
        <w:trPr>
          <w:divId w:val="1326207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6ED035" w14:textId="77777777" w:rsidR="0084647A" w:rsidRDefault="00DD023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366B47" w14:textId="77777777" w:rsidR="0084647A" w:rsidRDefault="00DD023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BE5D89" w14:textId="77777777" w:rsidR="0084647A" w:rsidRDefault="00DD0235">
            <w:pPr>
              <w:jc w:val="right"/>
            </w:pPr>
            <w:r>
              <w:rPr>
                <w:rFonts w:ascii="宋体" w:hAnsi="宋体" w:hint="eastAsia"/>
              </w:rPr>
              <w:t>-</w:t>
            </w:r>
          </w:p>
        </w:tc>
      </w:tr>
      <w:tr w:rsidR="0084647A" w14:paraId="7B85D1DB" w14:textId="77777777">
        <w:trPr>
          <w:divId w:val="1326207247"/>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D9D8C3" w14:textId="77777777" w:rsidR="0084647A" w:rsidRDefault="00DD023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5D5D33" w14:textId="77777777" w:rsidR="0084647A" w:rsidRDefault="00DD0235">
            <w:pPr>
              <w:jc w:val="right"/>
            </w:pPr>
            <w:r>
              <w:rPr>
                <w:rFonts w:ascii="宋体" w:hAnsi="宋体" w:hint="eastAsia"/>
              </w:rPr>
              <w:t>127,714,526.46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CD3563" w14:textId="77777777" w:rsidR="0084647A" w:rsidRDefault="00DD0235">
            <w:pPr>
              <w:jc w:val="right"/>
            </w:pPr>
            <w:r>
              <w:rPr>
                <w:rFonts w:ascii="宋体" w:hAnsi="宋体" w:hint="eastAsia"/>
              </w:rPr>
              <w:t>150,772,941.57</w:t>
            </w:r>
          </w:p>
        </w:tc>
      </w:tr>
    </w:tbl>
    <w:p w14:paraId="57D0B5EB" w14:textId="77777777" w:rsidR="0084647A" w:rsidRDefault="00DD0235">
      <w:pPr>
        <w:spacing w:line="360" w:lineRule="auto"/>
        <w:jc w:val="left"/>
        <w:divId w:val="1326207247"/>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97"/>
      <w:r>
        <w:rPr>
          <w:rFonts w:ascii="宋体" w:hAnsi="宋体" w:hint="eastAsia"/>
        </w:rPr>
        <w:t xml:space="preserve"> </w:t>
      </w:r>
    </w:p>
    <w:p w14:paraId="7CDFDFD8" w14:textId="77777777" w:rsidR="0084647A" w:rsidRDefault="00DD0235">
      <w:pPr>
        <w:pStyle w:val="XBRLTitle1"/>
        <w:spacing w:before="156" w:line="360" w:lineRule="auto"/>
        <w:ind w:left="425"/>
      </w:pPr>
      <w:bookmarkStart w:id="298" w:name="_Toc17899999"/>
      <w:bookmarkStart w:id="299" w:name="m7manage01"/>
      <w:bookmarkStart w:id="300" w:name="_Toc512519522"/>
      <w:bookmarkStart w:id="301" w:name="_Toc481075090"/>
      <w:bookmarkStart w:id="302" w:name="_Toc438646478"/>
      <w:bookmarkStart w:id="303" w:name="_Toc490050043"/>
      <w:bookmarkStart w:id="304" w:name="_Toc513295871"/>
      <w:bookmarkStart w:id="305" w:name="_Toc513295934"/>
      <w:bookmarkEnd w:id="294"/>
      <w:bookmarkEnd w:id="295"/>
      <w:r>
        <w:rPr>
          <w:rFonts w:hAnsi="宋体" w:hint="eastAsia"/>
        </w:rPr>
        <w:t>基金管理人运用固有资金投资本基金情况</w:t>
      </w:r>
      <w:bookmarkEnd w:id="298"/>
      <w:bookmarkEnd w:id="299"/>
      <w:bookmarkEnd w:id="300"/>
      <w:bookmarkEnd w:id="301"/>
      <w:bookmarkEnd w:id="302"/>
      <w:bookmarkEnd w:id="303"/>
      <w:bookmarkEnd w:id="304"/>
      <w:bookmarkEnd w:id="305"/>
      <w:r>
        <w:rPr>
          <w:rFonts w:hAnsi="宋体" w:hint="eastAsia"/>
        </w:rPr>
        <w:t xml:space="preserve"> </w:t>
      </w:r>
    </w:p>
    <w:p w14:paraId="339B5BC1" w14:textId="77777777" w:rsidR="0084647A" w:rsidRDefault="00DD0235">
      <w:pPr>
        <w:pStyle w:val="XBRLTitle2"/>
        <w:spacing w:before="156" w:line="360" w:lineRule="auto"/>
        <w:ind w:left="454"/>
      </w:pPr>
      <w:bookmarkStart w:id="306" w:name="_Toc17900000"/>
      <w:bookmarkStart w:id="307" w:name="_Toc512519523"/>
      <w:bookmarkStart w:id="308" w:name="_Toc481075091"/>
      <w:bookmarkStart w:id="309" w:name="_Toc458599606"/>
      <w:bookmarkStart w:id="310" w:name="_Toc490050044"/>
      <w:bookmarkStart w:id="311" w:name="_Toc513295872"/>
      <w:bookmarkStart w:id="312" w:name="_Toc513295935"/>
      <w:r>
        <w:rPr>
          <w:rFonts w:hAnsi="宋体" w:hint="eastAsia"/>
        </w:rPr>
        <w:t>基金管理人持有本基金份额变动情况</w:t>
      </w:r>
      <w:bookmarkEnd w:id="306"/>
      <w:bookmarkEnd w:id="307"/>
      <w:bookmarkEnd w:id="308"/>
      <w:bookmarkEnd w:id="309"/>
      <w:bookmarkEnd w:id="310"/>
      <w:bookmarkEnd w:id="311"/>
      <w:bookmarkEnd w:id="312"/>
      <w:r>
        <w:rPr>
          <w:rFonts w:hAnsi="宋体" w:hint="eastAsia"/>
          <w:lang w:eastAsia="zh-CN"/>
        </w:rPr>
        <w:t xml:space="preserve"> </w:t>
      </w:r>
    </w:p>
    <w:p w14:paraId="6A1BBF5F" w14:textId="77777777" w:rsidR="0084647A" w:rsidRDefault="00DD0235">
      <w:pPr>
        <w:wordWrap w:val="0"/>
        <w:spacing w:line="360" w:lineRule="auto"/>
        <w:jc w:val="right"/>
        <w:divId w:val="65761112"/>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84647A" w14:paraId="77490BA1" w14:textId="77777777">
        <w:trPr>
          <w:divId w:val="65761112"/>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5898B8F" w14:textId="77777777" w:rsidR="0084647A" w:rsidRDefault="00DD0235">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8BBC3F1" w14:textId="77777777" w:rsidR="0084647A" w:rsidRDefault="00DD0235">
            <w:pPr>
              <w:jc w:val="center"/>
            </w:pPr>
            <w:r>
              <w:rPr>
                <w:rFonts w:ascii="宋体" w:hAnsi="宋体" w:hint="eastAsia"/>
                <w:lang w:eastAsia="zh-Hans"/>
              </w:rPr>
              <w:t>摩根博睿均衡一年持有混合(FOF)A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58C9F8" w14:textId="77777777" w:rsidR="0084647A" w:rsidRDefault="00DD0235">
            <w:pPr>
              <w:jc w:val="center"/>
            </w:pPr>
            <w:r>
              <w:rPr>
                <w:rFonts w:ascii="宋体" w:hAnsi="宋体" w:hint="eastAsia"/>
                <w:lang w:eastAsia="zh-Hans"/>
              </w:rPr>
              <w:t>摩根博睿均衡一年持有混合(FOF)C</w:t>
            </w:r>
            <w:r>
              <w:rPr>
                <w:rFonts w:ascii="宋体" w:hAnsi="宋体" w:hint="eastAsia"/>
                <w:color w:val="000000"/>
              </w:rPr>
              <w:t xml:space="preserve"> </w:t>
            </w:r>
          </w:p>
        </w:tc>
      </w:tr>
      <w:tr w:rsidR="0084647A" w14:paraId="2E17DFE3" w14:textId="77777777">
        <w:trPr>
          <w:divId w:val="6576111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5005D7" w14:textId="77777777" w:rsidR="0084647A" w:rsidRDefault="00DD0235">
            <w:pPr>
              <w:pStyle w:val="a5"/>
              <w:widowControl w:val="0"/>
              <w:spacing w:before="0" w:beforeAutospacing="0" w:after="0" w:afterAutospacing="0"/>
              <w:jc w:val="both"/>
            </w:pPr>
            <w:r>
              <w:rPr>
                <w:rFonts w:cstheme="minorBidi" w:hint="eastAsia"/>
                <w:kern w:val="2"/>
                <w:sz w:val="21"/>
              </w:rPr>
              <w:t>报告期期初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FCE7BD" w14:textId="77777777" w:rsidR="0084647A" w:rsidRDefault="00DD0235">
            <w:pPr>
              <w:jc w:val="right"/>
            </w:pPr>
            <w:r>
              <w:rPr>
                <w:rFonts w:ascii="宋体" w:hAnsi="宋体" w:hint="eastAsia"/>
                <w:kern w:val="0"/>
                <w:szCs w:val="24"/>
                <w:lang w:eastAsia="zh-Hans"/>
              </w:rPr>
              <w:t>1,510,655.35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53274F" w14:textId="77777777" w:rsidR="0084647A" w:rsidRDefault="00DD0235">
            <w:pPr>
              <w:jc w:val="right"/>
            </w:pPr>
            <w:r>
              <w:rPr>
                <w:rFonts w:ascii="宋体" w:hAnsi="宋体" w:hint="eastAsia"/>
                <w:kern w:val="0"/>
                <w:szCs w:val="24"/>
                <w:lang w:eastAsia="zh-Hans"/>
              </w:rPr>
              <w:t>-</w:t>
            </w:r>
          </w:p>
        </w:tc>
      </w:tr>
      <w:tr w:rsidR="0084647A" w14:paraId="01D3DBC5" w14:textId="77777777">
        <w:trPr>
          <w:divId w:val="6576111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4C74D" w14:textId="77777777" w:rsidR="0084647A" w:rsidRDefault="00DD0235">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ECBE3" w14:textId="77777777" w:rsidR="0084647A" w:rsidRDefault="00DD0235">
            <w:pPr>
              <w:jc w:val="right"/>
            </w:pPr>
            <w:r>
              <w:rPr>
                <w:rFonts w:ascii="宋体" w:hAnsi="宋体" w:hint="eastAsia"/>
                <w:szCs w:val="24"/>
                <w:lang w:eastAsia="zh-Hans"/>
              </w:rPr>
              <w:t>340,978.43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0810F" w14:textId="77777777" w:rsidR="0084647A" w:rsidRDefault="00DD0235">
            <w:pPr>
              <w:jc w:val="right"/>
            </w:pPr>
            <w:r>
              <w:rPr>
                <w:rFonts w:ascii="宋体" w:hAnsi="宋体" w:hint="eastAsia"/>
                <w:szCs w:val="24"/>
                <w:lang w:eastAsia="zh-Hans"/>
              </w:rPr>
              <w:t>-</w:t>
            </w:r>
          </w:p>
        </w:tc>
      </w:tr>
      <w:tr w:rsidR="0084647A" w14:paraId="1DC0CEDD" w14:textId="77777777">
        <w:trPr>
          <w:divId w:val="6576111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2B456" w14:textId="77777777" w:rsidR="0084647A" w:rsidRDefault="00DD0235">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D21AE" w14:textId="77777777" w:rsidR="0084647A" w:rsidRDefault="00DD0235">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320A44" w14:textId="77777777" w:rsidR="0084647A" w:rsidRDefault="00DD0235">
            <w:pPr>
              <w:jc w:val="right"/>
            </w:pPr>
            <w:r>
              <w:rPr>
                <w:rFonts w:ascii="宋体" w:hAnsi="宋体" w:hint="eastAsia"/>
                <w:lang w:eastAsia="zh-Hans"/>
              </w:rPr>
              <w:t>-</w:t>
            </w:r>
          </w:p>
        </w:tc>
      </w:tr>
      <w:tr w:rsidR="0084647A" w14:paraId="2AAE682E" w14:textId="77777777">
        <w:trPr>
          <w:divId w:val="6576111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CA6F1" w14:textId="77777777" w:rsidR="0084647A" w:rsidRDefault="00DD0235">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D16F0" w14:textId="77777777" w:rsidR="0084647A" w:rsidRDefault="00DD0235">
            <w:pPr>
              <w:jc w:val="right"/>
            </w:pPr>
            <w:r>
              <w:rPr>
                <w:rFonts w:ascii="宋体" w:hAnsi="宋体" w:hint="eastAsia"/>
                <w:lang w:eastAsia="zh-Hans"/>
              </w:rPr>
              <w:t>1,851,633.78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5AF2F" w14:textId="77777777" w:rsidR="0084647A" w:rsidRDefault="00DD0235">
            <w:pPr>
              <w:jc w:val="right"/>
            </w:pPr>
            <w:r>
              <w:rPr>
                <w:rFonts w:ascii="宋体" w:hAnsi="宋体" w:hint="eastAsia"/>
                <w:lang w:eastAsia="zh-Hans"/>
              </w:rPr>
              <w:t>-</w:t>
            </w:r>
          </w:p>
        </w:tc>
      </w:tr>
      <w:tr w:rsidR="0084647A" w14:paraId="1D558F1F" w14:textId="77777777">
        <w:trPr>
          <w:divId w:val="65761112"/>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DF78D6" w14:textId="77777777" w:rsidR="0084647A" w:rsidRDefault="00DD0235">
            <w:pPr>
              <w:pStyle w:val="a5"/>
              <w:widowControl w:val="0"/>
              <w:spacing w:before="0" w:beforeAutospacing="0" w:after="0" w:afterAutospacing="0"/>
              <w:jc w:val="both"/>
            </w:pPr>
            <w:r>
              <w:rPr>
                <w:rFonts w:cstheme="minorBidi" w:hint="eastAsia"/>
                <w:kern w:val="2"/>
                <w:sz w:val="21"/>
              </w:rPr>
              <w:t>报告期期末持有的本基金份额占基金总</w:t>
            </w:r>
            <w:r>
              <w:rPr>
                <w:rFonts w:cstheme="minorBidi" w:hint="eastAsia"/>
                <w:kern w:val="2"/>
                <w:sz w:val="21"/>
              </w:rPr>
              <w:lastRenderedPageBreak/>
              <w:t>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2B9890" w14:textId="77777777" w:rsidR="0084647A" w:rsidRDefault="00DD0235">
            <w:pPr>
              <w:jc w:val="right"/>
            </w:pPr>
            <w:r>
              <w:rPr>
                <w:rFonts w:ascii="宋体" w:hAnsi="宋体" w:hint="eastAsia"/>
                <w:lang w:eastAsia="zh-Hans"/>
              </w:rPr>
              <w:lastRenderedPageBreak/>
              <w:t>0.66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898AB" w14:textId="77777777" w:rsidR="0084647A" w:rsidRDefault="00DD0235">
            <w:pPr>
              <w:jc w:val="right"/>
            </w:pPr>
            <w:r>
              <w:rPr>
                <w:rFonts w:ascii="宋体" w:hAnsi="宋体" w:hint="eastAsia"/>
                <w:lang w:eastAsia="zh-Hans"/>
              </w:rPr>
              <w:t>-</w:t>
            </w:r>
          </w:p>
        </w:tc>
      </w:tr>
    </w:tbl>
    <w:p w14:paraId="7660582C" w14:textId="77777777" w:rsidR="0084647A" w:rsidRDefault="00DD0235">
      <w:pPr>
        <w:pStyle w:val="XBRLTitle2"/>
        <w:spacing w:before="156" w:line="360" w:lineRule="auto"/>
        <w:ind w:left="454"/>
      </w:pPr>
      <w:bookmarkStart w:id="313" w:name="_Toc17900001"/>
      <w:bookmarkStart w:id="314" w:name="_Toc512519524"/>
      <w:bookmarkStart w:id="315" w:name="_Toc481075092"/>
      <w:bookmarkStart w:id="316" w:name="_Toc458599607"/>
      <w:bookmarkStart w:id="317" w:name="_Toc490050045"/>
      <w:bookmarkStart w:id="318" w:name="_Toc513295873"/>
      <w:bookmarkStart w:id="319" w:name="_Toc513295936"/>
      <w:r>
        <w:rPr>
          <w:rFonts w:hAnsi="宋体" w:hint="eastAsia"/>
        </w:rPr>
        <w:t>基金管理人运用固有资金投资本基金交易明细</w:t>
      </w:r>
      <w:bookmarkEnd w:id="313"/>
      <w:bookmarkEnd w:id="314"/>
      <w:bookmarkEnd w:id="315"/>
      <w:bookmarkEnd w:id="316"/>
      <w:bookmarkEnd w:id="317"/>
      <w:bookmarkEnd w:id="318"/>
      <w:bookmarkEnd w:id="319"/>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84647A" w14:paraId="16DFD826" w14:textId="77777777">
        <w:trPr>
          <w:divId w:val="650911225"/>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9238DDD" w14:textId="77777777" w:rsidR="0084647A" w:rsidRDefault="00DD0235">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406371F" w14:textId="77777777" w:rsidR="0084647A" w:rsidRDefault="00DD0235">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D7D5FF3" w14:textId="77777777" w:rsidR="0084647A" w:rsidRDefault="00DD0235">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D6D640" w14:textId="77777777" w:rsidR="0084647A" w:rsidRDefault="00DD0235">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E64173" w14:textId="77777777" w:rsidR="0084647A" w:rsidRDefault="00DD0235">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699758" w14:textId="77777777" w:rsidR="0084647A" w:rsidRDefault="00DD0235">
            <w:pPr>
              <w:spacing w:line="360" w:lineRule="auto"/>
              <w:jc w:val="center"/>
            </w:pPr>
            <w:r>
              <w:rPr>
                <w:rFonts w:ascii="宋体" w:hAnsi="宋体" w:hint="eastAsia"/>
              </w:rPr>
              <w:t xml:space="preserve">适用费率(%) </w:t>
            </w:r>
          </w:p>
        </w:tc>
      </w:tr>
      <w:tr w:rsidR="0084647A" w14:paraId="53138B40" w14:textId="77777777">
        <w:trPr>
          <w:divId w:val="65091122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3E0BB" w14:textId="77777777" w:rsidR="0084647A" w:rsidRDefault="00DD0235">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811EE2" w14:textId="77777777" w:rsidR="0084647A" w:rsidRDefault="00DD0235">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A7960" w14:textId="77777777" w:rsidR="0084647A" w:rsidRDefault="00DD0235">
            <w:pPr>
              <w:spacing w:line="360" w:lineRule="auto"/>
              <w:jc w:val="center"/>
            </w:pPr>
            <w:r>
              <w:rPr>
                <w:rFonts w:ascii="宋体" w:hAnsi="宋体" w:hint="eastAsia"/>
              </w:rPr>
              <w:t>2025-02-06</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F3755" w14:textId="77777777" w:rsidR="0084647A" w:rsidRDefault="00DD0235">
            <w:pPr>
              <w:spacing w:line="360" w:lineRule="auto"/>
              <w:jc w:val="right"/>
            </w:pPr>
            <w:r>
              <w:rPr>
                <w:rFonts w:ascii="宋体" w:hAnsi="宋体" w:hint="eastAsia"/>
              </w:rPr>
              <w:t>340,978.43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AA174" w14:textId="77777777" w:rsidR="0084647A" w:rsidRDefault="00DD0235">
            <w:pPr>
              <w:spacing w:line="360" w:lineRule="auto"/>
              <w:jc w:val="right"/>
            </w:pPr>
            <w:r>
              <w:rPr>
                <w:rFonts w:ascii="宋体" w:hAnsi="宋体" w:hint="eastAsia"/>
              </w:rPr>
              <w:t>324,100.00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70B66E" w14:textId="77777777" w:rsidR="0084647A" w:rsidRDefault="00DD0235">
            <w:pPr>
              <w:spacing w:line="360" w:lineRule="auto"/>
              <w:jc w:val="right"/>
            </w:pPr>
            <w:r>
              <w:rPr>
                <w:rFonts w:ascii="宋体" w:hAnsi="宋体" w:hint="eastAsia"/>
              </w:rPr>
              <w:t>-</w:t>
            </w:r>
            <w:r>
              <w:t xml:space="preserve"> </w:t>
            </w:r>
          </w:p>
        </w:tc>
      </w:tr>
      <w:tr w:rsidR="0084647A" w14:paraId="2CF23D07" w14:textId="77777777">
        <w:trPr>
          <w:divId w:val="650911225"/>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208AB" w14:textId="77777777" w:rsidR="0084647A" w:rsidRDefault="00DD0235">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A3499C" w14:textId="77777777" w:rsidR="0084647A" w:rsidRDefault="0084647A"/>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BB612" w14:textId="77777777" w:rsidR="0084647A" w:rsidRDefault="0084647A">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4A68E" w14:textId="77777777" w:rsidR="0084647A" w:rsidRDefault="00DD0235">
            <w:pPr>
              <w:spacing w:line="360" w:lineRule="auto"/>
              <w:jc w:val="right"/>
            </w:pPr>
            <w:r>
              <w:rPr>
                <w:rFonts w:ascii="宋体" w:hAnsi="宋体" w:hint="eastAsia"/>
              </w:rPr>
              <w:t>340,978.43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68381" w14:textId="77777777" w:rsidR="0084647A" w:rsidRDefault="00DD0235">
            <w:pPr>
              <w:spacing w:line="360" w:lineRule="auto"/>
              <w:jc w:val="right"/>
            </w:pPr>
            <w:r>
              <w:rPr>
                <w:rFonts w:ascii="宋体" w:hAnsi="宋体" w:hint="eastAsia"/>
              </w:rPr>
              <w:t>324,100.00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AFD7B0" w14:textId="77777777" w:rsidR="0084647A" w:rsidRDefault="0084647A"/>
        </w:tc>
      </w:tr>
    </w:tbl>
    <w:p w14:paraId="641BF0F6" w14:textId="77777777" w:rsidR="0084647A" w:rsidRDefault="00DD0235">
      <w:pPr>
        <w:spacing w:line="360" w:lineRule="auto"/>
        <w:jc w:val="left"/>
        <w:divId w:val="2016104432"/>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1EF7E8C8" w14:textId="77777777" w:rsidR="0084647A" w:rsidRDefault="00DD0235">
      <w:pPr>
        <w:pStyle w:val="XBRLTitle1"/>
        <w:spacing w:before="156" w:line="360" w:lineRule="auto"/>
        <w:ind w:left="425"/>
      </w:pPr>
      <w:bookmarkStart w:id="320" w:name="_Toc17900003"/>
      <w:bookmarkStart w:id="321" w:name="_Toc512519526"/>
      <w:bookmarkStart w:id="322" w:name="_Toc490050046"/>
      <w:bookmarkStart w:id="323" w:name="_Toc481075094"/>
      <w:bookmarkStart w:id="324" w:name="_Toc479856294"/>
      <w:bookmarkStart w:id="325" w:name="_Toc513295875"/>
      <w:bookmarkStart w:id="326" w:name="_Toc513295938"/>
      <w:bookmarkStart w:id="327" w:name="m701"/>
      <w:r>
        <w:rPr>
          <w:rFonts w:hAnsi="宋体" w:hint="eastAsia"/>
        </w:rPr>
        <w:t>影响投资者决策的其他重要信息</w:t>
      </w:r>
      <w:bookmarkEnd w:id="320"/>
      <w:bookmarkEnd w:id="321"/>
      <w:bookmarkEnd w:id="322"/>
      <w:bookmarkEnd w:id="323"/>
      <w:bookmarkEnd w:id="324"/>
      <w:bookmarkEnd w:id="325"/>
      <w:bookmarkEnd w:id="326"/>
      <w:r>
        <w:rPr>
          <w:rFonts w:hAnsi="宋体" w:hint="eastAsia"/>
          <w:lang w:eastAsia="zh-CN"/>
        </w:rPr>
        <w:t xml:space="preserve"> </w:t>
      </w:r>
    </w:p>
    <w:p w14:paraId="27AA0B36" w14:textId="77777777" w:rsidR="0084647A" w:rsidRDefault="00DD0235">
      <w:pPr>
        <w:pStyle w:val="XBRLTitle2"/>
        <w:spacing w:before="156" w:line="360" w:lineRule="auto"/>
        <w:ind w:left="454"/>
      </w:pPr>
      <w:bookmarkStart w:id="328" w:name="_Toc17900004"/>
      <w:bookmarkStart w:id="329" w:name="_Toc512519527"/>
      <w:bookmarkStart w:id="330" w:name="_Toc481075095"/>
      <w:bookmarkStart w:id="331" w:name="_Toc490050047"/>
      <w:bookmarkStart w:id="332" w:name="_Toc513295876"/>
      <w:bookmarkStart w:id="333" w:name="_Toc513295939"/>
      <w:r>
        <w:rPr>
          <w:rFonts w:hAnsi="宋体" w:hint="eastAsia"/>
          <w:kern w:val="0"/>
        </w:rPr>
        <w:t>报告期内单一投资者持有基金份额比例达到或超过20%的情况</w:t>
      </w:r>
      <w:bookmarkEnd w:id="328"/>
      <w:bookmarkEnd w:id="329"/>
      <w:bookmarkEnd w:id="330"/>
      <w:bookmarkEnd w:id="331"/>
      <w:bookmarkEnd w:id="332"/>
      <w:bookmarkEnd w:id="333"/>
      <w:r>
        <w:rPr>
          <w:rFonts w:hAnsi="宋体" w:hint="eastAsia"/>
          <w:kern w:val="0"/>
          <w:lang w:eastAsia="zh-CN"/>
        </w:rPr>
        <w:t xml:space="preserve"> </w:t>
      </w:r>
    </w:p>
    <w:bookmarkEnd w:id="21"/>
    <w:bookmarkEnd w:id="39"/>
    <w:bookmarkEnd w:id="40"/>
    <w:p w14:paraId="417CE631" w14:textId="77777777" w:rsidR="0084647A" w:rsidRDefault="00DD0235">
      <w:pPr>
        <w:spacing w:line="360" w:lineRule="auto"/>
        <w:ind w:firstLineChars="200" w:firstLine="420"/>
        <w:divId w:val="1022366336"/>
        <w:rPr>
          <w:rFonts w:ascii="宋体" w:hAnsi="宋体"/>
          <w:szCs w:val="21"/>
          <w:lang w:eastAsia="zh-Hans"/>
        </w:rPr>
      </w:pPr>
      <w:r>
        <w:rPr>
          <w:rFonts w:ascii="宋体" w:hAnsi="宋体" w:hint="eastAsia"/>
          <w:szCs w:val="21"/>
          <w:lang w:eastAsia="zh-Hans"/>
        </w:rPr>
        <w:t>无。</w:t>
      </w:r>
    </w:p>
    <w:p w14:paraId="6F97BBE4" w14:textId="77777777" w:rsidR="0084647A" w:rsidRDefault="00DD0235">
      <w:pPr>
        <w:pStyle w:val="XBRLTitle1"/>
        <w:spacing w:before="156" w:line="360" w:lineRule="auto"/>
        <w:ind w:left="425"/>
      </w:pPr>
      <w:bookmarkStart w:id="334" w:name="_Toc17900006"/>
      <w:bookmarkStart w:id="335" w:name="_Toc512519529"/>
      <w:bookmarkStart w:id="336" w:name="_Toc490050049"/>
      <w:bookmarkStart w:id="337" w:name="_Toc481075097"/>
      <w:bookmarkStart w:id="338" w:name="_Toc438646481"/>
      <w:bookmarkStart w:id="339" w:name="_Toc513295878"/>
      <w:bookmarkStart w:id="340" w:name="_Toc513295941"/>
      <w:bookmarkEnd w:id="327"/>
      <w:r>
        <w:rPr>
          <w:rFonts w:hAnsi="宋体" w:hint="eastAsia"/>
        </w:rPr>
        <w:t>备查文件目录</w:t>
      </w:r>
      <w:bookmarkEnd w:id="334"/>
      <w:bookmarkEnd w:id="335"/>
      <w:bookmarkEnd w:id="336"/>
      <w:bookmarkEnd w:id="337"/>
      <w:bookmarkEnd w:id="338"/>
      <w:bookmarkEnd w:id="339"/>
      <w:bookmarkEnd w:id="340"/>
      <w:r>
        <w:rPr>
          <w:rFonts w:hAnsi="宋体" w:hint="eastAsia"/>
        </w:rPr>
        <w:t xml:space="preserve"> </w:t>
      </w:r>
    </w:p>
    <w:p w14:paraId="2B100EB8" w14:textId="77777777" w:rsidR="0084647A" w:rsidRDefault="00DD0235">
      <w:pPr>
        <w:pStyle w:val="XBRLTitle2"/>
        <w:spacing w:before="156" w:line="360" w:lineRule="auto"/>
        <w:ind w:left="454"/>
      </w:pPr>
      <w:bookmarkStart w:id="341" w:name="_Toc438646482"/>
      <w:bookmarkStart w:id="342" w:name="_Toc17900007"/>
      <w:bookmarkStart w:id="343" w:name="_Toc512519530"/>
      <w:bookmarkStart w:id="344" w:name="_Toc481075098"/>
      <w:bookmarkStart w:id="345" w:name="_Toc490050050"/>
      <w:bookmarkStart w:id="346" w:name="_Toc513295879"/>
      <w:bookmarkStart w:id="347" w:name="_Toc513295942"/>
      <w:bookmarkStart w:id="348" w:name="m801_01_1733"/>
      <w:r>
        <w:rPr>
          <w:rFonts w:hAnsi="宋体" w:hint="eastAsia"/>
        </w:rPr>
        <w:t>备查文件目录</w:t>
      </w:r>
      <w:bookmarkEnd w:id="341"/>
      <w:bookmarkEnd w:id="342"/>
      <w:bookmarkEnd w:id="343"/>
      <w:bookmarkEnd w:id="344"/>
      <w:bookmarkEnd w:id="345"/>
      <w:bookmarkEnd w:id="346"/>
      <w:bookmarkEnd w:id="347"/>
      <w:r>
        <w:rPr>
          <w:rFonts w:hAnsi="宋体" w:hint="eastAsia"/>
        </w:rPr>
        <w:t xml:space="preserve"> </w:t>
      </w:r>
    </w:p>
    <w:p w14:paraId="22116A1C" w14:textId="77777777" w:rsidR="0084647A" w:rsidRDefault="00DD0235">
      <w:pPr>
        <w:spacing w:line="360" w:lineRule="auto"/>
        <w:ind w:firstLineChars="200" w:firstLine="420"/>
        <w:jc w:val="left"/>
      </w:pPr>
      <w:r>
        <w:rPr>
          <w:rFonts w:ascii="宋体" w:hAnsi="宋体" w:cs="宋体" w:hint="eastAsia"/>
          <w:color w:val="000000"/>
          <w:kern w:val="0"/>
        </w:rPr>
        <w:t>(一)中国证监会准予本基金募集注册的文件</w:t>
      </w:r>
      <w:r>
        <w:rPr>
          <w:rFonts w:ascii="宋体" w:hAnsi="宋体" w:cs="宋体" w:hint="eastAsia"/>
          <w:color w:val="000000"/>
          <w:kern w:val="0"/>
        </w:rPr>
        <w:br/>
        <w:t xml:space="preserve">　　(二) 摩根博睿均衡一年持有期混合型基金中基金(FOF)基金合同</w:t>
      </w:r>
      <w:r>
        <w:rPr>
          <w:rFonts w:ascii="宋体" w:hAnsi="宋体" w:cs="宋体" w:hint="eastAsia"/>
          <w:color w:val="000000"/>
          <w:kern w:val="0"/>
        </w:rPr>
        <w:br/>
        <w:t xml:space="preserve">　　(三) 摩根博睿均衡一年持有期混合型基金中基金(FOF)托管协议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1206FAB" w14:textId="77777777" w:rsidR="0084647A" w:rsidRDefault="00DD0235">
      <w:pPr>
        <w:pStyle w:val="XBRLTitle2"/>
        <w:spacing w:before="156" w:line="360" w:lineRule="auto"/>
        <w:ind w:left="454"/>
      </w:pPr>
      <w:bookmarkStart w:id="349" w:name="_Toc438646483"/>
      <w:bookmarkStart w:id="350" w:name="_Toc17900008"/>
      <w:bookmarkStart w:id="351" w:name="_Toc512519531"/>
      <w:bookmarkStart w:id="352" w:name="_Toc481075099"/>
      <w:bookmarkStart w:id="353" w:name="_Toc490050051"/>
      <w:bookmarkStart w:id="354" w:name="_Toc513295880"/>
      <w:bookmarkStart w:id="355" w:name="_Toc513295943"/>
      <w:bookmarkStart w:id="356" w:name="m801_01_1734"/>
      <w:bookmarkEnd w:id="348"/>
      <w:r>
        <w:rPr>
          <w:rFonts w:hAnsi="宋体" w:hint="eastAsia"/>
        </w:rPr>
        <w:t>存放地点</w:t>
      </w:r>
      <w:bookmarkEnd w:id="349"/>
      <w:bookmarkEnd w:id="350"/>
      <w:bookmarkEnd w:id="351"/>
      <w:bookmarkEnd w:id="352"/>
      <w:bookmarkEnd w:id="353"/>
      <w:bookmarkEnd w:id="354"/>
      <w:bookmarkEnd w:id="355"/>
      <w:r>
        <w:rPr>
          <w:rFonts w:hAnsi="宋体" w:hint="eastAsia"/>
        </w:rPr>
        <w:t xml:space="preserve"> </w:t>
      </w:r>
    </w:p>
    <w:p w14:paraId="2468AF24" w14:textId="77777777" w:rsidR="0084647A" w:rsidRDefault="00DD0235">
      <w:pPr>
        <w:spacing w:line="360" w:lineRule="auto"/>
        <w:ind w:firstLineChars="200" w:firstLine="420"/>
        <w:jc w:val="left"/>
      </w:pPr>
      <w:r>
        <w:rPr>
          <w:rFonts w:ascii="宋体" w:hAnsi="宋体" w:cs="宋体" w:hint="eastAsia"/>
          <w:color w:val="000000"/>
          <w:kern w:val="0"/>
        </w:rPr>
        <w:t>基金管理人或基金托管人住所。</w:t>
      </w:r>
    </w:p>
    <w:p w14:paraId="5F13BE82" w14:textId="77777777" w:rsidR="0084647A" w:rsidRDefault="00DD0235">
      <w:pPr>
        <w:pStyle w:val="XBRLTitle2"/>
        <w:spacing w:before="156" w:line="360" w:lineRule="auto"/>
        <w:ind w:left="454"/>
      </w:pPr>
      <w:bookmarkStart w:id="357" w:name="_Toc438646484"/>
      <w:bookmarkStart w:id="358" w:name="_Toc17900009"/>
      <w:bookmarkStart w:id="359" w:name="_Toc512519532"/>
      <w:bookmarkStart w:id="360" w:name="_Toc481075100"/>
      <w:bookmarkStart w:id="361" w:name="_Toc490050052"/>
      <w:bookmarkStart w:id="362" w:name="_Toc513295881"/>
      <w:bookmarkStart w:id="363" w:name="_Toc513295944"/>
      <w:bookmarkStart w:id="364" w:name="m801_01_1735"/>
      <w:bookmarkEnd w:id="356"/>
      <w:r>
        <w:rPr>
          <w:rFonts w:hAnsi="宋体" w:hint="eastAsia"/>
        </w:rPr>
        <w:t>查阅方式</w:t>
      </w:r>
      <w:bookmarkEnd w:id="357"/>
      <w:bookmarkEnd w:id="358"/>
      <w:bookmarkEnd w:id="359"/>
      <w:bookmarkEnd w:id="360"/>
      <w:bookmarkEnd w:id="361"/>
      <w:bookmarkEnd w:id="362"/>
      <w:bookmarkEnd w:id="363"/>
      <w:r>
        <w:rPr>
          <w:rFonts w:hAnsi="宋体" w:hint="eastAsia"/>
        </w:rPr>
        <w:t xml:space="preserve"> </w:t>
      </w:r>
    </w:p>
    <w:p w14:paraId="1380778B" w14:textId="77777777" w:rsidR="0084647A" w:rsidRDefault="00DD0235">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64"/>
    <w:p w14:paraId="4276BBB4" w14:textId="77777777" w:rsidR="0084647A" w:rsidRDefault="00DD0235">
      <w:pPr>
        <w:spacing w:line="360" w:lineRule="auto"/>
        <w:ind w:firstLineChars="600" w:firstLine="1687"/>
        <w:jc w:val="left"/>
      </w:pPr>
      <w:r>
        <w:rPr>
          <w:rFonts w:ascii="宋体" w:hAnsi="宋体" w:hint="eastAsia"/>
          <w:b/>
          <w:bCs/>
          <w:sz w:val="28"/>
          <w:szCs w:val="30"/>
        </w:rPr>
        <w:t xml:space="preserve">　 </w:t>
      </w:r>
    </w:p>
    <w:p w14:paraId="600BC8AC" w14:textId="77777777" w:rsidR="0084647A" w:rsidRDefault="00DD0235">
      <w:pPr>
        <w:spacing w:line="360" w:lineRule="auto"/>
        <w:ind w:firstLineChars="600" w:firstLine="1687"/>
        <w:jc w:val="left"/>
      </w:pPr>
      <w:r>
        <w:rPr>
          <w:rFonts w:ascii="宋体" w:hAnsi="宋体" w:hint="eastAsia"/>
          <w:b/>
          <w:bCs/>
          <w:sz w:val="28"/>
          <w:szCs w:val="30"/>
        </w:rPr>
        <w:t xml:space="preserve">　 </w:t>
      </w:r>
    </w:p>
    <w:p w14:paraId="3F1E57FC" w14:textId="77777777" w:rsidR="0084647A" w:rsidRDefault="00DD0235">
      <w:pPr>
        <w:spacing w:line="360" w:lineRule="auto"/>
        <w:ind w:firstLineChars="600" w:firstLine="1446"/>
        <w:jc w:val="right"/>
      </w:pPr>
      <w:r>
        <w:rPr>
          <w:rFonts w:ascii="宋体" w:hAnsi="宋体" w:hint="eastAsia"/>
          <w:b/>
          <w:bCs/>
          <w:sz w:val="24"/>
          <w:szCs w:val="24"/>
        </w:rPr>
        <w:t>摩根基金管理（中国）有限公司</w:t>
      </w:r>
    </w:p>
    <w:p w14:paraId="0A222ECC" w14:textId="77777777" w:rsidR="0084647A" w:rsidRDefault="00DD0235">
      <w:pPr>
        <w:spacing w:line="360" w:lineRule="auto"/>
        <w:ind w:firstLineChars="600" w:firstLine="1446"/>
        <w:jc w:val="right"/>
      </w:pPr>
      <w:r>
        <w:rPr>
          <w:rFonts w:ascii="宋体" w:hAnsi="宋体" w:hint="eastAsia"/>
          <w:b/>
          <w:bCs/>
          <w:sz w:val="24"/>
          <w:szCs w:val="24"/>
        </w:rPr>
        <w:t>2025年4月22日</w:t>
      </w:r>
      <w:bookmarkEnd w:id="22"/>
    </w:p>
    <w:sectPr w:rsidR="0084647A">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682A" w14:textId="77777777" w:rsidR="0084647A" w:rsidRDefault="00DD0235">
      <w:pPr>
        <w:rPr>
          <w:szCs w:val="21"/>
        </w:rPr>
      </w:pPr>
      <w:r>
        <w:rPr>
          <w:szCs w:val="21"/>
        </w:rPr>
        <w:separator/>
      </w:r>
      <w:r>
        <w:rPr>
          <w:szCs w:val="21"/>
        </w:rPr>
        <w:t xml:space="preserve"> </w:t>
      </w:r>
    </w:p>
  </w:endnote>
  <w:endnote w:type="continuationSeparator" w:id="0">
    <w:p w14:paraId="15237A0D" w14:textId="77777777" w:rsidR="0084647A" w:rsidRDefault="00DD023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E303" w14:textId="77777777" w:rsidR="0084647A" w:rsidRDefault="00DD023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68A2" w14:textId="77777777" w:rsidR="0084647A" w:rsidRDefault="00DD0235">
      <w:pPr>
        <w:rPr>
          <w:szCs w:val="21"/>
        </w:rPr>
      </w:pPr>
      <w:r>
        <w:rPr>
          <w:szCs w:val="21"/>
        </w:rPr>
        <w:separator/>
      </w:r>
      <w:r>
        <w:rPr>
          <w:szCs w:val="21"/>
        </w:rPr>
        <w:t xml:space="preserve"> </w:t>
      </w:r>
    </w:p>
  </w:footnote>
  <w:footnote w:type="continuationSeparator" w:id="0">
    <w:p w14:paraId="42CEE45F" w14:textId="77777777" w:rsidR="0084647A" w:rsidRDefault="00DD023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EB8A" w14:textId="77777777" w:rsidR="0084647A" w:rsidRDefault="00DD0235">
    <w:pPr>
      <w:pStyle w:val="a8"/>
      <w:jc w:val="right"/>
    </w:pPr>
    <w:r>
      <w:rPr>
        <w:rFonts w:ascii="宋体" w:hAnsi="宋体" w:hint="eastAsia"/>
      </w:rPr>
      <w:t>摩根博睿均衡一年持有期混合型基金中基金(FOF)2025年第1季度报告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35"/>
    <w:rsid w:val="0084647A"/>
    <w:rsid w:val="009B5F7B"/>
    <w:rsid w:val="00DD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B37255A"/>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 w:type="paragraph" w:styleId="af9">
    <w:name w:val="Revision"/>
    <w:hidden/>
    <w:uiPriority w:val="99"/>
    <w:semiHidden/>
    <w:rsid w:val="009B5F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7317">
      <w:marLeft w:val="0"/>
      <w:marRight w:val="0"/>
      <w:marTop w:val="0"/>
      <w:marBottom w:val="0"/>
      <w:divBdr>
        <w:top w:val="none" w:sz="0" w:space="0" w:color="auto"/>
        <w:left w:val="none" w:sz="0" w:space="0" w:color="auto"/>
        <w:bottom w:val="none" w:sz="0" w:space="0" w:color="auto"/>
        <w:right w:val="none" w:sz="0" w:space="0" w:color="auto"/>
      </w:divBdr>
    </w:div>
    <w:div w:id="453909970">
      <w:marLeft w:val="0"/>
      <w:marRight w:val="0"/>
      <w:marTop w:val="0"/>
      <w:marBottom w:val="0"/>
      <w:divBdr>
        <w:top w:val="none" w:sz="0" w:space="0" w:color="auto"/>
        <w:left w:val="none" w:sz="0" w:space="0" w:color="auto"/>
        <w:bottom w:val="none" w:sz="0" w:space="0" w:color="auto"/>
        <w:right w:val="none" w:sz="0" w:space="0" w:color="auto"/>
      </w:divBdr>
      <w:divsChild>
        <w:div w:id="891426982">
          <w:marLeft w:val="0"/>
          <w:marRight w:val="0"/>
          <w:marTop w:val="0"/>
          <w:marBottom w:val="0"/>
          <w:divBdr>
            <w:top w:val="none" w:sz="0" w:space="0" w:color="auto"/>
            <w:left w:val="none" w:sz="0" w:space="0" w:color="auto"/>
            <w:bottom w:val="none" w:sz="0" w:space="0" w:color="auto"/>
            <w:right w:val="none" w:sz="0" w:space="0" w:color="auto"/>
          </w:divBdr>
        </w:div>
      </w:divsChild>
    </w:div>
    <w:div w:id="471212003">
      <w:marLeft w:val="0"/>
      <w:marRight w:val="0"/>
      <w:marTop w:val="0"/>
      <w:marBottom w:val="0"/>
      <w:divBdr>
        <w:top w:val="none" w:sz="0" w:space="0" w:color="auto"/>
        <w:left w:val="none" w:sz="0" w:space="0" w:color="auto"/>
        <w:bottom w:val="none" w:sz="0" w:space="0" w:color="auto"/>
        <w:right w:val="none" w:sz="0" w:space="0" w:color="auto"/>
      </w:divBdr>
    </w:div>
    <w:div w:id="494301742">
      <w:marLeft w:val="0"/>
      <w:marRight w:val="0"/>
      <w:marTop w:val="0"/>
      <w:marBottom w:val="0"/>
      <w:divBdr>
        <w:top w:val="none" w:sz="0" w:space="0" w:color="auto"/>
        <w:left w:val="none" w:sz="0" w:space="0" w:color="auto"/>
        <w:bottom w:val="none" w:sz="0" w:space="0" w:color="auto"/>
        <w:right w:val="none" w:sz="0" w:space="0" w:color="auto"/>
      </w:divBdr>
    </w:div>
    <w:div w:id="562646164">
      <w:marLeft w:val="0"/>
      <w:marRight w:val="0"/>
      <w:marTop w:val="0"/>
      <w:marBottom w:val="0"/>
      <w:divBdr>
        <w:top w:val="none" w:sz="0" w:space="0" w:color="auto"/>
        <w:left w:val="none" w:sz="0" w:space="0" w:color="auto"/>
        <w:bottom w:val="none" w:sz="0" w:space="0" w:color="auto"/>
        <w:right w:val="none" w:sz="0" w:space="0" w:color="auto"/>
      </w:divBdr>
    </w:div>
    <w:div w:id="653263091">
      <w:marLeft w:val="0"/>
      <w:marRight w:val="0"/>
      <w:marTop w:val="0"/>
      <w:marBottom w:val="0"/>
      <w:divBdr>
        <w:top w:val="none" w:sz="0" w:space="0" w:color="auto"/>
        <w:left w:val="none" w:sz="0" w:space="0" w:color="auto"/>
        <w:bottom w:val="none" w:sz="0" w:space="0" w:color="auto"/>
        <w:right w:val="none" w:sz="0" w:space="0" w:color="auto"/>
      </w:divBdr>
      <w:divsChild>
        <w:div w:id="65761112">
          <w:marLeft w:val="0"/>
          <w:marRight w:val="0"/>
          <w:marTop w:val="0"/>
          <w:marBottom w:val="0"/>
          <w:divBdr>
            <w:top w:val="none" w:sz="0" w:space="0" w:color="auto"/>
            <w:left w:val="none" w:sz="0" w:space="0" w:color="auto"/>
            <w:bottom w:val="none" w:sz="0" w:space="0" w:color="auto"/>
            <w:right w:val="none" w:sz="0" w:space="0" w:color="auto"/>
          </w:divBdr>
        </w:div>
      </w:divsChild>
    </w:div>
    <w:div w:id="871646796">
      <w:marLeft w:val="0"/>
      <w:marRight w:val="0"/>
      <w:marTop w:val="0"/>
      <w:marBottom w:val="0"/>
      <w:divBdr>
        <w:top w:val="none" w:sz="0" w:space="0" w:color="auto"/>
        <w:left w:val="none" w:sz="0" w:space="0" w:color="auto"/>
        <w:bottom w:val="none" w:sz="0" w:space="0" w:color="auto"/>
        <w:right w:val="none" w:sz="0" w:space="0" w:color="auto"/>
      </w:divBdr>
      <w:divsChild>
        <w:div w:id="835877367">
          <w:marLeft w:val="0"/>
          <w:marRight w:val="0"/>
          <w:marTop w:val="0"/>
          <w:marBottom w:val="0"/>
          <w:divBdr>
            <w:top w:val="none" w:sz="0" w:space="0" w:color="auto"/>
            <w:left w:val="none" w:sz="0" w:space="0" w:color="auto"/>
            <w:bottom w:val="none" w:sz="0" w:space="0" w:color="auto"/>
            <w:right w:val="none" w:sz="0" w:space="0" w:color="auto"/>
          </w:divBdr>
        </w:div>
      </w:divsChild>
    </w:div>
    <w:div w:id="964965161">
      <w:marLeft w:val="0"/>
      <w:marRight w:val="0"/>
      <w:marTop w:val="0"/>
      <w:marBottom w:val="0"/>
      <w:divBdr>
        <w:top w:val="none" w:sz="0" w:space="0" w:color="auto"/>
        <w:left w:val="none" w:sz="0" w:space="0" w:color="auto"/>
        <w:bottom w:val="none" w:sz="0" w:space="0" w:color="auto"/>
        <w:right w:val="none" w:sz="0" w:space="0" w:color="auto"/>
      </w:divBdr>
      <w:divsChild>
        <w:div w:id="98454419">
          <w:marLeft w:val="0"/>
          <w:marRight w:val="0"/>
          <w:marTop w:val="0"/>
          <w:marBottom w:val="0"/>
          <w:divBdr>
            <w:top w:val="none" w:sz="0" w:space="0" w:color="auto"/>
            <w:left w:val="none" w:sz="0" w:space="0" w:color="auto"/>
            <w:bottom w:val="none" w:sz="0" w:space="0" w:color="auto"/>
            <w:right w:val="none" w:sz="0" w:space="0" w:color="auto"/>
          </w:divBdr>
        </w:div>
        <w:div w:id="324287657">
          <w:marLeft w:val="0"/>
          <w:marRight w:val="0"/>
          <w:marTop w:val="0"/>
          <w:marBottom w:val="0"/>
          <w:divBdr>
            <w:top w:val="none" w:sz="0" w:space="0" w:color="auto"/>
            <w:left w:val="none" w:sz="0" w:space="0" w:color="auto"/>
            <w:bottom w:val="none" w:sz="0" w:space="0" w:color="auto"/>
            <w:right w:val="none" w:sz="0" w:space="0" w:color="auto"/>
          </w:divBdr>
        </w:div>
      </w:divsChild>
    </w:div>
    <w:div w:id="987562565">
      <w:marLeft w:val="0"/>
      <w:marRight w:val="0"/>
      <w:marTop w:val="0"/>
      <w:marBottom w:val="0"/>
      <w:divBdr>
        <w:top w:val="none" w:sz="0" w:space="0" w:color="auto"/>
        <w:left w:val="none" w:sz="0" w:space="0" w:color="auto"/>
        <w:bottom w:val="none" w:sz="0" w:space="0" w:color="auto"/>
        <w:right w:val="none" w:sz="0" w:space="0" w:color="auto"/>
      </w:divBdr>
    </w:div>
    <w:div w:id="1022366336">
      <w:marLeft w:val="0"/>
      <w:marRight w:val="0"/>
      <w:marTop w:val="0"/>
      <w:marBottom w:val="0"/>
      <w:divBdr>
        <w:top w:val="none" w:sz="0" w:space="0" w:color="auto"/>
        <w:left w:val="none" w:sz="0" w:space="0" w:color="auto"/>
        <w:bottom w:val="none" w:sz="0" w:space="0" w:color="auto"/>
        <w:right w:val="none" w:sz="0" w:space="0" w:color="auto"/>
      </w:divBdr>
    </w:div>
    <w:div w:id="1054309878">
      <w:marLeft w:val="0"/>
      <w:marRight w:val="0"/>
      <w:marTop w:val="0"/>
      <w:marBottom w:val="0"/>
      <w:divBdr>
        <w:top w:val="none" w:sz="0" w:space="0" w:color="auto"/>
        <w:left w:val="none" w:sz="0" w:space="0" w:color="auto"/>
        <w:bottom w:val="none" w:sz="0" w:space="0" w:color="auto"/>
        <w:right w:val="none" w:sz="0" w:space="0" w:color="auto"/>
      </w:divBdr>
      <w:divsChild>
        <w:div w:id="1408652799">
          <w:marLeft w:val="0"/>
          <w:marRight w:val="0"/>
          <w:marTop w:val="0"/>
          <w:marBottom w:val="0"/>
          <w:divBdr>
            <w:top w:val="none" w:sz="0" w:space="0" w:color="auto"/>
            <w:left w:val="none" w:sz="0" w:space="0" w:color="auto"/>
            <w:bottom w:val="none" w:sz="0" w:space="0" w:color="auto"/>
            <w:right w:val="none" w:sz="0" w:space="0" w:color="auto"/>
          </w:divBdr>
        </w:div>
      </w:divsChild>
    </w:div>
    <w:div w:id="1061058078">
      <w:marLeft w:val="0"/>
      <w:marRight w:val="0"/>
      <w:marTop w:val="0"/>
      <w:marBottom w:val="0"/>
      <w:divBdr>
        <w:top w:val="none" w:sz="0" w:space="0" w:color="auto"/>
        <w:left w:val="none" w:sz="0" w:space="0" w:color="auto"/>
        <w:bottom w:val="none" w:sz="0" w:space="0" w:color="auto"/>
        <w:right w:val="none" w:sz="0" w:space="0" w:color="auto"/>
      </w:divBdr>
      <w:divsChild>
        <w:div w:id="1166676765">
          <w:marLeft w:val="0"/>
          <w:marRight w:val="0"/>
          <w:marTop w:val="0"/>
          <w:marBottom w:val="0"/>
          <w:divBdr>
            <w:top w:val="none" w:sz="0" w:space="0" w:color="auto"/>
            <w:left w:val="none" w:sz="0" w:space="0" w:color="auto"/>
            <w:bottom w:val="none" w:sz="0" w:space="0" w:color="auto"/>
            <w:right w:val="none" w:sz="0" w:space="0" w:color="auto"/>
          </w:divBdr>
        </w:div>
      </w:divsChild>
    </w:div>
    <w:div w:id="1201281878">
      <w:marLeft w:val="0"/>
      <w:marRight w:val="0"/>
      <w:marTop w:val="0"/>
      <w:marBottom w:val="0"/>
      <w:divBdr>
        <w:top w:val="none" w:sz="0" w:space="0" w:color="auto"/>
        <w:left w:val="none" w:sz="0" w:space="0" w:color="auto"/>
        <w:bottom w:val="none" w:sz="0" w:space="0" w:color="auto"/>
        <w:right w:val="none" w:sz="0" w:space="0" w:color="auto"/>
      </w:divBdr>
    </w:div>
    <w:div w:id="1214929884">
      <w:marLeft w:val="0"/>
      <w:marRight w:val="0"/>
      <w:marTop w:val="0"/>
      <w:marBottom w:val="0"/>
      <w:divBdr>
        <w:top w:val="none" w:sz="0" w:space="0" w:color="auto"/>
        <w:left w:val="none" w:sz="0" w:space="0" w:color="auto"/>
        <w:bottom w:val="none" w:sz="0" w:space="0" w:color="auto"/>
        <w:right w:val="none" w:sz="0" w:space="0" w:color="auto"/>
      </w:divBdr>
      <w:divsChild>
        <w:div w:id="367881422">
          <w:marLeft w:val="0"/>
          <w:marRight w:val="0"/>
          <w:marTop w:val="0"/>
          <w:marBottom w:val="0"/>
          <w:divBdr>
            <w:top w:val="none" w:sz="0" w:space="0" w:color="auto"/>
            <w:left w:val="none" w:sz="0" w:space="0" w:color="auto"/>
            <w:bottom w:val="none" w:sz="0" w:space="0" w:color="auto"/>
            <w:right w:val="none" w:sz="0" w:space="0" w:color="auto"/>
          </w:divBdr>
        </w:div>
      </w:divsChild>
    </w:div>
    <w:div w:id="1224178809">
      <w:marLeft w:val="0"/>
      <w:marRight w:val="0"/>
      <w:marTop w:val="0"/>
      <w:marBottom w:val="0"/>
      <w:divBdr>
        <w:top w:val="none" w:sz="0" w:space="0" w:color="auto"/>
        <w:left w:val="none" w:sz="0" w:space="0" w:color="auto"/>
        <w:bottom w:val="none" w:sz="0" w:space="0" w:color="auto"/>
        <w:right w:val="none" w:sz="0" w:space="0" w:color="auto"/>
      </w:divBdr>
    </w:div>
    <w:div w:id="1224296779">
      <w:marLeft w:val="0"/>
      <w:marRight w:val="0"/>
      <w:marTop w:val="0"/>
      <w:marBottom w:val="0"/>
      <w:divBdr>
        <w:top w:val="none" w:sz="0" w:space="0" w:color="auto"/>
        <w:left w:val="none" w:sz="0" w:space="0" w:color="auto"/>
        <w:bottom w:val="none" w:sz="0" w:space="0" w:color="auto"/>
        <w:right w:val="none" w:sz="0" w:space="0" w:color="auto"/>
      </w:divBdr>
    </w:div>
    <w:div w:id="1326207247">
      <w:marLeft w:val="0"/>
      <w:marRight w:val="0"/>
      <w:marTop w:val="0"/>
      <w:marBottom w:val="0"/>
      <w:divBdr>
        <w:top w:val="none" w:sz="0" w:space="0" w:color="auto"/>
        <w:left w:val="none" w:sz="0" w:space="0" w:color="auto"/>
        <w:bottom w:val="none" w:sz="0" w:space="0" w:color="auto"/>
        <w:right w:val="none" w:sz="0" w:space="0" w:color="auto"/>
      </w:divBdr>
    </w:div>
    <w:div w:id="1420786670">
      <w:marLeft w:val="0"/>
      <w:marRight w:val="0"/>
      <w:marTop w:val="0"/>
      <w:marBottom w:val="0"/>
      <w:divBdr>
        <w:top w:val="none" w:sz="0" w:space="0" w:color="auto"/>
        <w:left w:val="none" w:sz="0" w:space="0" w:color="auto"/>
        <w:bottom w:val="none" w:sz="0" w:space="0" w:color="auto"/>
        <w:right w:val="none" w:sz="0" w:space="0" w:color="auto"/>
      </w:divBdr>
    </w:div>
    <w:div w:id="1582252410">
      <w:marLeft w:val="0"/>
      <w:marRight w:val="0"/>
      <w:marTop w:val="0"/>
      <w:marBottom w:val="0"/>
      <w:divBdr>
        <w:top w:val="none" w:sz="0" w:space="0" w:color="auto"/>
        <w:left w:val="none" w:sz="0" w:space="0" w:color="auto"/>
        <w:bottom w:val="none" w:sz="0" w:space="0" w:color="auto"/>
        <w:right w:val="none" w:sz="0" w:space="0" w:color="auto"/>
      </w:divBdr>
    </w:div>
    <w:div w:id="1625305318">
      <w:marLeft w:val="0"/>
      <w:marRight w:val="0"/>
      <w:marTop w:val="0"/>
      <w:marBottom w:val="0"/>
      <w:divBdr>
        <w:top w:val="none" w:sz="0" w:space="0" w:color="auto"/>
        <w:left w:val="none" w:sz="0" w:space="0" w:color="auto"/>
        <w:bottom w:val="none" w:sz="0" w:space="0" w:color="auto"/>
        <w:right w:val="none" w:sz="0" w:space="0" w:color="auto"/>
      </w:divBdr>
      <w:divsChild>
        <w:div w:id="109786158">
          <w:marLeft w:val="0"/>
          <w:marRight w:val="0"/>
          <w:marTop w:val="0"/>
          <w:marBottom w:val="0"/>
          <w:divBdr>
            <w:top w:val="none" w:sz="0" w:space="0" w:color="auto"/>
            <w:left w:val="none" w:sz="0" w:space="0" w:color="auto"/>
            <w:bottom w:val="none" w:sz="0" w:space="0" w:color="auto"/>
            <w:right w:val="none" w:sz="0" w:space="0" w:color="auto"/>
          </w:divBdr>
        </w:div>
      </w:divsChild>
    </w:div>
    <w:div w:id="1644773389">
      <w:marLeft w:val="0"/>
      <w:marRight w:val="0"/>
      <w:marTop w:val="0"/>
      <w:marBottom w:val="0"/>
      <w:divBdr>
        <w:top w:val="none" w:sz="0" w:space="0" w:color="auto"/>
        <w:left w:val="none" w:sz="0" w:space="0" w:color="auto"/>
        <w:bottom w:val="none" w:sz="0" w:space="0" w:color="auto"/>
        <w:right w:val="none" w:sz="0" w:space="0" w:color="auto"/>
      </w:divBdr>
    </w:div>
    <w:div w:id="1908370969">
      <w:marLeft w:val="0"/>
      <w:marRight w:val="0"/>
      <w:marTop w:val="0"/>
      <w:marBottom w:val="0"/>
      <w:divBdr>
        <w:top w:val="none" w:sz="0" w:space="0" w:color="auto"/>
        <w:left w:val="none" w:sz="0" w:space="0" w:color="auto"/>
        <w:bottom w:val="none" w:sz="0" w:space="0" w:color="auto"/>
        <w:right w:val="none" w:sz="0" w:space="0" w:color="auto"/>
      </w:divBdr>
      <w:divsChild>
        <w:div w:id="1175924288">
          <w:marLeft w:val="0"/>
          <w:marRight w:val="0"/>
          <w:marTop w:val="0"/>
          <w:marBottom w:val="0"/>
          <w:divBdr>
            <w:top w:val="none" w:sz="0" w:space="0" w:color="auto"/>
            <w:left w:val="none" w:sz="0" w:space="0" w:color="auto"/>
            <w:bottom w:val="none" w:sz="0" w:space="0" w:color="auto"/>
            <w:right w:val="none" w:sz="0" w:space="0" w:color="auto"/>
          </w:divBdr>
        </w:div>
      </w:divsChild>
    </w:div>
    <w:div w:id="1933124427">
      <w:marLeft w:val="0"/>
      <w:marRight w:val="0"/>
      <w:marTop w:val="0"/>
      <w:marBottom w:val="0"/>
      <w:divBdr>
        <w:top w:val="none" w:sz="0" w:space="0" w:color="auto"/>
        <w:left w:val="none" w:sz="0" w:space="0" w:color="auto"/>
        <w:bottom w:val="none" w:sz="0" w:space="0" w:color="auto"/>
        <w:right w:val="none" w:sz="0" w:space="0" w:color="auto"/>
      </w:divBdr>
    </w:div>
    <w:div w:id="1952930968">
      <w:marLeft w:val="0"/>
      <w:marRight w:val="0"/>
      <w:marTop w:val="0"/>
      <w:marBottom w:val="0"/>
      <w:divBdr>
        <w:top w:val="none" w:sz="0" w:space="0" w:color="auto"/>
        <w:left w:val="none" w:sz="0" w:space="0" w:color="auto"/>
        <w:bottom w:val="none" w:sz="0" w:space="0" w:color="auto"/>
        <w:right w:val="none" w:sz="0" w:space="0" w:color="auto"/>
      </w:divBdr>
    </w:div>
    <w:div w:id="2016104432">
      <w:marLeft w:val="0"/>
      <w:marRight w:val="0"/>
      <w:marTop w:val="0"/>
      <w:marBottom w:val="0"/>
      <w:divBdr>
        <w:top w:val="none" w:sz="0" w:space="0" w:color="auto"/>
        <w:left w:val="none" w:sz="0" w:space="0" w:color="auto"/>
        <w:bottom w:val="none" w:sz="0" w:space="0" w:color="auto"/>
        <w:right w:val="none" w:sz="0" w:space="0" w:color="auto"/>
      </w:divBdr>
      <w:divsChild>
        <w:div w:id="650911225">
          <w:marLeft w:val="0"/>
          <w:marRight w:val="0"/>
          <w:marTop w:val="0"/>
          <w:marBottom w:val="0"/>
          <w:divBdr>
            <w:top w:val="none" w:sz="0" w:space="0" w:color="auto"/>
            <w:left w:val="none" w:sz="0" w:space="0" w:color="auto"/>
            <w:bottom w:val="none" w:sz="0" w:space="0" w:color="auto"/>
            <w:right w:val="none" w:sz="0" w:space="0" w:color="auto"/>
          </w:divBdr>
        </w:div>
      </w:divsChild>
    </w:div>
    <w:div w:id="2102024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6456</Words>
  <Characters>2369</Characters>
  <Application>Microsoft Office Word</Application>
  <DocSecurity>0</DocSecurity>
  <Lines>19</Lines>
  <Paragraphs>17</Paragraphs>
  <ScaleCrop>false</ScaleCrop>
  <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Kate.Hu@FA</cp:lastModifiedBy>
  <cp:revision>3</cp:revision>
  <dcterms:created xsi:type="dcterms:W3CDTF">2025-04-15T12:16:00Z</dcterms:created>
  <dcterms:modified xsi:type="dcterms:W3CDTF">2025-04-21T08:15:00Z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