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摩根博睿均衡一年持有期混合型基金中基金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基金托管人：平安银行股份有限公司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基金托管人平安银行股份有限公司根据本基金合同规定，于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摩根博睿均衡一年持有混合</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015359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2022</w:t>
            </w:r>
            <w:r w:rsidRPr="00B27A29">
              <w:rPr>
                <w:rFonts w:eastAsiaTheme="minorEastAsia"/>
                <w:color w:val="000000" w:themeColor="text1"/>
                <w:kern w:val="0"/>
                <w:szCs w:val="21"/>
              </w:rPr>
              <w:t>年</w:t>
            </w:r>
            <w:r w:rsidRPr="00B27A29">
              <w:rPr>
                <w:rFonts w:eastAsiaTheme="minorEastAsia"/>
                <w:color w:val="000000" w:themeColor="text1"/>
                <w:kern w:val="0"/>
                <w:szCs w:val="21"/>
              </w:rPr>
              <w:t>4</w:t>
            </w:r>
            <w:r w:rsidRPr="00B27A29">
              <w:rPr>
                <w:rFonts w:eastAsiaTheme="minorEastAsia"/>
                <w:color w:val="000000" w:themeColor="text1"/>
                <w:kern w:val="0"/>
                <w:szCs w:val="21"/>
              </w:rPr>
              <w:t>月</w:t>
            </w:r>
            <w:r w:rsidRPr="00B27A29">
              <w:rPr>
                <w:rFonts w:eastAsiaTheme="minorEastAsia"/>
                <w:color w:val="000000" w:themeColor="text1"/>
                <w:kern w:val="0"/>
                <w:szCs w:val="21"/>
              </w:rPr>
              <w:t>27</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405,754,652.71</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首先，管理人将根据基金业绩基准确定产品的风险收益特征。其次，管理人将根据投研团队的长期资本市场观点对各类型资产的风险收益特征进行判断。最后，结合本基金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本基金原则上均衡配置于权益类资产和其他资产，并定期结合策略观点，修正资产配置，实现细分资产类别的动态调整。</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、主动管理型基金投资策略：</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通过自下而上的方式优选基金，研究过程中综合运用定量分析和定性分析，优选符合要求且能在中长期创造超额收益的基金。</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、指数基金投资策略：</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优选中长期景气向好的指数基金进行配置，增厚组合收益，并把握阶段性投资机会，获取超额收益。</w:t>
            </w:r>
          </w:p>
          <w:p w:rsidR="00CE7836" w:rsidRDefault="006B0488">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包括公募</w:t>
            </w:r>
            <w:r w:rsidRPr="00B27A29">
              <w:rPr>
                <w:rFonts w:eastAsiaTheme="minorEastAsia"/>
                <w:color w:val="000000" w:themeColor="text1"/>
                <w:kern w:val="0"/>
                <w:szCs w:val="21"/>
              </w:rPr>
              <w:t>REITs</w:t>
            </w:r>
            <w:r w:rsidRPr="00B27A29">
              <w:rPr>
                <w:rFonts w:eastAsiaTheme="minorEastAsia"/>
                <w:color w:val="000000" w:themeColor="text1"/>
                <w:kern w:val="0"/>
                <w:szCs w:val="21"/>
              </w:rPr>
              <w:t>投资策略、股票投资策略、港股投资策略、债券投资策略、证券公司短期公司债投资策略、资产支持证券投资策略、存托凭证投资策略。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中证综合债指数收益率</w:t>
            </w:r>
            <w:r w:rsidRPr="00B27A29">
              <w:rPr>
                <w:rFonts w:eastAsiaTheme="minorEastAsia"/>
                <w:color w:val="000000" w:themeColor="text1"/>
                <w:kern w:val="0"/>
                <w:szCs w:val="21"/>
              </w:rPr>
              <w:t>*40%+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平安银行股份有限公司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015359</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015360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w:t>
            </w:r>
            <w:r w:rsidRPr="00B27A29">
              <w:rPr>
                <w:rFonts w:eastAsiaTheme="minorEastAsia"/>
                <w:color w:val="000000" w:themeColor="text1"/>
                <w:szCs w:val="21"/>
              </w:rPr>
              <w:lastRenderedPageBreak/>
              <w:t>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lastRenderedPageBreak/>
              <w:t>188,326,523.76</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217,428,128.95</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-2,952,122.88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-3,617,366.01</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-384,573.64</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-780,775.47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-0.0020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-0.0035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165,658,440.35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189,419,067.55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0.8796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0.8712</w:t>
            </w:r>
          </w:p>
        </w:tc>
      </w:tr>
    </w:tbl>
    <w:p w:rsidR="00CE7836" w:rsidRDefault="006B048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摩根博睿均衡一年持有混合</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E7836">
        <w:tc>
          <w:tcPr>
            <w:tcW w:w="1290" w:type="dxa"/>
            <w:vAlign w:val="center"/>
          </w:tcPr>
          <w:p w:rsidR="00CE7836" w:rsidRDefault="006B0488">
            <w:pPr>
              <w:jc w:val="left"/>
            </w:pPr>
            <w:r>
              <w:rPr>
                <w:rFonts w:eastAsiaTheme="minorEastAsia"/>
                <w:color w:val="000000" w:themeColor="text1"/>
                <w:szCs w:val="21"/>
              </w:rPr>
              <w:t>过去三个月</w:t>
            </w:r>
          </w:p>
        </w:tc>
        <w:tc>
          <w:tcPr>
            <w:tcW w:w="1291" w:type="dxa"/>
            <w:vAlign w:val="center"/>
          </w:tcPr>
          <w:p w:rsidR="00CE7836" w:rsidRDefault="006B0488">
            <w:pPr>
              <w:jc w:val="right"/>
            </w:pPr>
            <w:r>
              <w:rPr>
                <w:rFonts w:eastAsiaTheme="minorEastAsia"/>
                <w:color w:val="000000" w:themeColor="text1"/>
                <w:szCs w:val="21"/>
              </w:rPr>
              <w:t>-0.06%</w:t>
            </w:r>
          </w:p>
        </w:tc>
        <w:tc>
          <w:tcPr>
            <w:tcW w:w="1291" w:type="dxa"/>
            <w:vAlign w:val="center"/>
          </w:tcPr>
          <w:p w:rsidR="00CE7836" w:rsidRDefault="006B0488">
            <w:pPr>
              <w:jc w:val="right"/>
            </w:pPr>
            <w:r>
              <w:rPr>
                <w:rFonts w:eastAsiaTheme="minorEastAsia"/>
                <w:color w:val="000000" w:themeColor="text1"/>
                <w:szCs w:val="21"/>
              </w:rPr>
              <w:t>0.88%</w:t>
            </w:r>
          </w:p>
        </w:tc>
        <w:tc>
          <w:tcPr>
            <w:tcW w:w="1291" w:type="dxa"/>
            <w:vAlign w:val="center"/>
          </w:tcPr>
          <w:p w:rsidR="00CE7836" w:rsidRDefault="006B0488">
            <w:pPr>
              <w:jc w:val="right"/>
            </w:pPr>
            <w:r>
              <w:rPr>
                <w:rFonts w:eastAsiaTheme="minorEastAsia"/>
                <w:color w:val="000000" w:themeColor="text1"/>
                <w:szCs w:val="21"/>
              </w:rPr>
              <w:t>1.85%</w:t>
            </w:r>
          </w:p>
        </w:tc>
        <w:tc>
          <w:tcPr>
            <w:tcW w:w="1291" w:type="dxa"/>
            <w:vAlign w:val="center"/>
          </w:tcPr>
          <w:p w:rsidR="00CE7836" w:rsidRDefault="006B0488">
            <w:pPr>
              <w:jc w:val="right"/>
            </w:pPr>
            <w:r>
              <w:rPr>
                <w:rFonts w:eastAsiaTheme="minorEastAsia"/>
                <w:color w:val="000000" w:themeColor="text1"/>
                <w:szCs w:val="21"/>
              </w:rPr>
              <w:t>0.59%</w:t>
            </w:r>
          </w:p>
        </w:tc>
        <w:tc>
          <w:tcPr>
            <w:tcW w:w="1291" w:type="dxa"/>
            <w:vAlign w:val="center"/>
          </w:tcPr>
          <w:p w:rsidR="00CE7836" w:rsidRDefault="006B0488">
            <w:pPr>
              <w:jc w:val="right"/>
            </w:pPr>
            <w:r>
              <w:rPr>
                <w:rFonts w:eastAsiaTheme="minorEastAsia"/>
                <w:color w:val="000000" w:themeColor="text1"/>
                <w:szCs w:val="21"/>
              </w:rPr>
              <w:t>-1.91%</w:t>
            </w:r>
          </w:p>
        </w:tc>
        <w:tc>
          <w:tcPr>
            <w:tcW w:w="1291" w:type="dxa"/>
            <w:vAlign w:val="center"/>
          </w:tcPr>
          <w:p w:rsidR="00CE7836" w:rsidRDefault="006B0488">
            <w:pPr>
              <w:jc w:val="right"/>
            </w:pPr>
            <w:r>
              <w:rPr>
                <w:rFonts w:eastAsiaTheme="minorEastAsia"/>
                <w:color w:val="000000" w:themeColor="text1"/>
                <w:szCs w:val="21"/>
              </w:rPr>
              <w:t>0.29%</w:t>
            </w:r>
          </w:p>
        </w:tc>
      </w:tr>
      <w:tr w:rsidR="00CE7836">
        <w:tc>
          <w:tcPr>
            <w:tcW w:w="1290" w:type="dxa"/>
            <w:vAlign w:val="center"/>
          </w:tcPr>
          <w:p w:rsidR="00CE7836" w:rsidRDefault="006B0488">
            <w:pPr>
              <w:jc w:val="left"/>
            </w:pPr>
            <w:r>
              <w:rPr>
                <w:rFonts w:eastAsiaTheme="minorEastAsia"/>
                <w:color w:val="000000" w:themeColor="text1"/>
                <w:szCs w:val="21"/>
              </w:rPr>
              <w:t>过去六个月</w:t>
            </w:r>
          </w:p>
        </w:tc>
        <w:tc>
          <w:tcPr>
            <w:tcW w:w="1291" w:type="dxa"/>
            <w:vAlign w:val="center"/>
          </w:tcPr>
          <w:p w:rsidR="00CE7836" w:rsidRDefault="006B0488">
            <w:pPr>
              <w:jc w:val="right"/>
            </w:pPr>
            <w:r>
              <w:rPr>
                <w:rFonts w:eastAsiaTheme="minorEastAsia"/>
                <w:color w:val="000000" w:themeColor="text1"/>
                <w:szCs w:val="21"/>
              </w:rPr>
              <w:t>-4.07%</w:t>
            </w:r>
          </w:p>
        </w:tc>
        <w:tc>
          <w:tcPr>
            <w:tcW w:w="1291" w:type="dxa"/>
            <w:vAlign w:val="center"/>
          </w:tcPr>
          <w:p w:rsidR="00CE7836" w:rsidRDefault="006B0488">
            <w:pPr>
              <w:jc w:val="right"/>
            </w:pPr>
            <w:r>
              <w:rPr>
                <w:rFonts w:eastAsiaTheme="minorEastAsia"/>
                <w:color w:val="000000" w:themeColor="text1"/>
                <w:szCs w:val="21"/>
              </w:rPr>
              <w:t>0.72%</w:t>
            </w:r>
          </w:p>
        </w:tc>
        <w:tc>
          <w:tcPr>
            <w:tcW w:w="1291" w:type="dxa"/>
            <w:vAlign w:val="center"/>
          </w:tcPr>
          <w:p w:rsidR="00CE7836" w:rsidRDefault="006B0488">
            <w:pPr>
              <w:jc w:val="right"/>
            </w:pPr>
            <w:r>
              <w:rPr>
                <w:rFonts w:eastAsiaTheme="minorEastAsia"/>
                <w:color w:val="000000" w:themeColor="text1"/>
                <w:szCs w:val="21"/>
              </w:rPr>
              <w:t>-0.90%</w:t>
            </w:r>
          </w:p>
        </w:tc>
        <w:tc>
          <w:tcPr>
            <w:tcW w:w="1291" w:type="dxa"/>
            <w:vAlign w:val="center"/>
          </w:tcPr>
          <w:p w:rsidR="00CE7836" w:rsidRDefault="006B0488">
            <w:pPr>
              <w:jc w:val="right"/>
            </w:pPr>
            <w:r>
              <w:rPr>
                <w:rFonts w:eastAsiaTheme="minorEastAsia"/>
                <w:color w:val="000000" w:themeColor="text1"/>
                <w:szCs w:val="21"/>
              </w:rPr>
              <w:t>0.50%</w:t>
            </w:r>
          </w:p>
        </w:tc>
        <w:tc>
          <w:tcPr>
            <w:tcW w:w="1291" w:type="dxa"/>
            <w:vAlign w:val="center"/>
          </w:tcPr>
          <w:p w:rsidR="00CE7836" w:rsidRDefault="006B0488">
            <w:pPr>
              <w:jc w:val="right"/>
            </w:pPr>
            <w:r>
              <w:rPr>
                <w:rFonts w:eastAsiaTheme="minorEastAsia"/>
                <w:color w:val="000000" w:themeColor="text1"/>
                <w:szCs w:val="21"/>
              </w:rPr>
              <w:t>-3.17%</w:t>
            </w:r>
          </w:p>
        </w:tc>
        <w:tc>
          <w:tcPr>
            <w:tcW w:w="1291" w:type="dxa"/>
            <w:vAlign w:val="center"/>
          </w:tcPr>
          <w:p w:rsidR="00CE7836" w:rsidRDefault="006B0488">
            <w:pPr>
              <w:jc w:val="right"/>
            </w:pPr>
            <w:r>
              <w:rPr>
                <w:rFonts w:eastAsiaTheme="minorEastAsia"/>
                <w:color w:val="000000" w:themeColor="text1"/>
                <w:szCs w:val="21"/>
              </w:rPr>
              <w:t>0.22%</w:t>
            </w:r>
          </w:p>
        </w:tc>
      </w:tr>
      <w:tr w:rsidR="00CE7836">
        <w:tc>
          <w:tcPr>
            <w:tcW w:w="1290" w:type="dxa"/>
            <w:vAlign w:val="center"/>
          </w:tcPr>
          <w:p w:rsidR="00CE7836" w:rsidRDefault="006B0488">
            <w:pPr>
              <w:jc w:val="left"/>
            </w:pPr>
            <w:r>
              <w:rPr>
                <w:rFonts w:eastAsiaTheme="minorEastAsia"/>
                <w:color w:val="000000" w:themeColor="text1"/>
                <w:szCs w:val="21"/>
              </w:rPr>
              <w:t>过去一年</w:t>
            </w:r>
          </w:p>
        </w:tc>
        <w:tc>
          <w:tcPr>
            <w:tcW w:w="1291" w:type="dxa"/>
            <w:vAlign w:val="center"/>
          </w:tcPr>
          <w:p w:rsidR="00CE7836" w:rsidRDefault="006B0488">
            <w:pPr>
              <w:jc w:val="right"/>
            </w:pPr>
            <w:r>
              <w:rPr>
                <w:rFonts w:eastAsiaTheme="minorEastAsia"/>
                <w:color w:val="000000" w:themeColor="text1"/>
                <w:szCs w:val="21"/>
              </w:rPr>
              <w:t>-9.39%</w:t>
            </w:r>
          </w:p>
        </w:tc>
        <w:tc>
          <w:tcPr>
            <w:tcW w:w="1291" w:type="dxa"/>
            <w:vAlign w:val="center"/>
          </w:tcPr>
          <w:p w:rsidR="00CE7836" w:rsidRDefault="006B0488">
            <w:pPr>
              <w:jc w:val="right"/>
            </w:pPr>
            <w:r>
              <w:rPr>
                <w:rFonts w:eastAsiaTheme="minorEastAsia"/>
                <w:color w:val="000000" w:themeColor="text1"/>
                <w:szCs w:val="21"/>
              </w:rPr>
              <w:t>0.64%</w:t>
            </w:r>
          </w:p>
        </w:tc>
        <w:tc>
          <w:tcPr>
            <w:tcW w:w="1291" w:type="dxa"/>
            <w:vAlign w:val="center"/>
          </w:tcPr>
          <w:p w:rsidR="00CE7836" w:rsidRDefault="006B0488">
            <w:pPr>
              <w:jc w:val="right"/>
            </w:pPr>
            <w:r>
              <w:rPr>
                <w:rFonts w:eastAsiaTheme="minorEastAsia"/>
                <w:color w:val="000000" w:themeColor="text1"/>
                <w:szCs w:val="21"/>
              </w:rPr>
              <w:t>-4.54%</w:t>
            </w:r>
          </w:p>
        </w:tc>
        <w:tc>
          <w:tcPr>
            <w:tcW w:w="1291" w:type="dxa"/>
            <w:vAlign w:val="center"/>
          </w:tcPr>
          <w:p w:rsidR="00CE7836" w:rsidRDefault="006B0488">
            <w:pPr>
              <w:jc w:val="right"/>
            </w:pPr>
            <w:r>
              <w:rPr>
                <w:rFonts w:eastAsiaTheme="minorEastAsia"/>
                <w:color w:val="000000" w:themeColor="text1"/>
                <w:szCs w:val="21"/>
              </w:rPr>
              <w:t>0.46%</w:t>
            </w:r>
          </w:p>
        </w:tc>
        <w:tc>
          <w:tcPr>
            <w:tcW w:w="1291" w:type="dxa"/>
            <w:vAlign w:val="center"/>
          </w:tcPr>
          <w:p w:rsidR="00CE7836" w:rsidRDefault="006B0488">
            <w:pPr>
              <w:jc w:val="right"/>
            </w:pPr>
            <w:r>
              <w:rPr>
                <w:rFonts w:eastAsiaTheme="minorEastAsia"/>
                <w:color w:val="000000" w:themeColor="text1"/>
                <w:szCs w:val="21"/>
              </w:rPr>
              <w:t>-4.85%</w:t>
            </w:r>
          </w:p>
        </w:tc>
        <w:tc>
          <w:tcPr>
            <w:tcW w:w="1291" w:type="dxa"/>
            <w:vAlign w:val="center"/>
          </w:tcPr>
          <w:p w:rsidR="00CE7836" w:rsidRDefault="006B0488">
            <w:pPr>
              <w:jc w:val="right"/>
            </w:pPr>
            <w:r>
              <w:rPr>
                <w:rFonts w:eastAsiaTheme="minorEastAsia"/>
                <w:color w:val="000000" w:themeColor="text1"/>
                <w:szCs w:val="21"/>
              </w:rPr>
              <w:t>0.18%</w:t>
            </w:r>
          </w:p>
        </w:tc>
      </w:tr>
      <w:tr w:rsidR="00CE7836">
        <w:tc>
          <w:tcPr>
            <w:tcW w:w="1290" w:type="dxa"/>
            <w:vAlign w:val="center"/>
          </w:tcPr>
          <w:p w:rsidR="00CE7836" w:rsidRDefault="006B0488">
            <w:pPr>
              <w:jc w:val="left"/>
            </w:pPr>
            <w:r>
              <w:rPr>
                <w:rFonts w:eastAsiaTheme="minorEastAsia"/>
                <w:color w:val="000000" w:themeColor="text1"/>
                <w:szCs w:val="21"/>
              </w:rPr>
              <w:t>过去三年</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r>
      <w:tr w:rsidR="00CE7836">
        <w:tc>
          <w:tcPr>
            <w:tcW w:w="1290" w:type="dxa"/>
            <w:vAlign w:val="center"/>
          </w:tcPr>
          <w:p w:rsidR="00CE7836" w:rsidRDefault="006B0488">
            <w:pPr>
              <w:jc w:val="left"/>
            </w:pPr>
            <w:r>
              <w:rPr>
                <w:rFonts w:eastAsiaTheme="minorEastAsia"/>
                <w:color w:val="000000" w:themeColor="text1"/>
                <w:szCs w:val="21"/>
              </w:rPr>
              <w:t>过去五年</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r>
      <w:tr w:rsidR="00CE7836">
        <w:tc>
          <w:tcPr>
            <w:tcW w:w="1290" w:type="dxa"/>
            <w:vAlign w:val="center"/>
          </w:tcPr>
          <w:p w:rsidR="00CE7836" w:rsidRDefault="006B0488">
            <w:pPr>
              <w:jc w:val="left"/>
            </w:pPr>
            <w:r>
              <w:rPr>
                <w:rFonts w:eastAsiaTheme="minorEastAsia"/>
                <w:color w:val="000000" w:themeColor="text1"/>
                <w:szCs w:val="21"/>
              </w:rPr>
              <w:t>自基金合同生效起至今</w:t>
            </w:r>
          </w:p>
        </w:tc>
        <w:tc>
          <w:tcPr>
            <w:tcW w:w="1291" w:type="dxa"/>
            <w:vAlign w:val="center"/>
          </w:tcPr>
          <w:p w:rsidR="00CE7836" w:rsidRDefault="006B0488">
            <w:pPr>
              <w:jc w:val="right"/>
            </w:pPr>
            <w:r>
              <w:rPr>
                <w:rFonts w:eastAsiaTheme="minorEastAsia"/>
                <w:color w:val="000000" w:themeColor="text1"/>
                <w:szCs w:val="21"/>
              </w:rPr>
              <w:t>-12.04%</w:t>
            </w:r>
          </w:p>
        </w:tc>
        <w:tc>
          <w:tcPr>
            <w:tcW w:w="1291" w:type="dxa"/>
            <w:vAlign w:val="center"/>
          </w:tcPr>
          <w:p w:rsidR="00CE7836" w:rsidRDefault="006B0488">
            <w:pPr>
              <w:jc w:val="right"/>
            </w:pPr>
            <w:r>
              <w:rPr>
                <w:rFonts w:eastAsiaTheme="minorEastAsia"/>
                <w:color w:val="000000" w:themeColor="text1"/>
                <w:szCs w:val="21"/>
              </w:rPr>
              <w:t>0.54%</w:t>
            </w:r>
          </w:p>
        </w:tc>
        <w:tc>
          <w:tcPr>
            <w:tcW w:w="1291" w:type="dxa"/>
            <w:vAlign w:val="center"/>
          </w:tcPr>
          <w:p w:rsidR="00CE7836" w:rsidRDefault="006B0488">
            <w:pPr>
              <w:jc w:val="right"/>
            </w:pPr>
            <w:r>
              <w:rPr>
                <w:rFonts w:eastAsiaTheme="minorEastAsia"/>
                <w:color w:val="000000" w:themeColor="text1"/>
                <w:szCs w:val="21"/>
              </w:rPr>
              <w:t>1.98%</w:t>
            </w:r>
          </w:p>
        </w:tc>
        <w:tc>
          <w:tcPr>
            <w:tcW w:w="1291" w:type="dxa"/>
            <w:vAlign w:val="center"/>
          </w:tcPr>
          <w:p w:rsidR="00CE7836" w:rsidRDefault="006B0488">
            <w:pPr>
              <w:jc w:val="right"/>
            </w:pPr>
            <w:r>
              <w:rPr>
                <w:rFonts w:eastAsiaTheme="minorEastAsia"/>
                <w:color w:val="000000" w:themeColor="text1"/>
                <w:szCs w:val="21"/>
              </w:rPr>
              <w:t>0.49%</w:t>
            </w:r>
          </w:p>
        </w:tc>
        <w:tc>
          <w:tcPr>
            <w:tcW w:w="1291" w:type="dxa"/>
            <w:vAlign w:val="center"/>
          </w:tcPr>
          <w:p w:rsidR="00CE7836" w:rsidRDefault="006B0488">
            <w:pPr>
              <w:jc w:val="right"/>
            </w:pPr>
            <w:r>
              <w:rPr>
                <w:rFonts w:eastAsiaTheme="minorEastAsia"/>
                <w:color w:val="000000" w:themeColor="text1"/>
                <w:szCs w:val="21"/>
              </w:rPr>
              <w:t>-14.02%</w:t>
            </w:r>
          </w:p>
        </w:tc>
        <w:tc>
          <w:tcPr>
            <w:tcW w:w="1291" w:type="dxa"/>
            <w:vAlign w:val="center"/>
          </w:tcPr>
          <w:p w:rsidR="00CE7836" w:rsidRDefault="006B0488">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lastRenderedPageBreak/>
        <w:t>2</w:t>
      </w:r>
      <w:r w:rsidRPr="00B27A29">
        <w:rPr>
          <w:rFonts w:eastAsiaTheme="minorEastAsia"/>
          <w:b/>
          <w:color w:val="000000" w:themeColor="text1"/>
          <w:szCs w:val="21"/>
        </w:rPr>
        <w:t>、</w:t>
      </w:r>
      <w:r w:rsidRPr="00B27A29">
        <w:rPr>
          <w:rFonts w:eastAsiaTheme="minorEastAsia"/>
          <w:b/>
          <w:color w:val="000000" w:themeColor="text1"/>
          <w:kern w:val="0"/>
          <w:szCs w:val="21"/>
        </w:rPr>
        <w:t>摩根博睿均衡一年持有混合</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E7836">
        <w:tc>
          <w:tcPr>
            <w:tcW w:w="1290" w:type="dxa"/>
            <w:vAlign w:val="center"/>
          </w:tcPr>
          <w:p w:rsidR="00CE7836" w:rsidRDefault="006B0488">
            <w:pPr>
              <w:jc w:val="left"/>
            </w:pPr>
            <w:r>
              <w:rPr>
                <w:rFonts w:eastAsiaTheme="minorEastAsia"/>
                <w:color w:val="000000" w:themeColor="text1"/>
                <w:szCs w:val="21"/>
              </w:rPr>
              <w:t>过去三个月</w:t>
            </w:r>
          </w:p>
        </w:tc>
        <w:tc>
          <w:tcPr>
            <w:tcW w:w="1291" w:type="dxa"/>
            <w:vAlign w:val="center"/>
          </w:tcPr>
          <w:p w:rsidR="00CE7836" w:rsidRDefault="006B0488">
            <w:pPr>
              <w:jc w:val="right"/>
            </w:pPr>
            <w:r>
              <w:rPr>
                <w:rFonts w:eastAsiaTheme="minorEastAsia"/>
                <w:color w:val="000000" w:themeColor="text1"/>
                <w:szCs w:val="21"/>
              </w:rPr>
              <w:t>-0.17%</w:t>
            </w:r>
          </w:p>
        </w:tc>
        <w:tc>
          <w:tcPr>
            <w:tcW w:w="1291" w:type="dxa"/>
            <w:vAlign w:val="center"/>
          </w:tcPr>
          <w:p w:rsidR="00CE7836" w:rsidRDefault="006B0488">
            <w:pPr>
              <w:jc w:val="right"/>
            </w:pPr>
            <w:r>
              <w:rPr>
                <w:rFonts w:eastAsiaTheme="minorEastAsia"/>
                <w:color w:val="000000" w:themeColor="text1"/>
                <w:szCs w:val="21"/>
              </w:rPr>
              <w:t>0.88%</w:t>
            </w:r>
          </w:p>
        </w:tc>
        <w:tc>
          <w:tcPr>
            <w:tcW w:w="1291" w:type="dxa"/>
            <w:vAlign w:val="center"/>
          </w:tcPr>
          <w:p w:rsidR="00CE7836" w:rsidRDefault="006B0488">
            <w:pPr>
              <w:jc w:val="right"/>
            </w:pPr>
            <w:r>
              <w:rPr>
                <w:rFonts w:eastAsiaTheme="minorEastAsia"/>
                <w:color w:val="000000" w:themeColor="text1"/>
                <w:szCs w:val="21"/>
              </w:rPr>
              <w:t>1.85%</w:t>
            </w:r>
          </w:p>
        </w:tc>
        <w:tc>
          <w:tcPr>
            <w:tcW w:w="1291" w:type="dxa"/>
            <w:vAlign w:val="center"/>
          </w:tcPr>
          <w:p w:rsidR="00CE7836" w:rsidRDefault="006B0488">
            <w:pPr>
              <w:jc w:val="right"/>
            </w:pPr>
            <w:r>
              <w:rPr>
                <w:rFonts w:eastAsiaTheme="minorEastAsia"/>
                <w:color w:val="000000" w:themeColor="text1"/>
                <w:szCs w:val="21"/>
              </w:rPr>
              <w:t>0.59%</w:t>
            </w:r>
          </w:p>
        </w:tc>
        <w:tc>
          <w:tcPr>
            <w:tcW w:w="1291" w:type="dxa"/>
            <w:vAlign w:val="center"/>
          </w:tcPr>
          <w:p w:rsidR="00CE7836" w:rsidRDefault="006B0488">
            <w:pPr>
              <w:jc w:val="right"/>
            </w:pPr>
            <w:r>
              <w:rPr>
                <w:rFonts w:eastAsiaTheme="minorEastAsia"/>
                <w:color w:val="000000" w:themeColor="text1"/>
                <w:szCs w:val="21"/>
              </w:rPr>
              <w:t>-2.02%</w:t>
            </w:r>
          </w:p>
        </w:tc>
        <w:tc>
          <w:tcPr>
            <w:tcW w:w="1291" w:type="dxa"/>
            <w:vAlign w:val="center"/>
          </w:tcPr>
          <w:p w:rsidR="00CE7836" w:rsidRDefault="006B0488">
            <w:pPr>
              <w:jc w:val="right"/>
            </w:pPr>
            <w:r>
              <w:rPr>
                <w:rFonts w:eastAsiaTheme="minorEastAsia"/>
                <w:color w:val="000000" w:themeColor="text1"/>
                <w:szCs w:val="21"/>
              </w:rPr>
              <w:t>0.29%</w:t>
            </w:r>
          </w:p>
        </w:tc>
      </w:tr>
      <w:tr w:rsidR="00CE7836">
        <w:tc>
          <w:tcPr>
            <w:tcW w:w="1290" w:type="dxa"/>
            <w:vAlign w:val="center"/>
          </w:tcPr>
          <w:p w:rsidR="00CE7836" w:rsidRDefault="006B0488">
            <w:pPr>
              <w:jc w:val="left"/>
            </w:pPr>
            <w:r>
              <w:rPr>
                <w:rFonts w:eastAsiaTheme="minorEastAsia"/>
                <w:color w:val="000000" w:themeColor="text1"/>
                <w:szCs w:val="21"/>
              </w:rPr>
              <w:t>过去六个月</w:t>
            </w:r>
          </w:p>
        </w:tc>
        <w:tc>
          <w:tcPr>
            <w:tcW w:w="1291" w:type="dxa"/>
            <w:vAlign w:val="center"/>
          </w:tcPr>
          <w:p w:rsidR="00CE7836" w:rsidRDefault="006B0488">
            <w:pPr>
              <w:jc w:val="right"/>
            </w:pPr>
            <w:r>
              <w:rPr>
                <w:rFonts w:eastAsiaTheme="minorEastAsia"/>
                <w:color w:val="000000" w:themeColor="text1"/>
                <w:szCs w:val="21"/>
              </w:rPr>
              <w:t>-4.31%</w:t>
            </w:r>
          </w:p>
        </w:tc>
        <w:tc>
          <w:tcPr>
            <w:tcW w:w="1291" w:type="dxa"/>
            <w:vAlign w:val="center"/>
          </w:tcPr>
          <w:p w:rsidR="00CE7836" w:rsidRDefault="006B0488">
            <w:pPr>
              <w:jc w:val="right"/>
            </w:pPr>
            <w:r>
              <w:rPr>
                <w:rFonts w:eastAsiaTheme="minorEastAsia"/>
                <w:color w:val="000000" w:themeColor="text1"/>
                <w:szCs w:val="21"/>
              </w:rPr>
              <w:t>0.72%</w:t>
            </w:r>
          </w:p>
        </w:tc>
        <w:tc>
          <w:tcPr>
            <w:tcW w:w="1291" w:type="dxa"/>
            <w:vAlign w:val="center"/>
          </w:tcPr>
          <w:p w:rsidR="00CE7836" w:rsidRDefault="006B0488">
            <w:pPr>
              <w:jc w:val="right"/>
            </w:pPr>
            <w:r>
              <w:rPr>
                <w:rFonts w:eastAsiaTheme="minorEastAsia"/>
                <w:color w:val="000000" w:themeColor="text1"/>
                <w:szCs w:val="21"/>
              </w:rPr>
              <w:t>-0.90%</w:t>
            </w:r>
          </w:p>
        </w:tc>
        <w:tc>
          <w:tcPr>
            <w:tcW w:w="1291" w:type="dxa"/>
            <w:vAlign w:val="center"/>
          </w:tcPr>
          <w:p w:rsidR="00CE7836" w:rsidRDefault="006B0488">
            <w:pPr>
              <w:jc w:val="right"/>
            </w:pPr>
            <w:r>
              <w:rPr>
                <w:rFonts w:eastAsiaTheme="minorEastAsia"/>
                <w:color w:val="000000" w:themeColor="text1"/>
                <w:szCs w:val="21"/>
              </w:rPr>
              <w:t>0.50%</w:t>
            </w:r>
          </w:p>
        </w:tc>
        <w:tc>
          <w:tcPr>
            <w:tcW w:w="1291" w:type="dxa"/>
            <w:vAlign w:val="center"/>
          </w:tcPr>
          <w:p w:rsidR="00CE7836" w:rsidRDefault="006B0488">
            <w:pPr>
              <w:jc w:val="right"/>
            </w:pPr>
            <w:r>
              <w:rPr>
                <w:rFonts w:eastAsiaTheme="minorEastAsia"/>
                <w:color w:val="000000" w:themeColor="text1"/>
                <w:szCs w:val="21"/>
              </w:rPr>
              <w:t>-3.41%</w:t>
            </w:r>
          </w:p>
        </w:tc>
        <w:tc>
          <w:tcPr>
            <w:tcW w:w="1291" w:type="dxa"/>
            <w:vAlign w:val="center"/>
          </w:tcPr>
          <w:p w:rsidR="00CE7836" w:rsidRDefault="006B0488">
            <w:pPr>
              <w:jc w:val="right"/>
            </w:pPr>
            <w:r>
              <w:rPr>
                <w:rFonts w:eastAsiaTheme="minorEastAsia"/>
                <w:color w:val="000000" w:themeColor="text1"/>
                <w:szCs w:val="21"/>
              </w:rPr>
              <w:t>0.22%</w:t>
            </w:r>
          </w:p>
        </w:tc>
      </w:tr>
      <w:tr w:rsidR="00CE7836">
        <w:tc>
          <w:tcPr>
            <w:tcW w:w="1290" w:type="dxa"/>
            <w:vAlign w:val="center"/>
          </w:tcPr>
          <w:p w:rsidR="00CE7836" w:rsidRDefault="006B0488">
            <w:pPr>
              <w:jc w:val="left"/>
            </w:pPr>
            <w:r>
              <w:rPr>
                <w:rFonts w:eastAsiaTheme="minorEastAsia"/>
                <w:color w:val="000000" w:themeColor="text1"/>
                <w:szCs w:val="21"/>
              </w:rPr>
              <w:t>过去一年</w:t>
            </w:r>
          </w:p>
        </w:tc>
        <w:tc>
          <w:tcPr>
            <w:tcW w:w="1291" w:type="dxa"/>
            <w:vAlign w:val="center"/>
          </w:tcPr>
          <w:p w:rsidR="00CE7836" w:rsidRDefault="006B0488">
            <w:pPr>
              <w:jc w:val="right"/>
            </w:pPr>
            <w:r>
              <w:rPr>
                <w:rFonts w:eastAsiaTheme="minorEastAsia"/>
                <w:color w:val="000000" w:themeColor="text1"/>
                <w:szCs w:val="21"/>
              </w:rPr>
              <w:t>-9.85%</w:t>
            </w:r>
          </w:p>
        </w:tc>
        <w:tc>
          <w:tcPr>
            <w:tcW w:w="1291" w:type="dxa"/>
            <w:vAlign w:val="center"/>
          </w:tcPr>
          <w:p w:rsidR="00CE7836" w:rsidRDefault="006B0488">
            <w:pPr>
              <w:jc w:val="right"/>
            </w:pPr>
            <w:r>
              <w:rPr>
                <w:rFonts w:eastAsiaTheme="minorEastAsia"/>
                <w:color w:val="000000" w:themeColor="text1"/>
                <w:szCs w:val="21"/>
              </w:rPr>
              <w:t>0.64%</w:t>
            </w:r>
          </w:p>
        </w:tc>
        <w:tc>
          <w:tcPr>
            <w:tcW w:w="1291" w:type="dxa"/>
            <w:vAlign w:val="center"/>
          </w:tcPr>
          <w:p w:rsidR="00CE7836" w:rsidRDefault="006B0488">
            <w:pPr>
              <w:jc w:val="right"/>
            </w:pPr>
            <w:r>
              <w:rPr>
                <w:rFonts w:eastAsiaTheme="minorEastAsia"/>
                <w:color w:val="000000" w:themeColor="text1"/>
                <w:szCs w:val="21"/>
              </w:rPr>
              <w:t>-4.54%</w:t>
            </w:r>
          </w:p>
        </w:tc>
        <w:tc>
          <w:tcPr>
            <w:tcW w:w="1291" w:type="dxa"/>
            <w:vAlign w:val="center"/>
          </w:tcPr>
          <w:p w:rsidR="00CE7836" w:rsidRDefault="006B0488">
            <w:pPr>
              <w:jc w:val="right"/>
            </w:pPr>
            <w:r>
              <w:rPr>
                <w:rFonts w:eastAsiaTheme="minorEastAsia"/>
                <w:color w:val="000000" w:themeColor="text1"/>
                <w:szCs w:val="21"/>
              </w:rPr>
              <w:t>0.46%</w:t>
            </w:r>
          </w:p>
        </w:tc>
        <w:tc>
          <w:tcPr>
            <w:tcW w:w="1291" w:type="dxa"/>
            <w:vAlign w:val="center"/>
          </w:tcPr>
          <w:p w:rsidR="00CE7836" w:rsidRDefault="006B0488">
            <w:pPr>
              <w:jc w:val="right"/>
            </w:pPr>
            <w:r>
              <w:rPr>
                <w:rFonts w:eastAsiaTheme="minorEastAsia"/>
                <w:color w:val="000000" w:themeColor="text1"/>
                <w:szCs w:val="21"/>
              </w:rPr>
              <w:t>-5.31%</w:t>
            </w:r>
          </w:p>
        </w:tc>
        <w:tc>
          <w:tcPr>
            <w:tcW w:w="1291" w:type="dxa"/>
            <w:vAlign w:val="center"/>
          </w:tcPr>
          <w:p w:rsidR="00CE7836" w:rsidRDefault="006B0488">
            <w:pPr>
              <w:jc w:val="right"/>
            </w:pPr>
            <w:r>
              <w:rPr>
                <w:rFonts w:eastAsiaTheme="minorEastAsia"/>
                <w:color w:val="000000" w:themeColor="text1"/>
                <w:szCs w:val="21"/>
              </w:rPr>
              <w:t>0.18%</w:t>
            </w:r>
          </w:p>
        </w:tc>
      </w:tr>
      <w:tr w:rsidR="00CE7836">
        <w:tc>
          <w:tcPr>
            <w:tcW w:w="1290" w:type="dxa"/>
            <w:vAlign w:val="center"/>
          </w:tcPr>
          <w:p w:rsidR="00CE7836" w:rsidRDefault="006B0488">
            <w:pPr>
              <w:jc w:val="left"/>
            </w:pPr>
            <w:r>
              <w:rPr>
                <w:rFonts w:eastAsiaTheme="minorEastAsia"/>
                <w:color w:val="000000" w:themeColor="text1"/>
                <w:szCs w:val="21"/>
              </w:rPr>
              <w:t>过去三年</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r>
      <w:tr w:rsidR="00CE7836">
        <w:tc>
          <w:tcPr>
            <w:tcW w:w="1290" w:type="dxa"/>
            <w:vAlign w:val="center"/>
          </w:tcPr>
          <w:p w:rsidR="00CE7836" w:rsidRDefault="006B0488">
            <w:pPr>
              <w:jc w:val="left"/>
            </w:pPr>
            <w:r>
              <w:rPr>
                <w:rFonts w:eastAsiaTheme="minorEastAsia"/>
                <w:color w:val="000000" w:themeColor="text1"/>
                <w:szCs w:val="21"/>
              </w:rPr>
              <w:t>过去五年</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c>
          <w:tcPr>
            <w:tcW w:w="1291" w:type="dxa"/>
            <w:vAlign w:val="center"/>
          </w:tcPr>
          <w:p w:rsidR="00CE7836" w:rsidRDefault="006B0488">
            <w:pPr>
              <w:jc w:val="right"/>
            </w:pPr>
            <w:r>
              <w:rPr>
                <w:rFonts w:eastAsiaTheme="minorEastAsia"/>
                <w:color w:val="000000" w:themeColor="text1"/>
                <w:szCs w:val="21"/>
              </w:rPr>
              <w:t>-</w:t>
            </w:r>
          </w:p>
        </w:tc>
      </w:tr>
      <w:tr w:rsidR="00CE7836">
        <w:tc>
          <w:tcPr>
            <w:tcW w:w="1290" w:type="dxa"/>
            <w:vAlign w:val="center"/>
          </w:tcPr>
          <w:p w:rsidR="00CE7836" w:rsidRDefault="006B0488">
            <w:pPr>
              <w:jc w:val="left"/>
            </w:pPr>
            <w:r>
              <w:rPr>
                <w:rFonts w:eastAsiaTheme="minorEastAsia"/>
                <w:color w:val="000000" w:themeColor="text1"/>
                <w:szCs w:val="21"/>
              </w:rPr>
              <w:t>自基金合同生效起至今</w:t>
            </w:r>
          </w:p>
        </w:tc>
        <w:tc>
          <w:tcPr>
            <w:tcW w:w="1291" w:type="dxa"/>
            <w:vAlign w:val="center"/>
          </w:tcPr>
          <w:p w:rsidR="00CE7836" w:rsidRDefault="006B0488">
            <w:pPr>
              <w:jc w:val="right"/>
            </w:pPr>
            <w:r>
              <w:rPr>
                <w:rFonts w:eastAsiaTheme="minorEastAsia"/>
                <w:color w:val="000000" w:themeColor="text1"/>
                <w:szCs w:val="21"/>
              </w:rPr>
              <w:t>-12.88%</w:t>
            </w:r>
          </w:p>
        </w:tc>
        <w:tc>
          <w:tcPr>
            <w:tcW w:w="1291" w:type="dxa"/>
            <w:vAlign w:val="center"/>
          </w:tcPr>
          <w:p w:rsidR="00CE7836" w:rsidRDefault="006B0488">
            <w:pPr>
              <w:jc w:val="right"/>
            </w:pPr>
            <w:r>
              <w:rPr>
                <w:rFonts w:eastAsiaTheme="minorEastAsia"/>
                <w:color w:val="000000" w:themeColor="text1"/>
                <w:szCs w:val="21"/>
              </w:rPr>
              <w:t>0.54%</w:t>
            </w:r>
          </w:p>
        </w:tc>
        <w:tc>
          <w:tcPr>
            <w:tcW w:w="1291" w:type="dxa"/>
            <w:vAlign w:val="center"/>
          </w:tcPr>
          <w:p w:rsidR="00CE7836" w:rsidRDefault="006B0488">
            <w:pPr>
              <w:jc w:val="right"/>
            </w:pPr>
            <w:r>
              <w:rPr>
                <w:rFonts w:eastAsiaTheme="minorEastAsia"/>
                <w:color w:val="000000" w:themeColor="text1"/>
                <w:szCs w:val="21"/>
              </w:rPr>
              <w:t>1.98%</w:t>
            </w:r>
          </w:p>
        </w:tc>
        <w:tc>
          <w:tcPr>
            <w:tcW w:w="1291" w:type="dxa"/>
            <w:vAlign w:val="center"/>
          </w:tcPr>
          <w:p w:rsidR="00CE7836" w:rsidRDefault="006B0488">
            <w:pPr>
              <w:jc w:val="right"/>
            </w:pPr>
            <w:r>
              <w:rPr>
                <w:rFonts w:eastAsiaTheme="minorEastAsia"/>
                <w:color w:val="000000" w:themeColor="text1"/>
                <w:szCs w:val="21"/>
              </w:rPr>
              <w:t>0.49%</w:t>
            </w:r>
          </w:p>
        </w:tc>
        <w:tc>
          <w:tcPr>
            <w:tcW w:w="1291" w:type="dxa"/>
            <w:vAlign w:val="center"/>
          </w:tcPr>
          <w:p w:rsidR="00CE7836" w:rsidRDefault="006B0488">
            <w:pPr>
              <w:jc w:val="right"/>
            </w:pPr>
            <w:r>
              <w:rPr>
                <w:rFonts w:eastAsiaTheme="minorEastAsia"/>
                <w:color w:val="000000" w:themeColor="text1"/>
                <w:szCs w:val="21"/>
              </w:rPr>
              <w:t>-14.86%</w:t>
            </w:r>
          </w:p>
        </w:tc>
        <w:tc>
          <w:tcPr>
            <w:tcW w:w="1291" w:type="dxa"/>
            <w:vAlign w:val="center"/>
          </w:tcPr>
          <w:p w:rsidR="00CE7836" w:rsidRDefault="006B0488">
            <w:pPr>
              <w:jc w:val="right"/>
            </w:pPr>
            <w:r>
              <w:rPr>
                <w:rFonts w:eastAsiaTheme="minorEastAsia"/>
                <w:color w:val="000000" w:themeColor="text1"/>
                <w:szCs w:val="21"/>
              </w:rPr>
              <w:t>0.05%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摩根博睿均衡一年持有期混合型基金中基金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(2022</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4</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27</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E7836">
        <w:tc>
          <w:tcPr>
            <w:tcW w:w="952" w:type="dxa"/>
            <w:vAlign w:val="center"/>
          </w:tcPr>
          <w:p w:rsidR="00CE7836" w:rsidRDefault="006B0488">
            <w:pPr>
              <w:jc w:val="center"/>
            </w:pPr>
            <w:r>
              <w:rPr>
                <w:rFonts w:eastAsiaTheme="minorEastAsia"/>
                <w:color w:val="000000" w:themeColor="text1"/>
                <w:szCs w:val="21"/>
              </w:rPr>
              <w:t>杜习杰</w:t>
            </w:r>
          </w:p>
        </w:tc>
        <w:tc>
          <w:tcPr>
            <w:tcW w:w="930" w:type="dxa"/>
            <w:vAlign w:val="center"/>
          </w:tcPr>
          <w:p w:rsidR="00CE7836" w:rsidRDefault="006B0488">
            <w:pPr>
              <w:jc w:val="center"/>
            </w:pPr>
            <w:r>
              <w:rPr>
                <w:rFonts w:eastAsiaTheme="minorEastAsia"/>
                <w:color w:val="000000" w:themeColor="text1"/>
                <w:szCs w:val="21"/>
              </w:rPr>
              <w:t>本基金基金经理</w:t>
            </w:r>
          </w:p>
        </w:tc>
        <w:tc>
          <w:tcPr>
            <w:tcW w:w="1210" w:type="dxa"/>
            <w:vAlign w:val="center"/>
          </w:tcPr>
          <w:p w:rsidR="00CE7836" w:rsidRDefault="006B0488">
            <w:pPr>
              <w:jc w:val="center"/>
            </w:pPr>
            <w:r>
              <w:rPr>
                <w:rFonts w:eastAsiaTheme="minorEastAsia"/>
                <w:color w:val="000000" w:themeColor="text1"/>
                <w:szCs w:val="21"/>
              </w:rPr>
              <w:t>2022-04-27</w:t>
            </w:r>
          </w:p>
        </w:tc>
        <w:tc>
          <w:tcPr>
            <w:tcW w:w="1309" w:type="dxa"/>
            <w:vAlign w:val="center"/>
          </w:tcPr>
          <w:p w:rsidR="00CE7836" w:rsidRDefault="006B0488">
            <w:pPr>
              <w:jc w:val="center"/>
            </w:pPr>
            <w:r>
              <w:rPr>
                <w:rFonts w:eastAsiaTheme="minorEastAsia"/>
                <w:color w:val="000000" w:themeColor="text1"/>
                <w:szCs w:val="21"/>
              </w:rPr>
              <w:t>-</w:t>
            </w:r>
          </w:p>
        </w:tc>
        <w:tc>
          <w:tcPr>
            <w:tcW w:w="1254" w:type="dxa"/>
            <w:vAlign w:val="center"/>
          </w:tcPr>
          <w:p w:rsidR="00CE7836" w:rsidRDefault="006B0488">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CE7836" w:rsidRDefault="006B0488">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CE7836">
        <w:tc>
          <w:tcPr>
            <w:tcW w:w="952" w:type="dxa"/>
            <w:vAlign w:val="center"/>
          </w:tcPr>
          <w:p w:rsidR="00CE7836" w:rsidRDefault="006B0488">
            <w:pPr>
              <w:jc w:val="center"/>
            </w:pPr>
            <w:r>
              <w:rPr>
                <w:rFonts w:eastAsiaTheme="minorEastAsia"/>
                <w:color w:val="000000" w:themeColor="text1"/>
                <w:szCs w:val="21"/>
              </w:rPr>
              <w:t>吴春杰</w:t>
            </w:r>
          </w:p>
        </w:tc>
        <w:tc>
          <w:tcPr>
            <w:tcW w:w="930" w:type="dxa"/>
            <w:vAlign w:val="center"/>
          </w:tcPr>
          <w:p w:rsidR="00CE7836" w:rsidRDefault="006B0488">
            <w:pPr>
              <w:jc w:val="center"/>
            </w:pPr>
            <w:r>
              <w:rPr>
                <w:rFonts w:eastAsiaTheme="minorEastAsia"/>
                <w:color w:val="000000" w:themeColor="text1"/>
                <w:szCs w:val="21"/>
              </w:rPr>
              <w:t>本基金基金经理</w:t>
            </w:r>
          </w:p>
        </w:tc>
        <w:tc>
          <w:tcPr>
            <w:tcW w:w="1210" w:type="dxa"/>
            <w:vAlign w:val="center"/>
          </w:tcPr>
          <w:p w:rsidR="00CE7836" w:rsidRDefault="006B0488">
            <w:pPr>
              <w:jc w:val="center"/>
            </w:pPr>
            <w:r>
              <w:rPr>
                <w:rFonts w:eastAsiaTheme="minorEastAsia"/>
                <w:color w:val="000000" w:themeColor="text1"/>
                <w:szCs w:val="21"/>
              </w:rPr>
              <w:t>2022-11-11</w:t>
            </w:r>
          </w:p>
        </w:tc>
        <w:tc>
          <w:tcPr>
            <w:tcW w:w="1309" w:type="dxa"/>
            <w:vAlign w:val="center"/>
          </w:tcPr>
          <w:p w:rsidR="00CE7836" w:rsidRDefault="006B0488">
            <w:pPr>
              <w:jc w:val="center"/>
            </w:pPr>
            <w:r>
              <w:rPr>
                <w:rFonts w:eastAsiaTheme="minorEastAsia"/>
                <w:color w:val="000000" w:themeColor="text1"/>
                <w:szCs w:val="21"/>
              </w:rPr>
              <w:t>-</w:t>
            </w:r>
          </w:p>
        </w:tc>
        <w:tc>
          <w:tcPr>
            <w:tcW w:w="1254" w:type="dxa"/>
            <w:vAlign w:val="center"/>
          </w:tcPr>
          <w:p w:rsidR="00CE7836" w:rsidRDefault="006B0488">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CE7836" w:rsidRDefault="006B0488">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r w:rsidR="00CE7836">
        <w:tc>
          <w:tcPr>
            <w:tcW w:w="952" w:type="dxa"/>
            <w:vAlign w:val="center"/>
          </w:tcPr>
          <w:p w:rsidR="00CE7836" w:rsidRDefault="006B0488">
            <w:pPr>
              <w:jc w:val="center"/>
            </w:pPr>
            <w:r>
              <w:rPr>
                <w:rFonts w:eastAsiaTheme="minorEastAsia"/>
                <w:color w:val="000000" w:themeColor="text1"/>
                <w:szCs w:val="21"/>
              </w:rPr>
              <w:lastRenderedPageBreak/>
              <w:t>恩学海</w:t>
            </w:r>
          </w:p>
        </w:tc>
        <w:tc>
          <w:tcPr>
            <w:tcW w:w="930" w:type="dxa"/>
            <w:vAlign w:val="center"/>
          </w:tcPr>
          <w:p w:rsidR="00CE7836" w:rsidRDefault="006B0488">
            <w:pPr>
              <w:jc w:val="center"/>
            </w:pPr>
            <w:r>
              <w:rPr>
                <w:rFonts w:eastAsiaTheme="minorEastAsia"/>
                <w:color w:val="000000" w:themeColor="text1"/>
                <w:szCs w:val="21"/>
              </w:rPr>
              <w:t>本基金基金经理、资产配置及退休金管理首席投资官</w:t>
            </w:r>
          </w:p>
        </w:tc>
        <w:tc>
          <w:tcPr>
            <w:tcW w:w="1210" w:type="dxa"/>
            <w:vAlign w:val="center"/>
          </w:tcPr>
          <w:p w:rsidR="00CE7836" w:rsidRDefault="006B0488">
            <w:pPr>
              <w:jc w:val="center"/>
            </w:pPr>
            <w:r>
              <w:rPr>
                <w:rFonts w:eastAsiaTheme="minorEastAsia"/>
                <w:color w:val="000000" w:themeColor="text1"/>
                <w:szCs w:val="21"/>
              </w:rPr>
              <w:t>2022-04-27</w:t>
            </w:r>
          </w:p>
        </w:tc>
        <w:tc>
          <w:tcPr>
            <w:tcW w:w="1309" w:type="dxa"/>
            <w:vAlign w:val="center"/>
          </w:tcPr>
          <w:p w:rsidR="00CE7836" w:rsidRDefault="006B0488">
            <w:pPr>
              <w:jc w:val="center"/>
            </w:pPr>
            <w:r>
              <w:rPr>
                <w:rFonts w:eastAsiaTheme="minorEastAsia"/>
                <w:color w:val="000000" w:themeColor="text1"/>
                <w:szCs w:val="21"/>
              </w:rPr>
              <w:t>-</w:t>
            </w:r>
          </w:p>
        </w:tc>
        <w:tc>
          <w:tcPr>
            <w:tcW w:w="1254" w:type="dxa"/>
            <w:vAlign w:val="center"/>
          </w:tcPr>
          <w:p w:rsidR="00CE7836" w:rsidRDefault="006B0488">
            <w:pPr>
              <w:jc w:val="center"/>
            </w:pPr>
            <w:r>
              <w:rPr>
                <w:rFonts w:eastAsiaTheme="minorEastAsia"/>
                <w:color w:val="000000" w:themeColor="text1"/>
                <w:szCs w:val="21"/>
              </w:rPr>
              <w:t>29</w:t>
            </w:r>
            <w:r>
              <w:rPr>
                <w:rFonts w:eastAsiaTheme="minorEastAsia"/>
                <w:color w:val="000000" w:themeColor="text1"/>
                <w:szCs w:val="21"/>
              </w:rPr>
              <w:t>年</w:t>
            </w:r>
          </w:p>
        </w:tc>
        <w:tc>
          <w:tcPr>
            <w:tcW w:w="3276" w:type="dxa"/>
            <w:vAlign w:val="center"/>
          </w:tcPr>
          <w:p w:rsidR="00CE7836" w:rsidRDefault="006B0488">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rsidR="00CE7836" w:rsidRDefault="006B048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CE7836" w:rsidRDefault="006B0488">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恩学海先生、杜习杰先生为本基金首任基金经理，其任职日期指本基金基金合同生效之日。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年一季度，国内权益市场经历了较大的波动。一季度为经济数据相对空窗的阶段，叠加春节错位使得经济数据受基数的影响较大，因此，相较经济基本面而言，流动性与情绪成为放大价格波动主要因素。进入</w:t>
      </w:r>
      <w:r>
        <w:rPr>
          <w:rFonts w:eastAsiaTheme="minorEastAsia"/>
          <w:color w:val="000000" w:themeColor="text1"/>
          <w:szCs w:val="21"/>
        </w:rPr>
        <w:t>2</w:t>
      </w:r>
      <w:r>
        <w:rPr>
          <w:rFonts w:eastAsiaTheme="minorEastAsia"/>
          <w:color w:val="000000" w:themeColor="text1"/>
          <w:szCs w:val="21"/>
        </w:rPr>
        <w:t>月份，多项政策呵护下，市场流动性逐步恢复，前期调整幅度较大的高贝塔行业反弹居前，主要指数亦在一季度小幅收涨。两会期间，央行表示后续在降准上仍有空间，国内债券收益率在一季度整体下行，</w:t>
      </w:r>
      <w:r>
        <w:rPr>
          <w:rFonts w:eastAsiaTheme="minorEastAsia"/>
          <w:color w:val="000000" w:themeColor="text1"/>
          <w:szCs w:val="21"/>
        </w:rPr>
        <w:t>10</w:t>
      </w:r>
      <w:r>
        <w:rPr>
          <w:rFonts w:eastAsiaTheme="minorEastAsia"/>
          <w:color w:val="000000" w:themeColor="text1"/>
          <w:szCs w:val="21"/>
        </w:rPr>
        <w:t>年国债收益率降至</w:t>
      </w:r>
      <w:r>
        <w:rPr>
          <w:rFonts w:eastAsiaTheme="minorEastAsia"/>
          <w:color w:val="000000" w:themeColor="text1"/>
          <w:szCs w:val="21"/>
        </w:rPr>
        <w:t>2.29%</w:t>
      </w:r>
      <w:r>
        <w:rPr>
          <w:rFonts w:eastAsiaTheme="minorEastAsia"/>
          <w:color w:val="000000" w:themeColor="text1"/>
          <w:szCs w:val="21"/>
        </w:rPr>
        <w:t>。</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海外方面，美国经济韧性强于预期，美股在一季度表现较好。美债收益率反弹至</w:t>
      </w:r>
      <w:r>
        <w:rPr>
          <w:rFonts w:eastAsiaTheme="minorEastAsia"/>
          <w:color w:val="000000" w:themeColor="text1"/>
          <w:szCs w:val="21"/>
        </w:rPr>
        <w:t>4.2%</w:t>
      </w:r>
      <w:r>
        <w:rPr>
          <w:rFonts w:eastAsiaTheme="minorEastAsia"/>
          <w:color w:val="000000" w:themeColor="text1"/>
          <w:szCs w:val="21"/>
        </w:rPr>
        <w:t>左右，</w:t>
      </w:r>
      <w:r>
        <w:rPr>
          <w:rFonts w:eastAsiaTheme="minorEastAsia"/>
          <w:color w:val="000000" w:themeColor="text1"/>
          <w:szCs w:val="21"/>
        </w:rPr>
        <w:t>2</w:t>
      </w:r>
      <w:r>
        <w:rPr>
          <w:rFonts w:eastAsiaTheme="minorEastAsia"/>
          <w:color w:val="000000" w:themeColor="text1"/>
          <w:szCs w:val="21"/>
        </w:rPr>
        <w:t>月通胀数据高于预期，对通胀顽固性的担忧有所上升。</w:t>
      </w:r>
      <w:r>
        <w:rPr>
          <w:rFonts w:eastAsiaTheme="minorEastAsia"/>
          <w:color w:val="000000" w:themeColor="text1"/>
          <w:szCs w:val="21"/>
        </w:rPr>
        <w:t xml:space="preserve">    </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前期总量政策的积极调整为</w:t>
      </w:r>
      <w:r>
        <w:rPr>
          <w:rFonts w:eastAsiaTheme="minorEastAsia"/>
          <w:color w:val="000000" w:themeColor="text1"/>
          <w:szCs w:val="21"/>
        </w:rPr>
        <w:t>2024</w:t>
      </w:r>
      <w:r>
        <w:rPr>
          <w:rFonts w:eastAsiaTheme="minorEastAsia"/>
          <w:color w:val="000000" w:themeColor="text1"/>
          <w:szCs w:val="21"/>
        </w:rPr>
        <w:t>年经济增长的修复积蓄了动能。两会制定的主要经济目标符合市场预期，就业目标高于往年体现对年内经济稳定运行的诉求，对新质生产力的强调也体现了中长期目标中对经济质量提升的关注。结构上，过去两年承压的传统行业面临的环境趋于改善；适应国内需求变化的科技创新、消费服务等领域在政策支持下也有望迎来较好的增长。同时，外需对出口的拉动也在逐步改善。整体供需格局的平衡，也将有利于价格从偏弱的预期中恢复，进而反映在企业的盈利水平的提升上。</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维持相对看好。当前历史绝对估值分位、相对债券资产的估值均处在较高吸引力的水平，具备长期配置价值。去年底以来，企业盈利预期指标有所企稳，并有望逐步修复。一季度市场资金流波动较大，近期以恢复平稳，后续关注市场增量资金流入的稳定性与负债属性。对于国内债券来讲，托底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股配置价值处在偏低的位置。但考虑到当前处在地方政府化债进程中、实际利率高位下，货币政策仍有进</w:t>
      </w:r>
      <w:r>
        <w:rPr>
          <w:rFonts w:eastAsiaTheme="minorEastAsia"/>
          <w:color w:val="000000" w:themeColor="text1"/>
          <w:szCs w:val="21"/>
        </w:rPr>
        <w:lastRenderedPageBreak/>
        <w:t>一步宽松的空间，国内债券的下行风险相对可控。同时，需关注二季度政府债券发行节奏的阶段性影响。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尽管短期通胀回落有所曲折，但美联储维持年内降息的前瞻指引。如随年内降息落地，美债在货币政策宽松周期中将受益，收益率下行也有利于美股估值的维持。对于港股，来自国内经济基本面、海外高利率环境的压力均有望逐步缓和。</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2464D" w:rsidRDefault="0022464D" w:rsidP="0022464D">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本报告期摩根博睿均衡一年</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:-0.06%</w:t>
      </w:r>
      <w:r>
        <w:rPr>
          <w:rFonts w:eastAsiaTheme="minorEastAsia"/>
          <w:color w:val="000000" w:themeColor="text1"/>
          <w:szCs w:val="21"/>
        </w:rPr>
        <w:t>，同期业绩比较基准收益率为</w:t>
      </w:r>
      <w:r>
        <w:rPr>
          <w:rFonts w:eastAsiaTheme="minorEastAsia"/>
          <w:color w:val="000000" w:themeColor="text1"/>
          <w:szCs w:val="21"/>
        </w:rPr>
        <w:t>:1.85%</w:t>
      </w:r>
    </w:p>
    <w:p w:rsidR="005E6DF3" w:rsidRPr="00B27A29" w:rsidRDefault="0022464D" w:rsidP="0022464D">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摩根博睿均衡一年</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:-0.17%</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:1.85%</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319,876,950.12</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89.57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13,423,764.38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3.76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13,423,764.38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3.76</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w:t>
            </w:r>
            <w:r w:rsidRPr="007B5F21">
              <w:rPr>
                <w:rFonts w:eastAsiaTheme="minorEastAsia"/>
                <w:color w:val="000000" w:themeColor="text1"/>
                <w:sz w:val="24"/>
              </w:rPr>
              <w:lastRenderedPageBreak/>
              <w:t>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lastRenderedPageBreak/>
              <w:t>4,954,567.57</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1.39</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18,866,112.46</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5.28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357,121,394.53</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13,423,764.38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13,423,764.38</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3.78</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CE7836">
        <w:tc>
          <w:tcPr>
            <w:tcW w:w="1504" w:type="dxa"/>
            <w:vAlign w:val="center"/>
          </w:tcPr>
          <w:p w:rsidR="00CE7836" w:rsidRDefault="006B0488">
            <w:pPr>
              <w:jc w:val="center"/>
            </w:pPr>
            <w:r>
              <w:rPr>
                <w:rFonts w:eastAsiaTheme="minorEastAsia"/>
                <w:color w:val="000000" w:themeColor="text1"/>
                <w:szCs w:val="21"/>
              </w:rPr>
              <w:t>1</w:t>
            </w:r>
          </w:p>
        </w:tc>
        <w:tc>
          <w:tcPr>
            <w:tcW w:w="1504" w:type="dxa"/>
            <w:vAlign w:val="center"/>
          </w:tcPr>
          <w:p w:rsidR="00CE7836" w:rsidRDefault="006B0488">
            <w:pPr>
              <w:jc w:val="center"/>
            </w:pPr>
            <w:r>
              <w:rPr>
                <w:rFonts w:eastAsiaTheme="minorEastAsia"/>
                <w:color w:val="000000" w:themeColor="text1"/>
                <w:szCs w:val="21"/>
              </w:rPr>
              <w:t>019703</w:t>
            </w:r>
          </w:p>
        </w:tc>
        <w:tc>
          <w:tcPr>
            <w:tcW w:w="1504" w:type="dxa"/>
            <w:vAlign w:val="center"/>
          </w:tcPr>
          <w:p w:rsidR="00CE7836" w:rsidRDefault="006B0488">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10</w:t>
            </w:r>
          </w:p>
        </w:tc>
        <w:tc>
          <w:tcPr>
            <w:tcW w:w="1503" w:type="dxa"/>
            <w:vAlign w:val="center"/>
          </w:tcPr>
          <w:p w:rsidR="00CE7836" w:rsidRDefault="006B0488">
            <w:pPr>
              <w:jc w:val="right"/>
            </w:pPr>
            <w:r>
              <w:rPr>
                <w:rFonts w:eastAsiaTheme="minorEastAsia"/>
                <w:color w:val="000000" w:themeColor="text1"/>
                <w:szCs w:val="21"/>
              </w:rPr>
              <w:t>92,000</w:t>
            </w:r>
          </w:p>
        </w:tc>
        <w:tc>
          <w:tcPr>
            <w:tcW w:w="1503" w:type="dxa"/>
            <w:vAlign w:val="center"/>
          </w:tcPr>
          <w:p w:rsidR="00CE7836" w:rsidRDefault="006B0488">
            <w:pPr>
              <w:jc w:val="right"/>
            </w:pPr>
            <w:r>
              <w:rPr>
                <w:rFonts w:eastAsiaTheme="minorEastAsia"/>
                <w:color w:val="000000" w:themeColor="text1"/>
                <w:szCs w:val="21"/>
              </w:rPr>
              <w:t>9,378,958.90</w:t>
            </w:r>
          </w:p>
        </w:tc>
        <w:tc>
          <w:tcPr>
            <w:tcW w:w="1503" w:type="dxa"/>
            <w:vAlign w:val="center"/>
          </w:tcPr>
          <w:p w:rsidR="00CE7836" w:rsidRDefault="006B0488">
            <w:pPr>
              <w:jc w:val="right"/>
            </w:pPr>
            <w:r>
              <w:rPr>
                <w:rFonts w:eastAsiaTheme="minorEastAsia"/>
                <w:color w:val="000000" w:themeColor="text1"/>
                <w:szCs w:val="21"/>
              </w:rPr>
              <w:t>2.64</w:t>
            </w:r>
          </w:p>
        </w:tc>
      </w:tr>
      <w:tr w:rsidR="00CE7836">
        <w:tc>
          <w:tcPr>
            <w:tcW w:w="1504" w:type="dxa"/>
            <w:vAlign w:val="center"/>
          </w:tcPr>
          <w:p w:rsidR="00CE7836" w:rsidRDefault="006B0488">
            <w:pPr>
              <w:jc w:val="center"/>
            </w:pPr>
            <w:r>
              <w:rPr>
                <w:rFonts w:eastAsiaTheme="minorEastAsia"/>
                <w:color w:val="000000" w:themeColor="text1"/>
                <w:szCs w:val="21"/>
              </w:rPr>
              <w:lastRenderedPageBreak/>
              <w:t>2</w:t>
            </w:r>
          </w:p>
        </w:tc>
        <w:tc>
          <w:tcPr>
            <w:tcW w:w="1504" w:type="dxa"/>
            <w:vAlign w:val="center"/>
          </w:tcPr>
          <w:p w:rsidR="00CE7836" w:rsidRDefault="006B0488">
            <w:pPr>
              <w:jc w:val="center"/>
            </w:pPr>
            <w:r>
              <w:rPr>
                <w:rFonts w:eastAsiaTheme="minorEastAsia"/>
                <w:color w:val="000000" w:themeColor="text1"/>
                <w:szCs w:val="21"/>
              </w:rPr>
              <w:t>019709</w:t>
            </w:r>
          </w:p>
        </w:tc>
        <w:tc>
          <w:tcPr>
            <w:tcW w:w="1504" w:type="dxa"/>
            <w:vAlign w:val="center"/>
          </w:tcPr>
          <w:p w:rsidR="00CE7836" w:rsidRDefault="006B0488">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503" w:type="dxa"/>
            <w:vAlign w:val="center"/>
          </w:tcPr>
          <w:p w:rsidR="00CE7836" w:rsidRDefault="006B0488">
            <w:pPr>
              <w:jc w:val="right"/>
            </w:pPr>
            <w:r>
              <w:rPr>
                <w:rFonts w:eastAsiaTheme="minorEastAsia"/>
                <w:color w:val="000000" w:themeColor="text1"/>
                <w:szCs w:val="21"/>
              </w:rPr>
              <w:t>40,000</w:t>
            </w:r>
          </w:p>
        </w:tc>
        <w:tc>
          <w:tcPr>
            <w:tcW w:w="1503" w:type="dxa"/>
            <w:vAlign w:val="center"/>
          </w:tcPr>
          <w:p w:rsidR="00CE7836" w:rsidRDefault="006B0488">
            <w:pPr>
              <w:jc w:val="right"/>
            </w:pPr>
            <w:r>
              <w:rPr>
                <w:rFonts w:eastAsiaTheme="minorEastAsia"/>
                <w:color w:val="000000" w:themeColor="text1"/>
                <w:szCs w:val="21"/>
              </w:rPr>
              <w:t>4,044,805.48</w:t>
            </w:r>
          </w:p>
        </w:tc>
        <w:tc>
          <w:tcPr>
            <w:tcW w:w="1503" w:type="dxa"/>
            <w:vAlign w:val="center"/>
          </w:tcPr>
          <w:p w:rsidR="00CE7836" w:rsidRDefault="006B0488">
            <w:pPr>
              <w:jc w:val="right"/>
            </w:pPr>
            <w:r>
              <w:rPr>
                <w:rFonts w:eastAsiaTheme="minorEastAsia"/>
                <w:color w:val="000000" w:themeColor="text1"/>
                <w:szCs w:val="21"/>
              </w:rPr>
              <w:t>1.14</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11,854.66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18,852,381.06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1,875.83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0.91</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18,866,112.46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CE7836">
        <w:tc>
          <w:tcPr>
            <w:tcW w:w="817" w:type="dxa"/>
            <w:vAlign w:val="center"/>
          </w:tcPr>
          <w:p w:rsidR="00CE7836" w:rsidRDefault="006B0488">
            <w:pPr>
              <w:jc w:val="center"/>
            </w:pPr>
            <w:r>
              <w:rPr>
                <w:sz w:val="24"/>
              </w:rPr>
              <w:t>1</w:t>
            </w:r>
          </w:p>
        </w:tc>
        <w:tc>
          <w:tcPr>
            <w:tcW w:w="1133" w:type="dxa"/>
            <w:vAlign w:val="center"/>
          </w:tcPr>
          <w:p w:rsidR="00CE7836" w:rsidRDefault="006B0488">
            <w:pPr>
              <w:jc w:val="center"/>
            </w:pPr>
            <w:r>
              <w:rPr>
                <w:sz w:val="24"/>
              </w:rPr>
              <w:t>512070</w:t>
            </w:r>
          </w:p>
        </w:tc>
        <w:tc>
          <w:tcPr>
            <w:tcW w:w="1135" w:type="dxa"/>
            <w:vAlign w:val="center"/>
          </w:tcPr>
          <w:p w:rsidR="00CE7836" w:rsidRDefault="006B0488">
            <w:pPr>
              <w:jc w:val="center"/>
            </w:pPr>
            <w:r>
              <w:rPr>
                <w:sz w:val="24"/>
              </w:rPr>
              <w:t>易方达沪深</w:t>
            </w:r>
            <w:r>
              <w:rPr>
                <w:sz w:val="24"/>
              </w:rPr>
              <w:t>300</w:t>
            </w:r>
            <w:r>
              <w:rPr>
                <w:sz w:val="24"/>
              </w:rPr>
              <w:t>非银</w:t>
            </w:r>
            <w:r>
              <w:rPr>
                <w:sz w:val="24"/>
              </w:rPr>
              <w:t>ETF</w:t>
            </w:r>
          </w:p>
        </w:tc>
        <w:tc>
          <w:tcPr>
            <w:tcW w:w="1135" w:type="dxa"/>
            <w:vAlign w:val="center"/>
          </w:tcPr>
          <w:p w:rsidR="00CE7836" w:rsidRDefault="006B0488">
            <w:pPr>
              <w:jc w:val="center"/>
            </w:pPr>
            <w:r>
              <w:rPr>
                <w:sz w:val="24"/>
              </w:rPr>
              <w:t>交易型开放式</w:t>
            </w:r>
          </w:p>
        </w:tc>
        <w:tc>
          <w:tcPr>
            <w:tcW w:w="1133" w:type="dxa"/>
            <w:vAlign w:val="center"/>
          </w:tcPr>
          <w:p w:rsidR="00CE7836" w:rsidRDefault="006B0488">
            <w:pPr>
              <w:jc w:val="center"/>
            </w:pPr>
            <w:r>
              <w:rPr>
                <w:sz w:val="24"/>
              </w:rPr>
              <w:t>31,739,400.00</w:t>
            </w:r>
          </w:p>
        </w:tc>
        <w:tc>
          <w:tcPr>
            <w:tcW w:w="1276" w:type="dxa"/>
            <w:vAlign w:val="center"/>
          </w:tcPr>
          <w:p w:rsidR="00CE7836" w:rsidRDefault="006B0488">
            <w:pPr>
              <w:jc w:val="center"/>
            </w:pPr>
            <w:r>
              <w:rPr>
                <w:sz w:val="24"/>
              </w:rPr>
              <w:t>18,345,373.20</w:t>
            </w:r>
          </w:p>
        </w:tc>
        <w:tc>
          <w:tcPr>
            <w:tcW w:w="1135" w:type="dxa"/>
            <w:vAlign w:val="center"/>
          </w:tcPr>
          <w:p w:rsidR="00CE7836" w:rsidRDefault="006B0488">
            <w:pPr>
              <w:jc w:val="center"/>
            </w:pPr>
            <w:r>
              <w:rPr>
                <w:sz w:val="24"/>
              </w:rPr>
              <w:t>5.17%</w:t>
            </w:r>
          </w:p>
        </w:tc>
        <w:tc>
          <w:tcPr>
            <w:tcW w:w="1272" w:type="dxa"/>
            <w:vAlign w:val="center"/>
          </w:tcPr>
          <w:p w:rsidR="00CE7836" w:rsidRDefault="006B0488">
            <w:pPr>
              <w:jc w:val="center"/>
            </w:pPr>
            <w:r>
              <w:rPr>
                <w:sz w:val="24"/>
              </w:rPr>
              <w:t>否</w:t>
            </w:r>
          </w:p>
        </w:tc>
      </w:tr>
      <w:tr w:rsidR="00CE7836">
        <w:tc>
          <w:tcPr>
            <w:tcW w:w="817" w:type="dxa"/>
            <w:vAlign w:val="center"/>
          </w:tcPr>
          <w:p w:rsidR="00CE7836" w:rsidRDefault="006B0488">
            <w:pPr>
              <w:jc w:val="center"/>
            </w:pPr>
            <w:r>
              <w:rPr>
                <w:sz w:val="24"/>
              </w:rPr>
              <w:t>2</w:t>
            </w:r>
          </w:p>
        </w:tc>
        <w:tc>
          <w:tcPr>
            <w:tcW w:w="1133" w:type="dxa"/>
            <w:vAlign w:val="center"/>
          </w:tcPr>
          <w:p w:rsidR="00CE7836" w:rsidRDefault="006B0488">
            <w:pPr>
              <w:jc w:val="center"/>
            </w:pPr>
            <w:r>
              <w:rPr>
                <w:sz w:val="24"/>
              </w:rPr>
              <w:t>002702</w:t>
            </w:r>
          </w:p>
        </w:tc>
        <w:tc>
          <w:tcPr>
            <w:tcW w:w="1135" w:type="dxa"/>
            <w:vAlign w:val="center"/>
          </w:tcPr>
          <w:p w:rsidR="00CE7836" w:rsidRDefault="006B0488">
            <w:pPr>
              <w:jc w:val="center"/>
            </w:pPr>
            <w:r>
              <w:rPr>
                <w:sz w:val="24"/>
              </w:rPr>
              <w:t>东方红汇阳债券</w:t>
            </w:r>
            <w:r>
              <w:rPr>
                <w:sz w:val="24"/>
              </w:rPr>
              <w:t>C</w:t>
            </w:r>
          </w:p>
        </w:tc>
        <w:tc>
          <w:tcPr>
            <w:tcW w:w="1135" w:type="dxa"/>
            <w:vAlign w:val="center"/>
          </w:tcPr>
          <w:p w:rsidR="00CE7836" w:rsidRDefault="006B0488">
            <w:pPr>
              <w:jc w:val="center"/>
            </w:pPr>
            <w:r>
              <w:rPr>
                <w:sz w:val="24"/>
              </w:rPr>
              <w:t>契约型开放式</w:t>
            </w:r>
          </w:p>
        </w:tc>
        <w:tc>
          <w:tcPr>
            <w:tcW w:w="1133" w:type="dxa"/>
            <w:vAlign w:val="center"/>
          </w:tcPr>
          <w:p w:rsidR="00CE7836" w:rsidRDefault="006B0488">
            <w:pPr>
              <w:jc w:val="center"/>
            </w:pPr>
            <w:r>
              <w:rPr>
                <w:sz w:val="24"/>
              </w:rPr>
              <w:t>15,540,339.71</w:t>
            </w:r>
          </w:p>
        </w:tc>
        <w:tc>
          <w:tcPr>
            <w:tcW w:w="1276" w:type="dxa"/>
            <w:vAlign w:val="center"/>
          </w:tcPr>
          <w:p w:rsidR="00CE7836" w:rsidRDefault="006B0488">
            <w:pPr>
              <w:jc w:val="center"/>
            </w:pPr>
            <w:r>
              <w:rPr>
                <w:sz w:val="24"/>
              </w:rPr>
              <w:t>16,617,285.25</w:t>
            </w:r>
          </w:p>
        </w:tc>
        <w:tc>
          <w:tcPr>
            <w:tcW w:w="1135" w:type="dxa"/>
            <w:vAlign w:val="center"/>
          </w:tcPr>
          <w:p w:rsidR="00CE7836" w:rsidRDefault="006B0488">
            <w:pPr>
              <w:jc w:val="center"/>
            </w:pPr>
            <w:r>
              <w:rPr>
                <w:sz w:val="24"/>
              </w:rPr>
              <w:t>4.68%</w:t>
            </w:r>
          </w:p>
        </w:tc>
        <w:tc>
          <w:tcPr>
            <w:tcW w:w="1272" w:type="dxa"/>
            <w:vAlign w:val="center"/>
          </w:tcPr>
          <w:p w:rsidR="00CE7836" w:rsidRDefault="006B0488">
            <w:pPr>
              <w:jc w:val="center"/>
            </w:pPr>
            <w:r>
              <w:rPr>
                <w:sz w:val="24"/>
              </w:rPr>
              <w:t>否</w:t>
            </w:r>
          </w:p>
        </w:tc>
      </w:tr>
      <w:tr w:rsidR="00CE7836">
        <w:tc>
          <w:tcPr>
            <w:tcW w:w="817" w:type="dxa"/>
            <w:vAlign w:val="center"/>
          </w:tcPr>
          <w:p w:rsidR="00CE7836" w:rsidRDefault="006B0488">
            <w:pPr>
              <w:jc w:val="center"/>
            </w:pPr>
            <w:r>
              <w:rPr>
                <w:sz w:val="24"/>
              </w:rPr>
              <w:t>3</w:t>
            </w:r>
          </w:p>
        </w:tc>
        <w:tc>
          <w:tcPr>
            <w:tcW w:w="1133" w:type="dxa"/>
            <w:vAlign w:val="center"/>
          </w:tcPr>
          <w:p w:rsidR="00CE7836" w:rsidRDefault="006B0488">
            <w:pPr>
              <w:jc w:val="center"/>
            </w:pPr>
            <w:r>
              <w:rPr>
                <w:sz w:val="24"/>
              </w:rPr>
              <w:t>968050</w:t>
            </w:r>
          </w:p>
        </w:tc>
        <w:tc>
          <w:tcPr>
            <w:tcW w:w="1135" w:type="dxa"/>
            <w:vAlign w:val="center"/>
          </w:tcPr>
          <w:p w:rsidR="00CE7836" w:rsidRDefault="006B0488">
            <w:pPr>
              <w:jc w:val="center"/>
            </w:pPr>
            <w:r>
              <w:rPr>
                <w:sz w:val="24"/>
              </w:rPr>
              <w:t>摩根国际债券人民币对冲累计</w:t>
            </w:r>
          </w:p>
        </w:tc>
        <w:tc>
          <w:tcPr>
            <w:tcW w:w="1135" w:type="dxa"/>
            <w:vAlign w:val="center"/>
          </w:tcPr>
          <w:p w:rsidR="00CE7836" w:rsidRDefault="006B0488">
            <w:pPr>
              <w:jc w:val="center"/>
            </w:pPr>
            <w:r>
              <w:rPr>
                <w:sz w:val="24"/>
              </w:rPr>
              <w:t>契约型开放式</w:t>
            </w:r>
          </w:p>
        </w:tc>
        <w:tc>
          <w:tcPr>
            <w:tcW w:w="1133" w:type="dxa"/>
            <w:vAlign w:val="center"/>
          </w:tcPr>
          <w:p w:rsidR="00CE7836" w:rsidRDefault="006B0488">
            <w:pPr>
              <w:jc w:val="center"/>
            </w:pPr>
            <w:r>
              <w:rPr>
                <w:sz w:val="24"/>
              </w:rPr>
              <w:t>1,432,878.35</w:t>
            </w:r>
          </w:p>
        </w:tc>
        <w:tc>
          <w:tcPr>
            <w:tcW w:w="1276" w:type="dxa"/>
            <w:vAlign w:val="center"/>
          </w:tcPr>
          <w:p w:rsidR="00CE7836" w:rsidRDefault="006B0488">
            <w:pPr>
              <w:jc w:val="center"/>
            </w:pPr>
            <w:r>
              <w:rPr>
                <w:sz w:val="24"/>
              </w:rPr>
              <w:t>15,202,839.29</w:t>
            </w:r>
          </w:p>
        </w:tc>
        <w:tc>
          <w:tcPr>
            <w:tcW w:w="1135" w:type="dxa"/>
            <w:vAlign w:val="center"/>
          </w:tcPr>
          <w:p w:rsidR="00CE7836" w:rsidRDefault="006B0488">
            <w:pPr>
              <w:jc w:val="center"/>
            </w:pPr>
            <w:r>
              <w:rPr>
                <w:sz w:val="24"/>
              </w:rPr>
              <w:t>4.28%</w:t>
            </w:r>
          </w:p>
        </w:tc>
        <w:tc>
          <w:tcPr>
            <w:tcW w:w="1272" w:type="dxa"/>
            <w:vAlign w:val="center"/>
          </w:tcPr>
          <w:p w:rsidR="00CE7836" w:rsidRDefault="006B0488">
            <w:pPr>
              <w:jc w:val="center"/>
            </w:pPr>
            <w:r>
              <w:rPr>
                <w:sz w:val="24"/>
              </w:rPr>
              <w:t>是</w:t>
            </w:r>
          </w:p>
        </w:tc>
      </w:tr>
      <w:tr w:rsidR="00CE7836">
        <w:tc>
          <w:tcPr>
            <w:tcW w:w="817" w:type="dxa"/>
            <w:vAlign w:val="center"/>
          </w:tcPr>
          <w:p w:rsidR="00CE7836" w:rsidRDefault="006B0488">
            <w:pPr>
              <w:jc w:val="center"/>
            </w:pPr>
            <w:r>
              <w:rPr>
                <w:sz w:val="24"/>
              </w:rPr>
              <w:t>4</w:t>
            </w:r>
          </w:p>
        </w:tc>
        <w:tc>
          <w:tcPr>
            <w:tcW w:w="1133" w:type="dxa"/>
            <w:vAlign w:val="center"/>
          </w:tcPr>
          <w:p w:rsidR="00CE7836" w:rsidRDefault="006B0488">
            <w:pPr>
              <w:jc w:val="center"/>
            </w:pPr>
            <w:r>
              <w:rPr>
                <w:sz w:val="24"/>
              </w:rPr>
              <w:t>006567</w:t>
            </w:r>
          </w:p>
        </w:tc>
        <w:tc>
          <w:tcPr>
            <w:tcW w:w="1135" w:type="dxa"/>
            <w:vAlign w:val="center"/>
          </w:tcPr>
          <w:p w:rsidR="00CE7836" w:rsidRDefault="006B0488">
            <w:pPr>
              <w:jc w:val="center"/>
            </w:pPr>
            <w:r>
              <w:rPr>
                <w:sz w:val="24"/>
              </w:rPr>
              <w:t>中泰星元灵活配置混合</w:t>
            </w:r>
            <w:r>
              <w:rPr>
                <w:sz w:val="24"/>
              </w:rPr>
              <w:t>A</w:t>
            </w:r>
          </w:p>
        </w:tc>
        <w:tc>
          <w:tcPr>
            <w:tcW w:w="1135" w:type="dxa"/>
            <w:vAlign w:val="center"/>
          </w:tcPr>
          <w:p w:rsidR="00CE7836" w:rsidRDefault="006B0488">
            <w:pPr>
              <w:jc w:val="center"/>
            </w:pPr>
            <w:r>
              <w:rPr>
                <w:sz w:val="24"/>
              </w:rPr>
              <w:t>契约型开放式</w:t>
            </w:r>
          </w:p>
        </w:tc>
        <w:tc>
          <w:tcPr>
            <w:tcW w:w="1133" w:type="dxa"/>
            <w:vAlign w:val="center"/>
          </w:tcPr>
          <w:p w:rsidR="00CE7836" w:rsidRDefault="006B0488">
            <w:pPr>
              <w:jc w:val="center"/>
            </w:pPr>
            <w:r>
              <w:rPr>
                <w:sz w:val="24"/>
              </w:rPr>
              <w:t>6,158,210.88</w:t>
            </w:r>
          </w:p>
        </w:tc>
        <w:tc>
          <w:tcPr>
            <w:tcW w:w="1276" w:type="dxa"/>
            <w:vAlign w:val="center"/>
          </w:tcPr>
          <w:p w:rsidR="00CE7836" w:rsidRDefault="006B0488">
            <w:pPr>
              <w:jc w:val="center"/>
            </w:pPr>
            <w:r>
              <w:rPr>
                <w:sz w:val="24"/>
              </w:rPr>
              <w:t>14,691,643.70</w:t>
            </w:r>
          </w:p>
        </w:tc>
        <w:tc>
          <w:tcPr>
            <w:tcW w:w="1135" w:type="dxa"/>
            <w:vAlign w:val="center"/>
          </w:tcPr>
          <w:p w:rsidR="00CE7836" w:rsidRDefault="006B0488">
            <w:pPr>
              <w:jc w:val="center"/>
            </w:pPr>
            <w:r>
              <w:rPr>
                <w:sz w:val="24"/>
              </w:rPr>
              <w:t>4.14%</w:t>
            </w:r>
          </w:p>
        </w:tc>
        <w:tc>
          <w:tcPr>
            <w:tcW w:w="1272" w:type="dxa"/>
            <w:vAlign w:val="center"/>
          </w:tcPr>
          <w:p w:rsidR="00CE7836" w:rsidRDefault="006B0488">
            <w:pPr>
              <w:jc w:val="center"/>
            </w:pPr>
            <w:r>
              <w:rPr>
                <w:sz w:val="24"/>
              </w:rPr>
              <w:t>否</w:t>
            </w:r>
          </w:p>
        </w:tc>
      </w:tr>
      <w:tr w:rsidR="00CE7836">
        <w:tc>
          <w:tcPr>
            <w:tcW w:w="817" w:type="dxa"/>
            <w:vAlign w:val="center"/>
          </w:tcPr>
          <w:p w:rsidR="00CE7836" w:rsidRDefault="006B0488">
            <w:pPr>
              <w:jc w:val="center"/>
            </w:pPr>
            <w:r>
              <w:rPr>
                <w:sz w:val="24"/>
              </w:rPr>
              <w:lastRenderedPageBreak/>
              <w:t>5</w:t>
            </w:r>
          </w:p>
        </w:tc>
        <w:tc>
          <w:tcPr>
            <w:tcW w:w="1133" w:type="dxa"/>
            <w:vAlign w:val="center"/>
          </w:tcPr>
          <w:p w:rsidR="00CE7836" w:rsidRDefault="006B0488">
            <w:pPr>
              <w:jc w:val="center"/>
            </w:pPr>
            <w:r>
              <w:rPr>
                <w:sz w:val="24"/>
              </w:rPr>
              <w:t>377240</w:t>
            </w:r>
          </w:p>
        </w:tc>
        <w:tc>
          <w:tcPr>
            <w:tcW w:w="1135" w:type="dxa"/>
            <w:vAlign w:val="center"/>
          </w:tcPr>
          <w:p w:rsidR="00CE7836" w:rsidRDefault="006B0488">
            <w:pPr>
              <w:jc w:val="center"/>
            </w:pPr>
            <w:r>
              <w:rPr>
                <w:sz w:val="24"/>
              </w:rPr>
              <w:t>摩根新兴动力混合</w:t>
            </w:r>
            <w:r>
              <w:rPr>
                <w:sz w:val="24"/>
              </w:rPr>
              <w:t>A</w:t>
            </w:r>
          </w:p>
        </w:tc>
        <w:tc>
          <w:tcPr>
            <w:tcW w:w="1135" w:type="dxa"/>
            <w:vAlign w:val="center"/>
          </w:tcPr>
          <w:p w:rsidR="00CE7836" w:rsidRDefault="006B0488">
            <w:pPr>
              <w:jc w:val="center"/>
            </w:pPr>
            <w:r>
              <w:rPr>
                <w:sz w:val="24"/>
              </w:rPr>
              <w:t>契约型开放式</w:t>
            </w:r>
          </w:p>
        </w:tc>
        <w:tc>
          <w:tcPr>
            <w:tcW w:w="1133" w:type="dxa"/>
            <w:vAlign w:val="center"/>
          </w:tcPr>
          <w:p w:rsidR="00CE7836" w:rsidRDefault="006B0488">
            <w:pPr>
              <w:jc w:val="center"/>
            </w:pPr>
            <w:r>
              <w:rPr>
                <w:sz w:val="24"/>
              </w:rPr>
              <w:t>2,939,725.44</w:t>
            </w:r>
          </w:p>
        </w:tc>
        <w:tc>
          <w:tcPr>
            <w:tcW w:w="1276" w:type="dxa"/>
            <w:vAlign w:val="center"/>
          </w:tcPr>
          <w:p w:rsidR="00CE7836" w:rsidRDefault="006B0488">
            <w:pPr>
              <w:jc w:val="center"/>
            </w:pPr>
            <w:r>
              <w:rPr>
                <w:sz w:val="24"/>
              </w:rPr>
              <w:t>13,160,856.82</w:t>
            </w:r>
          </w:p>
        </w:tc>
        <w:tc>
          <w:tcPr>
            <w:tcW w:w="1135" w:type="dxa"/>
            <w:vAlign w:val="center"/>
          </w:tcPr>
          <w:p w:rsidR="00CE7836" w:rsidRDefault="006B0488">
            <w:pPr>
              <w:jc w:val="center"/>
            </w:pPr>
            <w:r>
              <w:rPr>
                <w:sz w:val="24"/>
              </w:rPr>
              <w:t>3.71%</w:t>
            </w:r>
          </w:p>
        </w:tc>
        <w:tc>
          <w:tcPr>
            <w:tcW w:w="1272" w:type="dxa"/>
            <w:vAlign w:val="center"/>
          </w:tcPr>
          <w:p w:rsidR="00CE7836" w:rsidRDefault="006B0488">
            <w:pPr>
              <w:jc w:val="center"/>
            </w:pPr>
            <w:r>
              <w:rPr>
                <w:sz w:val="24"/>
              </w:rPr>
              <w:t>是</w:t>
            </w:r>
          </w:p>
        </w:tc>
      </w:tr>
      <w:tr w:rsidR="00CE7836">
        <w:tc>
          <w:tcPr>
            <w:tcW w:w="817" w:type="dxa"/>
            <w:vAlign w:val="center"/>
          </w:tcPr>
          <w:p w:rsidR="00CE7836" w:rsidRDefault="006B0488">
            <w:pPr>
              <w:jc w:val="center"/>
            </w:pPr>
            <w:r>
              <w:rPr>
                <w:sz w:val="24"/>
              </w:rPr>
              <w:t>6</w:t>
            </w:r>
          </w:p>
        </w:tc>
        <w:tc>
          <w:tcPr>
            <w:tcW w:w="1133" w:type="dxa"/>
            <w:vAlign w:val="center"/>
          </w:tcPr>
          <w:p w:rsidR="00CE7836" w:rsidRDefault="006B0488">
            <w:pPr>
              <w:jc w:val="center"/>
            </w:pPr>
            <w:r>
              <w:rPr>
                <w:sz w:val="24"/>
              </w:rPr>
              <w:t>513180</w:t>
            </w:r>
          </w:p>
        </w:tc>
        <w:tc>
          <w:tcPr>
            <w:tcW w:w="1135" w:type="dxa"/>
            <w:vAlign w:val="center"/>
          </w:tcPr>
          <w:p w:rsidR="00CE7836" w:rsidRDefault="006B0488">
            <w:pPr>
              <w:jc w:val="center"/>
            </w:pPr>
            <w:r>
              <w:rPr>
                <w:sz w:val="24"/>
              </w:rPr>
              <w:t>华夏恒生科技</w:t>
            </w:r>
            <w:r>
              <w:rPr>
                <w:sz w:val="24"/>
              </w:rPr>
              <w:t>ETF(QDII)</w:t>
            </w:r>
          </w:p>
        </w:tc>
        <w:tc>
          <w:tcPr>
            <w:tcW w:w="1135" w:type="dxa"/>
            <w:vAlign w:val="center"/>
          </w:tcPr>
          <w:p w:rsidR="00CE7836" w:rsidRDefault="006B0488">
            <w:pPr>
              <w:jc w:val="center"/>
            </w:pPr>
            <w:r>
              <w:rPr>
                <w:sz w:val="24"/>
              </w:rPr>
              <w:t>交易型开放式</w:t>
            </w:r>
          </w:p>
        </w:tc>
        <w:tc>
          <w:tcPr>
            <w:tcW w:w="1133" w:type="dxa"/>
            <w:vAlign w:val="center"/>
          </w:tcPr>
          <w:p w:rsidR="00CE7836" w:rsidRDefault="006B0488">
            <w:pPr>
              <w:jc w:val="center"/>
            </w:pPr>
            <w:r>
              <w:rPr>
                <w:sz w:val="24"/>
              </w:rPr>
              <w:t>27,133,900.00</w:t>
            </w:r>
          </w:p>
        </w:tc>
        <w:tc>
          <w:tcPr>
            <w:tcW w:w="1276" w:type="dxa"/>
            <w:vAlign w:val="center"/>
          </w:tcPr>
          <w:p w:rsidR="00CE7836" w:rsidRDefault="006B0488">
            <w:pPr>
              <w:jc w:val="center"/>
            </w:pPr>
            <w:r>
              <w:rPr>
                <w:sz w:val="24"/>
              </w:rPr>
              <w:t>12,861,468.60</w:t>
            </w:r>
          </w:p>
        </w:tc>
        <w:tc>
          <w:tcPr>
            <w:tcW w:w="1135" w:type="dxa"/>
            <w:vAlign w:val="center"/>
          </w:tcPr>
          <w:p w:rsidR="00CE7836" w:rsidRDefault="006B0488">
            <w:pPr>
              <w:jc w:val="center"/>
            </w:pPr>
            <w:r>
              <w:rPr>
                <w:sz w:val="24"/>
              </w:rPr>
              <w:t>3.62%</w:t>
            </w:r>
          </w:p>
        </w:tc>
        <w:tc>
          <w:tcPr>
            <w:tcW w:w="1272" w:type="dxa"/>
            <w:vAlign w:val="center"/>
          </w:tcPr>
          <w:p w:rsidR="00CE7836" w:rsidRDefault="006B0488">
            <w:pPr>
              <w:jc w:val="center"/>
            </w:pPr>
            <w:r>
              <w:rPr>
                <w:sz w:val="24"/>
              </w:rPr>
              <w:t>否</w:t>
            </w:r>
          </w:p>
        </w:tc>
      </w:tr>
      <w:tr w:rsidR="00CE7836">
        <w:tc>
          <w:tcPr>
            <w:tcW w:w="817" w:type="dxa"/>
            <w:vAlign w:val="center"/>
          </w:tcPr>
          <w:p w:rsidR="00CE7836" w:rsidRDefault="006B0488">
            <w:pPr>
              <w:jc w:val="center"/>
            </w:pPr>
            <w:r>
              <w:rPr>
                <w:sz w:val="24"/>
              </w:rPr>
              <w:t>7</w:t>
            </w:r>
          </w:p>
        </w:tc>
        <w:tc>
          <w:tcPr>
            <w:tcW w:w="1133" w:type="dxa"/>
            <w:vAlign w:val="center"/>
          </w:tcPr>
          <w:p w:rsidR="00CE7836" w:rsidRDefault="006B0488">
            <w:pPr>
              <w:jc w:val="center"/>
            </w:pPr>
            <w:r>
              <w:rPr>
                <w:sz w:val="24"/>
              </w:rPr>
              <w:t>159920</w:t>
            </w:r>
          </w:p>
        </w:tc>
        <w:tc>
          <w:tcPr>
            <w:tcW w:w="1135" w:type="dxa"/>
            <w:vAlign w:val="center"/>
          </w:tcPr>
          <w:p w:rsidR="00CE7836" w:rsidRDefault="006B0488">
            <w:pPr>
              <w:jc w:val="center"/>
            </w:pPr>
            <w:r>
              <w:rPr>
                <w:sz w:val="24"/>
              </w:rPr>
              <w:t>恒生</w:t>
            </w:r>
            <w:r>
              <w:rPr>
                <w:sz w:val="24"/>
              </w:rPr>
              <w:t>ETF</w:t>
            </w:r>
          </w:p>
        </w:tc>
        <w:tc>
          <w:tcPr>
            <w:tcW w:w="1135" w:type="dxa"/>
            <w:vAlign w:val="center"/>
          </w:tcPr>
          <w:p w:rsidR="00CE7836" w:rsidRDefault="006B0488">
            <w:pPr>
              <w:jc w:val="center"/>
            </w:pPr>
            <w:r>
              <w:rPr>
                <w:sz w:val="24"/>
              </w:rPr>
              <w:t>交易型开放式</w:t>
            </w:r>
          </w:p>
        </w:tc>
        <w:tc>
          <w:tcPr>
            <w:tcW w:w="1133" w:type="dxa"/>
            <w:vAlign w:val="center"/>
          </w:tcPr>
          <w:p w:rsidR="00CE7836" w:rsidRDefault="006B0488">
            <w:pPr>
              <w:jc w:val="center"/>
            </w:pPr>
            <w:r>
              <w:rPr>
                <w:sz w:val="24"/>
              </w:rPr>
              <w:t>12,607,000.00</w:t>
            </w:r>
          </w:p>
        </w:tc>
        <w:tc>
          <w:tcPr>
            <w:tcW w:w="1276" w:type="dxa"/>
            <w:vAlign w:val="center"/>
          </w:tcPr>
          <w:p w:rsidR="00CE7836" w:rsidRDefault="006B0488">
            <w:pPr>
              <w:jc w:val="center"/>
            </w:pPr>
            <w:r>
              <w:rPr>
                <w:sz w:val="24"/>
              </w:rPr>
              <w:t>12,531,358.00</w:t>
            </w:r>
          </w:p>
        </w:tc>
        <w:tc>
          <w:tcPr>
            <w:tcW w:w="1135" w:type="dxa"/>
            <w:vAlign w:val="center"/>
          </w:tcPr>
          <w:p w:rsidR="00CE7836" w:rsidRDefault="006B0488">
            <w:pPr>
              <w:jc w:val="center"/>
            </w:pPr>
            <w:r>
              <w:rPr>
                <w:sz w:val="24"/>
              </w:rPr>
              <w:t>3.53%</w:t>
            </w:r>
          </w:p>
        </w:tc>
        <w:tc>
          <w:tcPr>
            <w:tcW w:w="1272" w:type="dxa"/>
            <w:vAlign w:val="center"/>
          </w:tcPr>
          <w:p w:rsidR="00CE7836" w:rsidRDefault="006B0488">
            <w:pPr>
              <w:jc w:val="center"/>
            </w:pPr>
            <w:r>
              <w:rPr>
                <w:sz w:val="24"/>
              </w:rPr>
              <w:t>否</w:t>
            </w:r>
          </w:p>
        </w:tc>
      </w:tr>
      <w:tr w:rsidR="00CE7836">
        <w:tc>
          <w:tcPr>
            <w:tcW w:w="817" w:type="dxa"/>
            <w:vAlign w:val="center"/>
          </w:tcPr>
          <w:p w:rsidR="00CE7836" w:rsidRDefault="006B0488">
            <w:pPr>
              <w:jc w:val="center"/>
            </w:pPr>
            <w:r>
              <w:rPr>
                <w:sz w:val="24"/>
              </w:rPr>
              <w:t>8</w:t>
            </w:r>
          </w:p>
        </w:tc>
        <w:tc>
          <w:tcPr>
            <w:tcW w:w="1133" w:type="dxa"/>
            <w:vAlign w:val="center"/>
          </w:tcPr>
          <w:p w:rsidR="00CE7836" w:rsidRDefault="006B0488">
            <w:pPr>
              <w:jc w:val="center"/>
            </w:pPr>
            <w:r>
              <w:rPr>
                <w:sz w:val="24"/>
              </w:rPr>
              <w:t>519782</w:t>
            </w:r>
          </w:p>
        </w:tc>
        <w:tc>
          <w:tcPr>
            <w:tcW w:w="1135" w:type="dxa"/>
            <w:vAlign w:val="center"/>
          </w:tcPr>
          <w:p w:rsidR="00CE7836" w:rsidRDefault="006B0488">
            <w:pPr>
              <w:jc w:val="center"/>
            </w:pPr>
            <w:r>
              <w:rPr>
                <w:sz w:val="24"/>
              </w:rPr>
              <w:t>交银裕隆纯债债券</w:t>
            </w:r>
            <w:r>
              <w:rPr>
                <w:sz w:val="24"/>
              </w:rPr>
              <w:t>A</w:t>
            </w:r>
          </w:p>
        </w:tc>
        <w:tc>
          <w:tcPr>
            <w:tcW w:w="1135" w:type="dxa"/>
            <w:vAlign w:val="center"/>
          </w:tcPr>
          <w:p w:rsidR="00CE7836" w:rsidRDefault="006B0488">
            <w:pPr>
              <w:jc w:val="center"/>
            </w:pPr>
            <w:r>
              <w:rPr>
                <w:sz w:val="24"/>
              </w:rPr>
              <w:t>契约型开放式</w:t>
            </w:r>
          </w:p>
        </w:tc>
        <w:tc>
          <w:tcPr>
            <w:tcW w:w="1133" w:type="dxa"/>
            <w:vAlign w:val="center"/>
          </w:tcPr>
          <w:p w:rsidR="00CE7836" w:rsidRDefault="006B0488">
            <w:pPr>
              <w:jc w:val="center"/>
            </w:pPr>
            <w:r>
              <w:rPr>
                <w:sz w:val="24"/>
              </w:rPr>
              <w:t>9,069,170.40</w:t>
            </w:r>
          </w:p>
        </w:tc>
        <w:tc>
          <w:tcPr>
            <w:tcW w:w="1276" w:type="dxa"/>
            <w:vAlign w:val="center"/>
          </w:tcPr>
          <w:p w:rsidR="00CE7836" w:rsidRDefault="006B0488">
            <w:pPr>
              <w:jc w:val="center"/>
            </w:pPr>
            <w:r>
              <w:rPr>
                <w:sz w:val="24"/>
              </w:rPr>
              <w:t>12,301,422.73</w:t>
            </w:r>
          </w:p>
        </w:tc>
        <w:tc>
          <w:tcPr>
            <w:tcW w:w="1135" w:type="dxa"/>
            <w:vAlign w:val="center"/>
          </w:tcPr>
          <w:p w:rsidR="00CE7836" w:rsidRDefault="006B0488">
            <w:pPr>
              <w:jc w:val="center"/>
            </w:pPr>
            <w:r>
              <w:rPr>
                <w:sz w:val="24"/>
              </w:rPr>
              <w:t>3.46%</w:t>
            </w:r>
          </w:p>
        </w:tc>
        <w:tc>
          <w:tcPr>
            <w:tcW w:w="1272" w:type="dxa"/>
            <w:vAlign w:val="center"/>
          </w:tcPr>
          <w:p w:rsidR="00CE7836" w:rsidRDefault="006B0488">
            <w:pPr>
              <w:jc w:val="center"/>
            </w:pPr>
            <w:r>
              <w:rPr>
                <w:sz w:val="24"/>
              </w:rPr>
              <w:t>否</w:t>
            </w:r>
          </w:p>
        </w:tc>
      </w:tr>
      <w:tr w:rsidR="00CE7836">
        <w:tc>
          <w:tcPr>
            <w:tcW w:w="817" w:type="dxa"/>
            <w:vAlign w:val="center"/>
          </w:tcPr>
          <w:p w:rsidR="00CE7836" w:rsidRDefault="006B0488">
            <w:pPr>
              <w:jc w:val="center"/>
            </w:pPr>
            <w:r>
              <w:rPr>
                <w:sz w:val="24"/>
              </w:rPr>
              <w:t>9</w:t>
            </w:r>
          </w:p>
        </w:tc>
        <w:tc>
          <w:tcPr>
            <w:tcW w:w="1133" w:type="dxa"/>
            <w:vAlign w:val="center"/>
          </w:tcPr>
          <w:p w:rsidR="00CE7836" w:rsidRDefault="006B0488">
            <w:pPr>
              <w:jc w:val="center"/>
            </w:pPr>
            <w:r>
              <w:rPr>
                <w:sz w:val="24"/>
              </w:rPr>
              <w:t>000107</w:t>
            </w:r>
          </w:p>
        </w:tc>
        <w:tc>
          <w:tcPr>
            <w:tcW w:w="1135" w:type="dxa"/>
            <w:vAlign w:val="center"/>
          </w:tcPr>
          <w:p w:rsidR="00CE7836" w:rsidRDefault="006B0488">
            <w:pPr>
              <w:jc w:val="center"/>
            </w:pPr>
            <w:r>
              <w:rPr>
                <w:sz w:val="24"/>
              </w:rPr>
              <w:t>富国稳健增强债券</w:t>
            </w:r>
            <w:r>
              <w:rPr>
                <w:sz w:val="24"/>
              </w:rPr>
              <w:t>A/B</w:t>
            </w:r>
          </w:p>
        </w:tc>
        <w:tc>
          <w:tcPr>
            <w:tcW w:w="1135" w:type="dxa"/>
            <w:vAlign w:val="center"/>
          </w:tcPr>
          <w:p w:rsidR="00CE7836" w:rsidRDefault="006B0488">
            <w:pPr>
              <w:jc w:val="center"/>
            </w:pPr>
            <w:r>
              <w:rPr>
                <w:sz w:val="24"/>
              </w:rPr>
              <w:t>契约型开放式</w:t>
            </w:r>
          </w:p>
        </w:tc>
        <w:tc>
          <w:tcPr>
            <w:tcW w:w="1133" w:type="dxa"/>
            <w:vAlign w:val="center"/>
          </w:tcPr>
          <w:p w:rsidR="00CE7836" w:rsidRDefault="006B0488">
            <w:pPr>
              <w:jc w:val="center"/>
            </w:pPr>
            <w:r>
              <w:rPr>
                <w:sz w:val="24"/>
              </w:rPr>
              <w:t>9,823,461.99</w:t>
            </w:r>
          </w:p>
        </w:tc>
        <w:tc>
          <w:tcPr>
            <w:tcW w:w="1276" w:type="dxa"/>
            <w:vAlign w:val="center"/>
          </w:tcPr>
          <w:p w:rsidR="00CE7836" w:rsidRDefault="006B0488">
            <w:pPr>
              <w:jc w:val="center"/>
            </w:pPr>
            <w:r>
              <w:rPr>
                <w:sz w:val="24"/>
              </w:rPr>
              <w:t>12,092,681.71</w:t>
            </w:r>
          </w:p>
        </w:tc>
        <w:tc>
          <w:tcPr>
            <w:tcW w:w="1135" w:type="dxa"/>
            <w:vAlign w:val="center"/>
          </w:tcPr>
          <w:p w:rsidR="00CE7836" w:rsidRDefault="006B0488">
            <w:pPr>
              <w:jc w:val="center"/>
            </w:pPr>
            <w:r>
              <w:rPr>
                <w:sz w:val="24"/>
              </w:rPr>
              <w:t>3.41%</w:t>
            </w:r>
          </w:p>
        </w:tc>
        <w:tc>
          <w:tcPr>
            <w:tcW w:w="1272" w:type="dxa"/>
            <w:vAlign w:val="center"/>
          </w:tcPr>
          <w:p w:rsidR="00CE7836" w:rsidRDefault="006B0488">
            <w:pPr>
              <w:jc w:val="center"/>
            </w:pPr>
            <w:r>
              <w:rPr>
                <w:sz w:val="24"/>
              </w:rPr>
              <w:t>否</w:t>
            </w:r>
          </w:p>
        </w:tc>
      </w:tr>
      <w:tr w:rsidR="00CE7836">
        <w:tc>
          <w:tcPr>
            <w:tcW w:w="817" w:type="dxa"/>
            <w:vAlign w:val="center"/>
          </w:tcPr>
          <w:p w:rsidR="00CE7836" w:rsidRDefault="006B0488">
            <w:pPr>
              <w:jc w:val="center"/>
            </w:pPr>
            <w:r>
              <w:rPr>
                <w:sz w:val="24"/>
              </w:rPr>
              <w:t>10</w:t>
            </w:r>
          </w:p>
        </w:tc>
        <w:tc>
          <w:tcPr>
            <w:tcW w:w="1133" w:type="dxa"/>
            <w:vAlign w:val="center"/>
          </w:tcPr>
          <w:p w:rsidR="00CE7836" w:rsidRDefault="006B0488">
            <w:pPr>
              <w:jc w:val="center"/>
            </w:pPr>
            <w:r>
              <w:rPr>
                <w:sz w:val="24"/>
              </w:rPr>
              <w:t>004868</w:t>
            </w:r>
          </w:p>
        </w:tc>
        <w:tc>
          <w:tcPr>
            <w:tcW w:w="1135" w:type="dxa"/>
            <w:vAlign w:val="center"/>
          </w:tcPr>
          <w:p w:rsidR="00CE7836" w:rsidRDefault="006B0488">
            <w:pPr>
              <w:jc w:val="center"/>
            </w:pPr>
            <w:r>
              <w:rPr>
                <w:sz w:val="24"/>
              </w:rPr>
              <w:t>交银股息优化混合</w:t>
            </w:r>
          </w:p>
        </w:tc>
        <w:tc>
          <w:tcPr>
            <w:tcW w:w="1135" w:type="dxa"/>
            <w:vAlign w:val="center"/>
          </w:tcPr>
          <w:p w:rsidR="00CE7836" w:rsidRDefault="006B0488">
            <w:pPr>
              <w:jc w:val="center"/>
            </w:pPr>
            <w:r>
              <w:rPr>
                <w:sz w:val="24"/>
              </w:rPr>
              <w:t>契约型开放式</w:t>
            </w:r>
          </w:p>
        </w:tc>
        <w:tc>
          <w:tcPr>
            <w:tcW w:w="1133" w:type="dxa"/>
            <w:vAlign w:val="center"/>
          </w:tcPr>
          <w:p w:rsidR="00CE7836" w:rsidRDefault="006B0488">
            <w:pPr>
              <w:jc w:val="center"/>
            </w:pPr>
            <w:r>
              <w:rPr>
                <w:sz w:val="24"/>
              </w:rPr>
              <w:t>5,438,728.26</w:t>
            </w:r>
          </w:p>
        </w:tc>
        <w:tc>
          <w:tcPr>
            <w:tcW w:w="1276" w:type="dxa"/>
            <w:vAlign w:val="center"/>
          </w:tcPr>
          <w:p w:rsidR="00CE7836" w:rsidRDefault="006B0488">
            <w:pPr>
              <w:jc w:val="center"/>
            </w:pPr>
            <w:r>
              <w:rPr>
                <w:sz w:val="24"/>
              </w:rPr>
              <w:t>11,629,632.64</w:t>
            </w:r>
          </w:p>
        </w:tc>
        <w:tc>
          <w:tcPr>
            <w:tcW w:w="1135" w:type="dxa"/>
            <w:vAlign w:val="center"/>
          </w:tcPr>
          <w:p w:rsidR="00CE7836" w:rsidRDefault="006B0488">
            <w:pPr>
              <w:jc w:val="center"/>
            </w:pPr>
            <w:r>
              <w:rPr>
                <w:sz w:val="24"/>
              </w:rPr>
              <w:t>3.28%</w:t>
            </w:r>
          </w:p>
        </w:tc>
        <w:tc>
          <w:tcPr>
            <w:tcW w:w="1272" w:type="dxa"/>
            <w:vAlign w:val="center"/>
          </w:tcPr>
          <w:p w:rsidR="00CE7836" w:rsidRDefault="006B0488">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2,718.66</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30,918.70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32,995.86</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0.91</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696,709.54</w:t>
            </w:r>
          </w:p>
        </w:tc>
        <w:tc>
          <w:tcPr>
            <w:tcW w:w="3012" w:type="dxa"/>
            <w:vAlign w:val="center"/>
          </w:tcPr>
          <w:p w:rsidR="00C45886" w:rsidRPr="00575270" w:rsidRDefault="006B0488" w:rsidP="00342FE7">
            <w:pPr>
              <w:adjustRightInd w:val="0"/>
              <w:snapToGrid w:val="0"/>
              <w:spacing w:beforeLines="50" w:before="156" w:line="276" w:lineRule="auto"/>
              <w:jc w:val="right"/>
              <w:rPr>
                <w:rFonts w:eastAsiaTheme="minorEastAsia"/>
                <w:color w:val="000000" w:themeColor="text1"/>
                <w:sz w:val="24"/>
              </w:rPr>
            </w:pPr>
            <w:r w:rsidRPr="006B0488">
              <w:rPr>
                <w:rFonts w:eastAsiaTheme="minorEastAsia"/>
                <w:color w:val="000000" w:themeColor="text1"/>
                <w:sz w:val="24"/>
              </w:rPr>
              <w:t>85,282.24</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123,746.85</w:t>
            </w:r>
          </w:p>
        </w:tc>
        <w:tc>
          <w:tcPr>
            <w:tcW w:w="3012" w:type="dxa"/>
            <w:vAlign w:val="center"/>
          </w:tcPr>
          <w:p w:rsidR="00C45886" w:rsidRPr="00575270" w:rsidRDefault="006B0488" w:rsidP="00342FE7">
            <w:pPr>
              <w:adjustRightInd w:val="0"/>
              <w:snapToGrid w:val="0"/>
              <w:spacing w:beforeLines="50" w:before="156" w:line="276" w:lineRule="auto"/>
              <w:jc w:val="right"/>
              <w:rPr>
                <w:rFonts w:eastAsiaTheme="minorEastAsia"/>
                <w:color w:val="000000" w:themeColor="text1"/>
                <w:sz w:val="24"/>
              </w:rPr>
            </w:pPr>
            <w:r w:rsidRPr="006B0488">
              <w:rPr>
                <w:rFonts w:eastAsiaTheme="minorEastAsia"/>
                <w:color w:val="000000" w:themeColor="text1"/>
                <w:sz w:val="24"/>
              </w:rPr>
              <w:t>10,598.74</w:t>
            </w:r>
          </w:p>
        </w:tc>
      </w:tr>
      <w:tr w:rsidR="00CE7836">
        <w:tc>
          <w:tcPr>
            <w:tcW w:w="3012" w:type="dxa"/>
            <w:vAlign w:val="center"/>
          </w:tcPr>
          <w:p w:rsidR="00CE7836" w:rsidRDefault="006B0488">
            <w:pPr>
              <w:jc w:val="left"/>
            </w:pPr>
            <w:r>
              <w:rPr>
                <w:rFonts w:eastAsiaTheme="minorEastAsia"/>
                <w:color w:val="000000" w:themeColor="text1"/>
                <w:sz w:val="24"/>
              </w:rPr>
              <w:t>当期交易基金产生的交易费（元）</w:t>
            </w:r>
          </w:p>
        </w:tc>
        <w:tc>
          <w:tcPr>
            <w:tcW w:w="3012" w:type="dxa"/>
            <w:vAlign w:val="center"/>
          </w:tcPr>
          <w:p w:rsidR="00CE7836" w:rsidRDefault="006B0488">
            <w:pPr>
              <w:jc w:val="right"/>
            </w:pPr>
            <w:r>
              <w:rPr>
                <w:rFonts w:eastAsiaTheme="minorEastAsia"/>
                <w:color w:val="000000" w:themeColor="text1"/>
                <w:sz w:val="24"/>
              </w:rPr>
              <w:t>31,050.55</w:t>
            </w:r>
          </w:p>
        </w:tc>
        <w:tc>
          <w:tcPr>
            <w:tcW w:w="3012" w:type="dxa"/>
            <w:vAlign w:val="center"/>
          </w:tcPr>
          <w:p w:rsidR="00CE7836" w:rsidRDefault="006B0488">
            <w:pPr>
              <w:jc w:val="right"/>
            </w:pPr>
            <w:r>
              <w:rPr>
                <w:rFonts w:eastAsiaTheme="minorEastAsia"/>
                <w:color w:val="000000" w:themeColor="text1"/>
                <w:sz w:val="24"/>
              </w:rPr>
              <w:t>-</w:t>
            </w:r>
          </w:p>
        </w:tc>
      </w:tr>
      <w:tr w:rsidR="00CE7836">
        <w:tc>
          <w:tcPr>
            <w:tcW w:w="3012" w:type="dxa"/>
            <w:vAlign w:val="center"/>
          </w:tcPr>
          <w:p w:rsidR="00CE7836" w:rsidRDefault="006B0488">
            <w:pPr>
              <w:jc w:val="left"/>
            </w:pPr>
            <w:r>
              <w:rPr>
                <w:rFonts w:eastAsiaTheme="minorEastAsia"/>
                <w:color w:val="000000" w:themeColor="text1"/>
                <w:sz w:val="24"/>
              </w:rPr>
              <w:t>当期交易基金产生的转换费（元）</w:t>
            </w:r>
          </w:p>
        </w:tc>
        <w:tc>
          <w:tcPr>
            <w:tcW w:w="3012" w:type="dxa"/>
            <w:vAlign w:val="center"/>
          </w:tcPr>
          <w:p w:rsidR="00CE7836" w:rsidRDefault="006B0488">
            <w:pPr>
              <w:jc w:val="right"/>
            </w:pPr>
            <w:r>
              <w:rPr>
                <w:rFonts w:eastAsiaTheme="minorEastAsia"/>
                <w:color w:val="000000" w:themeColor="text1"/>
                <w:sz w:val="24"/>
              </w:rPr>
              <w:t>15,209.51</w:t>
            </w:r>
          </w:p>
        </w:tc>
        <w:tc>
          <w:tcPr>
            <w:tcW w:w="3012" w:type="dxa"/>
            <w:vAlign w:val="center"/>
          </w:tcPr>
          <w:p w:rsidR="00CE7836" w:rsidRDefault="006B0488">
            <w:pPr>
              <w:jc w:val="right"/>
            </w:pPr>
            <w:r>
              <w:rPr>
                <w:rFonts w:eastAsiaTheme="minorEastAsia"/>
                <w:color w:val="000000" w:themeColor="text1"/>
                <w:sz w:val="24"/>
              </w:rPr>
              <w:t>-</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45886" w:rsidRPr="00575270" w:rsidRDefault="00C45886" w:rsidP="00C45886">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hint="eastAsia"/>
          <w:color w:val="000000" w:themeColor="text1"/>
          <w:sz w:val="24"/>
        </w:rPr>
        <w:lastRenderedPageBreak/>
        <w:t>无。</w:t>
      </w:r>
    </w:p>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200,269,511.52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233,160,221.88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25,563.07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72,871.60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11,968,550.83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15,804,964.53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188,326,523.76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217,428,128.95</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摩根博睿均衡一年持有混合</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1,103,955.84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1,103,955.84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0.27</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§9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摩根博睿均衡一年持有期混合型基金中基金</w:t>
      </w:r>
      <w:r>
        <w:rPr>
          <w:rFonts w:eastAsiaTheme="minorEastAsia"/>
          <w:color w:val="000000" w:themeColor="text1"/>
          <w:szCs w:val="21"/>
        </w:rPr>
        <w:t>(FOF)</w:t>
      </w:r>
      <w:r>
        <w:rPr>
          <w:rFonts w:eastAsiaTheme="minorEastAsia"/>
          <w:color w:val="000000" w:themeColor="text1"/>
          <w:szCs w:val="21"/>
        </w:rPr>
        <w:t>基金合同</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摩根博睿均衡一年持有期混合型基金中基金</w:t>
      </w:r>
      <w:r>
        <w:rPr>
          <w:rFonts w:eastAsiaTheme="minorEastAsia"/>
          <w:color w:val="000000" w:themeColor="text1"/>
          <w:szCs w:val="21"/>
        </w:rPr>
        <w:t>(FOF)</w:t>
      </w:r>
      <w:r>
        <w:rPr>
          <w:rFonts w:eastAsiaTheme="minorEastAsia"/>
          <w:color w:val="000000" w:themeColor="text1"/>
          <w:szCs w:val="21"/>
        </w:rPr>
        <w:t>托管协议</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CE7836" w:rsidRDefault="006B0488">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95A57">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95A57">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95A57">
      <w:rPr>
        <w:rStyle w:val="af6"/>
        <w:noProof/>
      </w:rPr>
      <w:t>5</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摩根博睿均衡一年持有期混合型基金中基金</w:t>
    </w:r>
    <w:r>
      <w:t>(FOF)2024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464D"/>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5A57"/>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0488"/>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E7836"/>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838249">
      <w:bodyDiv w:val="1"/>
      <w:marLeft w:val="0"/>
      <w:marRight w:val="0"/>
      <w:marTop w:val="0"/>
      <w:marBottom w:val="0"/>
      <w:divBdr>
        <w:top w:val="none" w:sz="0" w:space="0" w:color="auto"/>
        <w:left w:val="none" w:sz="0" w:space="0" w:color="auto"/>
        <w:bottom w:val="none" w:sz="0" w:space="0" w:color="auto"/>
        <w:right w:val="none" w:sz="0" w:space="0" w:color="auto"/>
      </w:divBdr>
    </w:div>
    <w:div w:id="636184670">
      <w:bodyDiv w:val="1"/>
      <w:marLeft w:val="0"/>
      <w:marRight w:val="0"/>
      <w:marTop w:val="0"/>
      <w:marBottom w:val="0"/>
      <w:divBdr>
        <w:top w:val="none" w:sz="0" w:space="0" w:color="auto"/>
        <w:left w:val="none" w:sz="0" w:space="0" w:color="auto"/>
        <w:bottom w:val="none" w:sz="0" w:space="0" w:color="auto"/>
        <w:right w:val="none" w:sz="0" w:space="0" w:color="auto"/>
      </w:divBdr>
    </w:div>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433FF-26AA-4032-A4EC-675A221E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36</TotalTime>
  <Pages>15</Pages>
  <Words>1304</Words>
  <Characters>7434</Characters>
  <Application>Microsoft Office Word</Application>
  <DocSecurity>0</DocSecurity>
  <Lines>61</Lines>
  <Paragraphs>17</Paragraphs>
  <ScaleCrop>false</ScaleCrop>
  <Company>TRT. Ltd. Co.</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228</cp:revision>
  <cp:lastPrinted>2007-07-19T00:46:00Z</cp:lastPrinted>
  <dcterms:created xsi:type="dcterms:W3CDTF">2013-06-21T06:56:00Z</dcterms:created>
  <dcterms:modified xsi:type="dcterms:W3CDTF">2024-04-19T05:29:00Z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