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F4D65" w:rsidRDefault="00FF4D65">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FF4D65" w:rsidRDefault="00FF4D65">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F4D65" w:rsidRDefault="00FF4D65">
      <w:pPr>
        <w:spacing w:line="360" w:lineRule="auto"/>
        <w:jc w:val="center"/>
        <w:rPr>
          <w:rFonts w:hint="eastAsia"/>
        </w:rPr>
      </w:pPr>
      <w:r>
        <w:rPr>
          <w:rFonts w:ascii="宋体" w:hAnsi="宋体" w:hint="eastAsia"/>
          <w:b/>
          <w:bCs/>
          <w:color w:val="000000" w:themeColor="text1"/>
          <w:sz w:val="48"/>
          <w:szCs w:val="30"/>
        </w:rPr>
        <w:t>摩根沃享远见一年持有期混合型证券投资基金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FF4D65" w:rsidRDefault="00FF4D6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F4D65" w:rsidRDefault="00FF4D6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4D65" w:rsidRDefault="00FF4D65">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F4D65" w:rsidRDefault="00FF4D65">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FF4D65" w:rsidRDefault="00FF4D65">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F4D65" w:rsidRDefault="00FF4D65">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FF4D65" w:rsidRDefault="00FF4D65">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F4D65" w:rsidRDefault="00FF4D65">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56637816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FF4D65" w:rsidRDefault="00FF4D65">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szCs w:val="24"/>
                <w:lang w:eastAsia="zh-Hans"/>
              </w:rPr>
              <w:t>摩根沃享远见一年持有期混</w:t>
            </w:r>
            <w:r>
              <w:rPr>
                <w:rFonts w:ascii="宋体" w:hAnsi="宋体" w:hint="eastAsia"/>
                <w:szCs w:val="24"/>
                <w:lang w:eastAsia="zh-Hans"/>
              </w:rPr>
              <w:t>合</w:t>
            </w:r>
            <w:r>
              <w:rPr>
                <w:rFonts w:ascii="宋体" w:hAnsi="宋体" w:hint="eastAsia"/>
                <w:lang w:eastAsia="zh-Hans"/>
              </w:rPr>
              <w:t xml:space="preserve"> </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01426</w:t>
            </w:r>
            <w:r>
              <w:rPr>
                <w:rFonts w:ascii="宋体" w:hAnsi="宋体" w:hint="eastAsia"/>
                <w:lang w:eastAsia="zh-Hans"/>
              </w:rPr>
              <w:t>1</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契约型开放</w:t>
            </w:r>
            <w:r>
              <w:rPr>
                <w:rFonts w:ascii="宋体" w:hAnsi="宋体" w:hint="eastAsia"/>
                <w:lang w:eastAsia="zh-Hans"/>
              </w:rPr>
              <w:t>式</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319,603,491.7</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以行业和公司研究为基础，精选基本面优秀、成长潜力大的上市公司进行重点投资，基于严格的风险控制，力争实现基金资产的长期增值</w:t>
            </w:r>
            <w:r>
              <w:rPr>
                <w:rFonts w:ascii="宋体" w:hAnsi="宋体" w:hint="eastAsia"/>
                <w:lang w:eastAsia="zh-Hans"/>
              </w:rPr>
              <w:t>。</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1</w:t>
            </w:r>
            <w:r>
              <w:rPr>
                <w:rFonts w:ascii="宋体" w:hAnsi="宋体" w:hint="eastAsia"/>
                <w:lang w:eastAsia="zh-Hans"/>
              </w:rPr>
              <w:t xml:space="preserve">、资产配置策略　</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 xml:space="preserve">、股票投资策略　</w:t>
            </w:r>
            <w:r>
              <w:rPr>
                <w:rFonts w:ascii="宋体" w:hAnsi="宋体" w:hint="eastAsia"/>
                <w:lang w:eastAsia="zh-Hans"/>
              </w:rPr>
              <w:br/>
            </w:r>
            <w:r>
              <w:rPr>
                <w:rFonts w:ascii="宋体" w:hAnsi="宋体" w:hint="eastAsia"/>
                <w:lang w:eastAsia="zh-Hans"/>
              </w:rPr>
              <w:t>本基金坚持“挖掘优势行业高成长个股”的选股理念，依托基金管理人的研究平台，自上而下形成行业配置观点，选择中长期有较大发展空间的优势行业进行重点配置；同时自下而上形成个股配置观点，挖掘并灵活投资于各行业中最具有投资价值和成长性的上市公司；通过行业配置与个股选择，获取超越业绩比较基准的超额收益。</w:t>
            </w:r>
            <w:r>
              <w:rPr>
                <w:rFonts w:ascii="宋体" w:hAnsi="宋体" w:hint="eastAsia"/>
                <w:lang w:eastAsia="zh-Hans"/>
              </w:rPr>
              <w:br/>
            </w:r>
            <w:r>
              <w:rPr>
                <w:rFonts w:ascii="宋体" w:hAnsi="宋体" w:hint="eastAsia"/>
                <w:lang w:eastAsia="zh-Hans"/>
              </w:rPr>
              <w:t>行业配置上，基金管理人结合投研团队的宏观策略与行业观点，自上而下地确定本基金的行业配置比例，并定期进行调整。在宏观策略方面，基金管理人对宏观经济发展趋势进行前瞻性的研究与分析；在行业观点方面，基金管理人通过包括但不限于业绩增速、估值、主题、政策等维度对不同行业进行评估，同时</w:t>
            </w:r>
            <w:r>
              <w:rPr>
                <w:rFonts w:ascii="宋体" w:hAnsi="宋体" w:hint="eastAsia"/>
                <w:lang w:eastAsia="zh-Hans"/>
              </w:rPr>
              <w:t xml:space="preserve">从行业生命周期、行业景气度、行业竞争格局等多角度，综合评估各个行业的投资价值，并相应确定不同行业的配置权重。　</w:t>
            </w:r>
            <w:r>
              <w:rPr>
                <w:rFonts w:ascii="宋体" w:hAnsi="宋体" w:hint="eastAsia"/>
                <w:lang w:eastAsia="zh-Hans"/>
              </w:rPr>
              <w:br/>
            </w:r>
            <w:r>
              <w:rPr>
                <w:rFonts w:ascii="宋体" w:hAnsi="宋体" w:hint="eastAsia"/>
                <w:lang w:eastAsia="zh-Hans"/>
              </w:rPr>
              <w:t>个股选择上，基金管理人依托本公司研究平台，基于对上市公司系统、全面、细致的基本面研究，重点投资于盈利质量较高、公司治理良好且具有较高增长潜力的公司。在具体操作上，综合运用定量分析与定性分析的手段，获取个股的超额收益。</w:t>
            </w:r>
            <w:r>
              <w:rPr>
                <w:rFonts w:ascii="宋体" w:hAnsi="宋体" w:hint="eastAsia"/>
                <w:lang w:eastAsia="zh-Hans"/>
              </w:rPr>
              <w:br/>
              <w:t>3</w:t>
            </w:r>
            <w:r>
              <w:rPr>
                <w:rFonts w:ascii="宋体" w:hAnsi="宋体" w:hint="eastAsia"/>
                <w:lang w:eastAsia="zh-Hans"/>
              </w:rPr>
              <w:t xml:space="preserve">、港股投资策略　</w:t>
            </w:r>
            <w:r>
              <w:rPr>
                <w:rFonts w:ascii="宋体" w:hAnsi="宋体" w:hint="eastAsia"/>
                <w:lang w:eastAsia="zh-Hans"/>
              </w:rPr>
              <w:br/>
            </w:r>
            <w:r>
              <w:rPr>
                <w:rFonts w:ascii="宋体" w:hAnsi="宋体" w:hint="eastAsia"/>
                <w:lang w:eastAsia="zh-Hans"/>
              </w:rPr>
              <w:t>本基金可通过内地与香港股票市场交易互联互通机制投资于香港股票市场。　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本基金将自上而下地甄选行业，通过对行业政策、景气度、估值吸引力比较、市场预期等标准确定行业配置方案，并通过自下而上方法分析个股，结合各项定量和定性指标挑选出最具上涨潜力的标的。</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w:t>
            </w:r>
            <w:r>
              <w:rPr>
                <w:rFonts w:ascii="宋体" w:hAnsi="宋体" w:hint="eastAsia"/>
                <w:lang w:eastAsia="zh-Hans"/>
              </w:rPr>
              <w:t>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 xml:space="preserve">、其他投资策略　</w:t>
            </w:r>
            <w:r>
              <w:rPr>
                <w:rFonts w:ascii="宋体" w:hAnsi="宋体" w:hint="eastAsia"/>
                <w:lang w:eastAsia="zh-Hans"/>
              </w:rPr>
              <w:br/>
            </w:r>
            <w:r>
              <w:rPr>
                <w:rFonts w:ascii="宋体" w:hAnsi="宋体" w:hint="eastAsia"/>
                <w:lang w:eastAsia="zh-Hans"/>
              </w:rPr>
              <w:t>包括股指期货投资策略、资产支持证券投资策略、股票期权投资策略、证券公司短期公司债券投资策略、存托凭证投资策略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本基金属于混合型基金产品，预期风险和收益水平低于股票型基金、高于债券型基金和货币市场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66378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566378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lang w:eastAsia="zh-Hans"/>
              </w:rPr>
              <w:t>摩根沃享远见一年持有期混合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lang w:eastAsia="zh-Hans"/>
              </w:rPr>
              <w:t>摩根沃享远见一年持有期混合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566378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lang w:eastAsia="zh-Hans"/>
              </w:rPr>
              <w:t>01426</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lang w:eastAsia="zh-Hans"/>
              </w:rPr>
              <w:t>01426</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566378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4D65" w:rsidRDefault="00FF4D65">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lang w:eastAsia="zh-Hans"/>
              </w:rPr>
              <w:t>289,093,126.6</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lang w:eastAsia="zh-Hans"/>
              </w:rPr>
              <w:t>30,510,365.1</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FF4D65" w:rsidRDefault="00FF4D65">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FF4D65" w:rsidRDefault="00FF4D65">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FF4D65" w:rsidRDefault="00FF4D65">
      <w:pPr>
        <w:jc w:val="right"/>
        <w:divId w:val="10330408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3000"/>
        <w:gridCol w:w="3000"/>
      </w:tblGrid>
      <w:tr w:rsidR="00000000">
        <w:trPr>
          <w:divId w:val="10330408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F4D65" w:rsidRDefault="00FF4D65">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F4D65" w:rsidRDefault="00FF4D65">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0330408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D65" w:rsidRDefault="00FF4D65">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F4D65" w:rsidRDefault="00FF4D65">
            <w:pPr>
              <w:jc w:val="center"/>
              <w:rPr>
                <w:rFonts w:hint="eastAsia"/>
              </w:rPr>
            </w:pPr>
            <w:r>
              <w:rPr>
                <w:rFonts w:ascii="宋体" w:hAnsi="宋体" w:hint="eastAsia"/>
                <w:szCs w:val="24"/>
                <w:lang w:eastAsia="zh-Hans"/>
              </w:rPr>
              <w:t>摩根沃享远见一年持有期混合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F4D65" w:rsidRDefault="00FF4D65">
            <w:pPr>
              <w:jc w:val="center"/>
            </w:pPr>
            <w:r>
              <w:rPr>
                <w:rFonts w:ascii="宋体" w:hAnsi="宋体" w:hint="eastAsia"/>
                <w:szCs w:val="24"/>
                <w:lang w:eastAsia="zh-Hans"/>
              </w:rPr>
              <w:t>摩根沃享远见一年持有期混合</w:t>
            </w:r>
            <w:r>
              <w:rPr>
                <w:rFonts w:ascii="宋体" w:hAnsi="宋体" w:hint="eastAsia"/>
                <w:szCs w:val="24"/>
                <w:lang w:eastAsia="zh-Hans"/>
              </w:rPr>
              <w:t>C</w:t>
            </w:r>
          </w:p>
        </w:tc>
      </w:tr>
      <w:tr w:rsidR="00000000">
        <w:trPr>
          <w:divId w:val="1033040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rPr>
                <w:rFonts w:hint="eastAsia"/>
              </w:rPr>
            </w:pPr>
            <w:r>
              <w:rPr>
                <w:rFonts w:ascii="宋体" w:hAnsi="宋体" w:hint="eastAsia"/>
                <w:szCs w:val="24"/>
                <w:lang w:eastAsia="zh-Hans"/>
              </w:rPr>
              <w:t>78,462,659.8</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pPr>
            <w:r>
              <w:rPr>
                <w:rFonts w:ascii="宋体" w:hAnsi="宋体" w:hint="eastAsia"/>
                <w:szCs w:val="24"/>
                <w:lang w:eastAsia="zh-Hans"/>
              </w:rPr>
              <w:t>7,523,710.2</w:t>
            </w:r>
            <w:r>
              <w:rPr>
                <w:rFonts w:ascii="宋体" w:hAnsi="宋体" w:hint="eastAsia"/>
                <w:szCs w:val="24"/>
                <w:lang w:eastAsia="zh-Hans"/>
              </w:rPr>
              <w:t>4</w:t>
            </w:r>
          </w:p>
        </w:tc>
      </w:tr>
      <w:tr w:rsidR="00000000">
        <w:trPr>
          <w:divId w:val="1033040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rPr>
                <w:rFonts w:hint="eastAsia"/>
              </w:rPr>
            </w:pPr>
            <w:r>
              <w:rPr>
                <w:rFonts w:ascii="宋体" w:hAnsi="宋体" w:hint="eastAsia"/>
                <w:szCs w:val="24"/>
                <w:lang w:eastAsia="zh-Hans"/>
              </w:rPr>
              <w:t>160,871,046.9</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pPr>
            <w:r>
              <w:rPr>
                <w:rFonts w:ascii="宋体" w:hAnsi="宋体" w:hint="eastAsia"/>
                <w:szCs w:val="24"/>
                <w:lang w:eastAsia="zh-Hans"/>
              </w:rPr>
              <w:t>15,059,815.3</w:t>
            </w:r>
            <w:r>
              <w:rPr>
                <w:rFonts w:ascii="宋体" w:hAnsi="宋体" w:hint="eastAsia"/>
                <w:szCs w:val="24"/>
                <w:lang w:eastAsia="zh-Hans"/>
              </w:rPr>
              <w:t>5</w:t>
            </w:r>
          </w:p>
        </w:tc>
      </w:tr>
      <w:tr w:rsidR="00000000">
        <w:trPr>
          <w:divId w:val="1033040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rPr>
                <w:rFonts w:hint="eastAsia"/>
              </w:rPr>
            </w:pPr>
            <w:r>
              <w:rPr>
                <w:rFonts w:ascii="宋体" w:hAnsi="宋体" w:hint="eastAsia"/>
                <w:szCs w:val="24"/>
                <w:lang w:eastAsia="zh-Hans"/>
              </w:rPr>
              <w:t>0.517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pPr>
            <w:r>
              <w:rPr>
                <w:rFonts w:ascii="宋体" w:hAnsi="宋体" w:hint="eastAsia"/>
                <w:szCs w:val="24"/>
                <w:lang w:eastAsia="zh-Hans"/>
              </w:rPr>
              <w:t>0.478</w:t>
            </w:r>
            <w:r>
              <w:rPr>
                <w:rFonts w:ascii="宋体" w:hAnsi="宋体" w:hint="eastAsia"/>
                <w:szCs w:val="24"/>
                <w:lang w:eastAsia="zh-Hans"/>
              </w:rPr>
              <w:t>2</w:t>
            </w:r>
          </w:p>
        </w:tc>
      </w:tr>
      <w:tr w:rsidR="00000000">
        <w:trPr>
          <w:divId w:val="1033040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rPr>
                <w:rFonts w:hint="eastAsia"/>
              </w:rPr>
            </w:pPr>
            <w:r>
              <w:rPr>
                <w:rFonts w:ascii="宋体" w:hAnsi="宋体" w:hint="eastAsia"/>
                <w:szCs w:val="24"/>
                <w:lang w:eastAsia="zh-Hans"/>
              </w:rPr>
              <w:t>519,619,512.4</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pPr>
            <w:r>
              <w:rPr>
                <w:rFonts w:ascii="宋体" w:hAnsi="宋体" w:hint="eastAsia"/>
                <w:szCs w:val="24"/>
                <w:lang w:eastAsia="zh-Hans"/>
              </w:rPr>
              <w:t>52,924,270.6</w:t>
            </w:r>
            <w:r>
              <w:rPr>
                <w:rFonts w:ascii="宋体" w:hAnsi="宋体" w:hint="eastAsia"/>
                <w:szCs w:val="24"/>
                <w:lang w:eastAsia="zh-Hans"/>
              </w:rPr>
              <w:t>4</w:t>
            </w:r>
          </w:p>
        </w:tc>
      </w:tr>
      <w:tr w:rsidR="00000000">
        <w:trPr>
          <w:divId w:val="1033040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rPr>
                <w:rFonts w:hint="eastAsia"/>
              </w:rPr>
            </w:pPr>
            <w:r>
              <w:rPr>
                <w:rFonts w:ascii="宋体" w:hAnsi="宋体" w:hint="eastAsia"/>
                <w:szCs w:val="24"/>
                <w:lang w:eastAsia="zh-Hans"/>
              </w:rPr>
              <w:t>1.797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4D65" w:rsidRDefault="00FF4D65">
            <w:pPr>
              <w:jc w:val="right"/>
            </w:pPr>
            <w:r>
              <w:rPr>
                <w:rFonts w:ascii="宋体" w:hAnsi="宋体" w:hint="eastAsia"/>
                <w:szCs w:val="24"/>
                <w:lang w:eastAsia="zh-Hans"/>
              </w:rPr>
              <w:t>1.734</w:t>
            </w:r>
            <w:r>
              <w:rPr>
                <w:rFonts w:ascii="宋体" w:hAnsi="宋体" w:hint="eastAsia"/>
                <w:szCs w:val="24"/>
                <w:lang w:eastAsia="zh-Hans"/>
              </w:rPr>
              <w:t>6</w:t>
            </w:r>
          </w:p>
        </w:tc>
      </w:tr>
    </w:tbl>
    <w:p w:rsidR="00FF4D65" w:rsidRDefault="00FF4D65">
      <w:pPr>
        <w:wordWrap w:val="0"/>
        <w:spacing w:line="360" w:lineRule="auto"/>
        <w:jc w:val="left"/>
        <w:divId w:val="79911172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F4D65" w:rsidRDefault="00FF4D65">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FF4D65" w:rsidRDefault="00FF4D65">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FF4D65" w:rsidRDefault="00FF4D65">
      <w:pPr>
        <w:spacing w:line="360" w:lineRule="auto"/>
        <w:jc w:val="center"/>
        <w:divId w:val="1269660094"/>
        <w:rPr>
          <w:rFonts w:hint="eastAsia"/>
        </w:rPr>
      </w:pPr>
      <w:r>
        <w:rPr>
          <w:rFonts w:ascii="宋体" w:hAnsi="宋体" w:hint="eastAsia"/>
        </w:rPr>
        <w:t>摩根沃享远见一年持有期混合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6966009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②－④</w:t>
            </w:r>
            <w:r>
              <w:rPr>
                <w:rFonts w:ascii="宋体" w:hAnsi="宋体" w:hint="eastAsia"/>
              </w:rPr>
              <w:t xml:space="preserve"> </w:t>
            </w:r>
          </w:p>
        </w:tc>
      </w:tr>
      <w:tr w:rsidR="00000000">
        <w:trPr>
          <w:divId w:val="12696600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38.3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31.0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1.1</w:t>
            </w:r>
            <w:r>
              <w:rPr>
                <w:rFonts w:ascii="宋体" w:hAnsi="宋体" w:hint="eastAsia"/>
              </w:rPr>
              <w:t>2</w:t>
            </w:r>
            <w:r>
              <w:rPr>
                <w:rFonts w:ascii="宋体" w:hAnsi="宋体" w:hint="eastAsia"/>
              </w:rPr>
              <w:t xml:space="preserve">% </w:t>
            </w:r>
          </w:p>
        </w:tc>
      </w:tr>
      <w:tr w:rsidR="00000000">
        <w:trPr>
          <w:divId w:val="12696600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30.4</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1.8</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25.8</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r>
      <w:tr w:rsidR="00000000">
        <w:trPr>
          <w:divId w:val="12696600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104.5</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84.3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r>
      <w:tr w:rsidR="00000000">
        <w:trPr>
          <w:divId w:val="12696600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114.4</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87.0</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r>
      <w:tr w:rsidR="00000000">
        <w:trPr>
          <w:divId w:val="12696600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79.7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8.8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70.9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r>
    </w:tbl>
    <w:p w:rsidR="00FF4D65" w:rsidRDefault="00FF4D65">
      <w:pPr>
        <w:spacing w:line="360" w:lineRule="auto"/>
        <w:jc w:val="center"/>
        <w:divId w:val="247272783"/>
      </w:pPr>
      <w:r>
        <w:rPr>
          <w:rFonts w:ascii="宋体" w:hAnsi="宋体" w:hint="eastAsia"/>
        </w:rPr>
        <w:t>摩根沃享远见一年持有期混合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4727278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472727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38.0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30.7</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1.1</w:t>
            </w:r>
            <w:r>
              <w:rPr>
                <w:rFonts w:ascii="宋体" w:hAnsi="宋体" w:hint="eastAsia"/>
              </w:rPr>
              <w:t>2</w:t>
            </w:r>
            <w:r>
              <w:rPr>
                <w:rFonts w:ascii="宋体" w:hAnsi="宋体" w:hint="eastAsia"/>
              </w:rPr>
              <w:t>%</w:t>
            </w:r>
            <w:r>
              <w:rPr>
                <w:rFonts w:ascii="宋体" w:hAnsi="宋体" w:hint="eastAsia"/>
              </w:rPr>
              <w:t xml:space="preserve"> </w:t>
            </w:r>
          </w:p>
        </w:tc>
      </w:tr>
      <w:tr w:rsidR="00000000">
        <w:trPr>
          <w:divId w:val="2472727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29.8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1.8</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25.3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r>
      <w:tr w:rsidR="00000000">
        <w:trPr>
          <w:divId w:val="2472727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102.8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82.6</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472727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109.2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81.9</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r>
      <w:tr w:rsidR="00000000">
        <w:trPr>
          <w:divId w:val="2472727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73.4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1.6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8.8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4D65" w:rsidRDefault="00FF4D65">
            <w:pPr>
              <w:spacing w:line="360" w:lineRule="auto"/>
              <w:jc w:val="right"/>
            </w:pPr>
            <w:r>
              <w:rPr>
                <w:rFonts w:ascii="宋体" w:hAnsi="宋体" w:hint="eastAsia"/>
              </w:rPr>
              <w:t>64.6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spacing w:line="360" w:lineRule="auto"/>
              <w:jc w:val="right"/>
            </w:pPr>
            <w:r>
              <w:rPr>
                <w:rFonts w:ascii="宋体" w:hAnsi="宋体" w:hint="eastAsia"/>
              </w:rPr>
              <w:t>0.7</w:t>
            </w:r>
            <w:r>
              <w:rPr>
                <w:rFonts w:ascii="宋体" w:hAnsi="宋体" w:hint="eastAsia"/>
              </w:rPr>
              <w:t>2</w:t>
            </w:r>
            <w:r>
              <w:rPr>
                <w:rFonts w:ascii="宋体" w:hAnsi="宋体" w:hint="eastAsia"/>
              </w:rPr>
              <w:t>%</w:t>
            </w:r>
            <w:r>
              <w:rPr>
                <w:rFonts w:ascii="宋体" w:hAnsi="宋体" w:hint="eastAsia"/>
              </w:rPr>
              <w:t xml:space="preserve"> </w:t>
            </w:r>
          </w:p>
        </w:tc>
      </w:tr>
    </w:tbl>
    <w:p w:rsidR="00FF4D65" w:rsidRDefault="00FF4D65">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FF4D65" w:rsidRDefault="00FF4D65">
      <w:pPr>
        <w:spacing w:line="360" w:lineRule="auto"/>
        <w:jc w:val="left"/>
        <w:divId w:val="188127793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F4D65" w:rsidRDefault="00FF4D65">
      <w:pPr>
        <w:spacing w:line="360" w:lineRule="auto"/>
        <w:jc w:val="left"/>
        <w:divId w:val="24368208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F4D65" w:rsidRDefault="00FF4D65">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FF4D65" w:rsidRDefault="00FF4D65">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FF4D65" w:rsidRDefault="00FF4D65">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6831926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6831926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D65" w:rsidRDefault="00FF4D6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D65" w:rsidRDefault="00FF4D65">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D65" w:rsidRDefault="00FF4D6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D65" w:rsidRDefault="00FF4D65">
            <w:pPr>
              <w:widowControl/>
              <w:jc w:val="left"/>
            </w:pPr>
          </w:p>
        </w:tc>
      </w:tr>
      <w:tr w:rsidR="00000000">
        <w:trPr>
          <w:divId w:val="96831926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杜</w:t>
            </w:r>
            <w:r>
              <w:rPr>
                <w:rFonts w:ascii="宋体" w:hAnsi="宋体" w:hint="eastAsia"/>
                <w:szCs w:val="24"/>
                <w:lang w:eastAsia="zh-Hans"/>
              </w:rPr>
              <w:t>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szCs w:val="24"/>
                <w:lang w:eastAsia="zh-Hans"/>
              </w:rPr>
              <w:t>本基金基金经理、副总经理兼投资总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szCs w:val="24"/>
                <w:lang w:eastAsia="zh-Hans"/>
              </w:rPr>
              <w:t>杜猛先生曾任天同证券有限责任公司研究员，中原证券有限责任公司研究员，国信证券有限责任公司研究员，中银国际证券有限责任公司研究员。</w:t>
            </w:r>
            <w:r>
              <w:rPr>
                <w:rFonts w:ascii="宋体" w:hAnsi="宋体" w:hint="eastAsia"/>
                <w:szCs w:val="24"/>
                <w:lang w:eastAsia="zh-Hans"/>
              </w:rPr>
              <w:t>2007</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月起加入摩根基金管理（中国）有限公司（原上投摩根基金管理有限公司），历任行业专家、基金经理助理、基金经理、总经理助理</w:t>
            </w:r>
            <w:r>
              <w:rPr>
                <w:rFonts w:ascii="宋体" w:hAnsi="宋体" w:hint="eastAsia"/>
                <w:szCs w:val="24"/>
                <w:lang w:eastAsia="zh-Hans"/>
              </w:rPr>
              <w:t>/</w:t>
            </w:r>
            <w:r>
              <w:rPr>
                <w:rFonts w:ascii="宋体" w:hAnsi="宋体" w:hint="eastAsia"/>
                <w:szCs w:val="24"/>
                <w:lang w:eastAsia="zh-Hans"/>
              </w:rPr>
              <w:t>国内权益投资一部投资总监兼资深基金经理，现任副总经理兼投资总监</w:t>
            </w:r>
            <w:r>
              <w:rPr>
                <w:rFonts w:ascii="宋体" w:hAnsi="宋体" w:hint="eastAsia"/>
                <w:szCs w:val="24"/>
                <w:lang w:eastAsia="zh-Hans"/>
              </w:rPr>
              <w:t>。</w:t>
            </w:r>
          </w:p>
        </w:tc>
      </w:tr>
    </w:tbl>
    <w:p w:rsidR="00FF4D65" w:rsidRDefault="00FF4D65">
      <w:pPr>
        <w:wordWrap w:val="0"/>
        <w:spacing w:line="360" w:lineRule="auto"/>
        <w:jc w:val="left"/>
        <w:divId w:val="30914059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F4D65" w:rsidRDefault="00FF4D65">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FF4D65" w:rsidRDefault="00FF4D65">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FF4D65" w:rsidRDefault="00FF4D65">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FF4D65" w:rsidRDefault="00FF4D65">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FF4D65" w:rsidRDefault="00FF4D65">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F4D65" w:rsidRDefault="00FF4D65">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FF4D65" w:rsidRDefault="00FF4D65">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F4D65" w:rsidRDefault="00FF4D65">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年二季度市场震荡上行，沪深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，创业板指大涨</w:t>
      </w:r>
      <w:r>
        <w:rPr>
          <w:rFonts w:ascii="宋体" w:hAnsi="宋体" w:cs="宋体" w:hint="eastAsia"/>
          <w:color w:val="000000"/>
          <w:kern w:val="0"/>
        </w:rPr>
        <w:t>36%</w:t>
      </w:r>
      <w:r>
        <w:rPr>
          <w:rFonts w:ascii="宋体" w:hAnsi="宋体" w:cs="宋体" w:hint="eastAsia"/>
          <w:color w:val="000000"/>
          <w:kern w:val="0"/>
        </w:rPr>
        <w:t>，创出历史新高。经过一个多月的激烈冲突，中东局势逐渐收敛，最终美伊和谈并达成了停战协议，海湾危机对全球经济的冲击开始减弱。受此影响，市场风险偏好大幅提升，市场交投活跃，日均成交量持续超过</w:t>
      </w:r>
      <w:r>
        <w:rPr>
          <w:rFonts w:ascii="宋体" w:hAnsi="宋体" w:cs="宋体" w:hint="eastAsia"/>
          <w:color w:val="000000"/>
          <w:kern w:val="0"/>
        </w:rPr>
        <w:t>3</w:t>
      </w:r>
      <w:r>
        <w:rPr>
          <w:rFonts w:ascii="宋体" w:hAnsi="宋体" w:cs="宋体" w:hint="eastAsia"/>
          <w:color w:val="000000"/>
          <w:kern w:val="0"/>
        </w:rPr>
        <w:t>万亿。</w:t>
      </w:r>
      <w:r>
        <w:rPr>
          <w:rFonts w:ascii="宋体" w:hAnsi="宋体" w:cs="宋体" w:hint="eastAsia"/>
          <w:color w:val="000000"/>
          <w:kern w:val="0"/>
        </w:rPr>
        <w:br/>
      </w:r>
      <w:r>
        <w:rPr>
          <w:rFonts w:ascii="宋体" w:hAnsi="宋体" w:cs="宋体" w:hint="eastAsia"/>
          <w:color w:val="000000"/>
          <w:kern w:val="0"/>
        </w:rPr>
        <w:t xml:space="preserve">　　虽然指数在二季度实现较大幅度的上涨，但是行业间分化较为严重。科技一枝独秀，电子、通信以及部分涉及科技的上游材料类股票获得了较高的涨幅，而其他行业均表现平淡，部分行业甚至出现了偏离基本面的超跌。本基金基于股票性价比和长期投资逻辑，继续保持了部分</w:t>
      </w:r>
      <w:r>
        <w:rPr>
          <w:rFonts w:ascii="宋体" w:hAnsi="宋体" w:cs="宋体" w:hint="eastAsia"/>
          <w:color w:val="000000"/>
          <w:kern w:val="0"/>
        </w:rPr>
        <w:t>AI</w:t>
      </w:r>
      <w:r>
        <w:rPr>
          <w:rFonts w:ascii="宋体" w:hAnsi="宋体" w:cs="宋体" w:hint="eastAsia"/>
          <w:color w:val="000000"/>
          <w:kern w:val="0"/>
        </w:rPr>
        <w:t>相关股票的持仓，增加了创新药、有色金属等行业的头寸。</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下半年，中东局势逐渐缓和，虽然局势可能在这个过程中还会存在反复，但是我们判断进一步升级的概率不大，上半年影响全球经济和市场的变数逐步消散，市场大概率进入关注实际基本面的阶段。世界秩序的重构仍在进行中，这一阶段可能会延续较长的一段时间，我们认为中国在全球处于一个相对优势的位置。横向比较，中国在全球范围中的稳定性显得尤为重要，我们认为人民币已经进入长期升值通道，以人民币计价的中国资产尤其是权益资产在新旧秩序转换过程中将获得较大的重估机会。</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AI</w:t>
      </w:r>
      <w:r>
        <w:rPr>
          <w:rFonts w:ascii="宋体" w:hAnsi="宋体" w:cs="宋体" w:hint="eastAsia"/>
          <w:color w:val="000000"/>
          <w:kern w:val="0"/>
        </w:rPr>
        <w:t>类股票在二季度均获得了显著上涨，这不仅仅发生在中国，也发生在全球的主要市场，这主要还是受需求上升带来的超高景气度推动。当然随着股价大幅上涨，市场必然产生波动，</w:t>
      </w:r>
      <w:r>
        <w:rPr>
          <w:rFonts w:ascii="宋体" w:hAnsi="宋体" w:cs="宋体" w:hint="eastAsia"/>
          <w:color w:val="000000"/>
          <w:kern w:val="0"/>
        </w:rPr>
        <w:t>AI</w:t>
      </w:r>
      <w:r>
        <w:rPr>
          <w:rFonts w:ascii="宋体" w:hAnsi="宋体" w:cs="宋体" w:hint="eastAsia"/>
          <w:color w:val="000000"/>
          <w:kern w:val="0"/>
        </w:rPr>
        <w:t>产业的发展也伴随着争议和噪音，新事物的发展过程向来如此。因此在这一过程中我们不会预设结论，持续保持关注和跟踪，动态调整持仓结构。</w:t>
      </w:r>
      <w:r>
        <w:rPr>
          <w:rFonts w:ascii="宋体" w:hAnsi="宋体" w:cs="宋体" w:hint="eastAsia"/>
          <w:color w:val="000000"/>
          <w:kern w:val="0"/>
        </w:rPr>
        <w:br/>
      </w:r>
      <w:r>
        <w:rPr>
          <w:rFonts w:ascii="宋体" w:hAnsi="宋体" w:cs="宋体" w:hint="eastAsia"/>
          <w:color w:val="000000"/>
          <w:kern w:val="0"/>
        </w:rPr>
        <w:t xml:space="preserve">　　当然，我们并不仅仅关注</w:t>
      </w:r>
      <w:r>
        <w:rPr>
          <w:rFonts w:ascii="宋体" w:hAnsi="宋体" w:cs="宋体" w:hint="eastAsia"/>
          <w:color w:val="000000"/>
          <w:kern w:val="0"/>
        </w:rPr>
        <w:t>AI</w:t>
      </w:r>
      <w:r>
        <w:rPr>
          <w:rFonts w:ascii="宋体" w:hAnsi="宋体" w:cs="宋体" w:hint="eastAsia"/>
          <w:color w:val="000000"/>
          <w:kern w:val="0"/>
        </w:rPr>
        <w:t>带来的机会，经过二季度相对极致的行情，很多行业和龙头公司都出现了很高的投资性价比。我们会根据性价比和长期空间，努力在市场中挑选估值和成长性相匹配的优质品种，寻找各产业中长期成长的公司，力争为基金持有人创造持续稳定收益</w:t>
      </w:r>
      <w:r>
        <w:rPr>
          <w:rFonts w:ascii="宋体" w:hAnsi="宋体" w:cs="宋体" w:hint="eastAsia"/>
          <w:color w:val="000000"/>
          <w:kern w:val="0"/>
        </w:rPr>
        <w:t>。</w:t>
      </w:r>
    </w:p>
    <w:p w:rsidR="00FF4D65" w:rsidRDefault="00FF4D65">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FF4D65" w:rsidRDefault="00FF4D65">
      <w:pPr>
        <w:spacing w:line="360" w:lineRule="auto"/>
        <w:ind w:firstLineChars="200" w:firstLine="420"/>
        <w:rPr>
          <w:rFonts w:hint="eastAsia"/>
        </w:rPr>
      </w:pPr>
      <w:r>
        <w:rPr>
          <w:rFonts w:ascii="宋体" w:hAnsi="宋体" w:hint="eastAsia"/>
        </w:rPr>
        <w:t>本报告期摩根沃享远见一年持有期混合</w:t>
      </w:r>
      <w:r>
        <w:rPr>
          <w:rFonts w:ascii="宋体" w:hAnsi="宋体" w:hint="eastAsia"/>
        </w:rPr>
        <w:t>A</w:t>
      </w:r>
      <w:r>
        <w:rPr>
          <w:rFonts w:ascii="宋体" w:hAnsi="宋体" w:hint="eastAsia"/>
        </w:rPr>
        <w:t>份额净值增长率为：</w:t>
      </w:r>
      <w:r>
        <w:rPr>
          <w:rFonts w:ascii="宋体" w:hAnsi="宋体" w:hint="eastAsia"/>
        </w:rPr>
        <w:t>38.35%</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摩根沃享远见一年持有期混合</w:t>
      </w:r>
      <w:r>
        <w:rPr>
          <w:rFonts w:ascii="宋体" w:hAnsi="宋体" w:hint="eastAsia"/>
        </w:rPr>
        <w:t>C</w:t>
      </w:r>
      <w:r>
        <w:rPr>
          <w:rFonts w:ascii="宋体" w:hAnsi="宋体" w:hint="eastAsia"/>
        </w:rPr>
        <w:t>份额净值增长率为：</w:t>
      </w:r>
      <w:r>
        <w:rPr>
          <w:rFonts w:ascii="宋体" w:hAnsi="宋体" w:hint="eastAsia"/>
        </w:rPr>
        <w:t>38.07%</w:t>
      </w:r>
      <w:r>
        <w:rPr>
          <w:rFonts w:ascii="宋体" w:hAnsi="宋体" w:hint="eastAsia"/>
        </w:rPr>
        <w:t>，同期业绩比较基准收益率为：</w:t>
      </w:r>
      <w:r>
        <w:rPr>
          <w:rFonts w:ascii="宋体" w:hAnsi="宋体" w:hint="eastAsia"/>
        </w:rPr>
        <w:t>7.28%</w:t>
      </w:r>
      <w:r>
        <w:rPr>
          <w:rFonts w:ascii="宋体" w:hAnsi="宋体" w:hint="eastAsia"/>
        </w:rPr>
        <w:t>。</w:t>
      </w:r>
    </w:p>
    <w:p w:rsidR="00FF4D65" w:rsidRDefault="00FF4D65">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F4D65" w:rsidRDefault="00FF4D65">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FF4D65" w:rsidRDefault="00FF4D65">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521,444,278.1</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90.7</w:t>
            </w:r>
            <w:r>
              <w:rPr>
                <w:rFonts w:ascii="宋体" w:hAnsi="宋体" w:hint="eastAsia"/>
                <w:szCs w:val="24"/>
                <w:lang w:eastAsia="zh-Hans"/>
              </w:rPr>
              <w:t>1</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521,444,278.1</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90.7</w:t>
            </w:r>
            <w:r>
              <w:rPr>
                <w:rFonts w:ascii="宋体" w:hAnsi="宋体" w:hint="eastAsia"/>
                <w:szCs w:val="24"/>
                <w:lang w:eastAsia="zh-Hans"/>
              </w:rPr>
              <w:t>1</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47,523,317.1</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8.2</w:t>
            </w:r>
            <w:r>
              <w:rPr>
                <w:rFonts w:ascii="宋体" w:hAnsi="宋体" w:hint="eastAsia"/>
                <w:szCs w:val="24"/>
                <w:lang w:eastAsia="zh-Hans"/>
              </w:rPr>
              <w:t>7</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5,899,319.5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1.0</w:t>
            </w:r>
            <w:r>
              <w:rPr>
                <w:rFonts w:ascii="宋体" w:hAnsi="宋体" w:hint="eastAsia"/>
                <w:szCs w:val="24"/>
                <w:lang w:eastAsia="zh-Hans"/>
              </w:rPr>
              <w:t>3</w:t>
            </w:r>
          </w:p>
        </w:tc>
      </w:tr>
      <w:tr w:rsidR="00000000">
        <w:trPr>
          <w:divId w:val="13195302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4D65" w:rsidRDefault="00FF4D65">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FF4D65" w:rsidRDefault="00FF4D65">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574,866,914.7</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F4D65" w:rsidRDefault="00FF4D65">
            <w:pPr>
              <w:jc w:val="right"/>
            </w:pPr>
            <w:r>
              <w:rPr>
                <w:rFonts w:ascii="宋体" w:hAnsi="宋体" w:hint="eastAsia"/>
                <w:szCs w:val="24"/>
                <w:lang w:eastAsia="zh-Hans"/>
              </w:rPr>
              <w:t>100.0</w:t>
            </w:r>
            <w:r>
              <w:rPr>
                <w:rFonts w:ascii="宋体" w:hAnsi="宋体" w:hint="eastAsia"/>
                <w:szCs w:val="24"/>
                <w:lang w:eastAsia="zh-Hans"/>
              </w:rPr>
              <w:t>0</w:t>
            </w:r>
          </w:p>
        </w:tc>
      </w:tr>
    </w:tbl>
    <w:p w:rsidR="00FF4D65" w:rsidRDefault="00FF4D65">
      <w:pPr>
        <w:spacing w:line="360" w:lineRule="auto"/>
        <w:jc w:val="left"/>
        <w:divId w:val="1657764036"/>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86,166,830.47</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15.05%</w:t>
      </w:r>
      <w:r>
        <w:rPr>
          <w:rFonts w:ascii="宋体" w:hAnsi="宋体" w:hint="eastAsia"/>
        </w:rPr>
        <w:t>。</w:t>
      </w:r>
    </w:p>
    <w:p w:rsidR="00FF4D65" w:rsidRDefault="00FF4D65">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FF4D65" w:rsidRDefault="00FF4D65">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20829480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F4D65" w:rsidRDefault="00FF4D65">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FF4D65" w:rsidRDefault="00FF4D65">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FF4D65" w:rsidRDefault="00FF4D6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178,449.0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1,053,387.0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0.1</w:t>
            </w:r>
            <w:r>
              <w:rPr>
                <w:rFonts w:ascii="宋体" w:hAnsi="宋体" w:hint="eastAsia"/>
                <w:szCs w:val="24"/>
                <w:lang w:eastAsia="zh-Hans"/>
              </w:rPr>
              <w:t>8</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424,612,799.3</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74.1</w:t>
            </w:r>
            <w:r>
              <w:rPr>
                <w:rFonts w:ascii="宋体" w:hAnsi="宋体" w:hint="eastAsia"/>
                <w:szCs w:val="24"/>
                <w:lang w:eastAsia="zh-Hans"/>
              </w:rPr>
              <w:t>6</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308,654.0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0.0</w:t>
            </w:r>
            <w:r>
              <w:rPr>
                <w:rFonts w:ascii="宋体" w:hAnsi="宋体" w:hint="eastAsia"/>
                <w:szCs w:val="24"/>
                <w:lang w:eastAsia="zh-Hans"/>
              </w:rPr>
              <w:t>5</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8,226,188.2</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1.4</w:t>
            </w:r>
            <w:r>
              <w:rPr>
                <w:rFonts w:ascii="宋体" w:hAnsi="宋体" w:hint="eastAsia"/>
                <w:szCs w:val="24"/>
                <w:lang w:eastAsia="zh-Hans"/>
              </w:rPr>
              <w:t>4</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793,872.0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104,098.0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20829480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4D65" w:rsidRDefault="00FF4D65">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4D65" w:rsidRDefault="00FF4D65">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4D65" w:rsidRDefault="00FF4D65">
            <w:pPr>
              <w:jc w:val="right"/>
            </w:pPr>
            <w:r>
              <w:rPr>
                <w:rFonts w:ascii="宋体" w:hAnsi="宋体" w:hint="eastAsia"/>
                <w:szCs w:val="24"/>
                <w:lang w:eastAsia="zh-Hans"/>
              </w:rPr>
              <w:t>435,277,447.6</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4D65" w:rsidRDefault="00FF4D65">
            <w:pPr>
              <w:jc w:val="right"/>
            </w:pPr>
            <w:r>
              <w:rPr>
                <w:rFonts w:ascii="宋体" w:hAnsi="宋体" w:hint="eastAsia"/>
                <w:szCs w:val="24"/>
                <w:lang w:eastAsia="zh-Hans"/>
              </w:rPr>
              <w:t>76.0</w:t>
            </w:r>
            <w:r>
              <w:rPr>
                <w:rFonts w:ascii="宋体" w:hAnsi="宋体" w:hint="eastAsia"/>
                <w:szCs w:val="24"/>
                <w:lang w:eastAsia="zh-Hans"/>
              </w:rPr>
              <w:t>3</w:t>
            </w:r>
          </w:p>
        </w:tc>
      </w:tr>
    </w:tbl>
    <w:p w:rsidR="00FF4D65" w:rsidRDefault="00FF4D65">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4D65" w:rsidRDefault="00FF4D65">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4D65" w:rsidRDefault="00FF4D65">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4D65" w:rsidRDefault="00FF4D6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13,344,882.5</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2.3</w:t>
            </w:r>
            <w:r>
              <w:rPr>
                <w:rFonts w:ascii="宋体" w:hAnsi="宋体" w:hint="eastAsia"/>
                <w:szCs w:val="24"/>
                <w:lang w:eastAsia="zh-Hans"/>
              </w:rPr>
              <w:t>3</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6,754,173.1</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1.1</w:t>
            </w:r>
            <w:r>
              <w:rPr>
                <w:rFonts w:ascii="宋体" w:hAnsi="宋体" w:hint="eastAsia"/>
                <w:szCs w:val="24"/>
                <w:lang w:eastAsia="zh-Hans"/>
              </w:rPr>
              <w:t>8</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4,283,623.4</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0.7</w:t>
            </w:r>
            <w:r>
              <w:rPr>
                <w:rFonts w:ascii="宋体" w:hAnsi="宋体" w:hint="eastAsia"/>
                <w:szCs w:val="24"/>
                <w:lang w:eastAsia="zh-Hans"/>
              </w:rPr>
              <w:t>5</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39,632,808.5</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6.9</w:t>
            </w:r>
            <w:r>
              <w:rPr>
                <w:rFonts w:ascii="宋体" w:hAnsi="宋体" w:hint="eastAsia"/>
                <w:szCs w:val="24"/>
                <w:lang w:eastAsia="zh-Hans"/>
              </w:rPr>
              <w:t>2</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22,151,342.8</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3.8</w:t>
            </w:r>
            <w:r>
              <w:rPr>
                <w:rFonts w:ascii="宋体" w:hAnsi="宋体" w:hint="eastAsia"/>
                <w:szCs w:val="24"/>
                <w:lang w:eastAsia="zh-Hans"/>
              </w:rPr>
              <w:t>7</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w:t>
            </w:r>
          </w:p>
        </w:tc>
      </w:tr>
      <w:tr w:rsidR="00000000">
        <w:trPr>
          <w:divId w:val="120371157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86,166,830.4</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4D65" w:rsidRDefault="00FF4D65">
            <w:pPr>
              <w:jc w:val="right"/>
            </w:pPr>
            <w:r>
              <w:rPr>
                <w:rFonts w:ascii="宋体" w:hAnsi="宋体" w:hint="eastAsia"/>
                <w:szCs w:val="24"/>
                <w:lang w:eastAsia="zh-Hans"/>
              </w:rPr>
              <w:t>15.0</w:t>
            </w:r>
            <w:r>
              <w:rPr>
                <w:rFonts w:ascii="宋体" w:hAnsi="宋体" w:hint="eastAsia"/>
                <w:szCs w:val="24"/>
                <w:lang w:eastAsia="zh-Hans"/>
              </w:rPr>
              <w:t>5</w:t>
            </w:r>
          </w:p>
        </w:tc>
      </w:tr>
    </w:tbl>
    <w:p w:rsidR="00FF4D65" w:rsidRDefault="00FF4D65">
      <w:pPr>
        <w:spacing w:line="360" w:lineRule="auto"/>
        <w:divId w:val="818309829"/>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FF4D65" w:rsidRDefault="00FF4D65">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FF4D65" w:rsidRDefault="00FF4D65">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5395680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210,70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55,277,145.0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9.6</w:t>
            </w:r>
            <w:r>
              <w:rPr>
                <w:rFonts w:ascii="宋体" w:hAnsi="宋体" w:hint="eastAsia"/>
                <w:szCs w:val="24"/>
                <w:lang w:eastAsia="zh-Hans"/>
              </w:rPr>
              <w:t>5</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38,30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48,641,000.0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8.5</w:t>
            </w:r>
            <w:r>
              <w:rPr>
                <w:rFonts w:ascii="宋体" w:hAnsi="宋体" w:hint="eastAsia"/>
                <w:szCs w:val="24"/>
                <w:lang w:eastAsia="zh-Hans"/>
              </w:rPr>
              <w:t>0</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499,77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46,733,492.7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8.1</w:t>
            </w:r>
            <w:r>
              <w:rPr>
                <w:rFonts w:ascii="宋体" w:hAnsi="宋体" w:hint="eastAsia"/>
                <w:szCs w:val="24"/>
                <w:lang w:eastAsia="zh-Hans"/>
              </w:rPr>
              <w:t>6</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100,19</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39,378,422.9</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6.8</w:t>
            </w:r>
            <w:r>
              <w:rPr>
                <w:rFonts w:ascii="宋体" w:hAnsi="宋体" w:hint="eastAsia"/>
                <w:szCs w:val="24"/>
                <w:lang w:eastAsia="zh-Hans"/>
              </w:rPr>
              <w:t>8</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60,73</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36,864,324.0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6.4</w:t>
            </w:r>
            <w:r>
              <w:rPr>
                <w:rFonts w:ascii="宋体" w:hAnsi="宋体" w:hint="eastAsia"/>
                <w:szCs w:val="24"/>
                <w:lang w:eastAsia="zh-Hans"/>
              </w:rPr>
              <w:t>4</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902,20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30,196,634.0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5.2</w:t>
            </w:r>
            <w:r>
              <w:rPr>
                <w:rFonts w:ascii="宋体" w:hAnsi="宋体" w:hint="eastAsia"/>
                <w:szCs w:val="24"/>
                <w:lang w:eastAsia="zh-Hans"/>
              </w:rPr>
              <w:t>7</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308,50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23,954,522.1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4.1</w:t>
            </w:r>
            <w:r>
              <w:rPr>
                <w:rFonts w:ascii="宋体" w:hAnsi="宋体" w:hint="eastAsia"/>
                <w:szCs w:val="24"/>
                <w:lang w:eastAsia="zh-Hans"/>
              </w:rPr>
              <w:t>8</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58,70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21,912,873.7</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3.8</w:t>
            </w:r>
            <w:r>
              <w:rPr>
                <w:rFonts w:ascii="宋体" w:hAnsi="宋体" w:hint="eastAsia"/>
                <w:szCs w:val="24"/>
                <w:lang w:eastAsia="zh-Hans"/>
              </w:rPr>
              <w:t>3</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136,60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20,505,026.0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3.5</w:t>
            </w:r>
            <w:r>
              <w:rPr>
                <w:rFonts w:ascii="宋体" w:hAnsi="宋体" w:hint="eastAsia"/>
                <w:szCs w:val="24"/>
                <w:lang w:eastAsia="zh-Hans"/>
              </w:rPr>
              <w:t>8</w:t>
            </w:r>
          </w:p>
        </w:tc>
      </w:tr>
      <w:tr w:rsidR="00000000">
        <w:trPr>
          <w:divId w:val="1539568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57,30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19,850,439.0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3.4</w:t>
            </w:r>
            <w:r>
              <w:rPr>
                <w:rFonts w:ascii="宋体" w:hAnsi="宋体" w:hint="eastAsia"/>
                <w:szCs w:val="24"/>
                <w:lang w:eastAsia="zh-Hans"/>
              </w:rPr>
              <w:t>7</w:t>
            </w:r>
          </w:p>
        </w:tc>
      </w:tr>
    </w:tbl>
    <w:p w:rsidR="00FF4D65" w:rsidRDefault="00FF4D65">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FF4D65" w:rsidRDefault="00FF4D65">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FF4D65" w:rsidRDefault="00FF4D65">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F4D65" w:rsidRDefault="00FF4D65">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FF4D65" w:rsidRDefault="00FF4D65">
      <w:pPr>
        <w:spacing w:line="360" w:lineRule="auto"/>
        <w:ind w:firstLineChars="200" w:firstLine="420"/>
        <w:divId w:val="194591794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FF4D65" w:rsidRDefault="00FF4D65">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FF4D65" w:rsidRDefault="00FF4D65">
      <w:pPr>
        <w:spacing w:line="360" w:lineRule="auto"/>
        <w:ind w:firstLineChars="200" w:firstLine="420"/>
        <w:divId w:val="66805713"/>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FF4D65" w:rsidRDefault="00FF4D65">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FF4D65" w:rsidRDefault="00FF4D65">
      <w:pPr>
        <w:spacing w:line="360" w:lineRule="auto"/>
        <w:ind w:firstLineChars="200" w:firstLine="420"/>
        <w:divId w:val="203931063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FF4D65" w:rsidRDefault="00FF4D65">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FF4D65" w:rsidRDefault="00FF4D65">
      <w:pPr>
        <w:spacing w:line="360" w:lineRule="auto"/>
        <w:ind w:firstLineChars="200" w:firstLine="420"/>
        <w:divId w:val="1651052386"/>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FF4D65" w:rsidRDefault="00FF4D65">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FF4D65" w:rsidRDefault="00FF4D65">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FF4D65" w:rsidRDefault="00FF4D65">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FF4D65" w:rsidRDefault="00FF4D65">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FF4D65" w:rsidRDefault="00FF4D65">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F4D65" w:rsidRDefault="00FF4D65">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06059045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4D65" w:rsidRDefault="00FF4D65">
            <w:pPr>
              <w:jc w:val="center"/>
            </w:pPr>
            <w:r>
              <w:rPr>
                <w:rFonts w:ascii="宋体" w:hAnsi="宋体" w:hint="eastAsia"/>
              </w:rPr>
              <w:t>金额（元</w:t>
            </w:r>
            <w:r>
              <w:rPr>
                <w:rFonts w:ascii="宋体" w:hAnsi="宋体" w:hint="eastAsia"/>
              </w:rPr>
              <w:t>）</w:t>
            </w:r>
            <w:r>
              <w:t xml:space="preserve"> </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5,674,615.2</w:t>
            </w:r>
            <w:r>
              <w:rPr>
                <w:rFonts w:ascii="宋体" w:hAnsi="宋体" w:hint="eastAsia"/>
              </w:rPr>
              <w:t>2</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139,377.0</w:t>
            </w:r>
            <w:r>
              <w:rPr>
                <w:rFonts w:ascii="宋体" w:hAnsi="宋体" w:hint="eastAsia"/>
              </w:rPr>
              <w:t>6</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85,327.2</w:t>
            </w:r>
            <w:r>
              <w:rPr>
                <w:rFonts w:ascii="宋体" w:hAnsi="宋体" w:hint="eastAsia"/>
              </w:rPr>
              <w:t>3</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w:t>
            </w:r>
          </w:p>
        </w:tc>
      </w:tr>
      <w:tr w:rsidR="00000000">
        <w:trPr>
          <w:divId w:val="10605904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rPr>
              <w:t>5,899,319.5</w:t>
            </w:r>
            <w:r>
              <w:rPr>
                <w:rFonts w:ascii="宋体" w:hAnsi="宋体" w:hint="eastAsia"/>
              </w:rPr>
              <w:t>1</w:t>
            </w:r>
          </w:p>
        </w:tc>
      </w:tr>
    </w:tbl>
    <w:p w:rsidR="00FF4D65" w:rsidRDefault="00FF4D65">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FF4D65" w:rsidRDefault="00FF4D65">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F4D65" w:rsidRDefault="00FF4D65">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FF4D65" w:rsidRDefault="00FF4D65">
      <w:pPr>
        <w:spacing w:line="360" w:lineRule="auto"/>
        <w:ind w:firstLineChars="200" w:firstLine="420"/>
        <w:jc w:val="left"/>
        <w:divId w:val="3311652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FF4D65" w:rsidRDefault="00FF4D65">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FF4D65" w:rsidRDefault="00FF4D65">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FF4D65" w:rsidRDefault="00FF4D65">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FF4D65" w:rsidRDefault="00FF4D65">
      <w:pPr>
        <w:wordWrap w:val="0"/>
        <w:spacing w:line="360" w:lineRule="auto"/>
        <w:jc w:val="right"/>
        <w:divId w:val="1106579436"/>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11065794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ind w:right="3"/>
              <w:jc w:val="center"/>
            </w:pPr>
            <w:r>
              <w:rPr>
                <w:rFonts w:ascii="宋体" w:hAnsi="宋体" w:hint="eastAsia"/>
                <w:lang w:eastAsia="zh-Hans"/>
              </w:rPr>
              <w:t>摩根沃享远见一年持有期混合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F4D65" w:rsidRDefault="00FF4D65">
            <w:pPr>
              <w:ind w:right="3"/>
              <w:jc w:val="center"/>
            </w:pPr>
            <w:r>
              <w:rPr>
                <w:rFonts w:ascii="宋体" w:hAnsi="宋体" w:hint="eastAsia"/>
                <w:lang w:eastAsia="zh-Hans"/>
              </w:rPr>
              <w:t>摩根沃享远见一年持有期混合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1065794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340,138,028.7</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32,263,629.0</w:t>
            </w:r>
            <w:r>
              <w:rPr>
                <w:rFonts w:ascii="宋体" w:hAnsi="宋体" w:hint="eastAsia"/>
              </w:rPr>
              <w:t>3</w:t>
            </w:r>
          </w:p>
        </w:tc>
      </w:tr>
      <w:tr w:rsidR="00000000">
        <w:trPr>
          <w:divId w:val="11065794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9,429,998.0</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2,627,465.8</w:t>
            </w:r>
            <w:r>
              <w:rPr>
                <w:rFonts w:ascii="宋体" w:hAnsi="宋体" w:hint="eastAsia"/>
              </w:rPr>
              <w:t>1</w:t>
            </w:r>
          </w:p>
        </w:tc>
      </w:tr>
      <w:tr w:rsidR="00000000">
        <w:trPr>
          <w:divId w:val="11065794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60,474,900.0</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4,380,729.7</w:t>
            </w:r>
            <w:r>
              <w:rPr>
                <w:rFonts w:ascii="宋体" w:hAnsi="宋体" w:hint="eastAsia"/>
              </w:rPr>
              <w:t>4</w:t>
            </w:r>
          </w:p>
        </w:tc>
      </w:tr>
      <w:tr w:rsidR="00000000">
        <w:trPr>
          <w:divId w:val="11065794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w:t>
            </w:r>
          </w:p>
        </w:tc>
      </w:tr>
      <w:tr w:rsidR="00000000">
        <w:trPr>
          <w:divId w:val="11065794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289,093,126.6</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4D65" w:rsidRDefault="00FF4D65">
            <w:pPr>
              <w:jc w:val="right"/>
            </w:pPr>
            <w:r>
              <w:rPr>
                <w:rFonts w:ascii="宋体" w:hAnsi="宋体" w:hint="eastAsia"/>
              </w:rPr>
              <w:t>30,510,365.1</w:t>
            </w:r>
            <w:r>
              <w:rPr>
                <w:rFonts w:ascii="宋体" w:hAnsi="宋体" w:hint="eastAsia"/>
              </w:rPr>
              <w:t>0</w:t>
            </w:r>
          </w:p>
        </w:tc>
      </w:tr>
    </w:tbl>
    <w:p w:rsidR="00FF4D65" w:rsidRDefault="00FF4D65">
      <w:pPr>
        <w:spacing w:line="360" w:lineRule="auto"/>
        <w:jc w:val="left"/>
        <w:divId w:val="110657943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FF4D65" w:rsidRDefault="00FF4D65">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FF4D65" w:rsidRDefault="00FF4D65">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FF4D65" w:rsidRDefault="00FF4D65">
      <w:pPr>
        <w:wordWrap w:val="0"/>
        <w:spacing w:line="360" w:lineRule="auto"/>
        <w:jc w:val="right"/>
        <w:divId w:val="112388832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12388832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jc w:val="center"/>
            </w:pPr>
            <w:r>
              <w:rPr>
                <w:rFonts w:ascii="宋体" w:hAnsi="宋体" w:hint="eastAsia"/>
                <w:lang w:eastAsia="zh-Hans"/>
              </w:rPr>
              <w:t>摩根沃享远见一年持有期混合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4D65" w:rsidRDefault="00FF4D65">
            <w:pPr>
              <w:jc w:val="center"/>
            </w:pPr>
            <w:r>
              <w:rPr>
                <w:rFonts w:ascii="宋体" w:hAnsi="宋体" w:hint="eastAsia"/>
                <w:lang w:eastAsia="zh-Hans"/>
              </w:rPr>
              <w:t>摩根沃享远见一年持有期混合</w:t>
            </w:r>
            <w:r>
              <w:rPr>
                <w:rFonts w:ascii="宋体" w:hAnsi="宋体" w:hint="eastAsia"/>
                <w:lang w:eastAsia="zh-Hans"/>
              </w:rPr>
              <w:t>C</w:t>
            </w:r>
            <w:r>
              <w:rPr>
                <w:rFonts w:ascii="宋体" w:hAnsi="宋体" w:hint="eastAsia"/>
                <w:color w:val="000000"/>
              </w:rPr>
              <w:t xml:space="preserve"> </w:t>
            </w:r>
          </w:p>
        </w:tc>
      </w:tr>
      <w:tr w:rsidR="00000000">
        <w:trPr>
          <w:divId w:val="112388832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rPr>
                <w:rFonts w:hint="eastAsia"/>
              </w:rPr>
            </w:pPr>
            <w:r>
              <w:rPr>
                <w:rFonts w:ascii="宋体" w:hAnsi="宋体" w:hint="eastAsia"/>
                <w:kern w:val="0"/>
                <w:szCs w:val="24"/>
                <w:lang w:eastAsia="zh-Hans"/>
              </w:rPr>
              <w:t>23,068.9</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kern w:val="0"/>
                <w:szCs w:val="24"/>
                <w:lang w:eastAsia="zh-Hans"/>
              </w:rPr>
              <w:t>-</w:t>
            </w:r>
          </w:p>
        </w:tc>
      </w:tr>
      <w:tr w:rsidR="00000000">
        <w:trPr>
          <w:divId w:val="112388832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szCs w:val="24"/>
                <w:lang w:eastAsia="zh-Hans"/>
              </w:rPr>
              <w:t>-</w:t>
            </w:r>
          </w:p>
        </w:tc>
      </w:tr>
      <w:tr w:rsidR="00000000">
        <w:trPr>
          <w:divId w:val="112388832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lang w:eastAsia="zh-Hans"/>
              </w:rPr>
              <w:t>-</w:t>
            </w:r>
          </w:p>
        </w:tc>
      </w:tr>
      <w:tr w:rsidR="00000000">
        <w:trPr>
          <w:divId w:val="112388832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rPr>
                <w:rFonts w:hint="eastAsia"/>
              </w:rPr>
            </w:pPr>
            <w:r>
              <w:rPr>
                <w:rFonts w:ascii="宋体" w:hAnsi="宋体" w:hint="eastAsia"/>
                <w:lang w:eastAsia="zh-Hans"/>
              </w:rPr>
              <w:t>23,068.9</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lang w:eastAsia="zh-Hans"/>
              </w:rPr>
              <w:t>-</w:t>
            </w:r>
          </w:p>
        </w:tc>
      </w:tr>
      <w:tr w:rsidR="00000000">
        <w:trPr>
          <w:divId w:val="112388832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rPr>
                <w:rFonts w:hint="eastAsia"/>
              </w:rPr>
            </w:pPr>
            <w:r>
              <w:rPr>
                <w:rFonts w:ascii="宋体" w:hAnsi="宋体" w:hint="eastAsia"/>
                <w:lang w:eastAsia="zh-Hans"/>
              </w:rPr>
              <w:t>0.0</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4D65" w:rsidRDefault="00FF4D65">
            <w:pPr>
              <w:jc w:val="right"/>
            </w:pPr>
            <w:r>
              <w:rPr>
                <w:rFonts w:ascii="宋体" w:hAnsi="宋体" w:hint="eastAsia"/>
                <w:lang w:eastAsia="zh-Hans"/>
              </w:rPr>
              <w:t>-</w:t>
            </w:r>
          </w:p>
        </w:tc>
      </w:tr>
    </w:tbl>
    <w:p w:rsidR="00FF4D65" w:rsidRDefault="00FF4D65">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FF4D65" w:rsidRDefault="00FF4D65">
      <w:pPr>
        <w:spacing w:line="360" w:lineRule="auto"/>
        <w:ind w:firstLineChars="200" w:firstLine="420"/>
        <w:jc w:val="left"/>
        <w:divId w:val="1359240222"/>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F4D65" w:rsidRDefault="00FF4D65">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FF4D65" w:rsidRDefault="00FF4D65">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FF4D65" w:rsidRDefault="00FF4D65">
      <w:pPr>
        <w:spacing w:line="360" w:lineRule="auto"/>
        <w:ind w:firstLineChars="200" w:firstLine="420"/>
        <w:divId w:val="240411009"/>
        <w:rPr>
          <w:rFonts w:ascii="宋体" w:hAnsi="宋体" w:hint="eastAsia"/>
          <w:szCs w:val="21"/>
          <w:lang w:eastAsia="zh-Hans"/>
        </w:rPr>
      </w:pPr>
      <w:r>
        <w:rPr>
          <w:rFonts w:ascii="宋体" w:hAnsi="宋体" w:hint="eastAsia"/>
          <w:szCs w:val="21"/>
          <w:lang w:eastAsia="zh-Hans"/>
        </w:rPr>
        <w:t>无。</w:t>
      </w:r>
    </w:p>
    <w:p w:rsidR="00FF4D65" w:rsidRDefault="00FF4D65">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FF4D65" w:rsidRDefault="00FF4D65">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摩根沃享远见一年持有期混合型证券投资基金基金合同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摩根沃享远见一年持有期混合型证券投资基金托管协议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FF4D65" w:rsidRDefault="00FF4D65">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F4D65" w:rsidRDefault="00FF4D65">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FF4D65" w:rsidRDefault="00FF4D65">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FF4D65" w:rsidRDefault="00FF4D6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F4D65" w:rsidRDefault="00FF4D6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F4D65" w:rsidRDefault="00FF4D65">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F4D65" w:rsidRDefault="00FF4D65">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FF4D65">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D65" w:rsidRDefault="00FF4D65">
      <w:pPr>
        <w:rPr>
          <w:szCs w:val="21"/>
        </w:rPr>
      </w:pPr>
      <w:r>
        <w:rPr>
          <w:szCs w:val="21"/>
        </w:rPr>
        <w:separator/>
      </w:r>
      <w:r>
        <w:rPr>
          <w:szCs w:val="21"/>
        </w:rPr>
        <w:t xml:space="preserve"> </w:t>
      </w:r>
    </w:p>
  </w:endnote>
  <w:endnote w:type="continuationSeparator" w:id="0">
    <w:p w:rsidR="00FF4D65" w:rsidRDefault="00FF4D6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65" w:rsidRDefault="00FF4D65">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D65" w:rsidRDefault="00FF4D65">
      <w:pPr>
        <w:rPr>
          <w:szCs w:val="21"/>
        </w:rPr>
      </w:pPr>
      <w:r>
        <w:rPr>
          <w:szCs w:val="21"/>
        </w:rPr>
        <w:separator/>
      </w:r>
      <w:r>
        <w:rPr>
          <w:szCs w:val="21"/>
        </w:rPr>
        <w:t xml:space="preserve"> </w:t>
      </w:r>
    </w:p>
  </w:footnote>
  <w:footnote w:type="continuationSeparator" w:id="0">
    <w:p w:rsidR="00FF4D65" w:rsidRDefault="00FF4D6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65" w:rsidRDefault="00FF4D65">
    <w:pPr>
      <w:pStyle w:val="a8"/>
      <w:jc w:val="right"/>
    </w:pPr>
    <w:r>
      <w:rPr>
        <w:rFonts w:ascii="宋体" w:hAnsi="宋体" w:hint="eastAsia"/>
      </w:rPr>
      <w:t>摩根沃享远见一年持有期混合型证券投资基金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1287037">
    <w:abstractNumId w:val="0"/>
  </w:num>
  <w:num w:numId="2" w16cid:durableId="1111823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52D2B"/>
    <w:rsid w:val="000B44AF"/>
    <w:rsid w:val="00C52D2B"/>
    <w:rsid w:val="00FF4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521">
      <w:marLeft w:val="0"/>
      <w:marRight w:val="0"/>
      <w:marTop w:val="0"/>
      <w:marBottom w:val="0"/>
      <w:divBdr>
        <w:top w:val="none" w:sz="0" w:space="0" w:color="auto"/>
        <w:left w:val="none" w:sz="0" w:space="0" w:color="auto"/>
        <w:bottom w:val="none" w:sz="0" w:space="0" w:color="auto"/>
        <w:right w:val="none" w:sz="0" w:space="0" w:color="auto"/>
      </w:divBdr>
    </w:div>
    <w:div w:id="66805713">
      <w:marLeft w:val="0"/>
      <w:marRight w:val="0"/>
      <w:marTop w:val="0"/>
      <w:marBottom w:val="0"/>
      <w:divBdr>
        <w:top w:val="none" w:sz="0" w:space="0" w:color="auto"/>
        <w:left w:val="none" w:sz="0" w:space="0" w:color="auto"/>
        <w:bottom w:val="none" w:sz="0" w:space="0" w:color="auto"/>
        <w:right w:val="none" w:sz="0" w:space="0" w:color="auto"/>
      </w:divBdr>
    </w:div>
    <w:div w:id="107772552">
      <w:marLeft w:val="0"/>
      <w:marRight w:val="0"/>
      <w:marTop w:val="0"/>
      <w:marBottom w:val="0"/>
      <w:divBdr>
        <w:top w:val="none" w:sz="0" w:space="0" w:color="auto"/>
        <w:left w:val="none" w:sz="0" w:space="0" w:color="auto"/>
        <w:bottom w:val="none" w:sz="0" w:space="0" w:color="auto"/>
        <w:right w:val="none" w:sz="0" w:space="0" w:color="auto"/>
      </w:divBdr>
      <w:divsChild>
        <w:div w:id="1269660094">
          <w:marLeft w:val="0"/>
          <w:marRight w:val="0"/>
          <w:marTop w:val="0"/>
          <w:marBottom w:val="0"/>
          <w:divBdr>
            <w:top w:val="none" w:sz="0" w:space="0" w:color="auto"/>
            <w:left w:val="none" w:sz="0" w:space="0" w:color="auto"/>
            <w:bottom w:val="none" w:sz="0" w:space="0" w:color="auto"/>
            <w:right w:val="none" w:sz="0" w:space="0" w:color="auto"/>
          </w:divBdr>
        </w:div>
        <w:div w:id="247272783">
          <w:marLeft w:val="0"/>
          <w:marRight w:val="0"/>
          <w:marTop w:val="0"/>
          <w:marBottom w:val="0"/>
          <w:divBdr>
            <w:top w:val="none" w:sz="0" w:space="0" w:color="auto"/>
            <w:left w:val="none" w:sz="0" w:space="0" w:color="auto"/>
            <w:bottom w:val="none" w:sz="0" w:space="0" w:color="auto"/>
            <w:right w:val="none" w:sz="0" w:space="0" w:color="auto"/>
          </w:divBdr>
        </w:div>
      </w:divsChild>
    </w:div>
    <w:div w:id="153956805">
      <w:marLeft w:val="0"/>
      <w:marRight w:val="0"/>
      <w:marTop w:val="0"/>
      <w:marBottom w:val="0"/>
      <w:divBdr>
        <w:top w:val="none" w:sz="0" w:space="0" w:color="auto"/>
        <w:left w:val="none" w:sz="0" w:space="0" w:color="auto"/>
        <w:bottom w:val="none" w:sz="0" w:space="0" w:color="auto"/>
        <w:right w:val="none" w:sz="0" w:space="0" w:color="auto"/>
      </w:divBdr>
    </w:div>
    <w:div w:id="206256331">
      <w:marLeft w:val="0"/>
      <w:marRight w:val="0"/>
      <w:marTop w:val="0"/>
      <w:marBottom w:val="0"/>
      <w:divBdr>
        <w:top w:val="none" w:sz="0" w:space="0" w:color="auto"/>
        <w:left w:val="none" w:sz="0" w:space="0" w:color="auto"/>
        <w:bottom w:val="none" w:sz="0" w:space="0" w:color="auto"/>
        <w:right w:val="none" w:sz="0" w:space="0" w:color="auto"/>
      </w:divBdr>
      <w:divsChild>
        <w:div w:id="1208294809">
          <w:marLeft w:val="0"/>
          <w:marRight w:val="0"/>
          <w:marTop w:val="0"/>
          <w:marBottom w:val="0"/>
          <w:divBdr>
            <w:top w:val="none" w:sz="0" w:space="0" w:color="auto"/>
            <w:left w:val="none" w:sz="0" w:space="0" w:color="auto"/>
            <w:bottom w:val="none" w:sz="0" w:space="0" w:color="auto"/>
            <w:right w:val="none" w:sz="0" w:space="0" w:color="auto"/>
          </w:divBdr>
        </w:div>
      </w:divsChild>
    </w:div>
    <w:div w:id="240411009">
      <w:marLeft w:val="0"/>
      <w:marRight w:val="0"/>
      <w:marTop w:val="0"/>
      <w:marBottom w:val="0"/>
      <w:divBdr>
        <w:top w:val="none" w:sz="0" w:space="0" w:color="auto"/>
        <w:left w:val="none" w:sz="0" w:space="0" w:color="auto"/>
        <w:bottom w:val="none" w:sz="0" w:space="0" w:color="auto"/>
        <w:right w:val="none" w:sz="0" w:space="0" w:color="auto"/>
      </w:divBdr>
    </w:div>
    <w:div w:id="243682085">
      <w:marLeft w:val="0"/>
      <w:marRight w:val="0"/>
      <w:marTop w:val="0"/>
      <w:marBottom w:val="0"/>
      <w:divBdr>
        <w:top w:val="none" w:sz="0" w:space="0" w:color="auto"/>
        <w:left w:val="none" w:sz="0" w:space="0" w:color="auto"/>
        <w:bottom w:val="none" w:sz="0" w:space="0" w:color="auto"/>
        <w:right w:val="none" w:sz="0" w:space="0" w:color="auto"/>
      </w:divBdr>
    </w:div>
    <w:div w:id="309140593">
      <w:marLeft w:val="0"/>
      <w:marRight w:val="0"/>
      <w:marTop w:val="0"/>
      <w:marBottom w:val="0"/>
      <w:divBdr>
        <w:top w:val="none" w:sz="0" w:space="0" w:color="auto"/>
        <w:left w:val="none" w:sz="0" w:space="0" w:color="auto"/>
        <w:bottom w:val="none" w:sz="0" w:space="0" w:color="auto"/>
        <w:right w:val="none" w:sz="0" w:space="0" w:color="auto"/>
      </w:divBdr>
      <w:divsChild>
        <w:div w:id="968319267">
          <w:marLeft w:val="0"/>
          <w:marRight w:val="0"/>
          <w:marTop w:val="0"/>
          <w:marBottom w:val="0"/>
          <w:divBdr>
            <w:top w:val="none" w:sz="0" w:space="0" w:color="auto"/>
            <w:left w:val="none" w:sz="0" w:space="0" w:color="auto"/>
            <w:bottom w:val="none" w:sz="0" w:space="0" w:color="auto"/>
            <w:right w:val="none" w:sz="0" w:space="0" w:color="auto"/>
          </w:divBdr>
        </w:div>
      </w:divsChild>
    </w:div>
    <w:div w:id="566378164">
      <w:marLeft w:val="0"/>
      <w:marRight w:val="0"/>
      <w:marTop w:val="0"/>
      <w:marBottom w:val="0"/>
      <w:divBdr>
        <w:top w:val="none" w:sz="0" w:space="0" w:color="auto"/>
        <w:left w:val="none" w:sz="0" w:space="0" w:color="auto"/>
        <w:bottom w:val="none" w:sz="0" w:space="0" w:color="auto"/>
        <w:right w:val="none" w:sz="0" w:space="0" w:color="auto"/>
      </w:divBdr>
    </w:div>
    <w:div w:id="799111721">
      <w:marLeft w:val="0"/>
      <w:marRight w:val="0"/>
      <w:marTop w:val="0"/>
      <w:marBottom w:val="0"/>
      <w:divBdr>
        <w:top w:val="none" w:sz="0" w:space="0" w:color="auto"/>
        <w:left w:val="none" w:sz="0" w:space="0" w:color="auto"/>
        <w:bottom w:val="none" w:sz="0" w:space="0" w:color="auto"/>
        <w:right w:val="none" w:sz="0" w:space="0" w:color="auto"/>
      </w:divBdr>
      <w:divsChild>
        <w:div w:id="103304082">
          <w:marLeft w:val="0"/>
          <w:marRight w:val="0"/>
          <w:marTop w:val="0"/>
          <w:marBottom w:val="0"/>
          <w:divBdr>
            <w:top w:val="none" w:sz="0" w:space="0" w:color="auto"/>
            <w:left w:val="none" w:sz="0" w:space="0" w:color="auto"/>
            <w:bottom w:val="none" w:sz="0" w:space="0" w:color="auto"/>
            <w:right w:val="none" w:sz="0" w:space="0" w:color="auto"/>
          </w:divBdr>
        </w:div>
      </w:divsChild>
    </w:div>
    <w:div w:id="818309829">
      <w:marLeft w:val="0"/>
      <w:marRight w:val="0"/>
      <w:marTop w:val="0"/>
      <w:marBottom w:val="0"/>
      <w:divBdr>
        <w:top w:val="none" w:sz="0" w:space="0" w:color="auto"/>
        <w:left w:val="none" w:sz="0" w:space="0" w:color="auto"/>
        <w:bottom w:val="none" w:sz="0" w:space="0" w:color="auto"/>
        <w:right w:val="none" w:sz="0" w:space="0" w:color="auto"/>
      </w:divBdr>
      <w:divsChild>
        <w:div w:id="1203711574">
          <w:marLeft w:val="0"/>
          <w:marRight w:val="0"/>
          <w:marTop w:val="0"/>
          <w:marBottom w:val="0"/>
          <w:divBdr>
            <w:top w:val="none" w:sz="0" w:space="0" w:color="auto"/>
            <w:left w:val="none" w:sz="0" w:space="0" w:color="auto"/>
            <w:bottom w:val="none" w:sz="0" w:space="0" w:color="auto"/>
            <w:right w:val="none" w:sz="0" w:space="0" w:color="auto"/>
          </w:divBdr>
        </w:div>
      </w:divsChild>
    </w:div>
    <w:div w:id="1106579436">
      <w:marLeft w:val="0"/>
      <w:marRight w:val="0"/>
      <w:marTop w:val="0"/>
      <w:marBottom w:val="0"/>
      <w:divBdr>
        <w:top w:val="none" w:sz="0" w:space="0" w:color="auto"/>
        <w:left w:val="none" w:sz="0" w:space="0" w:color="auto"/>
        <w:bottom w:val="none" w:sz="0" w:space="0" w:color="auto"/>
        <w:right w:val="none" w:sz="0" w:space="0" w:color="auto"/>
      </w:divBdr>
    </w:div>
    <w:div w:id="1220433072">
      <w:marLeft w:val="0"/>
      <w:marRight w:val="0"/>
      <w:marTop w:val="0"/>
      <w:marBottom w:val="0"/>
      <w:divBdr>
        <w:top w:val="none" w:sz="0" w:space="0" w:color="auto"/>
        <w:left w:val="none" w:sz="0" w:space="0" w:color="auto"/>
        <w:bottom w:val="none" w:sz="0" w:space="0" w:color="auto"/>
        <w:right w:val="none" w:sz="0" w:space="0" w:color="auto"/>
      </w:divBdr>
      <w:divsChild>
        <w:div w:id="1060590456">
          <w:marLeft w:val="0"/>
          <w:marRight w:val="0"/>
          <w:marTop w:val="0"/>
          <w:marBottom w:val="0"/>
          <w:divBdr>
            <w:top w:val="none" w:sz="0" w:space="0" w:color="auto"/>
            <w:left w:val="none" w:sz="0" w:space="0" w:color="auto"/>
            <w:bottom w:val="none" w:sz="0" w:space="0" w:color="auto"/>
            <w:right w:val="none" w:sz="0" w:space="0" w:color="auto"/>
          </w:divBdr>
        </w:div>
      </w:divsChild>
    </w:div>
    <w:div w:id="1359240222">
      <w:marLeft w:val="0"/>
      <w:marRight w:val="0"/>
      <w:marTop w:val="0"/>
      <w:marBottom w:val="0"/>
      <w:divBdr>
        <w:top w:val="none" w:sz="0" w:space="0" w:color="auto"/>
        <w:left w:val="none" w:sz="0" w:space="0" w:color="auto"/>
        <w:bottom w:val="none" w:sz="0" w:space="0" w:color="auto"/>
        <w:right w:val="none" w:sz="0" w:space="0" w:color="auto"/>
      </w:divBdr>
    </w:div>
    <w:div w:id="1651052386">
      <w:marLeft w:val="0"/>
      <w:marRight w:val="0"/>
      <w:marTop w:val="0"/>
      <w:marBottom w:val="0"/>
      <w:divBdr>
        <w:top w:val="none" w:sz="0" w:space="0" w:color="auto"/>
        <w:left w:val="none" w:sz="0" w:space="0" w:color="auto"/>
        <w:bottom w:val="none" w:sz="0" w:space="0" w:color="auto"/>
        <w:right w:val="none" w:sz="0" w:space="0" w:color="auto"/>
      </w:divBdr>
    </w:div>
    <w:div w:id="1657764036">
      <w:marLeft w:val="0"/>
      <w:marRight w:val="0"/>
      <w:marTop w:val="0"/>
      <w:marBottom w:val="0"/>
      <w:divBdr>
        <w:top w:val="none" w:sz="0" w:space="0" w:color="auto"/>
        <w:left w:val="none" w:sz="0" w:space="0" w:color="auto"/>
        <w:bottom w:val="none" w:sz="0" w:space="0" w:color="auto"/>
        <w:right w:val="none" w:sz="0" w:space="0" w:color="auto"/>
      </w:divBdr>
      <w:divsChild>
        <w:div w:id="1319530253">
          <w:marLeft w:val="0"/>
          <w:marRight w:val="0"/>
          <w:marTop w:val="0"/>
          <w:marBottom w:val="0"/>
          <w:divBdr>
            <w:top w:val="none" w:sz="0" w:space="0" w:color="auto"/>
            <w:left w:val="none" w:sz="0" w:space="0" w:color="auto"/>
            <w:bottom w:val="none" w:sz="0" w:space="0" w:color="auto"/>
            <w:right w:val="none" w:sz="0" w:space="0" w:color="auto"/>
          </w:divBdr>
        </w:div>
      </w:divsChild>
    </w:div>
    <w:div w:id="1881277938">
      <w:marLeft w:val="0"/>
      <w:marRight w:val="0"/>
      <w:marTop w:val="0"/>
      <w:marBottom w:val="0"/>
      <w:divBdr>
        <w:top w:val="none" w:sz="0" w:space="0" w:color="auto"/>
        <w:left w:val="none" w:sz="0" w:space="0" w:color="auto"/>
        <w:bottom w:val="none" w:sz="0" w:space="0" w:color="auto"/>
        <w:right w:val="none" w:sz="0" w:space="0" w:color="auto"/>
      </w:divBdr>
    </w:div>
    <w:div w:id="1945917947">
      <w:marLeft w:val="0"/>
      <w:marRight w:val="0"/>
      <w:marTop w:val="0"/>
      <w:marBottom w:val="0"/>
      <w:divBdr>
        <w:top w:val="none" w:sz="0" w:space="0" w:color="auto"/>
        <w:left w:val="none" w:sz="0" w:space="0" w:color="auto"/>
        <w:bottom w:val="none" w:sz="0" w:space="0" w:color="auto"/>
        <w:right w:val="none" w:sz="0" w:space="0" w:color="auto"/>
      </w:divBdr>
    </w:div>
    <w:div w:id="1985116838">
      <w:marLeft w:val="0"/>
      <w:marRight w:val="0"/>
      <w:marTop w:val="0"/>
      <w:marBottom w:val="0"/>
      <w:divBdr>
        <w:top w:val="none" w:sz="0" w:space="0" w:color="auto"/>
        <w:left w:val="none" w:sz="0" w:space="0" w:color="auto"/>
        <w:bottom w:val="none" w:sz="0" w:space="0" w:color="auto"/>
        <w:right w:val="none" w:sz="0" w:space="0" w:color="auto"/>
      </w:divBdr>
      <w:divsChild>
        <w:div w:id="1123888327">
          <w:marLeft w:val="0"/>
          <w:marRight w:val="0"/>
          <w:marTop w:val="0"/>
          <w:marBottom w:val="0"/>
          <w:divBdr>
            <w:top w:val="none" w:sz="0" w:space="0" w:color="auto"/>
            <w:left w:val="none" w:sz="0" w:space="0" w:color="auto"/>
            <w:bottom w:val="none" w:sz="0" w:space="0" w:color="auto"/>
            <w:right w:val="none" w:sz="0" w:space="0" w:color="auto"/>
          </w:divBdr>
        </w:div>
      </w:divsChild>
    </w:div>
    <w:div w:id="20393106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1317</Words>
  <Characters>7509</Characters>
  <Application>Microsoft Office Word</Application>
  <DocSecurity>4</DocSecurity>
  <Lines>62</Lines>
  <Paragraphs>17</Paragraphs>
  <ScaleCrop>false</ScaleCrop>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