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摩根沃享远见一年持有期混合型证券投资基金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157B77" w:rsidRDefault="0097021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57B77" w:rsidRDefault="0097021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57B77" w:rsidRDefault="0097021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57B77" w:rsidRDefault="0097021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157B77" w:rsidRDefault="0097021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摩根沃享远见一年持有期混合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014261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2022</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25</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1,195,814,105.44</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以行业和公司研究为基础，精选基本面优秀、成长潜力大的上市公司进行重点投资，基于严格的风险控制，力争实现基金资产的长期增值。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157B77" w:rsidRDefault="009702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rsidR="00157B77" w:rsidRDefault="009702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增速、固定资产征的相对变化，适度的调整确定基金资产在股票、债券及现金等类别资产间的分配比例，动态</w:t>
            </w:r>
            <w:r>
              <w:rPr>
                <w:rFonts w:eastAsiaTheme="minorEastAsia"/>
                <w:color w:val="000000" w:themeColor="text1"/>
                <w:kern w:val="0"/>
                <w:szCs w:val="21"/>
              </w:rPr>
              <w:lastRenderedPageBreak/>
              <w:t>优化投资组合。在控制风险的前提下，本基金将优先配置股票资产，本基金股票资产占基金资产的投资比例为</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157B77" w:rsidRDefault="009702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rsidR="00157B77" w:rsidRDefault="009702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本基金坚持</w:t>
            </w:r>
            <w:r>
              <w:rPr>
                <w:rFonts w:eastAsiaTheme="minorEastAsia"/>
                <w:color w:val="000000" w:themeColor="text1"/>
                <w:kern w:val="0"/>
                <w:szCs w:val="21"/>
              </w:rPr>
              <w:t>“</w:t>
            </w:r>
            <w:r>
              <w:rPr>
                <w:rFonts w:eastAsiaTheme="minorEastAsia"/>
                <w:color w:val="000000" w:themeColor="text1"/>
                <w:kern w:val="0"/>
                <w:szCs w:val="21"/>
              </w:rPr>
              <w:t>挖掘优势行业高成长个股</w:t>
            </w:r>
            <w:r>
              <w:rPr>
                <w:rFonts w:eastAsiaTheme="minorEastAsia"/>
                <w:color w:val="000000" w:themeColor="text1"/>
                <w:kern w:val="0"/>
                <w:szCs w:val="21"/>
              </w:rPr>
              <w:t>”</w:t>
            </w:r>
            <w:r>
              <w:rPr>
                <w:rFonts w:eastAsiaTheme="minorEastAsia"/>
                <w:color w:val="000000" w:themeColor="text1"/>
                <w:kern w:val="0"/>
                <w:szCs w:val="21"/>
              </w:rPr>
              <w:t>的选股理念，依托基金管理人的研究平台</w:t>
            </w:r>
            <w:r>
              <w:rPr>
                <w:rFonts w:eastAsiaTheme="minorEastAsia"/>
                <w:color w:val="000000" w:themeColor="text1"/>
                <w:kern w:val="0"/>
                <w:szCs w:val="21"/>
              </w:rPr>
              <w:t>，自上而下形成行业配置观点，选择中长期有较大发展空间的优势行业进行重点配置；同时自下而上形成个股配置观点，挖掘并灵活投资于各行业中最具有投资价值和成长性的上市公司；通过行业配置与个股选择，获取超越业绩比较基准的超额收益。</w:t>
            </w:r>
          </w:p>
          <w:p w:rsidR="00157B77" w:rsidRDefault="009702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行业配置上，基金管理人结合投研团队的宏观策略与行业观点，自上而下地确定本基金的行业配置比例，并定期进行调整。在宏观策略方面，基金管理人对宏观经济发展趋势进行前瞻性的研究与分析；在行业观点方面，基金管理人通过包括但不限于业绩增速、估值、主题、政策等维度对不同行业进行评估，同时从行业生命周期、</w:t>
            </w:r>
            <w:r>
              <w:rPr>
                <w:rFonts w:eastAsiaTheme="minorEastAsia"/>
                <w:color w:val="000000" w:themeColor="text1"/>
                <w:kern w:val="0"/>
                <w:szCs w:val="21"/>
              </w:rPr>
              <w:t>行业景气度、行业竞争格局等多角度，综合评估各个行业的投资价值，并相应确定不同行业的配置权重。</w:t>
            </w:r>
            <w:r>
              <w:rPr>
                <w:rFonts w:eastAsiaTheme="minorEastAsia"/>
                <w:color w:val="000000" w:themeColor="text1"/>
                <w:kern w:val="0"/>
                <w:szCs w:val="21"/>
              </w:rPr>
              <w:t xml:space="preserve"> </w:t>
            </w:r>
          </w:p>
          <w:p w:rsidR="00157B77" w:rsidRDefault="009702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个股选择上，基金管理人依托本公司研究平台，基于对上市公司系统、全面、细致的基本面研究，重点投资于盈利质量较高、公司治理良好且具有较高增长潜力的公司。在具体操作上，综合运用定量分析与定性分析的手段，获取个股的超额收益。</w:t>
            </w:r>
          </w:p>
          <w:p w:rsidR="00157B77" w:rsidRDefault="009702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港股投资策略</w:t>
            </w:r>
            <w:r>
              <w:rPr>
                <w:rFonts w:eastAsiaTheme="minorEastAsia"/>
                <w:color w:val="000000" w:themeColor="text1"/>
                <w:kern w:val="0"/>
                <w:szCs w:val="21"/>
              </w:rPr>
              <w:t xml:space="preserve"> </w:t>
            </w:r>
          </w:p>
          <w:p w:rsidR="00157B77" w:rsidRDefault="009702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本基金可通过内地与香港股票市场交易互联互通机制投资于香港股票市场。</w:t>
            </w:r>
            <w:r>
              <w:rPr>
                <w:rFonts w:eastAsiaTheme="minorEastAsia"/>
                <w:color w:val="000000" w:themeColor="text1"/>
                <w:kern w:val="0"/>
                <w:szCs w:val="21"/>
              </w:rPr>
              <w:t xml:space="preserve"> </w:t>
            </w:r>
            <w:r>
              <w:rPr>
                <w:rFonts w:eastAsiaTheme="minorEastAsia"/>
                <w:color w:val="000000" w:themeColor="text1"/>
                <w:kern w:val="0"/>
                <w:szCs w:val="21"/>
              </w:rPr>
              <w:t>对于港股投资，本基金将结合宏观基本面，包含资金流向等对香港上市公司进行初步判断，并结合产业趋势以及公司发展前</w:t>
            </w:r>
            <w:r>
              <w:rPr>
                <w:rFonts w:eastAsiaTheme="minorEastAsia"/>
                <w:color w:val="000000" w:themeColor="text1"/>
                <w:kern w:val="0"/>
                <w:szCs w:val="21"/>
              </w:rPr>
              <w:t>景自下而上进行布局，从</w:t>
            </w:r>
            <w:r>
              <w:rPr>
                <w:rFonts w:eastAsiaTheme="minorEastAsia"/>
                <w:color w:val="000000" w:themeColor="text1"/>
                <w:kern w:val="0"/>
                <w:szCs w:val="21"/>
              </w:rPr>
              <w:lastRenderedPageBreak/>
              <w:t>公司商业模式、产品创新及竞争力、主营业务收入来源和区域分布等多维度进行考量，挖掘优质企业。本基金将自上而下地甄选行业，通过对行业政策、景气度、估值吸引力比较、市场预期等标准确定行业配置方案，并通过自下而上方法分析个股，结合各项定量和定性指标挑选出最具上涨潜力的标的。</w:t>
            </w:r>
          </w:p>
          <w:p w:rsidR="00157B77" w:rsidRDefault="009702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债券投资策略</w:t>
            </w:r>
          </w:p>
          <w:p w:rsidR="00157B77" w:rsidRDefault="009702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w:t>
            </w:r>
            <w:r>
              <w:rPr>
                <w:rFonts w:eastAsiaTheme="minorEastAsia"/>
                <w:color w:val="000000" w:themeColor="text1"/>
                <w:kern w:val="0"/>
                <w:szCs w:val="21"/>
              </w:rPr>
              <w:t>略、可转债策略等多种投资策略，实施积极主动的组合管理，并根据对债券收益率曲线形态、息差变化的预测，对债券组合进行动态调整。</w:t>
            </w:r>
          </w:p>
          <w:p w:rsidR="00157B77" w:rsidRDefault="009702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其他投资策略</w:t>
            </w:r>
            <w:r>
              <w:rPr>
                <w:rFonts w:eastAsiaTheme="minorEastAsia"/>
                <w:color w:val="000000" w:themeColor="text1"/>
                <w:kern w:val="0"/>
                <w:szCs w:val="21"/>
              </w:rPr>
              <w:t xml:space="preserve"> </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低于股票型基金、高于债券型基金和货币市场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014261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014262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1,130,325,978.51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65,488,126.93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17,165,898.55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908,811.17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24,058,330.48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1,377,695.90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0.0207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0.0200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760,873,017.88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43,321,281.84</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0.6731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0.6615</w:t>
            </w:r>
          </w:p>
        </w:tc>
      </w:tr>
    </w:tbl>
    <w:p w:rsidR="00157B77" w:rsidRDefault="0097021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摩根沃享远见一年持有期混合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57B77">
        <w:tc>
          <w:tcPr>
            <w:tcW w:w="1290" w:type="dxa"/>
            <w:vAlign w:val="center"/>
          </w:tcPr>
          <w:p w:rsidR="00157B77" w:rsidRDefault="00970214">
            <w:pPr>
              <w:jc w:val="left"/>
            </w:pPr>
            <w:r>
              <w:rPr>
                <w:rFonts w:eastAsiaTheme="minorEastAsia"/>
                <w:color w:val="000000" w:themeColor="text1"/>
                <w:szCs w:val="21"/>
              </w:rPr>
              <w:t>过去三个月</w:t>
            </w:r>
          </w:p>
        </w:tc>
        <w:tc>
          <w:tcPr>
            <w:tcW w:w="1291" w:type="dxa"/>
            <w:vAlign w:val="center"/>
          </w:tcPr>
          <w:p w:rsidR="00157B77" w:rsidRDefault="00970214">
            <w:pPr>
              <w:jc w:val="right"/>
            </w:pPr>
            <w:r>
              <w:rPr>
                <w:rFonts w:eastAsiaTheme="minorEastAsia"/>
                <w:color w:val="000000" w:themeColor="text1"/>
                <w:szCs w:val="21"/>
              </w:rPr>
              <w:t>3.54%</w:t>
            </w:r>
          </w:p>
        </w:tc>
        <w:tc>
          <w:tcPr>
            <w:tcW w:w="1291" w:type="dxa"/>
            <w:vAlign w:val="center"/>
          </w:tcPr>
          <w:p w:rsidR="00157B77" w:rsidRDefault="00970214">
            <w:pPr>
              <w:jc w:val="right"/>
            </w:pPr>
            <w:r>
              <w:rPr>
                <w:rFonts w:eastAsiaTheme="minorEastAsia"/>
                <w:color w:val="000000" w:themeColor="text1"/>
                <w:szCs w:val="21"/>
              </w:rPr>
              <w:t>1.81%</w:t>
            </w:r>
          </w:p>
        </w:tc>
        <w:tc>
          <w:tcPr>
            <w:tcW w:w="1291" w:type="dxa"/>
            <w:vAlign w:val="center"/>
          </w:tcPr>
          <w:p w:rsidR="00157B77" w:rsidRDefault="00970214">
            <w:pPr>
              <w:jc w:val="right"/>
            </w:pPr>
            <w:r>
              <w:rPr>
                <w:rFonts w:eastAsiaTheme="minorEastAsia"/>
                <w:color w:val="000000" w:themeColor="text1"/>
                <w:szCs w:val="21"/>
              </w:rPr>
              <w:t>1.01%</w:t>
            </w:r>
          </w:p>
        </w:tc>
        <w:tc>
          <w:tcPr>
            <w:tcW w:w="1291" w:type="dxa"/>
            <w:vAlign w:val="center"/>
          </w:tcPr>
          <w:p w:rsidR="00157B77" w:rsidRDefault="00970214">
            <w:pPr>
              <w:jc w:val="right"/>
            </w:pPr>
            <w:r>
              <w:rPr>
                <w:rFonts w:eastAsiaTheme="minorEastAsia"/>
                <w:color w:val="000000" w:themeColor="text1"/>
                <w:szCs w:val="21"/>
              </w:rPr>
              <w:t>1.00%</w:t>
            </w:r>
          </w:p>
        </w:tc>
        <w:tc>
          <w:tcPr>
            <w:tcW w:w="1291" w:type="dxa"/>
            <w:vAlign w:val="center"/>
          </w:tcPr>
          <w:p w:rsidR="00157B77" w:rsidRDefault="00970214">
            <w:pPr>
              <w:jc w:val="right"/>
            </w:pPr>
            <w:r>
              <w:rPr>
                <w:rFonts w:eastAsiaTheme="minorEastAsia"/>
                <w:color w:val="000000" w:themeColor="text1"/>
                <w:szCs w:val="21"/>
              </w:rPr>
              <w:t>2.53%</w:t>
            </w:r>
          </w:p>
        </w:tc>
        <w:tc>
          <w:tcPr>
            <w:tcW w:w="1291" w:type="dxa"/>
            <w:vAlign w:val="center"/>
          </w:tcPr>
          <w:p w:rsidR="00157B77" w:rsidRDefault="00970214">
            <w:pPr>
              <w:jc w:val="right"/>
            </w:pPr>
            <w:r>
              <w:rPr>
                <w:rFonts w:eastAsiaTheme="minorEastAsia"/>
                <w:color w:val="000000" w:themeColor="text1"/>
                <w:szCs w:val="21"/>
              </w:rPr>
              <w:t>0.81%</w:t>
            </w:r>
          </w:p>
        </w:tc>
      </w:tr>
      <w:tr w:rsidR="00157B77">
        <w:tc>
          <w:tcPr>
            <w:tcW w:w="1290" w:type="dxa"/>
            <w:vAlign w:val="center"/>
          </w:tcPr>
          <w:p w:rsidR="00157B77" w:rsidRDefault="00970214">
            <w:pPr>
              <w:jc w:val="left"/>
            </w:pPr>
            <w:r>
              <w:rPr>
                <w:rFonts w:eastAsiaTheme="minorEastAsia"/>
                <w:color w:val="000000" w:themeColor="text1"/>
                <w:szCs w:val="21"/>
              </w:rPr>
              <w:t>过去六个月</w:t>
            </w:r>
          </w:p>
        </w:tc>
        <w:tc>
          <w:tcPr>
            <w:tcW w:w="1291" w:type="dxa"/>
            <w:vAlign w:val="center"/>
          </w:tcPr>
          <w:p w:rsidR="00157B77" w:rsidRDefault="00970214">
            <w:pPr>
              <w:jc w:val="right"/>
            </w:pPr>
            <w:r>
              <w:rPr>
                <w:rFonts w:eastAsiaTheme="minorEastAsia"/>
                <w:color w:val="000000" w:themeColor="text1"/>
                <w:szCs w:val="21"/>
              </w:rPr>
              <w:t>-3.08%</w:t>
            </w:r>
          </w:p>
        </w:tc>
        <w:tc>
          <w:tcPr>
            <w:tcW w:w="1291" w:type="dxa"/>
            <w:vAlign w:val="center"/>
          </w:tcPr>
          <w:p w:rsidR="00157B77" w:rsidRDefault="00970214">
            <w:pPr>
              <w:jc w:val="right"/>
            </w:pPr>
            <w:r>
              <w:rPr>
                <w:rFonts w:eastAsiaTheme="minorEastAsia"/>
                <w:color w:val="000000" w:themeColor="text1"/>
                <w:szCs w:val="21"/>
              </w:rPr>
              <w:t>1.50%</w:t>
            </w:r>
          </w:p>
        </w:tc>
        <w:tc>
          <w:tcPr>
            <w:tcW w:w="1291" w:type="dxa"/>
            <w:vAlign w:val="center"/>
          </w:tcPr>
          <w:p w:rsidR="00157B77" w:rsidRDefault="00970214">
            <w:pPr>
              <w:jc w:val="right"/>
            </w:pPr>
            <w:r>
              <w:rPr>
                <w:rFonts w:eastAsiaTheme="minorEastAsia"/>
                <w:color w:val="000000" w:themeColor="text1"/>
                <w:szCs w:val="21"/>
              </w:rPr>
              <w:t>-4.41%</w:t>
            </w:r>
          </w:p>
        </w:tc>
        <w:tc>
          <w:tcPr>
            <w:tcW w:w="1291" w:type="dxa"/>
            <w:vAlign w:val="center"/>
          </w:tcPr>
          <w:p w:rsidR="00157B77" w:rsidRDefault="00970214">
            <w:pPr>
              <w:jc w:val="right"/>
            </w:pPr>
            <w:r>
              <w:rPr>
                <w:rFonts w:eastAsiaTheme="minorEastAsia"/>
                <w:color w:val="000000" w:themeColor="text1"/>
                <w:szCs w:val="21"/>
              </w:rPr>
              <w:t>0.85%</w:t>
            </w:r>
          </w:p>
        </w:tc>
        <w:tc>
          <w:tcPr>
            <w:tcW w:w="1291" w:type="dxa"/>
            <w:vAlign w:val="center"/>
          </w:tcPr>
          <w:p w:rsidR="00157B77" w:rsidRDefault="00970214">
            <w:pPr>
              <w:jc w:val="right"/>
            </w:pPr>
            <w:r>
              <w:rPr>
                <w:rFonts w:eastAsiaTheme="minorEastAsia"/>
                <w:color w:val="000000" w:themeColor="text1"/>
                <w:szCs w:val="21"/>
              </w:rPr>
              <w:t>1.33%</w:t>
            </w:r>
          </w:p>
        </w:tc>
        <w:tc>
          <w:tcPr>
            <w:tcW w:w="1291" w:type="dxa"/>
            <w:vAlign w:val="center"/>
          </w:tcPr>
          <w:p w:rsidR="00157B77" w:rsidRDefault="00970214">
            <w:pPr>
              <w:jc w:val="right"/>
            </w:pPr>
            <w:r>
              <w:rPr>
                <w:rFonts w:eastAsiaTheme="minorEastAsia"/>
                <w:color w:val="000000" w:themeColor="text1"/>
                <w:szCs w:val="21"/>
              </w:rPr>
              <w:t>0.65%</w:t>
            </w:r>
          </w:p>
        </w:tc>
      </w:tr>
      <w:tr w:rsidR="00157B77">
        <w:tc>
          <w:tcPr>
            <w:tcW w:w="1290" w:type="dxa"/>
            <w:vAlign w:val="center"/>
          </w:tcPr>
          <w:p w:rsidR="00157B77" w:rsidRDefault="00970214">
            <w:pPr>
              <w:jc w:val="left"/>
            </w:pPr>
            <w:r>
              <w:rPr>
                <w:rFonts w:eastAsiaTheme="minorEastAsia"/>
                <w:color w:val="000000" w:themeColor="text1"/>
                <w:szCs w:val="21"/>
              </w:rPr>
              <w:t>过去一年</w:t>
            </w:r>
          </w:p>
        </w:tc>
        <w:tc>
          <w:tcPr>
            <w:tcW w:w="1291" w:type="dxa"/>
            <w:vAlign w:val="center"/>
          </w:tcPr>
          <w:p w:rsidR="00157B77" w:rsidRDefault="00970214">
            <w:pPr>
              <w:jc w:val="right"/>
            </w:pPr>
            <w:r>
              <w:rPr>
                <w:rFonts w:eastAsiaTheme="minorEastAsia"/>
                <w:color w:val="000000" w:themeColor="text1"/>
                <w:szCs w:val="21"/>
              </w:rPr>
              <w:t>-13.52%</w:t>
            </w:r>
          </w:p>
        </w:tc>
        <w:tc>
          <w:tcPr>
            <w:tcW w:w="1291" w:type="dxa"/>
            <w:vAlign w:val="center"/>
          </w:tcPr>
          <w:p w:rsidR="00157B77" w:rsidRDefault="00970214">
            <w:pPr>
              <w:jc w:val="right"/>
            </w:pPr>
            <w:r>
              <w:rPr>
                <w:rFonts w:eastAsiaTheme="minorEastAsia"/>
                <w:color w:val="000000" w:themeColor="text1"/>
                <w:szCs w:val="21"/>
              </w:rPr>
              <w:t>1.62%</w:t>
            </w:r>
          </w:p>
        </w:tc>
        <w:tc>
          <w:tcPr>
            <w:tcW w:w="1291" w:type="dxa"/>
            <w:vAlign w:val="center"/>
          </w:tcPr>
          <w:p w:rsidR="00157B77" w:rsidRDefault="00970214">
            <w:pPr>
              <w:jc w:val="right"/>
            </w:pPr>
            <w:r>
              <w:rPr>
                <w:rFonts w:eastAsiaTheme="minorEastAsia"/>
                <w:color w:val="000000" w:themeColor="text1"/>
                <w:szCs w:val="21"/>
              </w:rPr>
              <w:t>-10.99%</w:t>
            </w:r>
          </w:p>
        </w:tc>
        <w:tc>
          <w:tcPr>
            <w:tcW w:w="1291" w:type="dxa"/>
            <w:vAlign w:val="center"/>
          </w:tcPr>
          <w:p w:rsidR="00157B77" w:rsidRDefault="00970214">
            <w:pPr>
              <w:jc w:val="right"/>
            </w:pPr>
            <w:r>
              <w:rPr>
                <w:rFonts w:eastAsiaTheme="minorEastAsia"/>
                <w:color w:val="000000" w:themeColor="text1"/>
                <w:szCs w:val="21"/>
              </w:rPr>
              <w:t>0.79%</w:t>
            </w:r>
          </w:p>
        </w:tc>
        <w:tc>
          <w:tcPr>
            <w:tcW w:w="1291" w:type="dxa"/>
            <w:vAlign w:val="center"/>
          </w:tcPr>
          <w:p w:rsidR="00157B77" w:rsidRDefault="00970214">
            <w:pPr>
              <w:jc w:val="right"/>
            </w:pPr>
            <w:r>
              <w:rPr>
                <w:rFonts w:eastAsiaTheme="minorEastAsia"/>
                <w:color w:val="000000" w:themeColor="text1"/>
                <w:szCs w:val="21"/>
              </w:rPr>
              <w:t>-2.53%</w:t>
            </w:r>
          </w:p>
        </w:tc>
        <w:tc>
          <w:tcPr>
            <w:tcW w:w="1291" w:type="dxa"/>
            <w:vAlign w:val="center"/>
          </w:tcPr>
          <w:p w:rsidR="00157B77" w:rsidRDefault="00970214">
            <w:pPr>
              <w:jc w:val="right"/>
            </w:pPr>
            <w:r>
              <w:rPr>
                <w:rFonts w:eastAsiaTheme="minorEastAsia"/>
                <w:color w:val="000000" w:themeColor="text1"/>
                <w:szCs w:val="21"/>
              </w:rPr>
              <w:t>0.83%</w:t>
            </w:r>
          </w:p>
        </w:tc>
      </w:tr>
      <w:tr w:rsidR="00157B77">
        <w:tc>
          <w:tcPr>
            <w:tcW w:w="1290" w:type="dxa"/>
            <w:vAlign w:val="center"/>
          </w:tcPr>
          <w:p w:rsidR="00157B77" w:rsidRDefault="00970214">
            <w:pPr>
              <w:jc w:val="left"/>
            </w:pPr>
            <w:r>
              <w:rPr>
                <w:rFonts w:eastAsiaTheme="minorEastAsia"/>
                <w:color w:val="000000" w:themeColor="text1"/>
                <w:szCs w:val="21"/>
              </w:rPr>
              <w:t>过去三年</w:t>
            </w:r>
          </w:p>
        </w:tc>
        <w:tc>
          <w:tcPr>
            <w:tcW w:w="1291" w:type="dxa"/>
            <w:vAlign w:val="center"/>
          </w:tcPr>
          <w:p w:rsidR="00157B77" w:rsidRDefault="00970214">
            <w:pPr>
              <w:jc w:val="right"/>
            </w:pPr>
            <w:r>
              <w:rPr>
                <w:rFonts w:eastAsiaTheme="minorEastAsia"/>
                <w:color w:val="000000" w:themeColor="text1"/>
                <w:szCs w:val="21"/>
              </w:rPr>
              <w:t>-</w:t>
            </w:r>
          </w:p>
        </w:tc>
        <w:tc>
          <w:tcPr>
            <w:tcW w:w="1291" w:type="dxa"/>
            <w:vAlign w:val="center"/>
          </w:tcPr>
          <w:p w:rsidR="00157B77" w:rsidRDefault="00970214">
            <w:pPr>
              <w:jc w:val="right"/>
            </w:pPr>
            <w:r>
              <w:rPr>
                <w:rFonts w:eastAsiaTheme="minorEastAsia"/>
                <w:color w:val="000000" w:themeColor="text1"/>
                <w:szCs w:val="21"/>
              </w:rPr>
              <w:t>-</w:t>
            </w:r>
          </w:p>
        </w:tc>
        <w:tc>
          <w:tcPr>
            <w:tcW w:w="1291" w:type="dxa"/>
            <w:vAlign w:val="center"/>
          </w:tcPr>
          <w:p w:rsidR="00157B77" w:rsidRDefault="00970214">
            <w:pPr>
              <w:jc w:val="right"/>
            </w:pPr>
            <w:r>
              <w:rPr>
                <w:rFonts w:eastAsiaTheme="minorEastAsia"/>
                <w:color w:val="000000" w:themeColor="text1"/>
                <w:szCs w:val="21"/>
              </w:rPr>
              <w:t>-</w:t>
            </w:r>
          </w:p>
        </w:tc>
        <w:tc>
          <w:tcPr>
            <w:tcW w:w="1291" w:type="dxa"/>
            <w:vAlign w:val="center"/>
          </w:tcPr>
          <w:p w:rsidR="00157B77" w:rsidRDefault="00970214">
            <w:pPr>
              <w:jc w:val="right"/>
            </w:pPr>
            <w:r>
              <w:rPr>
                <w:rFonts w:eastAsiaTheme="minorEastAsia"/>
                <w:color w:val="000000" w:themeColor="text1"/>
                <w:szCs w:val="21"/>
              </w:rPr>
              <w:t>-</w:t>
            </w:r>
          </w:p>
        </w:tc>
        <w:tc>
          <w:tcPr>
            <w:tcW w:w="1291" w:type="dxa"/>
            <w:vAlign w:val="center"/>
          </w:tcPr>
          <w:p w:rsidR="00157B77" w:rsidRDefault="00970214">
            <w:pPr>
              <w:jc w:val="right"/>
            </w:pPr>
            <w:r>
              <w:rPr>
                <w:rFonts w:eastAsiaTheme="minorEastAsia"/>
                <w:color w:val="000000" w:themeColor="text1"/>
                <w:szCs w:val="21"/>
              </w:rPr>
              <w:t>-</w:t>
            </w:r>
          </w:p>
        </w:tc>
        <w:tc>
          <w:tcPr>
            <w:tcW w:w="1291" w:type="dxa"/>
            <w:vAlign w:val="center"/>
          </w:tcPr>
          <w:p w:rsidR="00157B77" w:rsidRDefault="00970214">
            <w:pPr>
              <w:jc w:val="right"/>
            </w:pPr>
            <w:r>
              <w:rPr>
                <w:rFonts w:eastAsiaTheme="minorEastAsia"/>
                <w:color w:val="000000" w:themeColor="text1"/>
                <w:szCs w:val="21"/>
              </w:rPr>
              <w:t>-</w:t>
            </w:r>
          </w:p>
        </w:tc>
      </w:tr>
      <w:tr w:rsidR="00157B77">
        <w:tc>
          <w:tcPr>
            <w:tcW w:w="1290" w:type="dxa"/>
            <w:vAlign w:val="center"/>
          </w:tcPr>
          <w:p w:rsidR="00157B77" w:rsidRDefault="00970214">
            <w:pPr>
              <w:jc w:val="left"/>
            </w:pPr>
            <w:r>
              <w:rPr>
                <w:rFonts w:eastAsiaTheme="minorEastAsia"/>
                <w:color w:val="000000" w:themeColor="text1"/>
                <w:szCs w:val="21"/>
              </w:rPr>
              <w:lastRenderedPageBreak/>
              <w:t>过去五年</w:t>
            </w:r>
          </w:p>
        </w:tc>
        <w:tc>
          <w:tcPr>
            <w:tcW w:w="1291" w:type="dxa"/>
            <w:vAlign w:val="center"/>
          </w:tcPr>
          <w:p w:rsidR="00157B77" w:rsidRDefault="00970214">
            <w:pPr>
              <w:jc w:val="right"/>
            </w:pPr>
            <w:r>
              <w:rPr>
                <w:rFonts w:eastAsiaTheme="minorEastAsia"/>
                <w:color w:val="000000" w:themeColor="text1"/>
                <w:szCs w:val="21"/>
              </w:rPr>
              <w:t>-</w:t>
            </w:r>
          </w:p>
        </w:tc>
        <w:tc>
          <w:tcPr>
            <w:tcW w:w="1291" w:type="dxa"/>
            <w:vAlign w:val="center"/>
          </w:tcPr>
          <w:p w:rsidR="00157B77" w:rsidRDefault="00970214">
            <w:pPr>
              <w:jc w:val="right"/>
            </w:pPr>
            <w:r>
              <w:rPr>
                <w:rFonts w:eastAsiaTheme="minorEastAsia"/>
                <w:color w:val="000000" w:themeColor="text1"/>
                <w:szCs w:val="21"/>
              </w:rPr>
              <w:t>-</w:t>
            </w:r>
          </w:p>
        </w:tc>
        <w:tc>
          <w:tcPr>
            <w:tcW w:w="1291" w:type="dxa"/>
            <w:vAlign w:val="center"/>
          </w:tcPr>
          <w:p w:rsidR="00157B77" w:rsidRDefault="00970214">
            <w:pPr>
              <w:jc w:val="right"/>
            </w:pPr>
            <w:r>
              <w:rPr>
                <w:rFonts w:eastAsiaTheme="minorEastAsia"/>
                <w:color w:val="000000" w:themeColor="text1"/>
                <w:szCs w:val="21"/>
              </w:rPr>
              <w:t>-</w:t>
            </w:r>
          </w:p>
        </w:tc>
        <w:tc>
          <w:tcPr>
            <w:tcW w:w="1291" w:type="dxa"/>
            <w:vAlign w:val="center"/>
          </w:tcPr>
          <w:p w:rsidR="00157B77" w:rsidRDefault="00970214">
            <w:pPr>
              <w:jc w:val="right"/>
            </w:pPr>
            <w:r>
              <w:rPr>
                <w:rFonts w:eastAsiaTheme="minorEastAsia"/>
                <w:color w:val="000000" w:themeColor="text1"/>
                <w:szCs w:val="21"/>
              </w:rPr>
              <w:t>-</w:t>
            </w:r>
          </w:p>
        </w:tc>
        <w:tc>
          <w:tcPr>
            <w:tcW w:w="1291" w:type="dxa"/>
            <w:vAlign w:val="center"/>
          </w:tcPr>
          <w:p w:rsidR="00157B77" w:rsidRDefault="00970214">
            <w:pPr>
              <w:jc w:val="right"/>
            </w:pPr>
            <w:r>
              <w:rPr>
                <w:rFonts w:eastAsiaTheme="minorEastAsia"/>
                <w:color w:val="000000" w:themeColor="text1"/>
                <w:szCs w:val="21"/>
              </w:rPr>
              <w:t>-</w:t>
            </w:r>
          </w:p>
        </w:tc>
        <w:tc>
          <w:tcPr>
            <w:tcW w:w="1291" w:type="dxa"/>
            <w:vAlign w:val="center"/>
          </w:tcPr>
          <w:p w:rsidR="00157B77" w:rsidRDefault="00970214">
            <w:pPr>
              <w:jc w:val="right"/>
            </w:pPr>
            <w:r>
              <w:rPr>
                <w:rFonts w:eastAsiaTheme="minorEastAsia"/>
                <w:color w:val="000000" w:themeColor="text1"/>
                <w:szCs w:val="21"/>
              </w:rPr>
              <w:t>-</w:t>
            </w:r>
          </w:p>
        </w:tc>
      </w:tr>
      <w:tr w:rsidR="00157B77">
        <w:tc>
          <w:tcPr>
            <w:tcW w:w="1290" w:type="dxa"/>
            <w:vAlign w:val="center"/>
          </w:tcPr>
          <w:p w:rsidR="00157B77" w:rsidRDefault="00970214">
            <w:pPr>
              <w:jc w:val="left"/>
            </w:pPr>
            <w:r>
              <w:rPr>
                <w:rFonts w:eastAsiaTheme="minorEastAsia"/>
                <w:color w:val="000000" w:themeColor="text1"/>
                <w:szCs w:val="21"/>
              </w:rPr>
              <w:t>自基金合同生效起至今</w:t>
            </w:r>
          </w:p>
        </w:tc>
        <w:tc>
          <w:tcPr>
            <w:tcW w:w="1291" w:type="dxa"/>
            <w:vAlign w:val="center"/>
          </w:tcPr>
          <w:p w:rsidR="00157B77" w:rsidRDefault="00970214">
            <w:pPr>
              <w:jc w:val="right"/>
            </w:pPr>
            <w:r>
              <w:rPr>
                <w:rFonts w:eastAsiaTheme="minorEastAsia"/>
                <w:color w:val="000000" w:themeColor="text1"/>
                <w:szCs w:val="21"/>
              </w:rPr>
              <w:t>-32.69%</w:t>
            </w:r>
          </w:p>
        </w:tc>
        <w:tc>
          <w:tcPr>
            <w:tcW w:w="1291" w:type="dxa"/>
            <w:vAlign w:val="center"/>
          </w:tcPr>
          <w:p w:rsidR="00157B77" w:rsidRDefault="00970214">
            <w:pPr>
              <w:jc w:val="right"/>
            </w:pPr>
            <w:r>
              <w:rPr>
                <w:rFonts w:eastAsiaTheme="minorEastAsia"/>
                <w:color w:val="000000" w:themeColor="text1"/>
                <w:szCs w:val="21"/>
              </w:rPr>
              <w:t>1.43%</w:t>
            </w:r>
          </w:p>
        </w:tc>
        <w:tc>
          <w:tcPr>
            <w:tcW w:w="1291" w:type="dxa"/>
            <w:vAlign w:val="center"/>
          </w:tcPr>
          <w:p w:rsidR="00157B77" w:rsidRDefault="00970214">
            <w:pPr>
              <w:jc w:val="right"/>
            </w:pPr>
            <w:r>
              <w:rPr>
                <w:rFonts w:eastAsiaTheme="minorEastAsia"/>
                <w:color w:val="000000" w:themeColor="text1"/>
                <w:szCs w:val="21"/>
              </w:rPr>
              <w:t>-20.47%</w:t>
            </w:r>
          </w:p>
        </w:tc>
        <w:tc>
          <w:tcPr>
            <w:tcW w:w="1291" w:type="dxa"/>
            <w:vAlign w:val="center"/>
          </w:tcPr>
          <w:p w:rsidR="00157B77" w:rsidRDefault="00970214">
            <w:pPr>
              <w:jc w:val="right"/>
            </w:pPr>
            <w:r>
              <w:rPr>
                <w:rFonts w:eastAsiaTheme="minorEastAsia"/>
                <w:color w:val="000000" w:themeColor="text1"/>
                <w:szCs w:val="21"/>
              </w:rPr>
              <w:t>0.94%</w:t>
            </w:r>
          </w:p>
        </w:tc>
        <w:tc>
          <w:tcPr>
            <w:tcW w:w="1291" w:type="dxa"/>
            <w:vAlign w:val="center"/>
          </w:tcPr>
          <w:p w:rsidR="00157B77" w:rsidRDefault="00970214">
            <w:pPr>
              <w:jc w:val="right"/>
            </w:pPr>
            <w:r>
              <w:rPr>
                <w:rFonts w:eastAsiaTheme="minorEastAsia"/>
                <w:color w:val="000000" w:themeColor="text1"/>
                <w:szCs w:val="21"/>
              </w:rPr>
              <w:t>-12.22%</w:t>
            </w:r>
          </w:p>
        </w:tc>
        <w:tc>
          <w:tcPr>
            <w:tcW w:w="1291" w:type="dxa"/>
            <w:vAlign w:val="center"/>
          </w:tcPr>
          <w:p w:rsidR="00157B77" w:rsidRDefault="00970214">
            <w:pPr>
              <w:jc w:val="right"/>
            </w:pPr>
            <w:r>
              <w:rPr>
                <w:rFonts w:eastAsiaTheme="minorEastAsia"/>
                <w:color w:val="000000" w:themeColor="text1"/>
                <w:szCs w:val="21"/>
              </w:rPr>
              <w:t>0.49%</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摩根沃享远见一年持有期混合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57B77">
        <w:tc>
          <w:tcPr>
            <w:tcW w:w="1290" w:type="dxa"/>
            <w:vAlign w:val="center"/>
          </w:tcPr>
          <w:p w:rsidR="00157B77" w:rsidRDefault="00970214">
            <w:pPr>
              <w:jc w:val="left"/>
            </w:pPr>
            <w:r>
              <w:rPr>
                <w:rFonts w:eastAsiaTheme="minorEastAsia"/>
                <w:color w:val="000000" w:themeColor="text1"/>
                <w:szCs w:val="21"/>
              </w:rPr>
              <w:t>过去三个月</w:t>
            </w:r>
          </w:p>
        </w:tc>
        <w:tc>
          <w:tcPr>
            <w:tcW w:w="1291" w:type="dxa"/>
            <w:vAlign w:val="center"/>
          </w:tcPr>
          <w:p w:rsidR="00157B77" w:rsidRDefault="00970214">
            <w:pPr>
              <w:jc w:val="right"/>
            </w:pPr>
            <w:r>
              <w:rPr>
                <w:rFonts w:eastAsiaTheme="minorEastAsia"/>
                <w:color w:val="000000" w:themeColor="text1"/>
                <w:szCs w:val="21"/>
              </w:rPr>
              <w:t>3.33%</w:t>
            </w:r>
          </w:p>
        </w:tc>
        <w:tc>
          <w:tcPr>
            <w:tcW w:w="1291" w:type="dxa"/>
            <w:vAlign w:val="center"/>
          </w:tcPr>
          <w:p w:rsidR="00157B77" w:rsidRDefault="00970214">
            <w:pPr>
              <w:jc w:val="right"/>
            </w:pPr>
            <w:r>
              <w:rPr>
                <w:rFonts w:eastAsiaTheme="minorEastAsia"/>
                <w:color w:val="000000" w:themeColor="text1"/>
                <w:szCs w:val="21"/>
              </w:rPr>
              <w:t>1.81%</w:t>
            </w:r>
          </w:p>
        </w:tc>
        <w:tc>
          <w:tcPr>
            <w:tcW w:w="1291" w:type="dxa"/>
            <w:vAlign w:val="center"/>
          </w:tcPr>
          <w:p w:rsidR="00157B77" w:rsidRDefault="00970214">
            <w:pPr>
              <w:jc w:val="right"/>
            </w:pPr>
            <w:r>
              <w:rPr>
                <w:rFonts w:eastAsiaTheme="minorEastAsia"/>
                <w:color w:val="000000" w:themeColor="text1"/>
                <w:szCs w:val="21"/>
              </w:rPr>
              <w:t>1.01%</w:t>
            </w:r>
          </w:p>
        </w:tc>
        <w:tc>
          <w:tcPr>
            <w:tcW w:w="1291" w:type="dxa"/>
            <w:vAlign w:val="center"/>
          </w:tcPr>
          <w:p w:rsidR="00157B77" w:rsidRDefault="00970214">
            <w:pPr>
              <w:jc w:val="right"/>
            </w:pPr>
            <w:r>
              <w:rPr>
                <w:rFonts w:eastAsiaTheme="minorEastAsia"/>
                <w:color w:val="000000" w:themeColor="text1"/>
                <w:szCs w:val="21"/>
              </w:rPr>
              <w:t>1.00%</w:t>
            </w:r>
          </w:p>
        </w:tc>
        <w:tc>
          <w:tcPr>
            <w:tcW w:w="1291" w:type="dxa"/>
            <w:vAlign w:val="center"/>
          </w:tcPr>
          <w:p w:rsidR="00157B77" w:rsidRDefault="00970214">
            <w:pPr>
              <w:jc w:val="right"/>
            </w:pPr>
            <w:r>
              <w:rPr>
                <w:rFonts w:eastAsiaTheme="minorEastAsia"/>
                <w:color w:val="000000" w:themeColor="text1"/>
                <w:szCs w:val="21"/>
              </w:rPr>
              <w:t>2.32%</w:t>
            </w:r>
          </w:p>
        </w:tc>
        <w:tc>
          <w:tcPr>
            <w:tcW w:w="1291" w:type="dxa"/>
            <w:vAlign w:val="center"/>
          </w:tcPr>
          <w:p w:rsidR="00157B77" w:rsidRDefault="00970214">
            <w:pPr>
              <w:jc w:val="right"/>
            </w:pPr>
            <w:r>
              <w:rPr>
                <w:rFonts w:eastAsiaTheme="minorEastAsia"/>
                <w:color w:val="000000" w:themeColor="text1"/>
                <w:szCs w:val="21"/>
              </w:rPr>
              <w:t>0.81%</w:t>
            </w:r>
          </w:p>
        </w:tc>
      </w:tr>
      <w:tr w:rsidR="00157B77">
        <w:tc>
          <w:tcPr>
            <w:tcW w:w="1290" w:type="dxa"/>
            <w:vAlign w:val="center"/>
          </w:tcPr>
          <w:p w:rsidR="00157B77" w:rsidRDefault="00970214">
            <w:pPr>
              <w:jc w:val="left"/>
            </w:pPr>
            <w:r>
              <w:rPr>
                <w:rFonts w:eastAsiaTheme="minorEastAsia"/>
                <w:color w:val="000000" w:themeColor="text1"/>
                <w:szCs w:val="21"/>
              </w:rPr>
              <w:t>过去六个月</w:t>
            </w:r>
          </w:p>
        </w:tc>
        <w:tc>
          <w:tcPr>
            <w:tcW w:w="1291" w:type="dxa"/>
            <w:vAlign w:val="center"/>
          </w:tcPr>
          <w:p w:rsidR="00157B77" w:rsidRDefault="00970214">
            <w:pPr>
              <w:jc w:val="right"/>
            </w:pPr>
            <w:r>
              <w:rPr>
                <w:rFonts w:eastAsiaTheme="minorEastAsia"/>
                <w:color w:val="000000" w:themeColor="text1"/>
                <w:szCs w:val="21"/>
              </w:rPr>
              <w:t>-3.46%</w:t>
            </w:r>
          </w:p>
        </w:tc>
        <w:tc>
          <w:tcPr>
            <w:tcW w:w="1291" w:type="dxa"/>
            <w:vAlign w:val="center"/>
          </w:tcPr>
          <w:p w:rsidR="00157B77" w:rsidRDefault="00970214">
            <w:pPr>
              <w:jc w:val="right"/>
            </w:pPr>
            <w:r>
              <w:rPr>
                <w:rFonts w:eastAsiaTheme="minorEastAsia"/>
                <w:color w:val="000000" w:themeColor="text1"/>
                <w:szCs w:val="21"/>
              </w:rPr>
              <w:t>1.50%</w:t>
            </w:r>
          </w:p>
        </w:tc>
        <w:tc>
          <w:tcPr>
            <w:tcW w:w="1291" w:type="dxa"/>
            <w:vAlign w:val="center"/>
          </w:tcPr>
          <w:p w:rsidR="00157B77" w:rsidRDefault="00970214">
            <w:pPr>
              <w:jc w:val="right"/>
            </w:pPr>
            <w:r>
              <w:rPr>
                <w:rFonts w:eastAsiaTheme="minorEastAsia"/>
                <w:color w:val="000000" w:themeColor="text1"/>
                <w:szCs w:val="21"/>
              </w:rPr>
              <w:t>-4.41%</w:t>
            </w:r>
          </w:p>
        </w:tc>
        <w:tc>
          <w:tcPr>
            <w:tcW w:w="1291" w:type="dxa"/>
            <w:vAlign w:val="center"/>
          </w:tcPr>
          <w:p w:rsidR="00157B77" w:rsidRDefault="00970214">
            <w:pPr>
              <w:jc w:val="right"/>
            </w:pPr>
            <w:r>
              <w:rPr>
                <w:rFonts w:eastAsiaTheme="minorEastAsia"/>
                <w:color w:val="000000" w:themeColor="text1"/>
                <w:szCs w:val="21"/>
              </w:rPr>
              <w:t>0.85%</w:t>
            </w:r>
          </w:p>
        </w:tc>
        <w:tc>
          <w:tcPr>
            <w:tcW w:w="1291" w:type="dxa"/>
            <w:vAlign w:val="center"/>
          </w:tcPr>
          <w:p w:rsidR="00157B77" w:rsidRDefault="00970214">
            <w:pPr>
              <w:jc w:val="right"/>
            </w:pPr>
            <w:r>
              <w:rPr>
                <w:rFonts w:eastAsiaTheme="minorEastAsia"/>
                <w:color w:val="000000" w:themeColor="text1"/>
                <w:szCs w:val="21"/>
              </w:rPr>
              <w:t>0.95%</w:t>
            </w:r>
          </w:p>
        </w:tc>
        <w:tc>
          <w:tcPr>
            <w:tcW w:w="1291" w:type="dxa"/>
            <w:vAlign w:val="center"/>
          </w:tcPr>
          <w:p w:rsidR="00157B77" w:rsidRDefault="00970214">
            <w:pPr>
              <w:jc w:val="right"/>
            </w:pPr>
            <w:r>
              <w:rPr>
                <w:rFonts w:eastAsiaTheme="minorEastAsia"/>
                <w:color w:val="000000" w:themeColor="text1"/>
                <w:szCs w:val="21"/>
              </w:rPr>
              <w:t>0.65%</w:t>
            </w:r>
          </w:p>
        </w:tc>
      </w:tr>
      <w:tr w:rsidR="00157B77">
        <w:tc>
          <w:tcPr>
            <w:tcW w:w="1290" w:type="dxa"/>
            <w:vAlign w:val="center"/>
          </w:tcPr>
          <w:p w:rsidR="00157B77" w:rsidRDefault="00970214">
            <w:pPr>
              <w:jc w:val="left"/>
            </w:pPr>
            <w:r>
              <w:rPr>
                <w:rFonts w:eastAsiaTheme="minorEastAsia"/>
                <w:color w:val="000000" w:themeColor="text1"/>
                <w:szCs w:val="21"/>
              </w:rPr>
              <w:t>过去一年</w:t>
            </w:r>
          </w:p>
        </w:tc>
        <w:tc>
          <w:tcPr>
            <w:tcW w:w="1291" w:type="dxa"/>
            <w:vAlign w:val="center"/>
          </w:tcPr>
          <w:p w:rsidR="00157B77" w:rsidRDefault="00970214">
            <w:pPr>
              <w:jc w:val="right"/>
            </w:pPr>
            <w:r>
              <w:rPr>
                <w:rFonts w:eastAsiaTheme="minorEastAsia"/>
                <w:color w:val="000000" w:themeColor="text1"/>
                <w:szCs w:val="21"/>
              </w:rPr>
              <w:t>-14.20%</w:t>
            </w:r>
          </w:p>
        </w:tc>
        <w:tc>
          <w:tcPr>
            <w:tcW w:w="1291" w:type="dxa"/>
            <w:vAlign w:val="center"/>
          </w:tcPr>
          <w:p w:rsidR="00157B77" w:rsidRDefault="00970214">
            <w:pPr>
              <w:jc w:val="right"/>
            </w:pPr>
            <w:r>
              <w:rPr>
                <w:rFonts w:eastAsiaTheme="minorEastAsia"/>
                <w:color w:val="000000" w:themeColor="text1"/>
                <w:szCs w:val="21"/>
              </w:rPr>
              <w:t>1.62%</w:t>
            </w:r>
          </w:p>
        </w:tc>
        <w:tc>
          <w:tcPr>
            <w:tcW w:w="1291" w:type="dxa"/>
            <w:vAlign w:val="center"/>
          </w:tcPr>
          <w:p w:rsidR="00157B77" w:rsidRDefault="00970214">
            <w:pPr>
              <w:jc w:val="right"/>
            </w:pPr>
            <w:r>
              <w:rPr>
                <w:rFonts w:eastAsiaTheme="minorEastAsia"/>
                <w:color w:val="000000" w:themeColor="text1"/>
                <w:szCs w:val="21"/>
              </w:rPr>
              <w:t>-10.99%</w:t>
            </w:r>
          </w:p>
        </w:tc>
        <w:tc>
          <w:tcPr>
            <w:tcW w:w="1291" w:type="dxa"/>
            <w:vAlign w:val="center"/>
          </w:tcPr>
          <w:p w:rsidR="00157B77" w:rsidRDefault="00970214">
            <w:pPr>
              <w:jc w:val="right"/>
            </w:pPr>
            <w:r>
              <w:rPr>
                <w:rFonts w:eastAsiaTheme="minorEastAsia"/>
                <w:color w:val="000000" w:themeColor="text1"/>
                <w:szCs w:val="21"/>
              </w:rPr>
              <w:t>0.79%</w:t>
            </w:r>
          </w:p>
        </w:tc>
        <w:tc>
          <w:tcPr>
            <w:tcW w:w="1291" w:type="dxa"/>
            <w:vAlign w:val="center"/>
          </w:tcPr>
          <w:p w:rsidR="00157B77" w:rsidRDefault="00970214">
            <w:pPr>
              <w:jc w:val="right"/>
            </w:pPr>
            <w:r>
              <w:rPr>
                <w:rFonts w:eastAsiaTheme="minorEastAsia"/>
                <w:color w:val="000000" w:themeColor="text1"/>
                <w:szCs w:val="21"/>
              </w:rPr>
              <w:t>-3.21%</w:t>
            </w:r>
          </w:p>
        </w:tc>
        <w:tc>
          <w:tcPr>
            <w:tcW w:w="1291" w:type="dxa"/>
            <w:vAlign w:val="center"/>
          </w:tcPr>
          <w:p w:rsidR="00157B77" w:rsidRDefault="00970214">
            <w:pPr>
              <w:jc w:val="right"/>
            </w:pPr>
            <w:r>
              <w:rPr>
                <w:rFonts w:eastAsiaTheme="minorEastAsia"/>
                <w:color w:val="000000" w:themeColor="text1"/>
                <w:szCs w:val="21"/>
              </w:rPr>
              <w:t>0.83%</w:t>
            </w:r>
          </w:p>
        </w:tc>
      </w:tr>
      <w:tr w:rsidR="00157B77">
        <w:tc>
          <w:tcPr>
            <w:tcW w:w="1290" w:type="dxa"/>
            <w:vAlign w:val="center"/>
          </w:tcPr>
          <w:p w:rsidR="00157B77" w:rsidRDefault="00970214">
            <w:pPr>
              <w:jc w:val="left"/>
            </w:pPr>
            <w:r>
              <w:rPr>
                <w:rFonts w:eastAsiaTheme="minorEastAsia"/>
                <w:color w:val="000000" w:themeColor="text1"/>
                <w:szCs w:val="21"/>
              </w:rPr>
              <w:t>过去三年</w:t>
            </w:r>
          </w:p>
        </w:tc>
        <w:tc>
          <w:tcPr>
            <w:tcW w:w="1291" w:type="dxa"/>
            <w:vAlign w:val="center"/>
          </w:tcPr>
          <w:p w:rsidR="00157B77" w:rsidRDefault="00970214">
            <w:pPr>
              <w:jc w:val="right"/>
            </w:pPr>
            <w:r>
              <w:rPr>
                <w:rFonts w:eastAsiaTheme="minorEastAsia"/>
                <w:color w:val="000000" w:themeColor="text1"/>
                <w:szCs w:val="21"/>
              </w:rPr>
              <w:t>-</w:t>
            </w:r>
          </w:p>
        </w:tc>
        <w:tc>
          <w:tcPr>
            <w:tcW w:w="1291" w:type="dxa"/>
            <w:vAlign w:val="center"/>
          </w:tcPr>
          <w:p w:rsidR="00157B77" w:rsidRDefault="00970214">
            <w:pPr>
              <w:jc w:val="right"/>
            </w:pPr>
            <w:r>
              <w:rPr>
                <w:rFonts w:eastAsiaTheme="minorEastAsia"/>
                <w:color w:val="000000" w:themeColor="text1"/>
                <w:szCs w:val="21"/>
              </w:rPr>
              <w:t>-</w:t>
            </w:r>
          </w:p>
        </w:tc>
        <w:tc>
          <w:tcPr>
            <w:tcW w:w="1291" w:type="dxa"/>
            <w:vAlign w:val="center"/>
          </w:tcPr>
          <w:p w:rsidR="00157B77" w:rsidRDefault="00970214">
            <w:pPr>
              <w:jc w:val="right"/>
            </w:pPr>
            <w:r>
              <w:rPr>
                <w:rFonts w:eastAsiaTheme="minorEastAsia"/>
                <w:color w:val="000000" w:themeColor="text1"/>
                <w:szCs w:val="21"/>
              </w:rPr>
              <w:t>-</w:t>
            </w:r>
          </w:p>
        </w:tc>
        <w:tc>
          <w:tcPr>
            <w:tcW w:w="1291" w:type="dxa"/>
            <w:vAlign w:val="center"/>
          </w:tcPr>
          <w:p w:rsidR="00157B77" w:rsidRDefault="00970214">
            <w:pPr>
              <w:jc w:val="right"/>
            </w:pPr>
            <w:r>
              <w:rPr>
                <w:rFonts w:eastAsiaTheme="minorEastAsia"/>
                <w:color w:val="000000" w:themeColor="text1"/>
                <w:szCs w:val="21"/>
              </w:rPr>
              <w:t>-</w:t>
            </w:r>
          </w:p>
        </w:tc>
        <w:tc>
          <w:tcPr>
            <w:tcW w:w="1291" w:type="dxa"/>
            <w:vAlign w:val="center"/>
          </w:tcPr>
          <w:p w:rsidR="00157B77" w:rsidRDefault="00970214">
            <w:pPr>
              <w:jc w:val="right"/>
            </w:pPr>
            <w:r>
              <w:rPr>
                <w:rFonts w:eastAsiaTheme="minorEastAsia"/>
                <w:color w:val="000000" w:themeColor="text1"/>
                <w:szCs w:val="21"/>
              </w:rPr>
              <w:t>-</w:t>
            </w:r>
          </w:p>
        </w:tc>
        <w:tc>
          <w:tcPr>
            <w:tcW w:w="1291" w:type="dxa"/>
            <w:vAlign w:val="center"/>
          </w:tcPr>
          <w:p w:rsidR="00157B77" w:rsidRDefault="00970214">
            <w:pPr>
              <w:jc w:val="right"/>
            </w:pPr>
            <w:r>
              <w:rPr>
                <w:rFonts w:eastAsiaTheme="minorEastAsia"/>
                <w:color w:val="000000" w:themeColor="text1"/>
                <w:szCs w:val="21"/>
              </w:rPr>
              <w:t>-</w:t>
            </w:r>
          </w:p>
        </w:tc>
      </w:tr>
      <w:tr w:rsidR="00157B77">
        <w:tc>
          <w:tcPr>
            <w:tcW w:w="1290" w:type="dxa"/>
            <w:vAlign w:val="center"/>
          </w:tcPr>
          <w:p w:rsidR="00157B77" w:rsidRDefault="00970214">
            <w:pPr>
              <w:jc w:val="left"/>
            </w:pPr>
            <w:r>
              <w:rPr>
                <w:rFonts w:eastAsiaTheme="minorEastAsia"/>
                <w:color w:val="000000" w:themeColor="text1"/>
                <w:szCs w:val="21"/>
              </w:rPr>
              <w:t>过去五年</w:t>
            </w:r>
          </w:p>
        </w:tc>
        <w:tc>
          <w:tcPr>
            <w:tcW w:w="1291" w:type="dxa"/>
            <w:vAlign w:val="center"/>
          </w:tcPr>
          <w:p w:rsidR="00157B77" w:rsidRDefault="00970214">
            <w:pPr>
              <w:jc w:val="right"/>
            </w:pPr>
            <w:r>
              <w:rPr>
                <w:rFonts w:eastAsiaTheme="minorEastAsia"/>
                <w:color w:val="000000" w:themeColor="text1"/>
                <w:szCs w:val="21"/>
              </w:rPr>
              <w:t>-</w:t>
            </w:r>
          </w:p>
        </w:tc>
        <w:tc>
          <w:tcPr>
            <w:tcW w:w="1291" w:type="dxa"/>
            <w:vAlign w:val="center"/>
          </w:tcPr>
          <w:p w:rsidR="00157B77" w:rsidRDefault="00970214">
            <w:pPr>
              <w:jc w:val="right"/>
            </w:pPr>
            <w:r>
              <w:rPr>
                <w:rFonts w:eastAsiaTheme="minorEastAsia"/>
                <w:color w:val="000000" w:themeColor="text1"/>
                <w:szCs w:val="21"/>
              </w:rPr>
              <w:t>-</w:t>
            </w:r>
          </w:p>
        </w:tc>
        <w:tc>
          <w:tcPr>
            <w:tcW w:w="1291" w:type="dxa"/>
            <w:vAlign w:val="center"/>
          </w:tcPr>
          <w:p w:rsidR="00157B77" w:rsidRDefault="00970214">
            <w:pPr>
              <w:jc w:val="right"/>
            </w:pPr>
            <w:r>
              <w:rPr>
                <w:rFonts w:eastAsiaTheme="minorEastAsia"/>
                <w:color w:val="000000" w:themeColor="text1"/>
                <w:szCs w:val="21"/>
              </w:rPr>
              <w:t>-</w:t>
            </w:r>
          </w:p>
        </w:tc>
        <w:tc>
          <w:tcPr>
            <w:tcW w:w="1291" w:type="dxa"/>
            <w:vAlign w:val="center"/>
          </w:tcPr>
          <w:p w:rsidR="00157B77" w:rsidRDefault="00970214">
            <w:pPr>
              <w:jc w:val="right"/>
            </w:pPr>
            <w:r>
              <w:rPr>
                <w:rFonts w:eastAsiaTheme="minorEastAsia"/>
                <w:color w:val="000000" w:themeColor="text1"/>
                <w:szCs w:val="21"/>
              </w:rPr>
              <w:t>-</w:t>
            </w:r>
          </w:p>
        </w:tc>
        <w:tc>
          <w:tcPr>
            <w:tcW w:w="1291" w:type="dxa"/>
            <w:vAlign w:val="center"/>
          </w:tcPr>
          <w:p w:rsidR="00157B77" w:rsidRDefault="00970214">
            <w:pPr>
              <w:jc w:val="right"/>
            </w:pPr>
            <w:r>
              <w:rPr>
                <w:rFonts w:eastAsiaTheme="minorEastAsia"/>
                <w:color w:val="000000" w:themeColor="text1"/>
                <w:szCs w:val="21"/>
              </w:rPr>
              <w:t>-</w:t>
            </w:r>
          </w:p>
        </w:tc>
        <w:tc>
          <w:tcPr>
            <w:tcW w:w="1291" w:type="dxa"/>
            <w:vAlign w:val="center"/>
          </w:tcPr>
          <w:p w:rsidR="00157B77" w:rsidRDefault="00970214">
            <w:pPr>
              <w:jc w:val="right"/>
            </w:pPr>
            <w:r>
              <w:rPr>
                <w:rFonts w:eastAsiaTheme="minorEastAsia"/>
                <w:color w:val="000000" w:themeColor="text1"/>
                <w:szCs w:val="21"/>
              </w:rPr>
              <w:t>-</w:t>
            </w:r>
          </w:p>
        </w:tc>
      </w:tr>
      <w:tr w:rsidR="00157B77">
        <w:tc>
          <w:tcPr>
            <w:tcW w:w="1290" w:type="dxa"/>
            <w:vAlign w:val="center"/>
          </w:tcPr>
          <w:p w:rsidR="00157B77" w:rsidRDefault="00970214">
            <w:pPr>
              <w:jc w:val="left"/>
            </w:pPr>
            <w:r>
              <w:rPr>
                <w:rFonts w:eastAsiaTheme="minorEastAsia"/>
                <w:color w:val="000000" w:themeColor="text1"/>
                <w:szCs w:val="21"/>
              </w:rPr>
              <w:t>自基金合同生效起至今</w:t>
            </w:r>
          </w:p>
        </w:tc>
        <w:tc>
          <w:tcPr>
            <w:tcW w:w="1291" w:type="dxa"/>
            <w:vAlign w:val="center"/>
          </w:tcPr>
          <w:p w:rsidR="00157B77" w:rsidRDefault="00970214">
            <w:pPr>
              <w:jc w:val="right"/>
            </w:pPr>
            <w:r>
              <w:rPr>
                <w:rFonts w:eastAsiaTheme="minorEastAsia"/>
                <w:color w:val="000000" w:themeColor="text1"/>
                <w:szCs w:val="21"/>
              </w:rPr>
              <w:t>-33.85%</w:t>
            </w:r>
          </w:p>
        </w:tc>
        <w:tc>
          <w:tcPr>
            <w:tcW w:w="1291" w:type="dxa"/>
            <w:vAlign w:val="center"/>
          </w:tcPr>
          <w:p w:rsidR="00157B77" w:rsidRDefault="00970214">
            <w:pPr>
              <w:jc w:val="right"/>
            </w:pPr>
            <w:r>
              <w:rPr>
                <w:rFonts w:eastAsiaTheme="minorEastAsia"/>
                <w:color w:val="000000" w:themeColor="text1"/>
                <w:szCs w:val="21"/>
              </w:rPr>
              <w:t>1.43%</w:t>
            </w:r>
          </w:p>
        </w:tc>
        <w:tc>
          <w:tcPr>
            <w:tcW w:w="1291" w:type="dxa"/>
            <w:vAlign w:val="center"/>
          </w:tcPr>
          <w:p w:rsidR="00157B77" w:rsidRDefault="00970214">
            <w:pPr>
              <w:jc w:val="right"/>
            </w:pPr>
            <w:r>
              <w:rPr>
                <w:rFonts w:eastAsiaTheme="minorEastAsia"/>
                <w:color w:val="000000" w:themeColor="text1"/>
                <w:szCs w:val="21"/>
              </w:rPr>
              <w:t>-20.47%</w:t>
            </w:r>
          </w:p>
        </w:tc>
        <w:tc>
          <w:tcPr>
            <w:tcW w:w="1291" w:type="dxa"/>
            <w:vAlign w:val="center"/>
          </w:tcPr>
          <w:p w:rsidR="00157B77" w:rsidRDefault="00970214">
            <w:pPr>
              <w:jc w:val="right"/>
            </w:pPr>
            <w:r>
              <w:rPr>
                <w:rFonts w:eastAsiaTheme="minorEastAsia"/>
                <w:color w:val="000000" w:themeColor="text1"/>
                <w:szCs w:val="21"/>
              </w:rPr>
              <w:t>0.94%</w:t>
            </w:r>
          </w:p>
        </w:tc>
        <w:tc>
          <w:tcPr>
            <w:tcW w:w="1291" w:type="dxa"/>
            <w:vAlign w:val="center"/>
          </w:tcPr>
          <w:p w:rsidR="00157B77" w:rsidRDefault="00970214">
            <w:pPr>
              <w:jc w:val="right"/>
            </w:pPr>
            <w:r>
              <w:rPr>
                <w:rFonts w:eastAsiaTheme="minorEastAsia"/>
                <w:color w:val="000000" w:themeColor="text1"/>
                <w:szCs w:val="21"/>
              </w:rPr>
              <w:t>-13.38%</w:t>
            </w:r>
          </w:p>
        </w:tc>
        <w:tc>
          <w:tcPr>
            <w:tcW w:w="1291" w:type="dxa"/>
            <w:vAlign w:val="center"/>
          </w:tcPr>
          <w:p w:rsidR="00157B77" w:rsidRDefault="00970214">
            <w:pPr>
              <w:jc w:val="right"/>
            </w:pPr>
            <w:r>
              <w:rPr>
                <w:rFonts w:eastAsiaTheme="minorEastAsia"/>
                <w:color w:val="000000" w:themeColor="text1"/>
                <w:szCs w:val="21"/>
              </w:rPr>
              <w:t>0.49%</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摩根沃享远见一年持有期混合型证券投资基金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．摩根沃享远见一年持有期混合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57B77" w:rsidRDefault="0097021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．摩根沃享远见一年持有期混合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57B77" w:rsidRDefault="0097021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157B77">
        <w:tc>
          <w:tcPr>
            <w:tcW w:w="952" w:type="dxa"/>
            <w:vAlign w:val="center"/>
          </w:tcPr>
          <w:p w:rsidR="00157B77" w:rsidRDefault="00970214">
            <w:pPr>
              <w:jc w:val="center"/>
            </w:pPr>
            <w:r>
              <w:rPr>
                <w:rFonts w:eastAsiaTheme="minorEastAsia"/>
                <w:color w:val="000000" w:themeColor="text1"/>
                <w:szCs w:val="21"/>
              </w:rPr>
              <w:t>杜猛</w:t>
            </w:r>
          </w:p>
        </w:tc>
        <w:tc>
          <w:tcPr>
            <w:tcW w:w="930" w:type="dxa"/>
            <w:vAlign w:val="center"/>
          </w:tcPr>
          <w:p w:rsidR="00157B77" w:rsidRDefault="00970214">
            <w:pPr>
              <w:jc w:val="center"/>
            </w:pPr>
            <w:r>
              <w:rPr>
                <w:rFonts w:eastAsiaTheme="minorEastAsia"/>
                <w:color w:val="000000" w:themeColor="text1"/>
                <w:szCs w:val="21"/>
              </w:rPr>
              <w:t>本基金基金经理、副总经理兼投资总监</w:t>
            </w:r>
          </w:p>
        </w:tc>
        <w:tc>
          <w:tcPr>
            <w:tcW w:w="1210" w:type="dxa"/>
            <w:vAlign w:val="center"/>
          </w:tcPr>
          <w:p w:rsidR="00157B77" w:rsidRDefault="00970214">
            <w:pPr>
              <w:jc w:val="center"/>
            </w:pPr>
            <w:r>
              <w:rPr>
                <w:rFonts w:eastAsiaTheme="minorEastAsia"/>
                <w:color w:val="000000" w:themeColor="text1"/>
                <w:szCs w:val="21"/>
              </w:rPr>
              <w:t>2022-01-25</w:t>
            </w:r>
          </w:p>
        </w:tc>
        <w:tc>
          <w:tcPr>
            <w:tcW w:w="1309" w:type="dxa"/>
            <w:vAlign w:val="center"/>
          </w:tcPr>
          <w:p w:rsidR="00157B77" w:rsidRDefault="00970214">
            <w:pPr>
              <w:jc w:val="center"/>
            </w:pPr>
            <w:r>
              <w:rPr>
                <w:rFonts w:eastAsiaTheme="minorEastAsia"/>
                <w:color w:val="000000" w:themeColor="text1"/>
                <w:szCs w:val="21"/>
              </w:rPr>
              <w:t>-</w:t>
            </w:r>
          </w:p>
        </w:tc>
        <w:tc>
          <w:tcPr>
            <w:tcW w:w="1254" w:type="dxa"/>
            <w:vAlign w:val="center"/>
          </w:tcPr>
          <w:p w:rsidR="00157B77" w:rsidRDefault="00970214">
            <w:pPr>
              <w:jc w:val="center"/>
            </w:pPr>
            <w:r>
              <w:rPr>
                <w:rFonts w:eastAsiaTheme="minorEastAsia"/>
                <w:color w:val="000000" w:themeColor="text1"/>
                <w:szCs w:val="21"/>
              </w:rPr>
              <w:t>22</w:t>
            </w:r>
            <w:r>
              <w:rPr>
                <w:rFonts w:eastAsiaTheme="minorEastAsia"/>
                <w:color w:val="000000" w:themeColor="text1"/>
                <w:szCs w:val="21"/>
              </w:rPr>
              <w:t>年</w:t>
            </w:r>
          </w:p>
        </w:tc>
        <w:tc>
          <w:tcPr>
            <w:tcW w:w="3276" w:type="dxa"/>
            <w:vAlign w:val="center"/>
          </w:tcPr>
          <w:p w:rsidR="00157B77" w:rsidRDefault="00970214">
            <w:r>
              <w:rPr>
                <w:rFonts w:eastAsiaTheme="minorEastAsia"/>
                <w:color w:val="000000" w:themeColor="text1"/>
                <w:szCs w:val="21"/>
              </w:rPr>
              <w:t>杜猛先生曾任天同证券有限责任公司研究员，中原证券有限责任公司研究员，国信证券有限责任公司研究员，中银国际证券有限责任公司研究员。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w:t>
            </w:r>
            <w:r>
              <w:rPr>
                <w:rFonts w:eastAsiaTheme="minorEastAsia"/>
                <w:color w:val="000000" w:themeColor="text1"/>
                <w:szCs w:val="21"/>
              </w:rPr>
              <w:lastRenderedPageBreak/>
              <w:t>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国内权益投资一部投资总监兼资深基金经理，现任副总经理兼投资总监。</w:t>
            </w:r>
          </w:p>
        </w:tc>
      </w:tr>
    </w:tbl>
    <w:p w:rsidR="00157B77" w:rsidRDefault="0097021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157B77" w:rsidRDefault="0097021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杜猛先生为本基金首任基金经理，其任职日期指本基金基金合同生效之日。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157B77" w:rsidRDefault="0097021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57B77" w:rsidRDefault="0097021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w:t>
      </w:r>
      <w:r>
        <w:rPr>
          <w:rFonts w:eastAsiaTheme="minorEastAsia"/>
          <w:color w:val="000000" w:themeColor="text1"/>
          <w:szCs w:val="21"/>
        </w:rPr>
        <w:t>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157B77" w:rsidRDefault="0097021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w:t>
      </w:r>
      <w:r>
        <w:rPr>
          <w:rFonts w:eastAsiaTheme="minorEastAsia"/>
          <w:color w:val="000000" w:themeColor="text1"/>
          <w:szCs w:val="21"/>
        </w:rPr>
        <w:lastRenderedPageBreak/>
        <w:t>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157B77" w:rsidRDefault="00970214">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年一季度</w:t>
      </w:r>
      <w:r>
        <w:rPr>
          <w:rFonts w:eastAsiaTheme="minorEastAsia"/>
          <w:color w:val="000000" w:themeColor="text1"/>
          <w:szCs w:val="21"/>
        </w:rPr>
        <w:t>A</w:t>
      </w:r>
      <w:r>
        <w:rPr>
          <w:rFonts w:eastAsiaTheme="minorEastAsia"/>
          <w:color w:val="000000" w:themeColor="text1"/>
          <w:szCs w:val="21"/>
        </w:rPr>
        <w:t>股市场经历了较大幅度的波动，沪深</w:t>
      </w:r>
      <w:r>
        <w:rPr>
          <w:rFonts w:eastAsiaTheme="minorEastAsia"/>
          <w:color w:val="000000" w:themeColor="text1"/>
          <w:szCs w:val="21"/>
        </w:rPr>
        <w:t>300</w:t>
      </w:r>
      <w:r>
        <w:rPr>
          <w:rFonts w:eastAsiaTheme="minorEastAsia"/>
          <w:color w:val="000000" w:themeColor="text1"/>
          <w:szCs w:val="21"/>
        </w:rPr>
        <w:t>、创业板等主要指数均在二月初创出调整以来的新低，其主要原因来自于市场的过度悲观以及短期流动性问题。随着二月份市场短期流动性问题的化解，相应政策陆续出台，市场开始出现反弹，至季度末沪深</w:t>
      </w:r>
      <w:r>
        <w:rPr>
          <w:rFonts w:eastAsiaTheme="minorEastAsia"/>
          <w:color w:val="000000" w:themeColor="text1"/>
          <w:szCs w:val="21"/>
        </w:rPr>
        <w:t>300</w:t>
      </w:r>
      <w:r>
        <w:rPr>
          <w:rFonts w:eastAsiaTheme="minorEastAsia"/>
          <w:color w:val="000000" w:themeColor="text1"/>
          <w:szCs w:val="21"/>
        </w:rPr>
        <w:t>等权重股指数均已获得涨幅。</w:t>
      </w:r>
    </w:p>
    <w:p w:rsidR="00157B77" w:rsidRDefault="00970214">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年一季度依然延续了</w:t>
      </w:r>
      <w:r>
        <w:rPr>
          <w:rFonts w:eastAsiaTheme="minorEastAsia"/>
          <w:color w:val="000000" w:themeColor="text1"/>
          <w:szCs w:val="21"/>
        </w:rPr>
        <w:t>2023</w:t>
      </w:r>
      <w:r>
        <w:rPr>
          <w:rFonts w:eastAsiaTheme="minorEastAsia"/>
          <w:color w:val="000000" w:themeColor="text1"/>
          <w:szCs w:val="21"/>
        </w:rPr>
        <w:t>年的市场风格，高股息以及资源类股票表现突出，</w:t>
      </w:r>
      <w:r>
        <w:rPr>
          <w:rFonts w:eastAsiaTheme="minorEastAsia"/>
          <w:color w:val="000000" w:themeColor="text1"/>
          <w:szCs w:val="21"/>
        </w:rPr>
        <w:t>AI</w:t>
      </w:r>
      <w:r>
        <w:rPr>
          <w:rFonts w:eastAsiaTheme="minorEastAsia"/>
          <w:color w:val="000000" w:themeColor="text1"/>
          <w:szCs w:val="21"/>
        </w:rPr>
        <w:t>在成长类股票中仍然占优，但是</w:t>
      </w:r>
      <w:r>
        <w:rPr>
          <w:rFonts w:eastAsiaTheme="minorEastAsia"/>
          <w:color w:val="000000" w:themeColor="text1"/>
          <w:szCs w:val="21"/>
        </w:rPr>
        <w:t>2023</w:t>
      </w:r>
      <w:r>
        <w:rPr>
          <w:rFonts w:eastAsiaTheme="minorEastAsia"/>
          <w:color w:val="000000" w:themeColor="text1"/>
          <w:szCs w:val="21"/>
        </w:rPr>
        <w:t>年表现较好的小盘策略在</w:t>
      </w:r>
      <w:r>
        <w:rPr>
          <w:rFonts w:eastAsiaTheme="minorEastAsia"/>
          <w:color w:val="000000" w:themeColor="text1"/>
          <w:szCs w:val="21"/>
        </w:rPr>
        <w:t>2024</w:t>
      </w:r>
      <w:r>
        <w:rPr>
          <w:rFonts w:eastAsiaTheme="minorEastAsia"/>
          <w:color w:val="000000" w:themeColor="text1"/>
          <w:szCs w:val="21"/>
        </w:rPr>
        <w:t>年遭遇了较大幅度的调整。此外我们还观测到在过去三年一直承压的大盘成长类股票在</w:t>
      </w:r>
      <w:r>
        <w:rPr>
          <w:rFonts w:eastAsiaTheme="minorEastAsia"/>
          <w:color w:val="000000" w:themeColor="text1"/>
          <w:szCs w:val="21"/>
        </w:rPr>
        <w:t>2024</w:t>
      </w:r>
      <w:r>
        <w:rPr>
          <w:rFonts w:eastAsiaTheme="minorEastAsia"/>
          <w:color w:val="000000" w:themeColor="text1"/>
          <w:szCs w:val="21"/>
        </w:rPr>
        <w:t>年开始出</w:t>
      </w:r>
      <w:r>
        <w:rPr>
          <w:rFonts w:eastAsiaTheme="minorEastAsia"/>
          <w:color w:val="000000" w:themeColor="text1"/>
          <w:szCs w:val="21"/>
        </w:rPr>
        <w:t>现较好表现，这意味着经历了较大幅度的调整后，部分大盘成长股已经具备相当的吸引力。我们在一季度继续维持了相应的</w:t>
      </w:r>
      <w:r>
        <w:rPr>
          <w:rFonts w:eastAsiaTheme="minorEastAsia"/>
          <w:color w:val="000000" w:themeColor="text1"/>
          <w:szCs w:val="21"/>
        </w:rPr>
        <w:t>AI</w:t>
      </w:r>
      <w:r>
        <w:rPr>
          <w:rFonts w:eastAsiaTheme="minorEastAsia"/>
          <w:color w:val="000000" w:themeColor="text1"/>
          <w:szCs w:val="21"/>
        </w:rPr>
        <w:t>股票仓位，并增加了部分供给出清或者需求稳定的行业的持仓。</w:t>
      </w:r>
    </w:p>
    <w:p w:rsidR="00157B77" w:rsidRDefault="00970214">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开年虽然市场出现了较大的波动，但是展望后续市场我们认为波动会逐步缓解，市场将进入相对平稳的阶段。随着政策的逐步落地，经济也将进入平稳阶段，上市公司的回购分红逐步增加，对投资者回报的重视开始逐渐普及。站在目前时点，市场可能已经开启了一个新的阶段，注重长期回报将慢慢成为市场的主要偏好。</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从行业层面看，人工智能依然是我们关注的重点，一季度全球</w:t>
      </w:r>
      <w:r w:rsidRPr="00B27A29">
        <w:rPr>
          <w:rFonts w:eastAsiaTheme="minorEastAsia"/>
          <w:color w:val="000000" w:themeColor="text1"/>
          <w:szCs w:val="21"/>
        </w:rPr>
        <w:t>AI</w:t>
      </w:r>
      <w:r w:rsidRPr="00B27A29">
        <w:rPr>
          <w:rFonts w:eastAsiaTheme="minorEastAsia"/>
          <w:color w:val="000000" w:themeColor="text1"/>
          <w:szCs w:val="21"/>
        </w:rPr>
        <w:t>创新层出不穷，可能产业的发展速度将远远超过我们的预期。算力仍是我们当前关注的重点，但随着应用的不断推陈出新，我们也会持续保持观察跟踪，争取寻找到长期的投资机会。此外，中国的新能源车行业在过去的一个季度依然相当亮眼，部分产业环节已经显著的出现了投资机会，我们也增加了在其中的持仓部位。我们会努力在市场中挑选估值和成长性匹配的优质品种，寻找各个产业长期成长的公司，力争为基金持有人创造持续稳定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157B77" w:rsidRDefault="0097021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本报告期摩根沃享远见一年</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:3.54%</w:t>
      </w:r>
      <w:r>
        <w:rPr>
          <w:rFonts w:eastAsiaTheme="minorEastAsia"/>
          <w:color w:val="000000" w:themeColor="text1"/>
          <w:szCs w:val="21"/>
        </w:rPr>
        <w:t>，同期业绩比较基准</w:t>
      </w:r>
      <w:r>
        <w:rPr>
          <w:rFonts w:eastAsiaTheme="minorEastAsia"/>
          <w:color w:val="000000" w:themeColor="text1"/>
          <w:szCs w:val="21"/>
        </w:rPr>
        <w:t>收益率为</w:t>
      </w:r>
      <w:r>
        <w:rPr>
          <w:rFonts w:eastAsiaTheme="minorEastAsia"/>
          <w:color w:val="000000" w:themeColor="text1"/>
          <w:szCs w:val="21"/>
        </w:rPr>
        <w:t>:1.01%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摩根沃享远见一年</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:3.33%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:1.01%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lastRenderedPageBreak/>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750,218,170.81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92.93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750,218,170.81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92.93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1,214,603.51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1,214,603.51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55,866,944.06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11,688.44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807,311,406.82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57,288,696.57</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7.12%</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53,150,932.00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6.61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8,200,526.15</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lastRenderedPageBreak/>
              <w:t>1.02</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600,959,117.60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74.73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734,700.00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27,805,822.49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1,163,736.00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914,640.00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692,929,474.24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86.16</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157B77">
        <w:trPr>
          <w:jc w:val="center"/>
        </w:trPr>
        <w:tc>
          <w:tcPr>
            <w:tcW w:w="2397" w:type="dxa"/>
            <w:vAlign w:val="center"/>
          </w:tcPr>
          <w:p w:rsidR="00157B77" w:rsidRDefault="00970214">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157B77" w:rsidRDefault="00970214">
            <w:pPr>
              <w:jc w:val="center"/>
            </w:pPr>
            <w:r>
              <w:rPr>
                <w:rFonts w:eastAsiaTheme="minorEastAsia"/>
                <w:color w:val="000000" w:themeColor="text1"/>
                <w:szCs w:val="21"/>
              </w:rPr>
              <w:t>-</w:t>
            </w:r>
          </w:p>
        </w:tc>
        <w:tc>
          <w:tcPr>
            <w:tcW w:w="3118" w:type="dxa"/>
            <w:vAlign w:val="center"/>
          </w:tcPr>
          <w:p w:rsidR="00157B77" w:rsidRDefault="00970214">
            <w:pPr>
              <w:jc w:val="center"/>
            </w:pPr>
            <w:r>
              <w:rPr>
                <w:rFonts w:eastAsiaTheme="minorEastAsia"/>
                <w:color w:val="000000" w:themeColor="text1"/>
                <w:szCs w:val="21"/>
              </w:rPr>
              <w:t>-</w:t>
            </w:r>
          </w:p>
        </w:tc>
      </w:tr>
      <w:tr w:rsidR="00157B77">
        <w:trPr>
          <w:jc w:val="center"/>
        </w:trPr>
        <w:tc>
          <w:tcPr>
            <w:tcW w:w="2397" w:type="dxa"/>
            <w:vAlign w:val="center"/>
          </w:tcPr>
          <w:p w:rsidR="00157B77" w:rsidRDefault="00970214">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157B77" w:rsidRDefault="00970214">
            <w:pPr>
              <w:jc w:val="center"/>
            </w:pPr>
            <w:r>
              <w:rPr>
                <w:rFonts w:eastAsiaTheme="minorEastAsia"/>
                <w:color w:val="000000" w:themeColor="text1"/>
                <w:szCs w:val="21"/>
              </w:rPr>
              <w:t>1,166,960.11</w:t>
            </w:r>
          </w:p>
        </w:tc>
        <w:tc>
          <w:tcPr>
            <w:tcW w:w="3118" w:type="dxa"/>
            <w:vAlign w:val="center"/>
          </w:tcPr>
          <w:p w:rsidR="00157B77" w:rsidRDefault="00970214">
            <w:pPr>
              <w:jc w:val="center"/>
            </w:pPr>
            <w:r>
              <w:rPr>
                <w:rFonts w:eastAsiaTheme="minorEastAsia"/>
                <w:color w:val="000000" w:themeColor="text1"/>
                <w:szCs w:val="21"/>
              </w:rPr>
              <w:t>0.15</w:t>
            </w:r>
          </w:p>
        </w:tc>
      </w:tr>
      <w:tr w:rsidR="00157B77">
        <w:trPr>
          <w:jc w:val="center"/>
        </w:trPr>
        <w:tc>
          <w:tcPr>
            <w:tcW w:w="2397" w:type="dxa"/>
            <w:vAlign w:val="center"/>
          </w:tcPr>
          <w:p w:rsidR="00157B77" w:rsidRDefault="00970214">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157B77" w:rsidRDefault="00970214">
            <w:pPr>
              <w:jc w:val="center"/>
            </w:pPr>
            <w:r>
              <w:rPr>
                <w:rFonts w:eastAsiaTheme="minorEastAsia"/>
                <w:color w:val="000000" w:themeColor="text1"/>
                <w:szCs w:val="21"/>
              </w:rPr>
              <w:t>-</w:t>
            </w:r>
          </w:p>
        </w:tc>
        <w:tc>
          <w:tcPr>
            <w:tcW w:w="3118" w:type="dxa"/>
            <w:vAlign w:val="center"/>
          </w:tcPr>
          <w:p w:rsidR="00157B77" w:rsidRDefault="00970214">
            <w:pPr>
              <w:jc w:val="center"/>
            </w:pPr>
            <w:r>
              <w:rPr>
                <w:rFonts w:eastAsiaTheme="minorEastAsia"/>
                <w:color w:val="000000" w:themeColor="text1"/>
                <w:szCs w:val="21"/>
              </w:rPr>
              <w:t>-</w:t>
            </w:r>
          </w:p>
        </w:tc>
      </w:tr>
      <w:tr w:rsidR="00157B77">
        <w:trPr>
          <w:jc w:val="center"/>
        </w:trPr>
        <w:tc>
          <w:tcPr>
            <w:tcW w:w="2397" w:type="dxa"/>
            <w:vAlign w:val="center"/>
          </w:tcPr>
          <w:p w:rsidR="00157B77" w:rsidRDefault="00970214">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157B77" w:rsidRDefault="00970214">
            <w:pPr>
              <w:jc w:val="center"/>
            </w:pPr>
            <w:r>
              <w:rPr>
                <w:rFonts w:eastAsiaTheme="minorEastAsia"/>
                <w:color w:val="000000" w:themeColor="text1"/>
                <w:szCs w:val="21"/>
              </w:rPr>
              <w:t>-</w:t>
            </w:r>
          </w:p>
        </w:tc>
        <w:tc>
          <w:tcPr>
            <w:tcW w:w="3118" w:type="dxa"/>
            <w:vAlign w:val="center"/>
          </w:tcPr>
          <w:p w:rsidR="00157B77" w:rsidRDefault="00970214">
            <w:pPr>
              <w:jc w:val="center"/>
            </w:pPr>
            <w:r>
              <w:rPr>
                <w:rFonts w:eastAsiaTheme="minorEastAsia"/>
                <w:color w:val="000000" w:themeColor="text1"/>
                <w:szCs w:val="21"/>
              </w:rPr>
              <w:t>-</w:t>
            </w:r>
          </w:p>
        </w:tc>
      </w:tr>
      <w:tr w:rsidR="00157B77">
        <w:trPr>
          <w:jc w:val="center"/>
        </w:trPr>
        <w:tc>
          <w:tcPr>
            <w:tcW w:w="2397" w:type="dxa"/>
            <w:vAlign w:val="center"/>
          </w:tcPr>
          <w:p w:rsidR="00157B77" w:rsidRDefault="00970214">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157B77" w:rsidRDefault="00970214">
            <w:pPr>
              <w:jc w:val="center"/>
            </w:pPr>
            <w:r>
              <w:rPr>
                <w:rFonts w:eastAsiaTheme="minorEastAsia"/>
                <w:color w:val="000000" w:themeColor="text1"/>
                <w:szCs w:val="21"/>
              </w:rPr>
              <w:t>-</w:t>
            </w:r>
          </w:p>
        </w:tc>
        <w:tc>
          <w:tcPr>
            <w:tcW w:w="3118" w:type="dxa"/>
            <w:vAlign w:val="center"/>
          </w:tcPr>
          <w:p w:rsidR="00157B77" w:rsidRDefault="00970214">
            <w:pPr>
              <w:jc w:val="center"/>
            </w:pPr>
            <w:r>
              <w:rPr>
                <w:rFonts w:eastAsiaTheme="minorEastAsia"/>
                <w:color w:val="000000" w:themeColor="text1"/>
                <w:szCs w:val="21"/>
              </w:rPr>
              <w:t>-</w:t>
            </w:r>
          </w:p>
        </w:tc>
      </w:tr>
      <w:tr w:rsidR="00157B77">
        <w:trPr>
          <w:jc w:val="center"/>
        </w:trPr>
        <w:tc>
          <w:tcPr>
            <w:tcW w:w="2397" w:type="dxa"/>
            <w:vAlign w:val="center"/>
          </w:tcPr>
          <w:p w:rsidR="00157B77" w:rsidRDefault="00970214">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157B77" w:rsidRDefault="00970214">
            <w:pPr>
              <w:jc w:val="center"/>
            </w:pPr>
            <w:r>
              <w:rPr>
                <w:rFonts w:eastAsiaTheme="minorEastAsia"/>
                <w:color w:val="000000" w:themeColor="text1"/>
                <w:szCs w:val="21"/>
              </w:rPr>
              <w:t>-</w:t>
            </w:r>
          </w:p>
        </w:tc>
        <w:tc>
          <w:tcPr>
            <w:tcW w:w="3118" w:type="dxa"/>
            <w:vAlign w:val="center"/>
          </w:tcPr>
          <w:p w:rsidR="00157B77" w:rsidRDefault="00970214">
            <w:pPr>
              <w:jc w:val="center"/>
            </w:pPr>
            <w:r>
              <w:rPr>
                <w:rFonts w:eastAsiaTheme="minorEastAsia"/>
                <w:color w:val="000000" w:themeColor="text1"/>
                <w:szCs w:val="21"/>
              </w:rPr>
              <w:t>-</w:t>
            </w:r>
          </w:p>
        </w:tc>
      </w:tr>
      <w:tr w:rsidR="00157B77">
        <w:trPr>
          <w:jc w:val="center"/>
        </w:trPr>
        <w:tc>
          <w:tcPr>
            <w:tcW w:w="2397" w:type="dxa"/>
            <w:vAlign w:val="center"/>
          </w:tcPr>
          <w:p w:rsidR="00157B77" w:rsidRDefault="00970214">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157B77" w:rsidRDefault="00970214">
            <w:pPr>
              <w:jc w:val="center"/>
            </w:pPr>
            <w:r>
              <w:rPr>
                <w:rFonts w:eastAsiaTheme="minorEastAsia"/>
                <w:color w:val="000000" w:themeColor="text1"/>
                <w:szCs w:val="21"/>
              </w:rPr>
              <w:t>-</w:t>
            </w:r>
          </w:p>
        </w:tc>
        <w:tc>
          <w:tcPr>
            <w:tcW w:w="3118" w:type="dxa"/>
            <w:vAlign w:val="center"/>
          </w:tcPr>
          <w:p w:rsidR="00157B77" w:rsidRDefault="00970214">
            <w:pPr>
              <w:jc w:val="center"/>
            </w:pPr>
            <w:r>
              <w:rPr>
                <w:rFonts w:eastAsiaTheme="minorEastAsia"/>
                <w:color w:val="000000" w:themeColor="text1"/>
                <w:szCs w:val="21"/>
              </w:rPr>
              <w:t>-</w:t>
            </w:r>
          </w:p>
        </w:tc>
      </w:tr>
      <w:tr w:rsidR="00157B77">
        <w:trPr>
          <w:jc w:val="center"/>
        </w:trPr>
        <w:tc>
          <w:tcPr>
            <w:tcW w:w="2397" w:type="dxa"/>
            <w:vAlign w:val="center"/>
          </w:tcPr>
          <w:p w:rsidR="00157B77" w:rsidRDefault="00970214">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157B77" w:rsidRDefault="00970214">
            <w:pPr>
              <w:jc w:val="center"/>
            </w:pPr>
            <w:r>
              <w:rPr>
                <w:rFonts w:eastAsiaTheme="minorEastAsia"/>
                <w:color w:val="000000" w:themeColor="text1"/>
                <w:szCs w:val="21"/>
              </w:rPr>
              <w:t>25,027,959.88</w:t>
            </w:r>
          </w:p>
        </w:tc>
        <w:tc>
          <w:tcPr>
            <w:tcW w:w="3118" w:type="dxa"/>
            <w:vAlign w:val="center"/>
          </w:tcPr>
          <w:p w:rsidR="00157B77" w:rsidRDefault="00970214">
            <w:pPr>
              <w:jc w:val="center"/>
            </w:pPr>
            <w:r>
              <w:rPr>
                <w:rFonts w:eastAsiaTheme="minorEastAsia"/>
                <w:color w:val="000000" w:themeColor="text1"/>
                <w:szCs w:val="21"/>
              </w:rPr>
              <w:t>3.11</w:t>
            </w:r>
          </w:p>
        </w:tc>
      </w:tr>
      <w:tr w:rsidR="00157B77">
        <w:trPr>
          <w:jc w:val="center"/>
        </w:trPr>
        <w:tc>
          <w:tcPr>
            <w:tcW w:w="2397" w:type="dxa"/>
            <w:vAlign w:val="center"/>
          </w:tcPr>
          <w:p w:rsidR="00157B77" w:rsidRDefault="00970214">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157B77" w:rsidRDefault="00970214">
            <w:pPr>
              <w:jc w:val="center"/>
            </w:pPr>
            <w:r>
              <w:rPr>
                <w:rFonts w:eastAsiaTheme="minorEastAsia"/>
                <w:color w:val="000000" w:themeColor="text1"/>
                <w:szCs w:val="21"/>
              </w:rPr>
              <w:t>31,093,776.58</w:t>
            </w:r>
          </w:p>
        </w:tc>
        <w:tc>
          <w:tcPr>
            <w:tcW w:w="3118" w:type="dxa"/>
            <w:vAlign w:val="center"/>
          </w:tcPr>
          <w:p w:rsidR="00157B77" w:rsidRDefault="00970214">
            <w:pPr>
              <w:jc w:val="center"/>
            </w:pPr>
            <w:r>
              <w:rPr>
                <w:rFonts w:eastAsiaTheme="minorEastAsia"/>
                <w:color w:val="000000" w:themeColor="text1"/>
                <w:szCs w:val="21"/>
              </w:rPr>
              <w:t>3.87</w:t>
            </w:r>
          </w:p>
        </w:tc>
      </w:tr>
      <w:tr w:rsidR="00157B77">
        <w:trPr>
          <w:jc w:val="center"/>
        </w:trPr>
        <w:tc>
          <w:tcPr>
            <w:tcW w:w="2397" w:type="dxa"/>
            <w:vAlign w:val="center"/>
          </w:tcPr>
          <w:p w:rsidR="00157B77" w:rsidRDefault="00970214">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157B77" w:rsidRDefault="00970214">
            <w:pPr>
              <w:jc w:val="center"/>
            </w:pPr>
            <w:r>
              <w:rPr>
                <w:rFonts w:eastAsiaTheme="minorEastAsia"/>
                <w:color w:val="000000" w:themeColor="text1"/>
                <w:szCs w:val="21"/>
              </w:rPr>
              <w:t>-</w:t>
            </w:r>
          </w:p>
        </w:tc>
        <w:tc>
          <w:tcPr>
            <w:tcW w:w="3118" w:type="dxa"/>
            <w:vAlign w:val="center"/>
          </w:tcPr>
          <w:p w:rsidR="00157B77" w:rsidRDefault="00970214">
            <w:pPr>
              <w:jc w:val="center"/>
            </w:pPr>
            <w:r>
              <w:rPr>
                <w:rFonts w:eastAsiaTheme="minorEastAsia"/>
                <w:color w:val="000000" w:themeColor="text1"/>
                <w:szCs w:val="21"/>
              </w:rPr>
              <w:t>-</w:t>
            </w:r>
          </w:p>
        </w:tc>
      </w:tr>
      <w:tr w:rsidR="00157B77">
        <w:trPr>
          <w:jc w:val="center"/>
        </w:trPr>
        <w:tc>
          <w:tcPr>
            <w:tcW w:w="2397" w:type="dxa"/>
            <w:vAlign w:val="center"/>
          </w:tcPr>
          <w:p w:rsidR="00157B77" w:rsidRDefault="00970214">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157B77" w:rsidRDefault="00970214">
            <w:pPr>
              <w:jc w:val="center"/>
            </w:pPr>
            <w:r>
              <w:rPr>
                <w:rFonts w:eastAsiaTheme="minorEastAsia"/>
                <w:color w:val="000000" w:themeColor="text1"/>
                <w:szCs w:val="21"/>
              </w:rPr>
              <w:t>-</w:t>
            </w:r>
          </w:p>
        </w:tc>
        <w:tc>
          <w:tcPr>
            <w:tcW w:w="3118" w:type="dxa"/>
            <w:vAlign w:val="center"/>
          </w:tcPr>
          <w:p w:rsidR="00157B77" w:rsidRDefault="00970214">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57,288,696.57</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7.12</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w:t>
            </w:r>
            <w:r w:rsidRPr="00B27A29">
              <w:rPr>
                <w:rFonts w:eastAsiaTheme="minorEastAsia"/>
                <w:kern w:val="0"/>
                <w:szCs w:val="21"/>
              </w:rPr>
              <w:lastRenderedPageBreak/>
              <w:t>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157B77">
        <w:tc>
          <w:tcPr>
            <w:tcW w:w="817" w:type="dxa"/>
            <w:vAlign w:val="center"/>
          </w:tcPr>
          <w:p w:rsidR="00157B77" w:rsidRDefault="00970214">
            <w:pPr>
              <w:jc w:val="center"/>
            </w:pPr>
            <w:r>
              <w:rPr>
                <w:rFonts w:eastAsiaTheme="minorEastAsia"/>
                <w:kern w:val="0"/>
                <w:szCs w:val="21"/>
              </w:rPr>
              <w:lastRenderedPageBreak/>
              <w:t>1</w:t>
            </w:r>
          </w:p>
        </w:tc>
        <w:tc>
          <w:tcPr>
            <w:tcW w:w="1276" w:type="dxa"/>
            <w:vAlign w:val="center"/>
          </w:tcPr>
          <w:p w:rsidR="00157B77" w:rsidRDefault="00970214">
            <w:pPr>
              <w:jc w:val="center"/>
            </w:pPr>
            <w:r>
              <w:rPr>
                <w:rFonts w:eastAsiaTheme="minorEastAsia"/>
                <w:kern w:val="0"/>
                <w:szCs w:val="21"/>
              </w:rPr>
              <w:t>300308</w:t>
            </w:r>
          </w:p>
        </w:tc>
        <w:tc>
          <w:tcPr>
            <w:tcW w:w="1701" w:type="dxa"/>
            <w:vAlign w:val="center"/>
          </w:tcPr>
          <w:p w:rsidR="00157B77" w:rsidRDefault="00970214">
            <w:pPr>
              <w:jc w:val="center"/>
            </w:pPr>
            <w:r>
              <w:rPr>
                <w:rFonts w:eastAsiaTheme="minorEastAsia"/>
                <w:kern w:val="0"/>
                <w:szCs w:val="21"/>
              </w:rPr>
              <w:t>中际旭创</w:t>
            </w:r>
          </w:p>
        </w:tc>
        <w:tc>
          <w:tcPr>
            <w:tcW w:w="1276" w:type="dxa"/>
            <w:vAlign w:val="center"/>
          </w:tcPr>
          <w:p w:rsidR="00157B77" w:rsidRDefault="00970214">
            <w:pPr>
              <w:jc w:val="right"/>
            </w:pPr>
            <w:r>
              <w:rPr>
                <w:rFonts w:eastAsiaTheme="minorEastAsia"/>
                <w:kern w:val="0"/>
                <w:szCs w:val="21"/>
              </w:rPr>
              <w:t>391,200.00</w:t>
            </w:r>
          </w:p>
        </w:tc>
        <w:tc>
          <w:tcPr>
            <w:tcW w:w="1842" w:type="dxa"/>
            <w:vAlign w:val="center"/>
          </w:tcPr>
          <w:p w:rsidR="00157B77" w:rsidRDefault="00970214">
            <w:pPr>
              <w:jc w:val="right"/>
            </w:pPr>
            <w:r>
              <w:rPr>
                <w:rFonts w:eastAsiaTheme="minorEastAsia"/>
                <w:kern w:val="0"/>
                <w:szCs w:val="21"/>
              </w:rPr>
              <w:t>61,246,272.00</w:t>
            </w:r>
          </w:p>
        </w:tc>
        <w:tc>
          <w:tcPr>
            <w:tcW w:w="1616" w:type="dxa"/>
            <w:vAlign w:val="center"/>
          </w:tcPr>
          <w:p w:rsidR="00157B77" w:rsidRDefault="00970214">
            <w:pPr>
              <w:jc w:val="right"/>
            </w:pPr>
            <w:r>
              <w:rPr>
                <w:rFonts w:eastAsiaTheme="minorEastAsia"/>
                <w:kern w:val="0"/>
                <w:szCs w:val="21"/>
              </w:rPr>
              <w:t>7.62</w:t>
            </w:r>
          </w:p>
        </w:tc>
      </w:tr>
      <w:tr w:rsidR="00157B77">
        <w:tc>
          <w:tcPr>
            <w:tcW w:w="817" w:type="dxa"/>
            <w:vAlign w:val="center"/>
          </w:tcPr>
          <w:p w:rsidR="00157B77" w:rsidRDefault="00970214">
            <w:pPr>
              <w:jc w:val="center"/>
            </w:pPr>
            <w:r>
              <w:rPr>
                <w:rFonts w:eastAsiaTheme="minorEastAsia"/>
                <w:kern w:val="0"/>
                <w:szCs w:val="21"/>
              </w:rPr>
              <w:t>2</w:t>
            </w:r>
          </w:p>
        </w:tc>
        <w:tc>
          <w:tcPr>
            <w:tcW w:w="1276" w:type="dxa"/>
            <w:vAlign w:val="center"/>
          </w:tcPr>
          <w:p w:rsidR="00157B77" w:rsidRDefault="00970214">
            <w:pPr>
              <w:jc w:val="center"/>
            </w:pPr>
            <w:r>
              <w:rPr>
                <w:rFonts w:eastAsiaTheme="minorEastAsia"/>
                <w:kern w:val="0"/>
                <w:szCs w:val="21"/>
              </w:rPr>
              <w:t>002475</w:t>
            </w:r>
          </w:p>
        </w:tc>
        <w:tc>
          <w:tcPr>
            <w:tcW w:w="1701" w:type="dxa"/>
            <w:vAlign w:val="center"/>
          </w:tcPr>
          <w:p w:rsidR="00157B77" w:rsidRDefault="00970214">
            <w:pPr>
              <w:jc w:val="center"/>
            </w:pPr>
            <w:r>
              <w:rPr>
                <w:rFonts w:eastAsiaTheme="minorEastAsia"/>
                <w:kern w:val="0"/>
                <w:szCs w:val="21"/>
              </w:rPr>
              <w:t>立讯精密</w:t>
            </w:r>
          </w:p>
        </w:tc>
        <w:tc>
          <w:tcPr>
            <w:tcW w:w="1276" w:type="dxa"/>
            <w:vAlign w:val="center"/>
          </w:tcPr>
          <w:p w:rsidR="00157B77" w:rsidRDefault="00970214">
            <w:pPr>
              <w:jc w:val="right"/>
            </w:pPr>
            <w:r>
              <w:rPr>
                <w:rFonts w:eastAsiaTheme="minorEastAsia"/>
                <w:kern w:val="0"/>
                <w:szCs w:val="21"/>
              </w:rPr>
              <w:t>1,724,800.00</w:t>
            </w:r>
          </w:p>
        </w:tc>
        <w:tc>
          <w:tcPr>
            <w:tcW w:w="1842" w:type="dxa"/>
            <w:vAlign w:val="center"/>
          </w:tcPr>
          <w:p w:rsidR="00157B77" w:rsidRDefault="00970214">
            <w:pPr>
              <w:jc w:val="right"/>
            </w:pPr>
            <w:r>
              <w:rPr>
                <w:rFonts w:eastAsiaTheme="minorEastAsia"/>
                <w:kern w:val="0"/>
                <w:szCs w:val="21"/>
              </w:rPr>
              <w:t>50,726,368.00</w:t>
            </w:r>
          </w:p>
        </w:tc>
        <w:tc>
          <w:tcPr>
            <w:tcW w:w="1616" w:type="dxa"/>
            <w:vAlign w:val="center"/>
          </w:tcPr>
          <w:p w:rsidR="00157B77" w:rsidRDefault="00970214">
            <w:pPr>
              <w:jc w:val="right"/>
            </w:pPr>
            <w:r>
              <w:rPr>
                <w:rFonts w:eastAsiaTheme="minorEastAsia"/>
                <w:kern w:val="0"/>
                <w:szCs w:val="21"/>
              </w:rPr>
              <w:t>6.31</w:t>
            </w:r>
          </w:p>
        </w:tc>
      </w:tr>
      <w:tr w:rsidR="00157B77">
        <w:tc>
          <w:tcPr>
            <w:tcW w:w="817" w:type="dxa"/>
            <w:vAlign w:val="center"/>
          </w:tcPr>
          <w:p w:rsidR="00157B77" w:rsidRDefault="00970214">
            <w:pPr>
              <w:jc w:val="center"/>
            </w:pPr>
            <w:r>
              <w:rPr>
                <w:rFonts w:eastAsiaTheme="minorEastAsia"/>
                <w:kern w:val="0"/>
                <w:szCs w:val="21"/>
              </w:rPr>
              <w:t>3</w:t>
            </w:r>
          </w:p>
        </w:tc>
        <w:tc>
          <w:tcPr>
            <w:tcW w:w="1276" w:type="dxa"/>
            <w:vAlign w:val="center"/>
          </w:tcPr>
          <w:p w:rsidR="00157B77" w:rsidRDefault="00970214">
            <w:pPr>
              <w:jc w:val="center"/>
            </w:pPr>
            <w:r>
              <w:rPr>
                <w:rFonts w:eastAsiaTheme="minorEastAsia"/>
                <w:kern w:val="0"/>
                <w:szCs w:val="21"/>
              </w:rPr>
              <w:t>300750</w:t>
            </w:r>
          </w:p>
        </w:tc>
        <w:tc>
          <w:tcPr>
            <w:tcW w:w="1701" w:type="dxa"/>
            <w:vAlign w:val="center"/>
          </w:tcPr>
          <w:p w:rsidR="00157B77" w:rsidRDefault="00970214">
            <w:pPr>
              <w:jc w:val="center"/>
            </w:pPr>
            <w:r>
              <w:rPr>
                <w:rFonts w:eastAsiaTheme="minorEastAsia"/>
                <w:kern w:val="0"/>
                <w:szCs w:val="21"/>
              </w:rPr>
              <w:t>宁德时代</w:t>
            </w:r>
          </w:p>
        </w:tc>
        <w:tc>
          <w:tcPr>
            <w:tcW w:w="1276" w:type="dxa"/>
            <w:vAlign w:val="center"/>
          </w:tcPr>
          <w:p w:rsidR="00157B77" w:rsidRDefault="00970214">
            <w:pPr>
              <w:jc w:val="right"/>
            </w:pPr>
            <w:r>
              <w:rPr>
                <w:rFonts w:eastAsiaTheme="minorEastAsia"/>
                <w:kern w:val="0"/>
                <w:szCs w:val="21"/>
              </w:rPr>
              <w:t>263,897.00</w:t>
            </w:r>
          </w:p>
        </w:tc>
        <w:tc>
          <w:tcPr>
            <w:tcW w:w="1842" w:type="dxa"/>
            <w:vAlign w:val="center"/>
          </w:tcPr>
          <w:p w:rsidR="00157B77" w:rsidRDefault="00970214">
            <w:pPr>
              <w:jc w:val="right"/>
            </w:pPr>
            <w:r>
              <w:rPr>
                <w:rFonts w:eastAsiaTheme="minorEastAsia"/>
                <w:kern w:val="0"/>
                <w:szCs w:val="21"/>
              </w:rPr>
              <w:t>50,182,653.52</w:t>
            </w:r>
          </w:p>
        </w:tc>
        <w:tc>
          <w:tcPr>
            <w:tcW w:w="1616" w:type="dxa"/>
            <w:vAlign w:val="center"/>
          </w:tcPr>
          <w:p w:rsidR="00157B77" w:rsidRDefault="00970214">
            <w:pPr>
              <w:jc w:val="right"/>
            </w:pPr>
            <w:r>
              <w:rPr>
                <w:rFonts w:eastAsiaTheme="minorEastAsia"/>
                <w:kern w:val="0"/>
                <w:szCs w:val="21"/>
              </w:rPr>
              <w:t>6.24</w:t>
            </w:r>
          </w:p>
        </w:tc>
      </w:tr>
      <w:tr w:rsidR="00157B77">
        <w:tc>
          <w:tcPr>
            <w:tcW w:w="817" w:type="dxa"/>
            <w:vAlign w:val="center"/>
          </w:tcPr>
          <w:p w:rsidR="00157B77" w:rsidRDefault="00970214">
            <w:pPr>
              <w:jc w:val="center"/>
            </w:pPr>
            <w:r>
              <w:rPr>
                <w:rFonts w:eastAsiaTheme="minorEastAsia"/>
                <w:kern w:val="0"/>
                <w:szCs w:val="21"/>
              </w:rPr>
              <w:t>4</w:t>
            </w:r>
          </w:p>
        </w:tc>
        <w:tc>
          <w:tcPr>
            <w:tcW w:w="1276" w:type="dxa"/>
            <w:vAlign w:val="center"/>
          </w:tcPr>
          <w:p w:rsidR="00157B77" w:rsidRDefault="00970214">
            <w:pPr>
              <w:jc w:val="center"/>
            </w:pPr>
            <w:r>
              <w:rPr>
                <w:rFonts w:eastAsiaTheme="minorEastAsia"/>
                <w:kern w:val="0"/>
                <w:szCs w:val="21"/>
              </w:rPr>
              <w:t>601138</w:t>
            </w:r>
          </w:p>
        </w:tc>
        <w:tc>
          <w:tcPr>
            <w:tcW w:w="1701" w:type="dxa"/>
            <w:vAlign w:val="center"/>
          </w:tcPr>
          <w:p w:rsidR="00157B77" w:rsidRDefault="00970214">
            <w:pPr>
              <w:jc w:val="center"/>
            </w:pPr>
            <w:r>
              <w:rPr>
                <w:rFonts w:eastAsiaTheme="minorEastAsia"/>
                <w:kern w:val="0"/>
                <w:szCs w:val="21"/>
              </w:rPr>
              <w:t>工业富联</w:t>
            </w:r>
          </w:p>
        </w:tc>
        <w:tc>
          <w:tcPr>
            <w:tcW w:w="1276" w:type="dxa"/>
            <w:vAlign w:val="center"/>
          </w:tcPr>
          <w:p w:rsidR="00157B77" w:rsidRDefault="00970214">
            <w:pPr>
              <w:jc w:val="right"/>
            </w:pPr>
            <w:r>
              <w:rPr>
                <w:rFonts w:eastAsiaTheme="minorEastAsia"/>
                <w:kern w:val="0"/>
                <w:szCs w:val="21"/>
              </w:rPr>
              <w:t>1,449,200.00</w:t>
            </w:r>
          </w:p>
        </w:tc>
        <w:tc>
          <w:tcPr>
            <w:tcW w:w="1842" w:type="dxa"/>
            <w:vAlign w:val="center"/>
          </w:tcPr>
          <w:p w:rsidR="00157B77" w:rsidRDefault="00970214">
            <w:pPr>
              <w:jc w:val="right"/>
            </w:pPr>
            <w:r>
              <w:rPr>
                <w:rFonts w:eastAsiaTheme="minorEastAsia"/>
                <w:kern w:val="0"/>
                <w:szCs w:val="21"/>
              </w:rPr>
              <w:t>32,998,284.00</w:t>
            </w:r>
          </w:p>
        </w:tc>
        <w:tc>
          <w:tcPr>
            <w:tcW w:w="1616" w:type="dxa"/>
            <w:vAlign w:val="center"/>
          </w:tcPr>
          <w:p w:rsidR="00157B77" w:rsidRDefault="00970214">
            <w:pPr>
              <w:jc w:val="right"/>
            </w:pPr>
            <w:r>
              <w:rPr>
                <w:rFonts w:eastAsiaTheme="minorEastAsia"/>
                <w:kern w:val="0"/>
                <w:szCs w:val="21"/>
              </w:rPr>
              <w:t>4.10</w:t>
            </w:r>
          </w:p>
        </w:tc>
      </w:tr>
      <w:tr w:rsidR="00157B77">
        <w:tc>
          <w:tcPr>
            <w:tcW w:w="817" w:type="dxa"/>
            <w:vAlign w:val="center"/>
          </w:tcPr>
          <w:p w:rsidR="00157B77" w:rsidRDefault="00970214">
            <w:pPr>
              <w:jc w:val="center"/>
            </w:pPr>
            <w:r>
              <w:rPr>
                <w:rFonts w:eastAsiaTheme="minorEastAsia"/>
                <w:kern w:val="0"/>
                <w:szCs w:val="21"/>
              </w:rPr>
              <w:t>5</w:t>
            </w:r>
          </w:p>
        </w:tc>
        <w:tc>
          <w:tcPr>
            <w:tcW w:w="1276" w:type="dxa"/>
            <w:vAlign w:val="center"/>
          </w:tcPr>
          <w:p w:rsidR="00157B77" w:rsidRDefault="00970214">
            <w:pPr>
              <w:jc w:val="center"/>
            </w:pPr>
            <w:r>
              <w:rPr>
                <w:rFonts w:eastAsiaTheme="minorEastAsia"/>
                <w:kern w:val="0"/>
                <w:szCs w:val="21"/>
              </w:rPr>
              <w:t>300394</w:t>
            </w:r>
          </w:p>
        </w:tc>
        <w:tc>
          <w:tcPr>
            <w:tcW w:w="1701" w:type="dxa"/>
            <w:vAlign w:val="center"/>
          </w:tcPr>
          <w:p w:rsidR="00157B77" w:rsidRDefault="00970214">
            <w:pPr>
              <w:jc w:val="center"/>
            </w:pPr>
            <w:r>
              <w:rPr>
                <w:rFonts w:eastAsiaTheme="minorEastAsia"/>
                <w:kern w:val="0"/>
                <w:szCs w:val="21"/>
              </w:rPr>
              <w:t>天孚通信</w:t>
            </w:r>
          </w:p>
        </w:tc>
        <w:tc>
          <w:tcPr>
            <w:tcW w:w="1276" w:type="dxa"/>
            <w:vAlign w:val="center"/>
          </w:tcPr>
          <w:p w:rsidR="00157B77" w:rsidRDefault="00970214">
            <w:pPr>
              <w:jc w:val="right"/>
            </w:pPr>
            <w:r>
              <w:rPr>
                <w:rFonts w:eastAsiaTheme="minorEastAsia"/>
                <w:kern w:val="0"/>
                <w:szCs w:val="21"/>
              </w:rPr>
              <w:t>214,336.00</w:t>
            </w:r>
          </w:p>
        </w:tc>
        <w:tc>
          <w:tcPr>
            <w:tcW w:w="1842" w:type="dxa"/>
            <w:vAlign w:val="center"/>
          </w:tcPr>
          <w:p w:rsidR="00157B77" w:rsidRDefault="00970214">
            <w:pPr>
              <w:jc w:val="right"/>
            </w:pPr>
            <w:r>
              <w:rPr>
                <w:rFonts w:eastAsiaTheme="minorEastAsia"/>
                <w:kern w:val="0"/>
                <w:szCs w:val="21"/>
              </w:rPr>
              <w:t>32,422,606.72</w:t>
            </w:r>
          </w:p>
        </w:tc>
        <w:tc>
          <w:tcPr>
            <w:tcW w:w="1616" w:type="dxa"/>
            <w:vAlign w:val="center"/>
          </w:tcPr>
          <w:p w:rsidR="00157B77" w:rsidRDefault="00970214">
            <w:pPr>
              <w:jc w:val="right"/>
            </w:pPr>
            <w:r>
              <w:rPr>
                <w:rFonts w:eastAsiaTheme="minorEastAsia"/>
                <w:kern w:val="0"/>
                <w:szCs w:val="21"/>
              </w:rPr>
              <w:t>4.03</w:t>
            </w:r>
          </w:p>
        </w:tc>
      </w:tr>
      <w:tr w:rsidR="00157B77">
        <w:tc>
          <w:tcPr>
            <w:tcW w:w="817" w:type="dxa"/>
            <w:vAlign w:val="center"/>
          </w:tcPr>
          <w:p w:rsidR="00157B77" w:rsidRDefault="00970214">
            <w:pPr>
              <w:jc w:val="center"/>
            </w:pPr>
            <w:r>
              <w:rPr>
                <w:rFonts w:eastAsiaTheme="minorEastAsia"/>
                <w:kern w:val="0"/>
                <w:szCs w:val="21"/>
              </w:rPr>
              <w:t>6</w:t>
            </w:r>
          </w:p>
        </w:tc>
        <w:tc>
          <w:tcPr>
            <w:tcW w:w="1276" w:type="dxa"/>
            <w:vAlign w:val="center"/>
          </w:tcPr>
          <w:p w:rsidR="00157B77" w:rsidRDefault="00970214">
            <w:pPr>
              <w:jc w:val="center"/>
            </w:pPr>
            <w:r>
              <w:rPr>
                <w:rFonts w:eastAsiaTheme="minorEastAsia"/>
                <w:kern w:val="0"/>
                <w:szCs w:val="21"/>
              </w:rPr>
              <w:t>00700</w:t>
            </w:r>
          </w:p>
        </w:tc>
        <w:tc>
          <w:tcPr>
            <w:tcW w:w="1701" w:type="dxa"/>
            <w:vAlign w:val="center"/>
          </w:tcPr>
          <w:p w:rsidR="00157B77" w:rsidRDefault="00970214">
            <w:pPr>
              <w:jc w:val="center"/>
            </w:pPr>
            <w:r>
              <w:rPr>
                <w:rFonts w:eastAsiaTheme="minorEastAsia"/>
                <w:kern w:val="0"/>
                <w:szCs w:val="21"/>
              </w:rPr>
              <w:t>腾讯控股</w:t>
            </w:r>
          </w:p>
        </w:tc>
        <w:tc>
          <w:tcPr>
            <w:tcW w:w="1276" w:type="dxa"/>
            <w:vAlign w:val="center"/>
          </w:tcPr>
          <w:p w:rsidR="00157B77" w:rsidRDefault="00970214">
            <w:pPr>
              <w:jc w:val="right"/>
            </w:pPr>
            <w:r>
              <w:rPr>
                <w:rFonts w:eastAsiaTheme="minorEastAsia"/>
                <w:kern w:val="0"/>
                <w:szCs w:val="21"/>
              </w:rPr>
              <w:t>112,900.00</w:t>
            </w:r>
          </w:p>
        </w:tc>
        <w:tc>
          <w:tcPr>
            <w:tcW w:w="1842" w:type="dxa"/>
            <w:vAlign w:val="center"/>
          </w:tcPr>
          <w:p w:rsidR="00157B77" w:rsidRDefault="00970214">
            <w:pPr>
              <w:jc w:val="right"/>
            </w:pPr>
            <w:r>
              <w:rPr>
                <w:rFonts w:eastAsiaTheme="minorEastAsia"/>
                <w:kern w:val="0"/>
                <w:szCs w:val="21"/>
              </w:rPr>
              <w:t>31,093,776.58</w:t>
            </w:r>
          </w:p>
        </w:tc>
        <w:tc>
          <w:tcPr>
            <w:tcW w:w="1616" w:type="dxa"/>
            <w:vAlign w:val="center"/>
          </w:tcPr>
          <w:p w:rsidR="00157B77" w:rsidRDefault="00970214">
            <w:pPr>
              <w:jc w:val="right"/>
            </w:pPr>
            <w:r>
              <w:rPr>
                <w:rFonts w:eastAsiaTheme="minorEastAsia"/>
                <w:kern w:val="0"/>
                <w:szCs w:val="21"/>
              </w:rPr>
              <w:t>3.87</w:t>
            </w:r>
          </w:p>
        </w:tc>
      </w:tr>
      <w:tr w:rsidR="00157B77">
        <w:tc>
          <w:tcPr>
            <w:tcW w:w="817" w:type="dxa"/>
            <w:vAlign w:val="center"/>
          </w:tcPr>
          <w:p w:rsidR="00157B77" w:rsidRDefault="00970214">
            <w:pPr>
              <w:jc w:val="center"/>
            </w:pPr>
            <w:r>
              <w:rPr>
                <w:rFonts w:eastAsiaTheme="minorEastAsia"/>
                <w:kern w:val="0"/>
                <w:szCs w:val="21"/>
              </w:rPr>
              <w:t>7</w:t>
            </w:r>
          </w:p>
        </w:tc>
        <w:tc>
          <w:tcPr>
            <w:tcW w:w="1276" w:type="dxa"/>
            <w:vAlign w:val="center"/>
          </w:tcPr>
          <w:p w:rsidR="00157B77" w:rsidRDefault="00970214">
            <w:pPr>
              <w:jc w:val="center"/>
            </w:pPr>
            <w:r>
              <w:rPr>
                <w:rFonts w:eastAsiaTheme="minorEastAsia"/>
                <w:kern w:val="0"/>
                <w:szCs w:val="21"/>
              </w:rPr>
              <w:t>300274</w:t>
            </w:r>
          </w:p>
        </w:tc>
        <w:tc>
          <w:tcPr>
            <w:tcW w:w="1701" w:type="dxa"/>
            <w:vAlign w:val="center"/>
          </w:tcPr>
          <w:p w:rsidR="00157B77" w:rsidRDefault="00970214">
            <w:pPr>
              <w:jc w:val="center"/>
            </w:pPr>
            <w:r>
              <w:rPr>
                <w:rFonts w:eastAsiaTheme="minorEastAsia"/>
                <w:kern w:val="0"/>
                <w:szCs w:val="21"/>
              </w:rPr>
              <w:t>阳光电源</w:t>
            </w:r>
          </w:p>
        </w:tc>
        <w:tc>
          <w:tcPr>
            <w:tcW w:w="1276" w:type="dxa"/>
            <w:vAlign w:val="center"/>
          </w:tcPr>
          <w:p w:rsidR="00157B77" w:rsidRDefault="00970214">
            <w:pPr>
              <w:jc w:val="right"/>
            </w:pPr>
            <w:r>
              <w:rPr>
                <w:rFonts w:eastAsiaTheme="minorEastAsia"/>
                <w:kern w:val="0"/>
                <w:szCs w:val="21"/>
              </w:rPr>
              <w:t>271,015.00</w:t>
            </w:r>
          </w:p>
        </w:tc>
        <w:tc>
          <w:tcPr>
            <w:tcW w:w="1842" w:type="dxa"/>
            <w:vAlign w:val="center"/>
          </w:tcPr>
          <w:p w:rsidR="00157B77" w:rsidRDefault="00970214">
            <w:pPr>
              <w:jc w:val="right"/>
            </w:pPr>
            <w:r>
              <w:rPr>
                <w:rFonts w:eastAsiaTheme="minorEastAsia"/>
                <w:kern w:val="0"/>
                <w:szCs w:val="21"/>
              </w:rPr>
              <w:t>28,131,357.00</w:t>
            </w:r>
          </w:p>
        </w:tc>
        <w:tc>
          <w:tcPr>
            <w:tcW w:w="1616" w:type="dxa"/>
            <w:vAlign w:val="center"/>
          </w:tcPr>
          <w:p w:rsidR="00157B77" w:rsidRDefault="00970214">
            <w:pPr>
              <w:jc w:val="right"/>
            </w:pPr>
            <w:r>
              <w:rPr>
                <w:rFonts w:eastAsiaTheme="minorEastAsia"/>
                <w:kern w:val="0"/>
                <w:szCs w:val="21"/>
              </w:rPr>
              <w:t>3.50</w:t>
            </w:r>
          </w:p>
        </w:tc>
      </w:tr>
      <w:tr w:rsidR="00157B77">
        <w:tc>
          <w:tcPr>
            <w:tcW w:w="817" w:type="dxa"/>
            <w:vAlign w:val="center"/>
          </w:tcPr>
          <w:p w:rsidR="00157B77" w:rsidRDefault="00970214">
            <w:pPr>
              <w:jc w:val="center"/>
            </w:pPr>
            <w:r>
              <w:rPr>
                <w:rFonts w:eastAsiaTheme="minorEastAsia"/>
                <w:kern w:val="0"/>
                <w:szCs w:val="21"/>
              </w:rPr>
              <w:t>8</w:t>
            </w:r>
          </w:p>
        </w:tc>
        <w:tc>
          <w:tcPr>
            <w:tcW w:w="1276" w:type="dxa"/>
            <w:vAlign w:val="center"/>
          </w:tcPr>
          <w:p w:rsidR="00157B77" w:rsidRDefault="00970214">
            <w:pPr>
              <w:jc w:val="center"/>
            </w:pPr>
            <w:r>
              <w:rPr>
                <w:rFonts w:eastAsiaTheme="minorEastAsia"/>
                <w:kern w:val="0"/>
                <w:szCs w:val="21"/>
              </w:rPr>
              <w:t>002236</w:t>
            </w:r>
          </w:p>
        </w:tc>
        <w:tc>
          <w:tcPr>
            <w:tcW w:w="1701" w:type="dxa"/>
            <w:vAlign w:val="center"/>
          </w:tcPr>
          <w:p w:rsidR="00157B77" w:rsidRDefault="00970214">
            <w:pPr>
              <w:jc w:val="center"/>
            </w:pPr>
            <w:r>
              <w:rPr>
                <w:rFonts w:eastAsiaTheme="minorEastAsia"/>
                <w:kern w:val="0"/>
                <w:szCs w:val="21"/>
              </w:rPr>
              <w:t>大华股份</w:t>
            </w:r>
          </w:p>
        </w:tc>
        <w:tc>
          <w:tcPr>
            <w:tcW w:w="1276" w:type="dxa"/>
            <w:vAlign w:val="center"/>
          </w:tcPr>
          <w:p w:rsidR="00157B77" w:rsidRDefault="00970214">
            <w:pPr>
              <w:jc w:val="right"/>
            </w:pPr>
            <w:r>
              <w:rPr>
                <w:rFonts w:eastAsiaTheme="minorEastAsia"/>
                <w:kern w:val="0"/>
                <w:szCs w:val="21"/>
              </w:rPr>
              <w:t>1,367,960.00</w:t>
            </w:r>
          </w:p>
        </w:tc>
        <w:tc>
          <w:tcPr>
            <w:tcW w:w="1842" w:type="dxa"/>
            <w:vAlign w:val="center"/>
          </w:tcPr>
          <w:p w:rsidR="00157B77" w:rsidRDefault="00970214">
            <w:pPr>
              <w:jc w:val="right"/>
            </w:pPr>
            <w:r>
              <w:rPr>
                <w:rFonts w:eastAsiaTheme="minorEastAsia"/>
                <w:kern w:val="0"/>
                <w:szCs w:val="21"/>
              </w:rPr>
              <w:t>25,854,444.00</w:t>
            </w:r>
          </w:p>
        </w:tc>
        <w:tc>
          <w:tcPr>
            <w:tcW w:w="1616" w:type="dxa"/>
            <w:vAlign w:val="center"/>
          </w:tcPr>
          <w:p w:rsidR="00157B77" w:rsidRDefault="00970214">
            <w:pPr>
              <w:jc w:val="right"/>
            </w:pPr>
            <w:r>
              <w:rPr>
                <w:rFonts w:eastAsiaTheme="minorEastAsia"/>
                <w:kern w:val="0"/>
                <w:szCs w:val="21"/>
              </w:rPr>
              <w:t>3.21</w:t>
            </w:r>
          </w:p>
        </w:tc>
      </w:tr>
      <w:tr w:rsidR="00157B77">
        <w:tc>
          <w:tcPr>
            <w:tcW w:w="817" w:type="dxa"/>
            <w:vAlign w:val="center"/>
          </w:tcPr>
          <w:p w:rsidR="00157B77" w:rsidRDefault="00970214">
            <w:pPr>
              <w:jc w:val="center"/>
            </w:pPr>
            <w:r>
              <w:rPr>
                <w:rFonts w:eastAsiaTheme="minorEastAsia"/>
                <w:kern w:val="0"/>
                <w:szCs w:val="21"/>
              </w:rPr>
              <w:t>9</w:t>
            </w:r>
          </w:p>
        </w:tc>
        <w:tc>
          <w:tcPr>
            <w:tcW w:w="1276" w:type="dxa"/>
            <w:vAlign w:val="center"/>
          </w:tcPr>
          <w:p w:rsidR="00157B77" w:rsidRDefault="00970214">
            <w:pPr>
              <w:jc w:val="center"/>
            </w:pPr>
            <w:r>
              <w:rPr>
                <w:rFonts w:eastAsiaTheme="minorEastAsia"/>
                <w:kern w:val="0"/>
                <w:szCs w:val="21"/>
              </w:rPr>
              <w:t>603477</w:t>
            </w:r>
          </w:p>
        </w:tc>
        <w:tc>
          <w:tcPr>
            <w:tcW w:w="1701" w:type="dxa"/>
            <w:vAlign w:val="center"/>
          </w:tcPr>
          <w:p w:rsidR="00157B77" w:rsidRDefault="00970214">
            <w:pPr>
              <w:jc w:val="center"/>
            </w:pPr>
            <w:r>
              <w:rPr>
                <w:rFonts w:eastAsiaTheme="minorEastAsia"/>
                <w:kern w:val="0"/>
                <w:szCs w:val="21"/>
              </w:rPr>
              <w:t>巨星农牧</w:t>
            </w:r>
          </w:p>
        </w:tc>
        <w:tc>
          <w:tcPr>
            <w:tcW w:w="1276" w:type="dxa"/>
            <w:vAlign w:val="center"/>
          </w:tcPr>
          <w:p w:rsidR="00157B77" w:rsidRDefault="00970214">
            <w:pPr>
              <w:jc w:val="right"/>
            </w:pPr>
            <w:r>
              <w:rPr>
                <w:rFonts w:eastAsiaTheme="minorEastAsia"/>
                <w:kern w:val="0"/>
                <w:szCs w:val="21"/>
              </w:rPr>
              <w:t>671,100.00</w:t>
            </w:r>
          </w:p>
        </w:tc>
        <w:tc>
          <w:tcPr>
            <w:tcW w:w="1842" w:type="dxa"/>
            <w:vAlign w:val="center"/>
          </w:tcPr>
          <w:p w:rsidR="00157B77" w:rsidRDefault="00970214">
            <w:pPr>
              <w:jc w:val="right"/>
            </w:pPr>
            <w:r>
              <w:rPr>
                <w:rFonts w:eastAsiaTheme="minorEastAsia"/>
                <w:kern w:val="0"/>
                <w:szCs w:val="21"/>
              </w:rPr>
              <w:t>24,535,416.00</w:t>
            </w:r>
          </w:p>
        </w:tc>
        <w:tc>
          <w:tcPr>
            <w:tcW w:w="1616" w:type="dxa"/>
            <w:vAlign w:val="center"/>
          </w:tcPr>
          <w:p w:rsidR="00157B77" w:rsidRDefault="00970214">
            <w:pPr>
              <w:jc w:val="right"/>
            </w:pPr>
            <w:r>
              <w:rPr>
                <w:rFonts w:eastAsiaTheme="minorEastAsia"/>
                <w:kern w:val="0"/>
                <w:szCs w:val="21"/>
              </w:rPr>
              <w:t>3.05</w:t>
            </w:r>
          </w:p>
        </w:tc>
      </w:tr>
      <w:tr w:rsidR="00157B77">
        <w:tc>
          <w:tcPr>
            <w:tcW w:w="817" w:type="dxa"/>
            <w:vAlign w:val="center"/>
          </w:tcPr>
          <w:p w:rsidR="00157B77" w:rsidRDefault="00970214">
            <w:pPr>
              <w:jc w:val="center"/>
            </w:pPr>
            <w:r>
              <w:rPr>
                <w:rFonts w:eastAsiaTheme="minorEastAsia"/>
                <w:kern w:val="0"/>
                <w:szCs w:val="21"/>
              </w:rPr>
              <w:t>10</w:t>
            </w:r>
          </w:p>
        </w:tc>
        <w:tc>
          <w:tcPr>
            <w:tcW w:w="1276" w:type="dxa"/>
            <w:vAlign w:val="center"/>
          </w:tcPr>
          <w:p w:rsidR="00157B77" w:rsidRDefault="00970214">
            <w:pPr>
              <w:jc w:val="center"/>
            </w:pPr>
            <w:r>
              <w:rPr>
                <w:rFonts w:eastAsiaTheme="minorEastAsia"/>
                <w:kern w:val="0"/>
                <w:szCs w:val="21"/>
              </w:rPr>
              <w:t>688012</w:t>
            </w:r>
          </w:p>
        </w:tc>
        <w:tc>
          <w:tcPr>
            <w:tcW w:w="1701" w:type="dxa"/>
            <w:vAlign w:val="center"/>
          </w:tcPr>
          <w:p w:rsidR="00157B77" w:rsidRDefault="00970214">
            <w:pPr>
              <w:jc w:val="center"/>
            </w:pPr>
            <w:r>
              <w:rPr>
                <w:rFonts w:eastAsiaTheme="minorEastAsia"/>
                <w:kern w:val="0"/>
                <w:szCs w:val="21"/>
              </w:rPr>
              <w:t>中微公司</w:t>
            </w:r>
          </w:p>
        </w:tc>
        <w:tc>
          <w:tcPr>
            <w:tcW w:w="1276" w:type="dxa"/>
            <w:vAlign w:val="center"/>
          </w:tcPr>
          <w:p w:rsidR="00157B77" w:rsidRDefault="00970214">
            <w:pPr>
              <w:jc w:val="right"/>
            </w:pPr>
            <w:r>
              <w:rPr>
                <w:rFonts w:eastAsiaTheme="minorEastAsia"/>
                <w:kern w:val="0"/>
                <w:szCs w:val="21"/>
              </w:rPr>
              <w:t>134,875.00</w:t>
            </w:r>
          </w:p>
        </w:tc>
        <w:tc>
          <w:tcPr>
            <w:tcW w:w="1842" w:type="dxa"/>
            <w:vAlign w:val="center"/>
          </w:tcPr>
          <w:p w:rsidR="00157B77" w:rsidRDefault="00970214">
            <w:pPr>
              <w:jc w:val="right"/>
            </w:pPr>
            <w:r>
              <w:rPr>
                <w:rFonts w:eastAsiaTheme="minorEastAsia"/>
                <w:kern w:val="0"/>
                <w:szCs w:val="21"/>
              </w:rPr>
              <w:t>20,136,837.50</w:t>
            </w:r>
          </w:p>
        </w:tc>
        <w:tc>
          <w:tcPr>
            <w:tcW w:w="1616" w:type="dxa"/>
            <w:vAlign w:val="center"/>
          </w:tcPr>
          <w:p w:rsidR="00157B77" w:rsidRDefault="00970214">
            <w:pPr>
              <w:jc w:val="right"/>
            </w:pPr>
            <w:r>
              <w:rPr>
                <w:rFonts w:eastAsiaTheme="minorEastAsia"/>
                <w:kern w:val="0"/>
                <w:szCs w:val="21"/>
              </w:rPr>
              <w:t>2.50</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1,214,603.51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1,214,603.51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157B77">
        <w:tc>
          <w:tcPr>
            <w:tcW w:w="1504" w:type="dxa"/>
            <w:vAlign w:val="center"/>
          </w:tcPr>
          <w:p w:rsidR="00157B77" w:rsidRDefault="00970214">
            <w:pPr>
              <w:jc w:val="center"/>
            </w:pPr>
            <w:r>
              <w:rPr>
                <w:rFonts w:eastAsiaTheme="minorEastAsia"/>
                <w:color w:val="000000" w:themeColor="text1"/>
                <w:szCs w:val="21"/>
              </w:rPr>
              <w:t>1</w:t>
            </w:r>
          </w:p>
        </w:tc>
        <w:tc>
          <w:tcPr>
            <w:tcW w:w="1504" w:type="dxa"/>
            <w:vAlign w:val="center"/>
          </w:tcPr>
          <w:p w:rsidR="00157B77" w:rsidRDefault="00970214">
            <w:pPr>
              <w:jc w:val="center"/>
            </w:pPr>
            <w:r>
              <w:rPr>
                <w:rFonts w:eastAsiaTheme="minorEastAsia"/>
                <w:color w:val="000000" w:themeColor="text1"/>
                <w:szCs w:val="21"/>
              </w:rPr>
              <w:t>110095</w:t>
            </w:r>
          </w:p>
        </w:tc>
        <w:tc>
          <w:tcPr>
            <w:tcW w:w="1504" w:type="dxa"/>
            <w:vAlign w:val="center"/>
          </w:tcPr>
          <w:p w:rsidR="00157B77" w:rsidRDefault="00970214">
            <w:pPr>
              <w:jc w:val="center"/>
            </w:pPr>
            <w:r>
              <w:rPr>
                <w:rFonts w:eastAsiaTheme="minorEastAsia"/>
                <w:color w:val="000000" w:themeColor="text1"/>
                <w:szCs w:val="21"/>
              </w:rPr>
              <w:t>双良转债</w:t>
            </w:r>
          </w:p>
        </w:tc>
        <w:tc>
          <w:tcPr>
            <w:tcW w:w="1503" w:type="dxa"/>
            <w:vAlign w:val="center"/>
          </w:tcPr>
          <w:p w:rsidR="00157B77" w:rsidRDefault="00970214">
            <w:pPr>
              <w:jc w:val="right"/>
            </w:pPr>
            <w:r>
              <w:rPr>
                <w:rFonts w:eastAsiaTheme="minorEastAsia"/>
                <w:color w:val="000000" w:themeColor="text1"/>
                <w:szCs w:val="21"/>
              </w:rPr>
              <w:t>11,630</w:t>
            </w:r>
          </w:p>
        </w:tc>
        <w:tc>
          <w:tcPr>
            <w:tcW w:w="1503" w:type="dxa"/>
            <w:vAlign w:val="center"/>
          </w:tcPr>
          <w:p w:rsidR="00157B77" w:rsidRDefault="00970214">
            <w:pPr>
              <w:jc w:val="right"/>
            </w:pPr>
            <w:r>
              <w:rPr>
                <w:rFonts w:eastAsiaTheme="minorEastAsia"/>
                <w:color w:val="000000" w:themeColor="text1"/>
                <w:szCs w:val="21"/>
              </w:rPr>
              <w:t>1,199,674.65</w:t>
            </w:r>
          </w:p>
        </w:tc>
        <w:tc>
          <w:tcPr>
            <w:tcW w:w="1503" w:type="dxa"/>
            <w:vAlign w:val="center"/>
          </w:tcPr>
          <w:p w:rsidR="00157B77" w:rsidRDefault="00970214">
            <w:pPr>
              <w:jc w:val="right"/>
            </w:pPr>
            <w:r>
              <w:rPr>
                <w:rFonts w:eastAsiaTheme="minorEastAsia"/>
                <w:color w:val="000000" w:themeColor="text1"/>
                <w:szCs w:val="21"/>
              </w:rPr>
              <w:t>0.15</w:t>
            </w:r>
          </w:p>
        </w:tc>
      </w:tr>
      <w:tr w:rsidR="00157B77">
        <w:tc>
          <w:tcPr>
            <w:tcW w:w="1504" w:type="dxa"/>
            <w:vAlign w:val="center"/>
          </w:tcPr>
          <w:p w:rsidR="00157B77" w:rsidRDefault="00970214">
            <w:pPr>
              <w:jc w:val="center"/>
            </w:pPr>
            <w:r>
              <w:rPr>
                <w:rFonts w:eastAsiaTheme="minorEastAsia"/>
                <w:color w:val="000000" w:themeColor="text1"/>
                <w:szCs w:val="21"/>
              </w:rPr>
              <w:lastRenderedPageBreak/>
              <w:t>2</w:t>
            </w:r>
          </w:p>
        </w:tc>
        <w:tc>
          <w:tcPr>
            <w:tcW w:w="1504" w:type="dxa"/>
            <w:vAlign w:val="center"/>
          </w:tcPr>
          <w:p w:rsidR="00157B77" w:rsidRDefault="00970214">
            <w:pPr>
              <w:jc w:val="center"/>
            </w:pPr>
            <w:r>
              <w:rPr>
                <w:rFonts w:eastAsiaTheme="minorEastAsia"/>
                <w:color w:val="000000" w:themeColor="text1"/>
                <w:szCs w:val="21"/>
              </w:rPr>
              <w:t>127089</w:t>
            </w:r>
          </w:p>
        </w:tc>
        <w:tc>
          <w:tcPr>
            <w:tcW w:w="1504" w:type="dxa"/>
            <w:vAlign w:val="center"/>
          </w:tcPr>
          <w:p w:rsidR="00157B77" w:rsidRDefault="00970214">
            <w:pPr>
              <w:jc w:val="center"/>
            </w:pPr>
            <w:r>
              <w:rPr>
                <w:rFonts w:eastAsiaTheme="minorEastAsia"/>
                <w:color w:val="000000" w:themeColor="text1"/>
                <w:szCs w:val="21"/>
              </w:rPr>
              <w:t>晶澳转债</w:t>
            </w:r>
          </w:p>
        </w:tc>
        <w:tc>
          <w:tcPr>
            <w:tcW w:w="1503" w:type="dxa"/>
            <w:vAlign w:val="center"/>
          </w:tcPr>
          <w:p w:rsidR="00157B77" w:rsidRDefault="00970214">
            <w:pPr>
              <w:jc w:val="right"/>
            </w:pPr>
            <w:r>
              <w:rPr>
                <w:rFonts w:eastAsiaTheme="minorEastAsia"/>
                <w:color w:val="000000" w:themeColor="text1"/>
                <w:szCs w:val="21"/>
              </w:rPr>
              <w:t>144</w:t>
            </w:r>
          </w:p>
        </w:tc>
        <w:tc>
          <w:tcPr>
            <w:tcW w:w="1503" w:type="dxa"/>
            <w:vAlign w:val="center"/>
          </w:tcPr>
          <w:p w:rsidR="00157B77" w:rsidRDefault="00970214">
            <w:pPr>
              <w:jc w:val="right"/>
            </w:pPr>
            <w:r>
              <w:rPr>
                <w:rFonts w:eastAsiaTheme="minorEastAsia"/>
                <w:color w:val="000000" w:themeColor="text1"/>
                <w:szCs w:val="21"/>
              </w:rPr>
              <w:t>14,928.86</w:t>
            </w:r>
          </w:p>
        </w:tc>
        <w:tc>
          <w:tcPr>
            <w:tcW w:w="1503" w:type="dxa"/>
            <w:vAlign w:val="center"/>
          </w:tcPr>
          <w:p w:rsidR="00157B77" w:rsidRDefault="00970214">
            <w:pPr>
              <w:jc w:val="right"/>
            </w:pPr>
            <w:r>
              <w:rPr>
                <w:rFonts w:eastAsiaTheme="minorEastAsia"/>
                <w:color w:val="000000" w:themeColor="text1"/>
                <w:szCs w:val="21"/>
              </w:rPr>
              <w:t>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11,688.44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11,688.44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157B77">
        <w:tc>
          <w:tcPr>
            <w:tcW w:w="1181" w:type="dxa"/>
            <w:vAlign w:val="center"/>
          </w:tcPr>
          <w:p w:rsidR="00157B77" w:rsidRDefault="00970214">
            <w:pPr>
              <w:jc w:val="center"/>
            </w:pPr>
            <w:r>
              <w:rPr>
                <w:rFonts w:eastAsiaTheme="minorEastAsia"/>
                <w:color w:val="000000" w:themeColor="text1"/>
                <w:szCs w:val="21"/>
              </w:rPr>
              <w:t>1</w:t>
            </w:r>
          </w:p>
        </w:tc>
        <w:tc>
          <w:tcPr>
            <w:tcW w:w="2497" w:type="dxa"/>
            <w:vAlign w:val="center"/>
          </w:tcPr>
          <w:p w:rsidR="00157B77" w:rsidRDefault="00970214">
            <w:pPr>
              <w:jc w:val="center"/>
            </w:pPr>
            <w:r>
              <w:rPr>
                <w:rFonts w:eastAsiaTheme="minorEastAsia"/>
                <w:color w:val="000000" w:themeColor="text1"/>
                <w:szCs w:val="21"/>
              </w:rPr>
              <w:t>110095</w:t>
            </w:r>
          </w:p>
        </w:tc>
        <w:tc>
          <w:tcPr>
            <w:tcW w:w="1746" w:type="dxa"/>
            <w:vAlign w:val="center"/>
          </w:tcPr>
          <w:p w:rsidR="00157B77" w:rsidRDefault="00970214">
            <w:pPr>
              <w:jc w:val="center"/>
            </w:pPr>
            <w:r>
              <w:rPr>
                <w:rFonts w:eastAsiaTheme="minorEastAsia"/>
                <w:color w:val="000000" w:themeColor="text1"/>
                <w:szCs w:val="21"/>
              </w:rPr>
              <w:t>双良转债</w:t>
            </w:r>
          </w:p>
        </w:tc>
        <w:tc>
          <w:tcPr>
            <w:tcW w:w="1825" w:type="dxa"/>
            <w:vAlign w:val="center"/>
          </w:tcPr>
          <w:p w:rsidR="00157B77" w:rsidRDefault="00970214">
            <w:pPr>
              <w:jc w:val="right"/>
            </w:pPr>
            <w:r>
              <w:rPr>
                <w:rFonts w:eastAsiaTheme="minorEastAsia"/>
                <w:color w:val="000000" w:themeColor="text1"/>
                <w:szCs w:val="21"/>
              </w:rPr>
              <w:t>1,199,674.65</w:t>
            </w:r>
          </w:p>
        </w:tc>
        <w:tc>
          <w:tcPr>
            <w:tcW w:w="1679" w:type="dxa"/>
            <w:vAlign w:val="center"/>
          </w:tcPr>
          <w:p w:rsidR="00157B77" w:rsidRDefault="00970214">
            <w:pPr>
              <w:jc w:val="right"/>
            </w:pPr>
            <w:r>
              <w:rPr>
                <w:rFonts w:eastAsiaTheme="minorEastAsia"/>
                <w:color w:val="000000" w:themeColor="text1"/>
                <w:szCs w:val="21"/>
              </w:rPr>
              <w:t>0.15</w:t>
            </w:r>
          </w:p>
        </w:tc>
      </w:tr>
      <w:tr w:rsidR="00157B77">
        <w:tc>
          <w:tcPr>
            <w:tcW w:w="1181" w:type="dxa"/>
            <w:vAlign w:val="center"/>
          </w:tcPr>
          <w:p w:rsidR="00157B77" w:rsidRDefault="00970214">
            <w:pPr>
              <w:jc w:val="center"/>
            </w:pPr>
            <w:r>
              <w:rPr>
                <w:rFonts w:eastAsiaTheme="minorEastAsia"/>
                <w:color w:val="000000" w:themeColor="text1"/>
                <w:szCs w:val="21"/>
              </w:rPr>
              <w:t>2</w:t>
            </w:r>
          </w:p>
        </w:tc>
        <w:tc>
          <w:tcPr>
            <w:tcW w:w="2497" w:type="dxa"/>
            <w:vAlign w:val="center"/>
          </w:tcPr>
          <w:p w:rsidR="00157B77" w:rsidRDefault="00970214">
            <w:pPr>
              <w:jc w:val="center"/>
            </w:pPr>
            <w:r>
              <w:rPr>
                <w:rFonts w:eastAsiaTheme="minorEastAsia"/>
                <w:color w:val="000000" w:themeColor="text1"/>
                <w:szCs w:val="21"/>
              </w:rPr>
              <w:t>127089</w:t>
            </w:r>
          </w:p>
        </w:tc>
        <w:tc>
          <w:tcPr>
            <w:tcW w:w="1746" w:type="dxa"/>
            <w:vAlign w:val="center"/>
          </w:tcPr>
          <w:p w:rsidR="00157B77" w:rsidRDefault="00970214">
            <w:pPr>
              <w:jc w:val="center"/>
            </w:pPr>
            <w:r>
              <w:rPr>
                <w:rFonts w:eastAsiaTheme="minorEastAsia"/>
                <w:color w:val="000000" w:themeColor="text1"/>
                <w:szCs w:val="21"/>
              </w:rPr>
              <w:t>晶澳转债</w:t>
            </w:r>
          </w:p>
        </w:tc>
        <w:tc>
          <w:tcPr>
            <w:tcW w:w="1825" w:type="dxa"/>
            <w:vAlign w:val="center"/>
          </w:tcPr>
          <w:p w:rsidR="00157B77" w:rsidRDefault="00970214">
            <w:pPr>
              <w:jc w:val="right"/>
            </w:pPr>
            <w:r>
              <w:rPr>
                <w:rFonts w:eastAsiaTheme="minorEastAsia"/>
                <w:color w:val="000000" w:themeColor="text1"/>
                <w:szCs w:val="21"/>
              </w:rPr>
              <w:t>14,928.86</w:t>
            </w:r>
          </w:p>
        </w:tc>
        <w:tc>
          <w:tcPr>
            <w:tcW w:w="1679" w:type="dxa"/>
            <w:vAlign w:val="center"/>
          </w:tcPr>
          <w:p w:rsidR="00157B77" w:rsidRDefault="00970214">
            <w:pPr>
              <w:jc w:val="right"/>
            </w:pPr>
            <w:r>
              <w:rPr>
                <w:rFonts w:eastAsiaTheme="minorEastAsia"/>
                <w:color w:val="000000" w:themeColor="text1"/>
                <w:szCs w:val="21"/>
              </w:rPr>
              <w:t>0.00</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1,199,491,243.41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71,128,222.82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1,859,917.19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983,246.96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71,025,182.09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6,623,342.85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1,130,325,978.51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65,488,126.93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157B77" w:rsidRDefault="0097021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157B77" w:rsidRDefault="0097021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摩根沃享远见一年持有期混合型证券投资基金基金合同</w:t>
      </w:r>
    </w:p>
    <w:p w:rsidR="00157B77" w:rsidRDefault="0097021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摩根沃享远见一年持有期混合型证券投资基金托管协议</w:t>
      </w:r>
    </w:p>
    <w:p w:rsidR="00157B77" w:rsidRDefault="0097021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157B77" w:rsidRDefault="0097021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157B77" w:rsidRDefault="0097021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157B77" w:rsidRDefault="0097021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7021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70214">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970214">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摩根沃享远见一年持有期混合型证券投资基金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57B77"/>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214"/>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F6C3F1-2E24-4DF1-9AE3-8C376A87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15</Pages>
  <Words>1335</Words>
  <Characters>7616</Characters>
  <Application>Microsoft Office Word</Application>
  <DocSecurity>0</DocSecurity>
  <Lines>63</Lines>
  <Paragraphs>17</Paragraphs>
  <ScaleCrop>false</ScaleCrop>
  <Company>TRT. Ltd. Co.</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Niki.Jiang@GMC</cp:lastModifiedBy>
  <cp:revision>220</cp:revision>
  <cp:lastPrinted>2007-07-19T00:46:00Z</cp:lastPrinted>
  <dcterms:created xsi:type="dcterms:W3CDTF">2013-06-21T06:56:00Z</dcterms:created>
  <dcterms:modified xsi:type="dcterms:W3CDTF">2024-04-19T02:26:00Z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