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210,963,389.04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w:t>
            </w:r>
            <w:r>
              <w:rPr>
                <w:rFonts w:eastAsiaTheme="minorEastAsia"/>
                <w:color w:val="000000" w:themeColor="text1"/>
                <w:kern w:val="0"/>
                <w:szCs w:val="21"/>
              </w:rPr>
              <w:t>%-95%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w:t>
            </w:r>
            <w:r>
              <w:rPr>
                <w:rFonts w:eastAsiaTheme="minorEastAsia"/>
                <w:color w:val="000000" w:themeColor="text1"/>
                <w:kern w:val="0"/>
                <w:szCs w:val="21"/>
              </w:rPr>
              <w:t>价值，并相应确定不同行业的配置权重。</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w:t>
            </w:r>
            <w:r>
              <w:rPr>
                <w:rFonts w:eastAsiaTheme="minorEastAsia"/>
                <w:color w:val="000000" w:themeColor="text1"/>
                <w:kern w:val="0"/>
                <w:szCs w:val="21"/>
              </w:rPr>
              <w:t>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rsidR="0047364A" w:rsidRDefault="00100D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199,953,793.21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11,009,595.83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-4,751,973.98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-262,603.89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5,141,584.70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280,802.93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145,673,767.54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7,912,503.90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0.7187</w:t>
            </w:r>
          </w:p>
        </w:tc>
      </w:tr>
    </w:tbl>
    <w:p w:rsidR="0047364A" w:rsidRDefault="00100D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7364A">
        <w:tc>
          <w:tcPr>
            <w:tcW w:w="1290" w:type="dxa"/>
            <w:vAlign w:val="center"/>
          </w:tcPr>
          <w:p w:rsidR="0047364A" w:rsidRDefault="00100DC2">
            <w:pPr>
              <w:jc w:val="left"/>
            </w:pPr>
            <w:r>
              <w:rPr>
                <w:rFonts w:eastAsiaTheme="minorEastAsia"/>
                <w:color w:val="000000" w:themeColor="text1"/>
                <w:szCs w:val="21"/>
              </w:rPr>
              <w:t>过去三个月</w:t>
            </w:r>
          </w:p>
        </w:tc>
        <w:tc>
          <w:tcPr>
            <w:tcW w:w="1291" w:type="dxa"/>
            <w:vAlign w:val="center"/>
          </w:tcPr>
          <w:p w:rsidR="0047364A" w:rsidRDefault="00100DC2">
            <w:pPr>
              <w:jc w:val="right"/>
            </w:pPr>
            <w:r>
              <w:rPr>
                <w:rFonts w:eastAsiaTheme="minorEastAsia"/>
                <w:color w:val="000000" w:themeColor="text1"/>
                <w:szCs w:val="21"/>
              </w:rPr>
              <w:t>3.92%</w:t>
            </w:r>
          </w:p>
        </w:tc>
        <w:tc>
          <w:tcPr>
            <w:tcW w:w="1291" w:type="dxa"/>
            <w:vAlign w:val="center"/>
          </w:tcPr>
          <w:p w:rsidR="0047364A" w:rsidRDefault="00100DC2">
            <w:pPr>
              <w:jc w:val="right"/>
            </w:pPr>
            <w:r>
              <w:rPr>
                <w:rFonts w:eastAsiaTheme="minorEastAsia"/>
                <w:color w:val="000000" w:themeColor="text1"/>
                <w:szCs w:val="21"/>
              </w:rPr>
              <w:t>1.31%</w:t>
            </w:r>
          </w:p>
        </w:tc>
        <w:tc>
          <w:tcPr>
            <w:tcW w:w="1291" w:type="dxa"/>
            <w:vAlign w:val="center"/>
          </w:tcPr>
          <w:p w:rsidR="0047364A" w:rsidRDefault="00100DC2">
            <w:pPr>
              <w:jc w:val="right"/>
            </w:pPr>
            <w:r>
              <w:rPr>
                <w:rFonts w:eastAsiaTheme="minorEastAsia"/>
                <w:color w:val="000000" w:themeColor="text1"/>
                <w:szCs w:val="21"/>
              </w:rPr>
              <w:t>13.29%</w:t>
            </w:r>
          </w:p>
        </w:tc>
        <w:tc>
          <w:tcPr>
            <w:tcW w:w="1291" w:type="dxa"/>
            <w:vAlign w:val="center"/>
          </w:tcPr>
          <w:p w:rsidR="0047364A" w:rsidRDefault="00100DC2">
            <w:pPr>
              <w:jc w:val="right"/>
            </w:pPr>
            <w:r>
              <w:rPr>
                <w:rFonts w:eastAsiaTheme="minorEastAsia"/>
                <w:color w:val="000000" w:themeColor="text1"/>
                <w:szCs w:val="21"/>
              </w:rPr>
              <w:t>1.29%</w:t>
            </w:r>
          </w:p>
        </w:tc>
        <w:tc>
          <w:tcPr>
            <w:tcW w:w="1291" w:type="dxa"/>
            <w:vAlign w:val="center"/>
          </w:tcPr>
          <w:p w:rsidR="0047364A" w:rsidRDefault="00100DC2">
            <w:pPr>
              <w:jc w:val="right"/>
            </w:pPr>
            <w:r>
              <w:rPr>
                <w:rFonts w:eastAsiaTheme="minorEastAsia"/>
                <w:color w:val="000000" w:themeColor="text1"/>
                <w:szCs w:val="21"/>
              </w:rPr>
              <w:t>-9.37%</w:t>
            </w:r>
          </w:p>
        </w:tc>
        <w:tc>
          <w:tcPr>
            <w:tcW w:w="1291" w:type="dxa"/>
            <w:vAlign w:val="center"/>
          </w:tcPr>
          <w:p w:rsidR="0047364A" w:rsidRDefault="00100DC2">
            <w:pPr>
              <w:jc w:val="right"/>
            </w:pPr>
            <w:r>
              <w:rPr>
                <w:rFonts w:eastAsiaTheme="minorEastAsia"/>
                <w:color w:val="000000" w:themeColor="text1"/>
                <w:szCs w:val="21"/>
              </w:rPr>
              <w:t>0.02%</w:t>
            </w:r>
          </w:p>
        </w:tc>
      </w:tr>
      <w:tr w:rsidR="0047364A">
        <w:tc>
          <w:tcPr>
            <w:tcW w:w="1290" w:type="dxa"/>
            <w:vAlign w:val="center"/>
          </w:tcPr>
          <w:p w:rsidR="0047364A" w:rsidRDefault="00100DC2">
            <w:pPr>
              <w:jc w:val="left"/>
            </w:pPr>
            <w:r>
              <w:rPr>
                <w:rFonts w:eastAsiaTheme="minorEastAsia"/>
                <w:color w:val="000000" w:themeColor="text1"/>
                <w:szCs w:val="21"/>
              </w:rPr>
              <w:t>过去六个月</w:t>
            </w:r>
          </w:p>
        </w:tc>
        <w:tc>
          <w:tcPr>
            <w:tcW w:w="1291" w:type="dxa"/>
            <w:vAlign w:val="center"/>
          </w:tcPr>
          <w:p w:rsidR="0047364A" w:rsidRDefault="00100DC2">
            <w:pPr>
              <w:jc w:val="right"/>
            </w:pPr>
            <w:r>
              <w:rPr>
                <w:rFonts w:eastAsiaTheme="minorEastAsia"/>
                <w:color w:val="000000" w:themeColor="text1"/>
                <w:szCs w:val="21"/>
              </w:rPr>
              <w:t>7.04%</w:t>
            </w:r>
          </w:p>
        </w:tc>
        <w:tc>
          <w:tcPr>
            <w:tcW w:w="1291" w:type="dxa"/>
            <w:vAlign w:val="center"/>
          </w:tcPr>
          <w:p w:rsidR="0047364A" w:rsidRDefault="00100DC2">
            <w:pPr>
              <w:jc w:val="right"/>
            </w:pPr>
            <w:r>
              <w:rPr>
                <w:rFonts w:eastAsiaTheme="minorEastAsia"/>
                <w:color w:val="000000" w:themeColor="text1"/>
                <w:szCs w:val="21"/>
              </w:rPr>
              <w:t>1.10%</w:t>
            </w:r>
          </w:p>
        </w:tc>
        <w:tc>
          <w:tcPr>
            <w:tcW w:w="1291" w:type="dxa"/>
            <w:vAlign w:val="center"/>
          </w:tcPr>
          <w:p w:rsidR="0047364A" w:rsidRDefault="00100DC2">
            <w:pPr>
              <w:jc w:val="right"/>
            </w:pPr>
            <w:r>
              <w:rPr>
                <w:rFonts w:eastAsiaTheme="minorEastAsia"/>
                <w:color w:val="000000" w:themeColor="text1"/>
                <w:szCs w:val="21"/>
              </w:rPr>
              <w:t>12.91%</w:t>
            </w:r>
          </w:p>
        </w:tc>
        <w:tc>
          <w:tcPr>
            <w:tcW w:w="1291" w:type="dxa"/>
            <w:vAlign w:val="center"/>
          </w:tcPr>
          <w:p w:rsidR="0047364A" w:rsidRDefault="00100DC2">
            <w:pPr>
              <w:jc w:val="right"/>
            </w:pPr>
            <w:r>
              <w:rPr>
                <w:rFonts w:eastAsiaTheme="minorEastAsia"/>
                <w:color w:val="000000" w:themeColor="text1"/>
                <w:szCs w:val="21"/>
              </w:rPr>
              <w:t>1.04%</w:t>
            </w:r>
          </w:p>
        </w:tc>
        <w:tc>
          <w:tcPr>
            <w:tcW w:w="1291" w:type="dxa"/>
            <w:vAlign w:val="center"/>
          </w:tcPr>
          <w:p w:rsidR="0047364A" w:rsidRDefault="00100DC2">
            <w:pPr>
              <w:jc w:val="right"/>
            </w:pPr>
            <w:r>
              <w:rPr>
                <w:rFonts w:eastAsiaTheme="minorEastAsia"/>
                <w:color w:val="000000" w:themeColor="text1"/>
                <w:szCs w:val="21"/>
              </w:rPr>
              <w:t>-5.87%</w:t>
            </w:r>
          </w:p>
        </w:tc>
        <w:tc>
          <w:tcPr>
            <w:tcW w:w="1291" w:type="dxa"/>
            <w:vAlign w:val="center"/>
          </w:tcPr>
          <w:p w:rsidR="0047364A" w:rsidRDefault="00100DC2">
            <w:pPr>
              <w:jc w:val="right"/>
            </w:pPr>
            <w:r>
              <w:rPr>
                <w:rFonts w:eastAsiaTheme="minorEastAsia"/>
                <w:color w:val="000000" w:themeColor="text1"/>
                <w:szCs w:val="21"/>
              </w:rPr>
              <w:t>0.06%</w:t>
            </w:r>
          </w:p>
        </w:tc>
      </w:tr>
      <w:tr w:rsidR="0047364A">
        <w:tc>
          <w:tcPr>
            <w:tcW w:w="1290" w:type="dxa"/>
            <w:vAlign w:val="center"/>
          </w:tcPr>
          <w:p w:rsidR="0047364A" w:rsidRDefault="00100DC2">
            <w:pPr>
              <w:jc w:val="left"/>
            </w:pPr>
            <w:r>
              <w:rPr>
                <w:rFonts w:eastAsiaTheme="minorEastAsia"/>
                <w:color w:val="000000" w:themeColor="text1"/>
                <w:szCs w:val="21"/>
              </w:rPr>
              <w:t>过去一年</w:t>
            </w:r>
          </w:p>
        </w:tc>
        <w:tc>
          <w:tcPr>
            <w:tcW w:w="1291" w:type="dxa"/>
            <w:vAlign w:val="center"/>
          </w:tcPr>
          <w:p w:rsidR="0047364A" w:rsidRDefault="00100DC2">
            <w:pPr>
              <w:jc w:val="right"/>
            </w:pPr>
            <w:r>
              <w:rPr>
                <w:rFonts w:eastAsiaTheme="minorEastAsia"/>
                <w:color w:val="000000" w:themeColor="text1"/>
                <w:szCs w:val="21"/>
              </w:rPr>
              <w:t>6.47%</w:t>
            </w:r>
          </w:p>
        </w:tc>
        <w:tc>
          <w:tcPr>
            <w:tcW w:w="1291" w:type="dxa"/>
            <w:vAlign w:val="center"/>
          </w:tcPr>
          <w:p w:rsidR="0047364A" w:rsidRDefault="00100DC2">
            <w:pPr>
              <w:jc w:val="right"/>
            </w:pPr>
            <w:r>
              <w:rPr>
                <w:rFonts w:eastAsiaTheme="minorEastAsia"/>
                <w:color w:val="000000" w:themeColor="text1"/>
                <w:szCs w:val="21"/>
              </w:rPr>
              <w:t>1.10%</w:t>
            </w:r>
          </w:p>
        </w:tc>
        <w:tc>
          <w:tcPr>
            <w:tcW w:w="1291" w:type="dxa"/>
            <w:vAlign w:val="center"/>
          </w:tcPr>
          <w:p w:rsidR="0047364A" w:rsidRDefault="00100DC2">
            <w:pPr>
              <w:jc w:val="right"/>
            </w:pPr>
            <w:r>
              <w:rPr>
                <w:rFonts w:eastAsiaTheme="minorEastAsia"/>
                <w:color w:val="000000" w:themeColor="text1"/>
                <w:szCs w:val="21"/>
              </w:rPr>
              <w:t>7.76%</w:t>
            </w:r>
          </w:p>
        </w:tc>
        <w:tc>
          <w:tcPr>
            <w:tcW w:w="1291" w:type="dxa"/>
            <w:vAlign w:val="center"/>
          </w:tcPr>
          <w:p w:rsidR="0047364A" w:rsidRDefault="00100DC2">
            <w:pPr>
              <w:jc w:val="right"/>
            </w:pPr>
            <w:r>
              <w:rPr>
                <w:rFonts w:eastAsiaTheme="minorEastAsia"/>
                <w:color w:val="000000" w:themeColor="text1"/>
                <w:szCs w:val="21"/>
              </w:rPr>
              <w:t>0.95%</w:t>
            </w:r>
          </w:p>
        </w:tc>
        <w:tc>
          <w:tcPr>
            <w:tcW w:w="1291" w:type="dxa"/>
            <w:vAlign w:val="center"/>
          </w:tcPr>
          <w:p w:rsidR="0047364A" w:rsidRDefault="00100DC2">
            <w:pPr>
              <w:jc w:val="right"/>
            </w:pPr>
            <w:r>
              <w:rPr>
                <w:rFonts w:eastAsiaTheme="minorEastAsia"/>
                <w:color w:val="000000" w:themeColor="text1"/>
                <w:szCs w:val="21"/>
              </w:rPr>
              <w:t>-1.29%</w:t>
            </w:r>
          </w:p>
        </w:tc>
        <w:tc>
          <w:tcPr>
            <w:tcW w:w="1291" w:type="dxa"/>
            <w:vAlign w:val="center"/>
          </w:tcPr>
          <w:p w:rsidR="0047364A" w:rsidRDefault="00100DC2">
            <w:pPr>
              <w:jc w:val="right"/>
            </w:pPr>
            <w:r>
              <w:rPr>
                <w:rFonts w:eastAsiaTheme="minorEastAsia"/>
                <w:color w:val="000000" w:themeColor="text1"/>
                <w:szCs w:val="21"/>
              </w:rPr>
              <w:t>0.15%</w:t>
            </w:r>
          </w:p>
        </w:tc>
      </w:tr>
      <w:tr w:rsidR="0047364A">
        <w:tc>
          <w:tcPr>
            <w:tcW w:w="1290" w:type="dxa"/>
            <w:vAlign w:val="center"/>
          </w:tcPr>
          <w:p w:rsidR="0047364A" w:rsidRDefault="00100DC2">
            <w:pPr>
              <w:jc w:val="left"/>
            </w:pPr>
            <w:r>
              <w:rPr>
                <w:rFonts w:eastAsiaTheme="minorEastAsia"/>
                <w:color w:val="000000" w:themeColor="text1"/>
                <w:szCs w:val="21"/>
              </w:rPr>
              <w:t>过去三年</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r>
      <w:tr w:rsidR="0047364A">
        <w:tc>
          <w:tcPr>
            <w:tcW w:w="1290" w:type="dxa"/>
            <w:vAlign w:val="center"/>
          </w:tcPr>
          <w:p w:rsidR="0047364A" w:rsidRDefault="00100DC2">
            <w:pPr>
              <w:jc w:val="left"/>
            </w:pPr>
            <w:r>
              <w:rPr>
                <w:rFonts w:eastAsiaTheme="minorEastAsia"/>
                <w:color w:val="000000" w:themeColor="text1"/>
                <w:szCs w:val="21"/>
              </w:rPr>
              <w:t>过去五年</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r>
      <w:tr w:rsidR="0047364A">
        <w:tc>
          <w:tcPr>
            <w:tcW w:w="1290" w:type="dxa"/>
            <w:vAlign w:val="center"/>
          </w:tcPr>
          <w:p w:rsidR="0047364A" w:rsidRDefault="00100DC2">
            <w:pPr>
              <w:jc w:val="left"/>
            </w:pPr>
            <w:r>
              <w:rPr>
                <w:rFonts w:eastAsiaTheme="minorEastAsia"/>
                <w:color w:val="000000" w:themeColor="text1"/>
                <w:szCs w:val="21"/>
              </w:rPr>
              <w:t>自基金合同生效起至今</w:t>
            </w:r>
          </w:p>
        </w:tc>
        <w:tc>
          <w:tcPr>
            <w:tcW w:w="1291" w:type="dxa"/>
            <w:vAlign w:val="center"/>
          </w:tcPr>
          <w:p w:rsidR="0047364A" w:rsidRDefault="00100DC2">
            <w:pPr>
              <w:jc w:val="right"/>
            </w:pPr>
            <w:r>
              <w:rPr>
                <w:rFonts w:eastAsiaTheme="minorEastAsia"/>
                <w:color w:val="000000" w:themeColor="text1"/>
                <w:szCs w:val="21"/>
              </w:rPr>
              <w:t>-27.15%</w:t>
            </w:r>
          </w:p>
        </w:tc>
        <w:tc>
          <w:tcPr>
            <w:tcW w:w="1291" w:type="dxa"/>
            <w:vAlign w:val="center"/>
          </w:tcPr>
          <w:p w:rsidR="0047364A" w:rsidRDefault="00100DC2">
            <w:pPr>
              <w:jc w:val="right"/>
            </w:pPr>
            <w:r>
              <w:rPr>
                <w:rFonts w:eastAsiaTheme="minorEastAsia"/>
                <w:color w:val="000000" w:themeColor="text1"/>
                <w:szCs w:val="21"/>
              </w:rPr>
              <w:t>1.08%</w:t>
            </w:r>
          </w:p>
        </w:tc>
        <w:tc>
          <w:tcPr>
            <w:tcW w:w="1291" w:type="dxa"/>
            <w:vAlign w:val="center"/>
          </w:tcPr>
          <w:p w:rsidR="0047364A" w:rsidRDefault="00100DC2">
            <w:pPr>
              <w:jc w:val="right"/>
            </w:pPr>
            <w:r>
              <w:rPr>
                <w:rFonts w:eastAsiaTheme="minorEastAsia"/>
                <w:color w:val="000000" w:themeColor="text1"/>
                <w:szCs w:val="21"/>
              </w:rPr>
              <w:t>-10.93%</w:t>
            </w:r>
          </w:p>
        </w:tc>
        <w:tc>
          <w:tcPr>
            <w:tcW w:w="1291" w:type="dxa"/>
            <w:vAlign w:val="center"/>
          </w:tcPr>
          <w:p w:rsidR="0047364A" w:rsidRDefault="00100DC2">
            <w:pPr>
              <w:jc w:val="right"/>
            </w:pPr>
            <w:r>
              <w:rPr>
                <w:rFonts w:eastAsiaTheme="minorEastAsia"/>
                <w:color w:val="000000" w:themeColor="text1"/>
                <w:szCs w:val="21"/>
              </w:rPr>
              <w:t>0.96%</w:t>
            </w:r>
          </w:p>
        </w:tc>
        <w:tc>
          <w:tcPr>
            <w:tcW w:w="1291" w:type="dxa"/>
            <w:vAlign w:val="center"/>
          </w:tcPr>
          <w:p w:rsidR="0047364A" w:rsidRDefault="00100DC2">
            <w:pPr>
              <w:jc w:val="right"/>
            </w:pPr>
            <w:r>
              <w:rPr>
                <w:rFonts w:eastAsiaTheme="minorEastAsia"/>
                <w:color w:val="000000" w:themeColor="text1"/>
                <w:szCs w:val="21"/>
              </w:rPr>
              <w:t>-16.22%</w:t>
            </w:r>
          </w:p>
        </w:tc>
        <w:tc>
          <w:tcPr>
            <w:tcW w:w="1291" w:type="dxa"/>
            <w:vAlign w:val="center"/>
          </w:tcPr>
          <w:p w:rsidR="0047364A" w:rsidRDefault="00100DC2">
            <w:pPr>
              <w:jc w:val="right"/>
            </w:pPr>
            <w:r>
              <w:rPr>
                <w:rFonts w:eastAsiaTheme="minorEastAsia"/>
                <w:color w:val="000000" w:themeColor="text1"/>
                <w:szCs w:val="21"/>
              </w:rPr>
              <w:t>0.12%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7364A">
        <w:tc>
          <w:tcPr>
            <w:tcW w:w="1290" w:type="dxa"/>
            <w:vAlign w:val="center"/>
          </w:tcPr>
          <w:p w:rsidR="0047364A" w:rsidRDefault="00100DC2">
            <w:pPr>
              <w:jc w:val="left"/>
            </w:pPr>
            <w:r>
              <w:rPr>
                <w:rFonts w:eastAsiaTheme="minorEastAsia"/>
                <w:color w:val="000000" w:themeColor="text1"/>
                <w:szCs w:val="21"/>
              </w:rPr>
              <w:t>过去三个月</w:t>
            </w:r>
          </w:p>
        </w:tc>
        <w:tc>
          <w:tcPr>
            <w:tcW w:w="1291" w:type="dxa"/>
            <w:vAlign w:val="center"/>
          </w:tcPr>
          <w:p w:rsidR="0047364A" w:rsidRDefault="00100DC2">
            <w:pPr>
              <w:jc w:val="right"/>
            </w:pPr>
            <w:r>
              <w:rPr>
                <w:rFonts w:eastAsiaTheme="minorEastAsia"/>
                <w:color w:val="000000" w:themeColor="text1"/>
                <w:szCs w:val="21"/>
              </w:rPr>
              <w:t>3.80%</w:t>
            </w:r>
          </w:p>
        </w:tc>
        <w:tc>
          <w:tcPr>
            <w:tcW w:w="1291" w:type="dxa"/>
            <w:vAlign w:val="center"/>
          </w:tcPr>
          <w:p w:rsidR="0047364A" w:rsidRDefault="00100DC2">
            <w:pPr>
              <w:jc w:val="right"/>
            </w:pPr>
            <w:r>
              <w:rPr>
                <w:rFonts w:eastAsiaTheme="minorEastAsia"/>
                <w:color w:val="000000" w:themeColor="text1"/>
                <w:szCs w:val="21"/>
              </w:rPr>
              <w:t>1.31%</w:t>
            </w:r>
          </w:p>
        </w:tc>
        <w:tc>
          <w:tcPr>
            <w:tcW w:w="1291" w:type="dxa"/>
            <w:vAlign w:val="center"/>
          </w:tcPr>
          <w:p w:rsidR="0047364A" w:rsidRDefault="00100DC2">
            <w:pPr>
              <w:jc w:val="right"/>
            </w:pPr>
            <w:r>
              <w:rPr>
                <w:rFonts w:eastAsiaTheme="minorEastAsia"/>
                <w:color w:val="000000" w:themeColor="text1"/>
                <w:szCs w:val="21"/>
              </w:rPr>
              <w:t>13.29%</w:t>
            </w:r>
          </w:p>
        </w:tc>
        <w:tc>
          <w:tcPr>
            <w:tcW w:w="1291" w:type="dxa"/>
            <w:vAlign w:val="center"/>
          </w:tcPr>
          <w:p w:rsidR="0047364A" w:rsidRDefault="00100DC2">
            <w:pPr>
              <w:jc w:val="right"/>
            </w:pPr>
            <w:r>
              <w:rPr>
                <w:rFonts w:eastAsiaTheme="minorEastAsia"/>
                <w:color w:val="000000" w:themeColor="text1"/>
                <w:szCs w:val="21"/>
              </w:rPr>
              <w:t>1.29%</w:t>
            </w:r>
          </w:p>
        </w:tc>
        <w:tc>
          <w:tcPr>
            <w:tcW w:w="1291" w:type="dxa"/>
            <w:vAlign w:val="center"/>
          </w:tcPr>
          <w:p w:rsidR="0047364A" w:rsidRDefault="00100DC2">
            <w:pPr>
              <w:jc w:val="right"/>
            </w:pPr>
            <w:r>
              <w:rPr>
                <w:rFonts w:eastAsiaTheme="minorEastAsia"/>
                <w:color w:val="000000" w:themeColor="text1"/>
                <w:szCs w:val="21"/>
              </w:rPr>
              <w:t>-9.49%</w:t>
            </w:r>
          </w:p>
        </w:tc>
        <w:tc>
          <w:tcPr>
            <w:tcW w:w="1291" w:type="dxa"/>
            <w:vAlign w:val="center"/>
          </w:tcPr>
          <w:p w:rsidR="0047364A" w:rsidRDefault="00100DC2">
            <w:pPr>
              <w:jc w:val="right"/>
            </w:pPr>
            <w:r>
              <w:rPr>
                <w:rFonts w:eastAsiaTheme="minorEastAsia"/>
                <w:color w:val="000000" w:themeColor="text1"/>
                <w:szCs w:val="21"/>
              </w:rPr>
              <w:t>0.02%</w:t>
            </w:r>
          </w:p>
        </w:tc>
      </w:tr>
      <w:tr w:rsidR="0047364A">
        <w:tc>
          <w:tcPr>
            <w:tcW w:w="1290" w:type="dxa"/>
            <w:vAlign w:val="center"/>
          </w:tcPr>
          <w:p w:rsidR="0047364A" w:rsidRDefault="00100DC2">
            <w:pPr>
              <w:jc w:val="left"/>
            </w:pPr>
            <w:r>
              <w:rPr>
                <w:rFonts w:eastAsiaTheme="minorEastAsia"/>
                <w:color w:val="000000" w:themeColor="text1"/>
                <w:szCs w:val="21"/>
              </w:rPr>
              <w:t>过去六个月</w:t>
            </w:r>
          </w:p>
        </w:tc>
        <w:tc>
          <w:tcPr>
            <w:tcW w:w="1291" w:type="dxa"/>
            <w:vAlign w:val="center"/>
          </w:tcPr>
          <w:p w:rsidR="0047364A" w:rsidRDefault="00100DC2">
            <w:pPr>
              <w:jc w:val="right"/>
            </w:pPr>
            <w:r>
              <w:rPr>
                <w:rFonts w:eastAsiaTheme="minorEastAsia"/>
                <w:color w:val="000000" w:themeColor="text1"/>
                <w:szCs w:val="21"/>
              </w:rPr>
              <w:t>6.77%</w:t>
            </w:r>
          </w:p>
        </w:tc>
        <w:tc>
          <w:tcPr>
            <w:tcW w:w="1291" w:type="dxa"/>
            <w:vAlign w:val="center"/>
          </w:tcPr>
          <w:p w:rsidR="0047364A" w:rsidRDefault="00100DC2">
            <w:pPr>
              <w:jc w:val="right"/>
            </w:pPr>
            <w:r>
              <w:rPr>
                <w:rFonts w:eastAsiaTheme="minorEastAsia"/>
                <w:color w:val="000000" w:themeColor="text1"/>
                <w:szCs w:val="21"/>
              </w:rPr>
              <w:t>1.10%</w:t>
            </w:r>
          </w:p>
        </w:tc>
        <w:tc>
          <w:tcPr>
            <w:tcW w:w="1291" w:type="dxa"/>
            <w:vAlign w:val="center"/>
          </w:tcPr>
          <w:p w:rsidR="0047364A" w:rsidRDefault="00100DC2">
            <w:pPr>
              <w:jc w:val="right"/>
            </w:pPr>
            <w:r>
              <w:rPr>
                <w:rFonts w:eastAsiaTheme="minorEastAsia"/>
                <w:color w:val="000000" w:themeColor="text1"/>
                <w:szCs w:val="21"/>
              </w:rPr>
              <w:t>12.91%</w:t>
            </w:r>
          </w:p>
        </w:tc>
        <w:tc>
          <w:tcPr>
            <w:tcW w:w="1291" w:type="dxa"/>
            <w:vAlign w:val="center"/>
          </w:tcPr>
          <w:p w:rsidR="0047364A" w:rsidRDefault="00100DC2">
            <w:pPr>
              <w:jc w:val="right"/>
            </w:pPr>
            <w:r>
              <w:rPr>
                <w:rFonts w:eastAsiaTheme="minorEastAsia"/>
                <w:color w:val="000000" w:themeColor="text1"/>
                <w:szCs w:val="21"/>
              </w:rPr>
              <w:t>1.04%</w:t>
            </w:r>
          </w:p>
        </w:tc>
        <w:tc>
          <w:tcPr>
            <w:tcW w:w="1291" w:type="dxa"/>
            <w:vAlign w:val="center"/>
          </w:tcPr>
          <w:p w:rsidR="0047364A" w:rsidRDefault="00100DC2">
            <w:pPr>
              <w:jc w:val="right"/>
            </w:pPr>
            <w:r>
              <w:rPr>
                <w:rFonts w:eastAsiaTheme="minorEastAsia"/>
                <w:color w:val="000000" w:themeColor="text1"/>
                <w:szCs w:val="21"/>
              </w:rPr>
              <w:t>-6.14%</w:t>
            </w:r>
          </w:p>
        </w:tc>
        <w:tc>
          <w:tcPr>
            <w:tcW w:w="1291" w:type="dxa"/>
            <w:vAlign w:val="center"/>
          </w:tcPr>
          <w:p w:rsidR="0047364A" w:rsidRDefault="00100DC2">
            <w:pPr>
              <w:jc w:val="right"/>
            </w:pPr>
            <w:r>
              <w:rPr>
                <w:rFonts w:eastAsiaTheme="minorEastAsia"/>
                <w:color w:val="000000" w:themeColor="text1"/>
                <w:szCs w:val="21"/>
              </w:rPr>
              <w:t>0.06%</w:t>
            </w:r>
          </w:p>
        </w:tc>
      </w:tr>
      <w:tr w:rsidR="0047364A">
        <w:tc>
          <w:tcPr>
            <w:tcW w:w="1290" w:type="dxa"/>
            <w:vAlign w:val="center"/>
          </w:tcPr>
          <w:p w:rsidR="0047364A" w:rsidRDefault="00100DC2">
            <w:pPr>
              <w:jc w:val="left"/>
            </w:pPr>
            <w:r>
              <w:rPr>
                <w:rFonts w:eastAsiaTheme="minorEastAsia"/>
                <w:color w:val="000000" w:themeColor="text1"/>
                <w:szCs w:val="21"/>
              </w:rPr>
              <w:t>过去一年</w:t>
            </w:r>
          </w:p>
        </w:tc>
        <w:tc>
          <w:tcPr>
            <w:tcW w:w="1291" w:type="dxa"/>
            <w:vAlign w:val="center"/>
          </w:tcPr>
          <w:p w:rsidR="0047364A" w:rsidRDefault="00100DC2">
            <w:pPr>
              <w:jc w:val="right"/>
            </w:pPr>
            <w:r>
              <w:rPr>
                <w:rFonts w:eastAsiaTheme="minorEastAsia"/>
                <w:color w:val="000000" w:themeColor="text1"/>
                <w:szCs w:val="21"/>
              </w:rPr>
              <w:t>5.96%</w:t>
            </w:r>
          </w:p>
        </w:tc>
        <w:tc>
          <w:tcPr>
            <w:tcW w:w="1291" w:type="dxa"/>
            <w:vAlign w:val="center"/>
          </w:tcPr>
          <w:p w:rsidR="0047364A" w:rsidRDefault="00100DC2">
            <w:pPr>
              <w:jc w:val="right"/>
            </w:pPr>
            <w:r>
              <w:rPr>
                <w:rFonts w:eastAsiaTheme="minorEastAsia"/>
                <w:color w:val="000000" w:themeColor="text1"/>
                <w:szCs w:val="21"/>
              </w:rPr>
              <w:t>1.10%</w:t>
            </w:r>
          </w:p>
        </w:tc>
        <w:tc>
          <w:tcPr>
            <w:tcW w:w="1291" w:type="dxa"/>
            <w:vAlign w:val="center"/>
          </w:tcPr>
          <w:p w:rsidR="0047364A" w:rsidRDefault="00100DC2">
            <w:pPr>
              <w:jc w:val="right"/>
            </w:pPr>
            <w:r>
              <w:rPr>
                <w:rFonts w:eastAsiaTheme="minorEastAsia"/>
                <w:color w:val="000000" w:themeColor="text1"/>
                <w:szCs w:val="21"/>
              </w:rPr>
              <w:t>7.76%</w:t>
            </w:r>
          </w:p>
        </w:tc>
        <w:tc>
          <w:tcPr>
            <w:tcW w:w="1291" w:type="dxa"/>
            <w:vAlign w:val="center"/>
          </w:tcPr>
          <w:p w:rsidR="0047364A" w:rsidRDefault="00100DC2">
            <w:pPr>
              <w:jc w:val="right"/>
            </w:pPr>
            <w:r>
              <w:rPr>
                <w:rFonts w:eastAsiaTheme="minorEastAsia"/>
                <w:color w:val="000000" w:themeColor="text1"/>
                <w:szCs w:val="21"/>
              </w:rPr>
              <w:t>0.95%</w:t>
            </w:r>
          </w:p>
        </w:tc>
        <w:tc>
          <w:tcPr>
            <w:tcW w:w="1291" w:type="dxa"/>
            <w:vAlign w:val="center"/>
          </w:tcPr>
          <w:p w:rsidR="0047364A" w:rsidRDefault="00100DC2">
            <w:pPr>
              <w:jc w:val="right"/>
            </w:pPr>
            <w:r>
              <w:rPr>
                <w:rFonts w:eastAsiaTheme="minorEastAsia"/>
                <w:color w:val="000000" w:themeColor="text1"/>
                <w:szCs w:val="21"/>
              </w:rPr>
              <w:t>-1.80%</w:t>
            </w:r>
          </w:p>
        </w:tc>
        <w:tc>
          <w:tcPr>
            <w:tcW w:w="1291" w:type="dxa"/>
            <w:vAlign w:val="center"/>
          </w:tcPr>
          <w:p w:rsidR="0047364A" w:rsidRDefault="00100DC2">
            <w:pPr>
              <w:jc w:val="right"/>
            </w:pPr>
            <w:r>
              <w:rPr>
                <w:rFonts w:eastAsiaTheme="minorEastAsia"/>
                <w:color w:val="000000" w:themeColor="text1"/>
                <w:szCs w:val="21"/>
              </w:rPr>
              <w:t>0.15%</w:t>
            </w:r>
          </w:p>
        </w:tc>
      </w:tr>
      <w:tr w:rsidR="0047364A">
        <w:tc>
          <w:tcPr>
            <w:tcW w:w="1290" w:type="dxa"/>
            <w:vAlign w:val="center"/>
          </w:tcPr>
          <w:p w:rsidR="0047364A" w:rsidRDefault="00100DC2">
            <w:pPr>
              <w:jc w:val="left"/>
            </w:pPr>
            <w:r>
              <w:rPr>
                <w:rFonts w:eastAsiaTheme="minorEastAsia"/>
                <w:color w:val="000000" w:themeColor="text1"/>
                <w:szCs w:val="21"/>
              </w:rPr>
              <w:t>过去三年</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r>
      <w:tr w:rsidR="0047364A">
        <w:tc>
          <w:tcPr>
            <w:tcW w:w="1290" w:type="dxa"/>
            <w:vAlign w:val="center"/>
          </w:tcPr>
          <w:p w:rsidR="0047364A" w:rsidRDefault="00100DC2">
            <w:pPr>
              <w:jc w:val="left"/>
            </w:pPr>
            <w:r>
              <w:rPr>
                <w:rFonts w:eastAsiaTheme="minorEastAsia"/>
                <w:color w:val="000000" w:themeColor="text1"/>
                <w:szCs w:val="21"/>
              </w:rPr>
              <w:t>过去五年</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c>
          <w:tcPr>
            <w:tcW w:w="1291" w:type="dxa"/>
            <w:vAlign w:val="center"/>
          </w:tcPr>
          <w:p w:rsidR="0047364A" w:rsidRDefault="00100DC2">
            <w:pPr>
              <w:jc w:val="right"/>
            </w:pPr>
            <w:r>
              <w:rPr>
                <w:rFonts w:eastAsiaTheme="minorEastAsia"/>
                <w:color w:val="000000" w:themeColor="text1"/>
                <w:szCs w:val="21"/>
              </w:rPr>
              <w:t>-</w:t>
            </w:r>
          </w:p>
        </w:tc>
      </w:tr>
      <w:tr w:rsidR="0047364A">
        <w:tc>
          <w:tcPr>
            <w:tcW w:w="1290" w:type="dxa"/>
            <w:vAlign w:val="center"/>
          </w:tcPr>
          <w:p w:rsidR="0047364A" w:rsidRDefault="00100DC2">
            <w:pPr>
              <w:jc w:val="left"/>
            </w:pPr>
            <w:r>
              <w:rPr>
                <w:rFonts w:eastAsiaTheme="minorEastAsia"/>
                <w:color w:val="000000" w:themeColor="text1"/>
                <w:szCs w:val="21"/>
              </w:rPr>
              <w:lastRenderedPageBreak/>
              <w:t>自基金合同生效起至今</w:t>
            </w:r>
          </w:p>
        </w:tc>
        <w:tc>
          <w:tcPr>
            <w:tcW w:w="1291" w:type="dxa"/>
            <w:vAlign w:val="center"/>
          </w:tcPr>
          <w:p w:rsidR="0047364A" w:rsidRDefault="00100DC2">
            <w:pPr>
              <w:jc w:val="right"/>
            </w:pPr>
            <w:r>
              <w:rPr>
                <w:rFonts w:eastAsiaTheme="minorEastAsia"/>
                <w:color w:val="000000" w:themeColor="text1"/>
                <w:szCs w:val="21"/>
              </w:rPr>
              <w:t>-28.13%</w:t>
            </w:r>
          </w:p>
        </w:tc>
        <w:tc>
          <w:tcPr>
            <w:tcW w:w="1291" w:type="dxa"/>
            <w:vAlign w:val="center"/>
          </w:tcPr>
          <w:p w:rsidR="0047364A" w:rsidRDefault="00100DC2">
            <w:pPr>
              <w:jc w:val="right"/>
            </w:pPr>
            <w:r>
              <w:rPr>
                <w:rFonts w:eastAsiaTheme="minorEastAsia"/>
                <w:color w:val="000000" w:themeColor="text1"/>
                <w:szCs w:val="21"/>
              </w:rPr>
              <w:t>1.08%</w:t>
            </w:r>
          </w:p>
        </w:tc>
        <w:tc>
          <w:tcPr>
            <w:tcW w:w="1291" w:type="dxa"/>
            <w:vAlign w:val="center"/>
          </w:tcPr>
          <w:p w:rsidR="0047364A" w:rsidRDefault="00100DC2">
            <w:pPr>
              <w:jc w:val="right"/>
            </w:pPr>
            <w:r>
              <w:rPr>
                <w:rFonts w:eastAsiaTheme="minorEastAsia"/>
                <w:color w:val="000000" w:themeColor="text1"/>
                <w:szCs w:val="21"/>
              </w:rPr>
              <w:t>-10.93%</w:t>
            </w:r>
          </w:p>
        </w:tc>
        <w:tc>
          <w:tcPr>
            <w:tcW w:w="1291" w:type="dxa"/>
            <w:vAlign w:val="center"/>
          </w:tcPr>
          <w:p w:rsidR="0047364A" w:rsidRDefault="00100DC2">
            <w:pPr>
              <w:jc w:val="right"/>
            </w:pPr>
            <w:r>
              <w:rPr>
                <w:rFonts w:eastAsiaTheme="minorEastAsia"/>
                <w:color w:val="000000" w:themeColor="text1"/>
                <w:szCs w:val="21"/>
              </w:rPr>
              <w:t>0.96%</w:t>
            </w:r>
          </w:p>
        </w:tc>
        <w:tc>
          <w:tcPr>
            <w:tcW w:w="1291" w:type="dxa"/>
            <w:vAlign w:val="center"/>
          </w:tcPr>
          <w:p w:rsidR="0047364A" w:rsidRDefault="00100DC2">
            <w:pPr>
              <w:jc w:val="right"/>
            </w:pPr>
            <w:r>
              <w:rPr>
                <w:rFonts w:eastAsiaTheme="minorEastAsia"/>
                <w:color w:val="000000" w:themeColor="text1"/>
                <w:szCs w:val="21"/>
              </w:rPr>
              <w:t>-17.20%</w:t>
            </w:r>
          </w:p>
        </w:tc>
        <w:tc>
          <w:tcPr>
            <w:tcW w:w="1291" w:type="dxa"/>
            <w:vAlign w:val="center"/>
          </w:tcPr>
          <w:p w:rsidR="0047364A" w:rsidRDefault="00100DC2">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7364A">
        <w:tc>
          <w:tcPr>
            <w:tcW w:w="952" w:type="dxa"/>
            <w:vAlign w:val="center"/>
          </w:tcPr>
          <w:p w:rsidR="0047364A" w:rsidRDefault="00100DC2">
            <w:pPr>
              <w:jc w:val="center"/>
            </w:pPr>
            <w:r>
              <w:rPr>
                <w:rFonts w:eastAsiaTheme="minorEastAsia"/>
                <w:color w:val="000000" w:themeColor="text1"/>
                <w:szCs w:val="21"/>
              </w:rPr>
              <w:t>倪权生</w:t>
            </w:r>
          </w:p>
        </w:tc>
        <w:tc>
          <w:tcPr>
            <w:tcW w:w="930" w:type="dxa"/>
            <w:vAlign w:val="center"/>
          </w:tcPr>
          <w:p w:rsidR="0047364A" w:rsidRDefault="00100DC2">
            <w:pPr>
              <w:jc w:val="center"/>
            </w:pPr>
            <w:r>
              <w:rPr>
                <w:rFonts w:eastAsiaTheme="minorEastAsia"/>
                <w:color w:val="000000" w:themeColor="text1"/>
                <w:szCs w:val="21"/>
              </w:rPr>
              <w:t>本基金基金经理</w:t>
            </w:r>
          </w:p>
        </w:tc>
        <w:tc>
          <w:tcPr>
            <w:tcW w:w="1210" w:type="dxa"/>
            <w:vAlign w:val="center"/>
          </w:tcPr>
          <w:p w:rsidR="0047364A" w:rsidRDefault="00100DC2">
            <w:pPr>
              <w:jc w:val="center"/>
            </w:pPr>
            <w:r>
              <w:rPr>
                <w:rFonts w:eastAsiaTheme="minorEastAsia"/>
                <w:color w:val="000000" w:themeColor="text1"/>
                <w:szCs w:val="21"/>
              </w:rPr>
              <w:t>2022-01-11</w:t>
            </w:r>
          </w:p>
        </w:tc>
        <w:tc>
          <w:tcPr>
            <w:tcW w:w="1309" w:type="dxa"/>
            <w:vAlign w:val="center"/>
          </w:tcPr>
          <w:p w:rsidR="0047364A" w:rsidRDefault="00100DC2">
            <w:pPr>
              <w:jc w:val="center"/>
            </w:pPr>
            <w:r>
              <w:rPr>
                <w:rFonts w:eastAsiaTheme="minorEastAsia"/>
                <w:color w:val="000000" w:themeColor="text1"/>
                <w:szCs w:val="21"/>
              </w:rPr>
              <w:t>-</w:t>
            </w:r>
          </w:p>
        </w:tc>
        <w:tc>
          <w:tcPr>
            <w:tcW w:w="1254" w:type="dxa"/>
            <w:vAlign w:val="center"/>
          </w:tcPr>
          <w:p w:rsidR="0047364A" w:rsidRDefault="00100DC2">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47364A" w:rsidRDefault="00100DC2">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47364A" w:rsidRDefault="00100D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7364A" w:rsidRDefault="00100D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三季度市场出现较为明显的反转，一方面，各部门提振实体经济和股市的政策持续推出，对于市场信心有了明显提振。另一方面，经过前期的下跌，股票市场的估值已经处于历史低位，无</w:t>
      </w:r>
      <w:r>
        <w:rPr>
          <w:rFonts w:eastAsiaTheme="minorEastAsia"/>
          <w:color w:val="000000" w:themeColor="text1"/>
          <w:szCs w:val="21"/>
        </w:rPr>
        <w:lastRenderedPageBreak/>
        <w:t>论是和历史比较还是和海外市场比较，</w:t>
      </w:r>
      <w:r>
        <w:rPr>
          <w:rFonts w:eastAsiaTheme="minorEastAsia"/>
          <w:color w:val="000000" w:themeColor="text1"/>
          <w:szCs w:val="21"/>
        </w:rPr>
        <w:t>A</w:t>
      </w:r>
      <w:r>
        <w:rPr>
          <w:rFonts w:eastAsiaTheme="minorEastAsia"/>
          <w:color w:val="000000" w:themeColor="text1"/>
          <w:szCs w:val="21"/>
        </w:rPr>
        <w:t>股和港股市场均有显著的估值优势。在经济、金融政策的推动下，三季度末市场止跌回涨，且涨幅较大。</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组合操作层面，我们在布局业绩确定性高的板块的同时，逐步增加估值低位，性价比较高的龙头个股。行业角度来讲，电力设备及新能源仍是组合重配，一部分是今年以来持续配置的电网设备，这部分资产内需和</w:t>
      </w:r>
      <w:r>
        <w:rPr>
          <w:rFonts w:eastAsiaTheme="minorEastAsia"/>
          <w:color w:val="000000" w:themeColor="text1"/>
          <w:szCs w:val="21"/>
        </w:rPr>
        <w:t>出口均有较好需求，另一部分是锂电池、储能等领域的新能源龙头，随着估值的消化，这些龙头公司的估值已经极具性价比。而港股的互联网龙头估值也处于较低位置，随着的经济需求预期的改善，这类资产的估值有望修复。消费电子也是三季度组合增加配置的领域，随着内外需筑底企稳，未来在</w:t>
      </w:r>
      <w:r>
        <w:rPr>
          <w:rFonts w:eastAsiaTheme="minorEastAsia"/>
          <w:color w:val="000000" w:themeColor="text1"/>
          <w:szCs w:val="21"/>
        </w:rPr>
        <w:t>AI</w:t>
      </w:r>
      <w:r>
        <w:rPr>
          <w:rFonts w:eastAsiaTheme="minorEastAsia"/>
          <w:color w:val="000000" w:themeColor="text1"/>
          <w:szCs w:val="21"/>
        </w:rPr>
        <w:t>等创新技术的引入下，消费电子的需求有望抬升，行业内股票的估值又处于较低位置。光模块为代表的算力和造船为代表的机械也是组合内持续保持的配置，看好这些领域在未来一段时间景气度的持续上行。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尽管短期宏观基本面仍显疲软，但随着货币、财政、产业政策等各项政策的陆续推出，股票市场有望提前于经济基本面表现。而从组合管理的角度来说，我们仍然重点基于上市公司的价值判断进行配置，结合对上市公司未来盈利、现金流、资产质量以及估值的角度寻找更有性价比的资产。</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本报告期摩根全景优势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:3.92%</w:t>
      </w:r>
      <w:r>
        <w:rPr>
          <w:rFonts w:eastAsiaTheme="minorEastAsia"/>
          <w:color w:val="000000" w:themeColor="text1"/>
          <w:szCs w:val="21"/>
        </w:rPr>
        <w:t>，同期业绩比较基准收益率为</w:t>
      </w:r>
      <w:r>
        <w:rPr>
          <w:rFonts w:eastAsiaTheme="minorEastAsia"/>
          <w:color w:val="000000" w:themeColor="text1"/>
          <w:szCs w:val="21"/>
        </w:rPr>
        <w:t>:13.29%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摩根全景优势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132,994,920.86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132,994,920.86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22,488,904.34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129,211.73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155,613,036.93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16,832,361.24</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10.96%</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1,954,473.00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95,886,271.02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3,349,123.80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1,221,714.00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6,173,584.20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7,577,393.60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116,162,559.62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75.63</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47364A" w:rsidRDefault="00100DC2">
            <w:pPr>
              <w:jc w:val="center"/>
            </w:pPr>
            <w:r>
              <w:rPr>
                <w:rFonts w:eastAsiaTheme="minorEastAsia"/>
                <w:color w:val="000000" w:themeColor="text1"/>
                <w:szCs w:val="21"/>
              </w:rPr>
              <w:t>713,351.96</w:t>
            </w:r>
          </w:p>
        </w:tc>
        <w:tc>
          <w:tcPr>
            <w:tcW w:w="3118" w:type="dxa"/>
            <w:vAlign w:val="center"/>
          </w:tcPr>
          <w:p w:rsidR="0047364A" w:rsidRDefault="00100DC2">
            <w:pPr>
              <w:jc w:val="center"/>
            </w:pPr>
            <w:r>
              <w:rPr>
                <w:rFonts w:eastAsiaTheme="minorEastAsia"/>
                <w:color w:val="000000" w:themeColor="text1"/>
                <w:szCs w:val="21"/>
              </w:rPr>
              <w:t>0.46</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47364A" w:rsidRDefault="00100DC2">
            <w:pPr>
              <w:jc w:val="center"/>
            </w:pPr>
            <w:r>
              <w:rPr>
                <w:rFonts w:eastAsiaTheme="minorEastAsia"/>
                <w:color w:val="000000" w:themeColor="text1"/>
                <w:szCs w:val="21"/>
              </w:rPr>
              <w:t>4,426,571.48</w:t>
            </w:r>
          </w:p>
        </w:tc>
        <w:tc>
          <w:tcPr>
            <w:tcW w:w="3118" w:type="dxa"/>
            <w:vAlign w:val="center"/>
          </w:tcPr>
          <w:p w:rsidR="0047364A" w:rsidRDefault="00100DC2">
            <w:pPr>
              <w:jc w:val="center"/>
            </w:pPr>
            <w:r>
              <w:rPr>
                <w:rFonts w:eastAsiaTheme="minorEastAsia"/>
                <w:color w:val="000000" w:themeColor="text1"/>
                <w:szCs w:val="21"/>
              </w:rPr>
              <w:t>2.88</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47364A" w:rsidRDefault="00100DC2">
            <w:pPr>
              <w:jc w:val="center"/>
            </w:pPr>
            <w:r>
              <w:rPr>
                <w:rFonts w:eastAsiaTheme="minorEastAsia"/>
                <w:color w:val="000000" w:themeColor="text1"/>
                <w:szCs w:val="21"/>
              </w:rPr>
              <w:t>2,417,992.07</w:t>
            </w:r>
          </w:p>
        </w:tc>
        <w:tc>
          <w:tcPr>
            <w:tcW w:w="3118" w:type="dxa"/>
            <w:vAlign w:val="center"/>
          </w:tcPr>
          <w:p w:rsidR="0047364A" w:rsidRDefault="00100DC2">
            <w:pPr>
              <w:jc w:val="center"/>
            </w:pPr>
            <w:r>
              <w:rPr>
                <w:rFonts w:eastAsiaTheme="minorEastAsia"/>
                <w:color w:val="000000" w:themeColor="text1"/>
                <w:szCs w:val="21"/>
              </w:rPr>
              <w:t>1.57</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47364A" w:rsidRDefault="00100DC2">
            <w:pPr>
              <w:jc w:val="center"/>
            </w:pPr>
            <w:r>
              <w:rPr>
                <w:rFonts w:eastAsiaTheme="minorEastAsia"/>
                <w:color w:val="000000" w:themeColor="text1"/>
                <w:szCs w:val="21"/>
              </w:rPr>
              <w:t>9,274,445.73</w:t>
            </w:r>
          </w:p>
        </w:tc>
        <w:tc>
          <w:tcPr>
            <w:tcW w:w="3118" w:type="dxa"/>
            <w:vAlign w:val="center"/>
          </w:tcPr>
          <w:p w:rsidR="0047364A" w:rsidRDefault="00100DC2">
            <w:pPr>
              <w:jc w:val="center"/>
            </w:pPr>
            <w:r>
              <w:rPr>
                <w:rFonts w:eastAsiaTheme="minorEastAsia"/>
                <w:color w:val="000000" w:themeColor="text1"/>
                <w:szCs w:val="21"/>
              </w:rPr>
              <w:t>6.04</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47364A">
        <w:trPr>
          <w:jc w:val="center"/>
        </w:trPr>
        <w:tc>
          <w:tcPr>
            <w:tcW w:w="2397" w:type="dxa"/>
            <w:vAlign w:val="center"/>
          </w:tcPr>
          <w:p w:rsidR="0047364A" w:rsidRDefault="00100DC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47364A" w:rsidRDefault="00100DC2">
            <w:pPr>
              <w:jc w:val="center"/>
            </w:pPr>
            <w:r>
              <w:rPr>
                <w:rFonts w:eastAsiaTheme="minorEastAsia"/>
                <w:color w:val="000000" w:themeColor="text1"/>
                <w:szCs w:val="21"/>
              </w:rPr>
              <w:t>-</w:t>
            </w:r>
          </w:p>
        </w:tc>
        <w:tc>
          <w:tcPr>
            <w:tcW w:w="3118" w:type="dxa"/>
            <w:vAlign w:val="center"/>
          </w:tcPr>
          <w:p w:rsidR="0047364A" w:rsidRDefault="00100DC2">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16,832,361.24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10.96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7364A">
        <w:tc>
          <w:tcPr>
            <w:tcW w:w="817" w:type="dxa"/>
            <w:vAlign w:val="center"/>
          </w:tcPr>
          <w:p w:rsidR="0047364A" w:rsidRDefault="00100DC2">
            <w:pPr>
              <w:jc w:val="center"/>
            </w:pPr>
            <w:r>
              <w:rPr>
                <w:rFonts w:eastAsiaTheme="minorEastAsia"/>
                <w:kern w:val="0"/>
                <w:szCs w:val="21"/>
              </w:rPr>
              <w:t>1</w:t>
            </w:r>
          </w:p>
        </w:tc>
        <w:tc>
          <w:tcPr>
            <w:tcW w:w="1276" w:type="dxa"/>
            <w:vAlign w:val="center"/>
          </w:tcPr>
          <w:p w:rsidR="0047364A" w:rsidRDefault="00100DC2">
            <w:pPr>
              <w:jc w:val="center"/>
            </w:pPr>
            <w:r>
              <w:rPr>
                <w:rFonts w:eastAsiaTheme="minorEastAsia"/>
                <w:kern w:val="0"/>
                <w:szCs w:val="21"/>
              </w:rPr>
              <w:t>300750</w:t>
            </w:r>
          </w:p>
        </w:tc>
        <w:tc>
          <w:tcPr>
            <w:tcW w:w="1701" w:type="dxa"/>
            <w:vAlign w:val="center"/>
          </w:tcPr>
          <w:p w:rsidR="0047364A" w:rsidRDefault="00100DC2">
            <w:pPr>
              <w:jc w:val="center"/>
            </w:pPr>
            <w:r>
              <w:rPr>
                <w:rFonts w:eastAsiaTheme="minorEastAsia"/>
                <w:kern w:val="0"/>
                <w:szCs w:val="21"/>
              </w:rPr>
              <w:t>宁德时代</w:t>
            </w:r>
          </w:p>
        </w:tc>
        <w:tc>
          <w:tcPr>
            <w:tcW w:w="1276" w:type="dxa"/>
            <w:vAlign w:val="center"/>
          </w:tcPr>
          <w:p w:rsidR="0047364A" w:rsidRDefault="00100DC2">
            <w:pPr>
              <w:jc w:val="right"/>
            </w:pPr>
            <w:r>
              <w:rPr>
                <w:rFonts w:eastAsiaTheme="minorEastAsia"/>
                <w:kern w:val="0"/>
                <w:szCs w:val="21"/>
              </w:rPr>
              <w:t>32,500.00</w:t>
            </w:r>
          </w:p>
        </w:tc>
        <w:tc>
          <w:tcPr>
            <w:tcW w:w="1842" w:type="dxa"/>
            <w:vAlign w:val="center"/>
          </w:tcPr>
          <w:p w:rsidR="0047364A" w:rsidRDefault="00100DC2">
            <w:pPr>
              <w:jc w:val="right"/>
            </w:pPr>
            <w:r>
              <w:rPr>
                <w:rFonts w:eastAsiaTheme="minorEastAsia"/>
                <w:kern w:val="0"/>
                <w:szCs w:val="21"/>
              </w:rPr>
              <w:t>8,186,425.00</w:t>
            </w:r>
          </w:p>
        </w:tc>
        <w:tc>
          <w:tcPr>
            <w:tcW w:w="1616" w:type="dxa"/>
            <w:vAlign w:val="center"/>
          </w:tcPr>
          <w:p w:rsidR="0047364A" w:rsidRDefault="00100DC2">
            <w:pPr>
              <w:jc w:val="right"/>
            </w:pPr>
            <w:r>
              <w:rPr>
                <w:rFonts w:eastAsiaTheme="minorEastAsia"/>
                <w:kern w:val="0"/>
                <w:szCs w:val="21"/>
              </w:rPr>
              <w:t>5.33</w:t>
            </w:r>
          </w:p>
        </w:tc>
      </w:tr>
      <w:tr w:rsidR="0047364A">
        <w:tc>
          <w:tcPr>
            <w:tcW w:w="817" w:type="dxa"/>
            <w:vAlign w:val="center"/>
          </w:tcPr>
          <w:p w:rsidR="0047364A" w:rsidRDefault="00100DC2">
            <w:pPr>
              <w:jc w:val="center"/>
            </w:pPr>
            <w:r>
              <w:rPr>
                <w:rFonts w:eastAsiaTheme="minorEastAsia"/>
                <w:kern w:val="0"/>
                <w:szCs w:val="21"/>
              </w:rPr>
              <w:t>2</w:t>
            </w:r>
          </w:p>
        </w:tc>
        <w:tc>
          <w:tcPr>
            <w:tcW w:w="1276" w:type="dxa"/>
            <w:vAlign w:val="center"/>
          </w:tcPr>
          <w:p w:rsidR="0047364A" w:rsidRDefault="00100DC2">
            <w:pPr>
              <w:jc w:val="center"/>
            </w:pPr>
            <w:r>
              <w:rPr>
                <w:rFonts w:eastAsiaTheme="minorEastAsia"/>
                <w:kern w:val="0"/>
                <w:szCs w:val="21"/>
              </w:rPr>
              <w:t>300274</w:t>
            </w:r>
          </w:p>
        </w:tc>
        <w:tc>
          <w:tcPr>
            <w:tcW w:w="1701" w:type="dxa"/>
            <w:vAlign w:val="center"/>
          </w:tcPr>
          <w:p w:rsidR="0047364A" w:rsidRDefault="00100DC2">
            <w:pPr>
              <w:jc w:val="center"/>
            </w:pPr>
            <w:r>
              <w:rPr>
                <w:rFonts w:eastAsiaTheme="minorEastAsia"/>
                <w:kern w:val="0"/>
                <w:szCs w:val="21"/>
              </w:rPr>
              <w:t>阳光电源</w:t>
            </w:r>
          </w:p>
        </w:tc>
        <w:tc>
          <w:tcPr>
            <w:tcW w:w="1276" w:type="dxa"/>
            <w:vAlign w:val="center"/>
          </w:tcPr>
          <w:p w:rsidR="0047364A" w:rsidRDefault="00100DC2">
            <w:pPr>
              <w:jc w:val="right"/>
            </w:pPr>
            <w:r>
              <w:rPr>
                <w:rFonts w:eastAsiaTheme="minorEastAsia"/>
                <w:kern w:val="0"/>
                <w:szCs w:val="21"/>
              </w:rPr>
              <w:t>55,900.00</w:t>
            </w:r>
          </w:p>
        </w:tc>
        <w:tc>
          <w:tcPr>
            <w:tcW w:w="1842" w:type="dxa"/>
            <w:vAlign w:val="center"/>
          </w:tcPr>
          <w:p w:rsidR="0047364A" w:rsidRDefault="00100DC2">
            <w:pPr>
              <w:jc w:val="right"/>
            </w:pPr>
            <w:r>
              <w:rPr>
                <w:rFonts w:eastAsiaTheme="minorEastAsia"/>
                <w:kern w:val="0"/>
                <w:szCs w:val="21"/>
              </w:rPr>
              <w:t>5,566,522.00</w:t>
            </w:r>
          </w:p>
        </w:tc>
        <w:tc>
          <w:tcPr>
            <w:tcW w:w="1616" w:type="dxa"/>
            <w:vAlign w:val="center"/>
          </w:tcPr>
          <w:p w:rsidR="0047364A" w:rsidRDefault="00100DC2">
            <w:pPr>
              <w:jc w:val="right"/>
            </w:pPr>
            <w:r>
              <w:rPr>
                <w:rFonts w:eastAsiaTheme="minorEastAsia"/>
                <w:kern w:val="0"/>
                <w:szCs w:val="21"/>
              </w:rPr>
              <w:t>3.62</w:t>
            </w:r>
          </w:p>
        </w:tc>
      </w:tr>
      <w:tr w:rsidR="0047364A">
        <w:tc>
          <w:tcPr>
            <w:tcW w:w="817" w:type="dxa"/>
            <w:vAlign w:val="center"/>
          </w:tcPr>
          <w:p w:rsidR="0047364A" w:rsidRDefault="00100DC2">
            <w:pPr>
              <w:jc w:val="center"/>
            </w:pPr>
            <w:r>
              <w:rPr>
                <w:rFonts w:eastAsiaTheme="minorEastAsia"/>
                <w:kern w:val="0"/>
                <w:szCs w:val="21"/>
              </w:rPr>
              <w:t>3</w:t>
            </w:r>
          </w:p>
        </w:tc>
        <w:tc>
          <w:tcPr>
            <w:tcW w:w="1276" w:type="dxa"/>
            <w:vAlign w:val="center"/>
          </w:tcPr>
          <w:p w:rsidR="0047364A" w:rsidRDefault="00100DC2">
            <w:pPr>
              <w:jc w:val="center"/>
            </w:pPr>
            <w:r>
              <w:rPr>
                <w:rFonts w:eastAsiaTheme="minorEastAsia"/>
                <w:kern w:val="0"/>
                <w:szCs w:val="21"/>
              </w:rPr>
              <w:t>688100</w:t>
            </w:r>
          </w:p>
        </w:tc>
        <w:tc>
          <w:tcPr>
            <w:tcW w:w="1701" w:type="dxa"/>
            <w:vAlign w:val="center"/>
          </w:tcPr>
          <w:p w:rsidR="0047364A" w:rsidRDefault="00100DC2">
            <w:pPr>
              <w:jc w:val="center"/>
            </w:pPr>
            <w:r>
              <w:rPr>
                <w:rFonts w:eastAsiaTheme="minorEastAsia"/>
                <w:kern w:val="0"/>
                <w:szCs w:val="21"/>
              </w:rPr>
              <w:t>威胜信息</w:t>
            </w:r>
          </w:p>
        </w:tc>
        <w:tc>
          <w:tcPr>
            <w:tcW w:w="1276" w:type="dxa"/>
            <w:vAlign w:val="center"/>
          </w:tcPr>
          <w:p w:rsidR="0047364A" w:rsidRDefault="00100DC2">
            <w:pPr>
              <w:jc w:val="right"/>
            </w:pPr>
            <w:r>
              <w:rPr>
                <w:rFonts w:eastAsiaTheme="minorEastAsia"/>
                <w:kern w:val="0"/>
                <w:szCs w:val="21"/>
              </w:rPr>
              <w:t>108,242.00</w:t>
            </w:r>
          </w:p>
        </w:tc>
        <w:tc>
          <w:tcPr>
            <w:tcW w:w="1842" w:type="dxa"/>
            <w:vAlign w:val="center"/>
          </w:tcPr>
          <w:p w:rsidR="0047364A" w:rsidRDefault="00100DC2">
            <w:pPr>
              <w:jc w:val="right"/>
            </w:pPr>
            <w:r>
              <w:rPr>
                <w:rFonts w:eastAsiaTheme="minorEastAsia"/>
                <w:kern w:val="0"/>
                <w:szCs w:val="21"/>
              </w:rPr>
              <w:t>4,784,296.40</w:t>
            </w:r>
          </w:p>
        </w:tc>
        <w:tc>
          <w:tcPr>
            <w:tcW w:w="1616" w:type="dxa"/>
            <w:vAlign w:val="center"/>
          </w:tcPr>
          <w:p w:rsidR="0047364A" w:rsidRDefault="00100DC2">
            <w:pPr>
              <w:jc w:val="right"/>
            </w:pPr>
            <w:r>
              <w:rPr>
                <w:rFonts w:eastAsiaTheme="minorEastAsia"/>
                <w:kern w:val="0"/>
                <w:szCs w:val="21"/>
              </w:rPr>
              <w:t>3.12</w:t>
            </w:r>
          </w:p>
        </w:tc>
      </w:tr>
      <w:tr w:rsidR="0047364A">
        <w:tc>
          <w:tcPr>
            <w:tcW w:w="817" w:type="dxa"/>
            <w:vAlign w:val="center"/>
          </w:tcPr>
          <w:p w:rsidR="0047364A" w:rsidRDefault="00100DC2">
            <w:pPr>
              <w:jc w:val="center"/>
            </w:pPr>
            <w:r>
              <w:rPr>
                <w:rFonts w:eastAsiaTheme="minorEastAsia"/>
                <w:kern w:val="0"/>
                <w:szCs w:val="21"/>
              </w:rPr>
              <w:t>4</w:t>
            </w:r>
          </w:p>
        </w:tc>
        <w:tc>
          <w:tcPr>
            <w:tcW w:w="1276" w:type="dxa"/>
            <w:vAlign w:val="center"/>
          </w:tcPr>
          <w:p w:rsidR="0047364A" w:rsidRDefault="00100DC2">
            <w:pPr>
              <w:jc w:val="center"/>
            </w:pPr>
            <w:r>
              <w:rPr>
                <w:rFonts w:eastAsiaTheme="minorEastAsia"/>
                <w:kern w:val="0"/>
                <w:szCs w:val="21"/>
              </w:rPr>
              <w:t>000651</w:t>
            </w:r>
          </w:p>
        </w:tc>
        <w:tc>
          <w:tcPr>
            <w:tcW w:w="1701" w:type="dxa"/>
            <w:vAlign w:val="center"/>
          </w:tcPr>
          <w:p w:rsidR="0047364A" w:rsidRDefault="00100DC2">
            <w:pPr>
              <w:jc w:val="center"/>
            </w:pPr>
            <w:r>
              <w:rPr>
                <w:rFonts w:eastAsiaTheme="minorEastAsia"/>
                <w:kern w:val="0"/>
                <w:szCs w:val="21"/>
              </w:rPr>
              <w:t>格力电器</w:t>
            </w:r>
          </w:p>
        </w:tc>
        <w:tc>
          <w:tcPr>
            <w:tcW w:w="1276" w:type="dxa"/>
            <w:vAlign w:val="center"/>
          </w:tcPr>
          <w:p w:rsidR="0047364A" w:rsidRDefault="00100DC2">
            <w:pPr>
              <w:jc w:val="right"/>
            </w:pPr>
            <w:r>
              <w:rPr>
                <w:rFonts w:eastAsiaTheme="minorEastAsia"/>
                <w:kern w:val="0"/>
                <w:szCs w:val="21"/>
              </w:rPr>
              <w:t>98,000.00</w:t>
            </w:r>
          </w:p>
        </w:tc>
        <w:tc>
          <w:tcPr>
            <w:tcW w:w="1842" w:type="dxa"/>
            <w:vAlign w:val="center"/>
          </w:tcPr>
          <w:p w:rsidR="0047364A" w:rsidRDefault="00100DC2">
            <w:pPr>
              <w:jc w:val="right"/>
            </w:pPr>
            <w:r>
              <w:rPr>
                <w:rFonts w:eastAsiaTheme="minorEastAsia"/>
                <w:kern w:val="0"/>
                <w:szCs w:val="21"/>
              </w:rPr>
              <w:t>4,698,120.00</w:t>
            </w:r>
          </w:p>
        </w:tc>
        <w:tc>
          <w:tcPr>
            <w:tcW w:w="1616" w:type="dxa"/>
            <w:vAlign w:val="center"/>
          </w:tcPr>
          <w:p w:rsidR="0047364A" w:rsidRDefault="00100DC2">
            <w:pPr>
              <w:jc w:val="right"/>
            </w:pPr>
            <w:r>
              <w:rPr>
                <w:rFonts w:eastAsiaTheme="minorEastAsia"/>
                <w:kern w:val="0"/>
                <w:szCs w:val="21"/>
              </w:rPr>
              <w:t>3.06</w:t>
            </w:r>
          </w:p>
        </w:tc>
      </w:tr>
      <w:tr w:rsidR="0047364A">
        <w:tc>
          <w:tcPr>
            <w:tcW w:w="817" w:type="dxa"/>
            <w:vAlign w:val="center"/>
          </w:tcPr>
          <w:p w:rsidR="0047364A" w:rsidRDefault="00100DC2">
            <w:pPr>
              <w:jc w:val="center"/>
            </w:pPr>
            <w:r>
              <w:rPr>
                <w:rFonts w:eastAsiaTheme="minorEastAsia"/>
                <w:kern w:val="0"/>
                <w:szCs w:val="21"/>
              </w:rPr>
              <w:t>5</w:t>
            </w:r>
          </w:p>
        </w:tc>
        <w:tc>
          <w:tcPr>
            <w:tcW w:w="1276" w:type="dxa"/>
            <w:vAlign w:val="center"/>
          </w:tcPr>
          <w:p w:rsidR="0047364A" w:rsidRDefault="00100DC2">
            <w:pPr>
              <w:jc w:val="center"/>
            </w:pPr>
            <w:r>
              <w:rPr>
                <w:rFonts w:eastAsiaTheme="minorEastAsia"/>
                <w:kern w:val="0"/>
                <w:szCs w:val="21"/>
              </w:rPr>
              <w:t>002384</w:t>
            </w:r>
          </w:p>
        </w:tc>
        <w:tc>
          <w:tcPr>
            <w:tcW w:w="1701" w:type="dxa"/>
            <w:vAlign w:val="center"/>
          </w:tcPr>
          <w:p w:rsidR="0047364A" w:rsidRDefault="00100DC2">
            <w:pPr>
              <w:jc w:val="center"/>
            </w:pPr>
            <w:r>
              <w:rPr>
                <w:rFonts w:eastAsiaTheme="minorEastAsia"/>
                <w:kern w:val="0"/>
                <w:szCs w:val="21"/>
              </w:rPr>
              <w:t>东山精密</w:t>
            </w:r>
          </w:p>
        </w:tc>
        <w:tc>
          <w:tcPr>
            <w:tcW w:w="1276" w:type="dxa"/>
            <w:vAlign w:val="center"/>
          </w:tcPr>
          <w:p w:rsidR="0047364A" w:rsidRDefault="00100DC2">
            <w:pPr>
              <w:jc w:val="right"/>
            </w:pPr>
            <w:r>
              <w:rPr>
                <w:rFonts w:eastAsiaTheme="minorEastAsia"/>
                <w:kern w:val="0"/>
                <w:szCs w:val="21"/>
              </w:rPr>
              <w:t>191,100.00</w:t>
            </w:r>
          </w:p>
        </w:tc>
        <w:tc>
          <w:tcPr>
            <w:tcW w:w="1842" w:type="dxa"/>
            <w:vAlign w:val="center"/>
          </w:tcPr>
          <w:p w:rsidR="0047364A" w:rsidRDefault="00100DC2">
            <w:pPr>
              <w:jc w:val="right"/>
            </w:pPr>
            <w:r>
              <w:rPr>
                <w:rFonts w:eastAsiaTheme="minorEastAsia"/>
                <w:kern w:val="0"/>
                <w:szCs w:val="21"/>
              </w:rPr>
              <w:t>4,498,494.00</w:t>
            </w:r>
          </w:p>
        </w:tc>
        <w:tc>
          <w:tcPr>
            <w:tcW w:w="1616" w:type="dxa"/>
            <w:vAlign w:val="center"/>
          </w:tcPr>
          <w:p w:rsidR="0047364A" w:rsidRDefault="00100DC2">
            <w:pPr>
              <w:jc w:val="right"/>
            </w:pPr>
            <w:r>
              <w:rPr>
                <w:rFonts w:eastAsiaTheme="minorEastAsia"/>
                <w:kern w:val="0"/>
                <w:szCs w:val="21"/>
              </w:rPr>
              <w:t>2.93</w:t>
            </w:r>
          </w:p>
        </w:tc>
      </w:tr>
      <w:tr w:rsidR="0047364A">
        <w:tc>
          <w:tcPr>
            <w:tcW w:w="817" w:type="dxa"/>
            <w:vAlign w:val="center"/>
          </w:tcPr>
          <w:p w:rsidR="0047364A" w:rsidRDefault="00100DC2">
            <w:pPr>
              <w:jc w:val="center"/>
            </w:pPr>
            <w:r>
              <w:rPr>
                <w:rFonts w:eastAsiaTheme="minorEastAsia"/>
                <w:kern w:val="0"/>
                <w:szCs w:val="21"/>
              </w:rPr>
              <w:t>6</w:t>
            </w:r>
          </w:p>
        </w:tc>
        <w:tc>
          <w:tcPr>
            <w:tcW w:w="1276" w:type="dxa"/>
            <w:vAlign w:val="center"/>
          </w:tcPr>
          <w:p w:rsidR="0047364A" w:rsidRDefault="00100DC2">
            <w:pPr>
              <w:jc w:val="center"/>
            </w:pPr>
            <w:r>
              <w:rPr>
                <w:rFonts w:eastAsiaTheme="minorEastAsia"/>
                <w:kern w:val="0"/>
                <w:szCs w:val="21"/>
              </w:rPr>
              <w:t>300308</w:t>
            </w:r>
          </w:p>
        </w:tc>
        <w:tc>
          <w:tcPr>
            <w:tcW w:w="1701" w:type="dxa"/>
            <w:vAlign w:val="center"/>
          </w:tcPr>
          <w:p w:rsidR="0047364A" w:rsidRDefault="00100DC2">
            <w:pPr>
              <w:jc w:val="center"/>
            </w:pPr>
            <w:r>
              <w:rPr>
                <w:rFonts w:eastAsiaTheme="minorEastAsia"/>
                <w:kern w:val="0"/>
                <w:szCs w:val="21"/>
              </w:rPr>
              <w:t>中际旭创</w:t>
            </w:r>
          </w:p>
        </w:tc>
        <w:tc>
          <w:tcPr>
            <w:tcW w:w="1276" w:type="dxa"/>
            <w:vAlign w:val="center"/>
          </w:tcPr>
          <w:p w:rsidR="0047364A" w:rsidRDefault="00100DC2">
            <w:pPr>
              <w:jc w:val="right"/>
            </w:pPr>
            <w:r>
              <w:rPr>
                <w:rFonts w:eastAsiaTheme="minorEastAsia"/>
                <w:kern w:val="0"/>
                <w:szCs w:val="21"/>
              </w:rPr>
              <w:t>28,076.00</w:t>
            </w:r>
          </w:p>
        </w:tc>
        <w:tc>
          <w:tcPr>
            <w:tcW w:w="1842" w:type="dxa"/>
            <w:vAlign w:val="center"/>
          </w:tcPr>
          <w:p w:rsidR="0047364A" w:rsidRDefault="00100DC2">
            <w:pPr>
              <w:jc w:val="right"/>
            </w:pPr>
            <w:r>
              <w:rPr>
                <w:rFonts w:eastAsiaTheme="minorEastAsia"/>
                <w:kern w:val="0"/>
                <w:szCs w:val="21"/>
              </w:rPr>
              <w:t>4,347,849.36</w:t>
            </w:r>
          </w:p>
        </w:tc>
        <w:tc>
          <w:tcPr>
            <w:tcW w:w="1616" w:type="dxa"/>
            <w:vAlign w:val="center"/>
          </w:tcPr>
          <w:p w:rsidR="0047364A" w:rsidRDefault="00100DC2">
            <w:pPr>
              <w:jc w:val="right"/>
            </w:pPr>
            <w:r>
              <w:rPr>
                <w:rFonts w:eastAsiaTheme="minorEastAsia"/>
                <w:kern w:val="0"/>
                <w:szCs w:val="21"/>
              </w:rPr>
              <w:t>2.83</w:t>
            </w:r>
          </w:p>
        </w:tc>
      </w:tr>
      <w:tr w:rsidR="0047364A">
        <w:tc>
          <w:tcPr>
            <w:tcW w:w="817" w:type="dxa"/>
            <w:vAlign w:val="center"/>
          </w:tcPr>
          <w:p w:rsidR="0047364A" w:rsidRDefault="00100DC2">
            <w:pPr>
              <w:jc w:val="center"/>
            </w:pPr>
            <w:r>
              <w:rPr>
                <w:rFonts w:eastAsiaTheme="minorEastAsia"/>
                <w:kern w:val="0"/>
                <w:szCs w:val="21"/>
              </w:rPr>
              <w:t>7</w:t>
            </w:r>
          </w:p>
        </w:tc>
        <w:tc>
          <w:tcPr>
            <w:tcW w:w="1276" w:type="dxa"/>
            <w:vAlign w:val="center"/>
          </w:tcPr>
          <w:p w:rsidR="0047364A" w:rsidRDefault="00100DC2">
            <w:pPr>
              <w:jc w:val="center"/>
            </w:pPr>
            <w:r>
              <w:rPr>
                <w:rFonts w:eastAsiaTheme="minorEastAsia"/>
                <w:kern w:val="0"/>
                <w:szCs w:val="21"/>
              </w:rPr>
              <w:t>00941</w:t>
            </w:r>
          </w:p>
        </w:tc>
        <w:tc>
          <w:tcPr>
            <w:tcW w:w="1701" w:type="dxa"/>
            <w:vAlign w:val="center"/>
          </w:tcPr>
          <w:p w:rsidR="0047364A" w:rsidRDefault="00100DC2">
            <w:pPr>
              <w:jc w:val="center"/>
            </w:pPr>
            <w:r>
              <w:rPr>
                <w:rFonts w:eastAsiaTheme="minorEastAsia"/>
                <w:kern w:val="0"/>
                <w:szCs w:val="21"/>
              </w:rPr>
              <w:t>中国移动</w:t>
            </w:r>
          </w:p>
        </w:tc>
        <w:tc>
          <w:tcPr>
            <w:tcW w:w="1276" w:type="dxa"/>
            <w:vAlign w:val="center"/>
          </w:tcPr>
          <w:p w:rsidR="0047364A" w:rsidRDefault="00100DC2">
            <w:pPr>
              <w:jc w:val="right"/>
            </w:pPr>
            <w:r>
              <w:rPr>
                <w:rFonts w:eastAsiaTheme="minorEastAsia"/>
                <w:kern w:val="0"/>
                <w:szCs w:val="21"/>
              </w:rPr>
              <w:t>62,500.00</w:t>
            </w:r>
          </w:p>
        </w:tc>
        <w:tc>
          <w:tcPr>
            <w:tcW w:w="1842" w:type="dxa"/>
            <w:vAlign w:val="center"/>
          </w:tcPr>
          <w:p w:rsidR="0047364A" w:rsidRDefault="00100DC2">
            <w:pPr>
              <w:jc w:val="right"/>
            </w:pPr>
            <w:r>
              <w:rPr>
                <w:rFonts w:eastAsiaTheme="minorEastAsia"/>
                <w:kern w:val="0"/>
                <w:szCs w:val="21"/>
              </w:rPr>
              <w:t>4,139,779.72</w:t>
            </w:r>
          </w:p>
        </w:tc>
        <w:tc>
          <w:tcPr>
            <w:tcW w:w="1616" w:type="dxa"/>
            <w:vAlign w:val="center"/>
          </w:tcPr>
          <w:p w:rsidR="0047364A" w:rsidRDefault="00100DC2">
            <w:pPr>
              <w:jc w:val="right"/>
            </w:pPr>
            <w:r>
              <w:rPr>
                <w:rFonts w:eastAsiaTheme="minorEastAsia"/>
                <w:kern w:val="0"/>
                <w:szCs w:val="21"/>
              </w:rPr>
              <w:t>2.70</w:t>
            </w:r>
          </w:p>
        </w:tc>
      </w:tr>
      <w:tr w:rsidR="0047364A">
        <w:tc>
          <w:tcPr>
            <w:tcW w:w="817" w:type="dxa"/>
            <w:vAlign w:val="center"/>
          </w:tcPr>
          <w:p w:rsidR="0047364A" w:rsidRDefault="00100DC2">
            <w:pPr>
              <w:jc w:val="center"/>
            </w:pPr>
            <w:r>
              <w:rPr>
                <w:rFonts w:eastAsiaTheme="minorEastAsia"/>
                <w:kern w:val="0"/>
                <w:szCs w:val="21"/>
              </w:rPr>
              <w:t>8</w:t>
            </w:r>
          </w:p>
        </w:tc>
        <w:tc>
          <w:tcPr>
            <w:tcW w:w="1276" w:type="dxa"/>
            <w:vAlign w:val="center"/>
          </w:tcPr>
          <w:p w:rsidR="0047364A" w:rsidRDefault="00100DC2">
            <w:pPr>
              <w:jc w:val="center"/>
            </w:pPr>
            <w:r>
              <w:rPr>
                <w:rFonts w:eastAsiaTheme="minorEastAsia"/>
                <w:kern w:val="0"/>
                <w:szCs w:val="21"/>
              </w:rPr>
              <w:t>600096</w:t>
            </w:r>
          </w:p>
        </w:tc>
        <w:tc>
          <w:tcPr>
            <w:tcW w:w="1701" w:type="dxa"/>
            <w:vAlign w:val="center"/>
          </w:tcPr>
          <w:p w:rsidR="0047364A" w:rsidRDefault="00100DC2">
            <w:pPr>
              <w:jc w:val="center"/>
            </w:pPr>
            <w:r>
              <w:rPr>
                <w:rFonts w:eastAsiaTheme="minorEastAsia"/>
                <w:kern w:val="0"/>
                <w:szCs w:val="21"/>
              </w:rPr>
              <w:t>云天化</w:t>
            </w:r>
          </w:p>
        </w:tc>
        <w:tc>
          <w:tcPr>
            <w:tcW w:w="1276" w:type="dxa"/>
            <w:vAlign w:val="center"/>
          </w:tcPr>
          <w:p w:rsidR="0047364A" w:rsidRDefault="00100DC2">
            <w:pPr>
              <w:jc w:val="right"/>
            </w:pPr>
            <w:r>
              <w:rPr>
                <w:rFonts w:eastAsiaTheme="minorEastAsia"/>
                <w:kern w:val="0"/>
                <w:szCs w:val="21"/>
              </w:rPr>
              <w:t>171,600.00</w:t>
            </w:r>
          </w:p>
        </w:tc>
        <w:tc>
          <w:tcPr>
            <w:tcW w:w="1842" w:type="dxa"/>
            <w:vAlign w:val="center"/>
          </w:tcPr>
          <w:p w:rsidR="0047364A" w:rsidRDefault="00100DC2">
            <w:pPr>
              <w:jc w:val="right"/>
            </w:pPr>
            <w:r>
              <w:rPr>
                <w:rFonts w:eastAsiaTheme="minorEastAsia"/>
                <w:kern w:val="0"/>
                <w:szCs w:val="21"/>
              </w:rPr>
              <w:t>3,883,308.00</w:t>
            </w:r>
          </w:p>
        </w:tc>
        <w:tc>
          <w:tcPr>
            <w:tcW w:w="1616" w:type="dxa"/>
            <w:vAlign w:val="center"/>
          </w:tcPr>
          <w:p w:rsidR="0047364A" w:rsidRDefault="00100DC2">
            <w:pPr>
              <w:jc w:val="right"/>
            </w:pPr>
            <w:r>
              <w:rPr>
                <w:rFonts w:eastAsiaTheme="minorEastAsia"/>
                <w:kern w:val="0"/>
                <w:szCs w:val="21"/>
              </w:rPr>
              <w:t>2.53</w:t>
            </w:r>
          </w:p>
        </w:tc>
      </w:tr>
      <w:tr w:rsidR="0047364A">
        <w:tc>
          <w:tcPr>
            <w:tcW w:w="817" w:type="dxa"/>
            <w:vAlign w:val="center"/>
          </w:tcPr>
          <w:p w:rsidR="0047364A" w:rsidRDefault="00100DC2">
            <w:pPr>
              <w:jc w:val="center"/>
            </w:pPr>
            <w:r>
              <w:rPr>
                <w:rFonts w:eastAsiaTheme="minorEastAsia"/>
                <w:kern w:val="0"/>
                <w:szCs w:val="21"/>
              </w:rPr>
              <w:t>9</w:t>
            </w:r>
          </w:p>
        </w:tc>
        <w:tc>
          <w:tcPr>
            <w:tcW w:w="1276" w:type="dxa"/>
            <w:vAlign w:val="center"/>
          </w:tcPr>
          <w:p w:rsidR="0047364A" w:rsidRDefault="00100DC2">
            <w:pPr>
              <w:jc w:val="center"/>
            </w:pPr>
            <w:r>
              <w:rPr>
                <w:rFonts w:eastAsiaTheme="minorEastAsia"/>
                <w:kern w:val="0"/>
                <w:szCs w:val="21"/>
              </w:rPr>
              <w:t>000400</w:t>
            </w:r>
          </w:p>
        </w:tc>
        <w:tc>
          <w:tcPr>
            <w:tcW w:w="1701" w:type="dxa"/>
            <w:vAlign w:val="center"/>
          </w:tcPr>
          <w:p w:rsidR="0047364A" w:rsidRDefault="00100DC2">
            <w:pPr>
              <w:jc w:val="center"/>
            </w:pPr>
            <w:r>
              <w:rPr>
                <w:rFonts w:eastAsiaTheme="minorEastAsia"/>
                <w:kern w:val="0"/>
                <w:szCs w:val="21"/>
              </w:rPr>
              <w:t>许继电气</w:t>
            </w:r>
          </w:p>
        </w:tc>
        <w:tc>
          <w:tcPr>
            <w:tcW w:w="1276" w:type="dxa"/>
            <w:vAlign w:val="center"/>
          </w:tcPr>
          <w:p w:rsidR="0047364A" w:rsidRDefault="00100DC2">
            <w:pPr>
              <w:jc w:val="right"/>
            </w:pPr>
            <w:r>
              <w:rPr>
                <w:rFonts w:eastAsiaTheme="minorEastAsia"/>
                <w:kern w:val="0"/>
                <w:szCs w:val="21"/>
              </w:rPr>
              <w:t>113,028.00</w:t>
            </w:r>
          </w:p>
        </w:tc>
        <w:tc>
          <w:tcPr>
            <w:tcW w:w="1842" w:type="dxa"/>
            <w:vAlign w:val="center"/>
          </w:tcPr>
          <w:p w:rsidR="0047364A" w:rsidRDefault="00100DC2">
            <w:pPr>
              <w:jc w:val="right"/>
            </w:pPr>
            <w:r>
              <w:rPr>
                <w:rFonts w:eastAsiaTheme="minorEastAsia"/>
                <w:kern w:val="0"/>
                <w:szCs w:val="21"/>
              </w:rPr>
              <w:t>3,864,427.32</w:t>
            </w:r>
          </w:p>
        </w:tc>
        <w:tc>
          <w:tcPr>
            <w:tcW w:w="1616" w:type="dxa"/>
            <w:vAlign w:val="center"/>
          </w:tcPr>
          <w:p w:rsidR="0047364A" w:rsidRDefault="00100DC2">
            <w:pPr>
              <w:jc w:val="right"/>
            </w:pPr>
            <w:r>
              <w:rPr>
                <w:rFonts w:eastAsiaTheme="minorEastAsia"/>
                <w:kern w:val="0"/>
                <w:szCs w:val="21"/>
              </w:rPr>
              <w:t>2.52</w:t>
            </w:r>
          </w:p>
        </w:tc>
      </w:tr>
      <w:tr w:rsidR="0047364A">
        <w:tc>
          <w:tcPr>
            <w:tcW w:w="817" w:type="dxa"/>
            <w:vAlign w:val="center"/>
          </w:tcPr>
          <w:p w:rsidR="0047364A" w:rsidRDefault="00100DC2">
            <w:pPr>
              <w:jc w:val="center"/>
            </w:pPr>
            <w:r>
              <w:rPr>
                <w:rFonts w:eastAsiaTheme="minorEastAsia"/>
                <w:kern w:val="0"/>
                <w:szCs w:val="21"/>
              </w:rPr>
              <w:t>10</w:t>
            </w:r>
          </w:p>
        </w:tc>
        <w:tc>
          <w:tcPr>
            <w:tcW w:w="1276" w:type="dxa"/>
            <w:vAlign w:val="center"/>
          </w:tcPr>
          <w:p w:rsidR="0047364A" w:rsidRDefault="00100DC2">
            <w:pPr>
              <w:jc w:val="center"/>
            </w:pPr>
            <w:r>
              <w:rPr>
                <w:rFonts w:eastAsiaTheme="minorEastAsia"/>
                <w:kern w:val="0"/>
                <w:szCs w:val="21"/>
              </w:rPr>
              <w:t>600150</w:t>
            </w:r>
          </w:p>
        </w:tc>
        <w:tc>
          <w:tcPr>
            <w:tcW w:w="1701" w:type="dxa"/>
            <w:vAlign w:val="center"/>
          </w:tcPr>
          <w:p w:rsidR="0047364A" w:rsidRDefault="00100DC2">
            <w:pPr>
              <w:jc w:val="center"/>
            </w:pPr>
            <w:r>
              <w:rPr>
                <w:rFonts w:eastAsiaTheme="minorEastAsia"/>
                <w:kern w:val="0"/>
                <w:szCs w:val="21"/>
              </w:rPr>
              <w:t>中国船舶</w:t>
            </w:r>
          </w:p>
        </w:tc>
        <w:tc>
          <w:tcPr>
            <w:tcW w:w="1276" w:type="dxa"/>
            <w:vAlign w:val="center"/>
          </w:tcPr>
          <w:p w:rsidR="0047364A" w:rsidRDefault="00100DC2">
            <w:pPr>
              <w:jc w:val="right"/>
            </w:pPr>
            <w:r>
              <w:rPr>
                <w:rFonts w:eastAsiaTheme="minorEastAsia"/>
                <w:kern w:val="0"/>
                <w:szCs w:val="21"/>
              </w:rPr>
              <w:t>90,760.00</w:t>
            </w:r>
          </w:p>
        </w:tc>
        <w:tc>
          <w:tcPr>
            <w:tcW w:w="1842" w:type="dxa"/>
            <w:vAlign w:val="center"/>
          </w:tcPr>
          <w:p w:rsidR="0047364A" w:rsidRDefault="00100DC2">
            <w:pPr>
              <w:jc w:val="right"/>
            </w:pPr>
            <w:r>
              <w:rPr>
                <w:rFonts w:eastAsiaTheme="minorEastAsia"/>
                <w:kern w:val="0"/>
                <w:szCs w:val="21"/>
              </w:rPr>
              <w:t>3,791,045.20</w:t>
            </w:r>
          </w:p>
        </w:tc>
        <w:tc>
          <w:tcPr>
            <w:tcW w:w="1616" w:type="dxa"/>
            <w:vAlign w:val="center"/>
          </w:tcPr>
          <w:p w:rsidR="0047364A" w:rsidRDefault="00100DC2">
            <w:pPr>
              <w:jc w:val="right"/>
            </w:pPr>
            <w:r>
              <w:rPr>
                <w:rFonts w:eastAsiaTheme="minorEastAsia"/>
                <w:kern w:val="0"/>
                <w:szCs w:val="21"/>
              </w:rPr>
              <w:t>2.47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50,100.51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16,907.78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28,671.36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33,532.08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129,211.73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210,332,421.20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11,310,338.12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283,199.08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88,588.77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10,661,827.07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389,331.06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199,953,793.21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11,009,595.83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7364A" w:rsidRDefault="00100D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00DC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00DC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00DC2">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摩根全景优势股票型证券投资基金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0DC2"/>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7364A"/>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F8277-98D7-44D6-9F91-D852084D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1189</Words>
  <Characters>6782</Characters>
  <Application>Microsoft Office Word</Application>
  <DocSecurity>0</DocSecurity>
  <Lines>56</Lines>
  <Paragraphs>15</Paragraphs>
  <ScaleCrop>false</ScaleCrop>
  <Company>TRT. Ltd. Co.</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