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摩根全景优势股票型证券投资基金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报告送出日期：二〇二三年四月二十一日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CA0174" w:rsidRDefault="00C1092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CA0174" w:rsidRDefault="00C1092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CA0174" w:rsidRDefault="00C1092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CA0174" w:rsidRDefault="00C1092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CA0174" w:rsidRDefault="00C1092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摩根全景优势股票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013899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2022</w:t>
            </w:r>
            <w:r w:rsidRPr="00B27A29">
              <w:rPr>
                <w:rFonts w:eastAsiaTheme="minorEastAsia"/>
                <w:color w:val="000000" w:themeColor="text1"/>
                <w:kern w:val="0"/>
                <w:szCs w:val="21"/>
              </w:rPr>
              <w:t>年</w:t>
            </w:r>
            <w:r w:rsidRPr="00B27A29">
              <w:rPr>
                <w:rFonts w:eastAsiaTheme="minorEastAsia"/>
                <w:color w:val="000000" w:themeColor="text1"/>
                <w:kern w:val="0"/>
                <w:szCs w:val="21"/>
              </w:rPr>
              <w:t>1</w:t>
            </w:r>
            <w:r w:rsidRPr="00B27A29">
              <w:rPr>
                <w:rFonts w:eastAsiaTheme="minorEastAsia"/>
                <w:color w:val="000000" w:themeColor="text1"/>
                <w:kern w:val="0"/>
                <w:szCs w:val="21"/>
              </w:rPr>
              <w:t>月</w:t>
            </w:r>
            <w:r w:rsidRPr="00B27A29">
              <w:rPr>
                <w:rFonts w:eastAsiaTheme="minorEastAsia"/>
                <w:color w:val="000000" w:themeColor="text1"/>
                <w:kern w:val="0"/>
                <w:szCs w:val="21"/>
              </w:rPr>
              <w:t>11</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278,585,281.03</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在严格的风险控制的前提下，采用定性与定量的分析，自上而下进行宏观分析和行业配置，自下而上精选个股，力争实现基金资产的长期增值。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CA0174" w:rsidRDefault="00C1092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本基金将采用自上而下与自下而上相结合的投资策略，全景布局</w:t>
            </w:r>
            <w:r>
              <w:rPr>
                <w:rFonts w:eastAsiaTheme="minorEastAsia"/>
                <w:color w:val="000000" w:themeColor="text1"/>
                <w:kern w:val="0"/>
                <w:szCs w:val="21"/>
              </w:rPr>
              <w:t>A</w:t>
            </w:r>
            <w:r>
              <w:rPr>
                <w:rFonts w:eastAsiaTheme="minorEastAsia"/>
                <w:color w:val="000000" w:themeColor="text1"/>
                <w:kern w:val="0"/>
                <w:szCs w:val="21"/>
              </w:rPr>
              <w:t>股及港股两地市场，挖掘并灵活投资于最具有投资价值的上市公司，通过行业配置与个股选择，获取超越业绩比较基准的超额收益。</w:t>
            </w:r>
          </w:p>
          <w:p w:rsidR="00CA0174" w:rsidRDefault="00C1092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资产配置策略</w:t>
            </w:r>
            <w:r>
              <w:rPr>
                <w:rFonts w:eastAsiaTheme="minorEastAsia"/>
                <w:color w:val="000000" w:themeColor="text1"/>
                <w:kern w:val="0"/>
                <w:szCs w:val="21"/>
              </w:rPr>
              <w:t xml:space="preserve"> </w:t>
            </w:r>
          </w:p>
          <w:p w:rsidR="00CA0174" w:rsidRDefault="00C1092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w:t>
            </w:r>
            <w:r>
              <w:rPr>
                <w:rFonts w:eastAsiaTheme="minorEastAsia"/>
                <w:color w:val="000000" w:themeColor="text1"/>
                <w:kern w:val="0"/>
                <w:szCs w:val="21"/>
              </w:rPr>
              <w:lastRenderedPageBreak/>
              <w:t>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在控制风险的前提下，本基金将优先配置股票资产，本基金股票资产占基金资产的投资比例为</w:t>
            </w:r>
            <w:r>
              <w:rPr>
                <w:rFonts w:eastAsiaTheme="minorEastAsia"/>
                <w:color w:val="000000" w:themeColor="text1"/>
                <w:kern w:val="0"/>
                <w:szCs w:val="21"/>
              </w:rPr>
              <w:t>80%-95%</w:t>
            </w:r>
            <w:r>
              <w:rPr>
                <w:rFonts w:eastAsiaTheme="minorEastAsia"/>
                <w:color w:val="000000" w:themeColor="text1"/>
                <w:kern w:val="0"/>
                <w:szCs w:val="21"/>
              </w:rPr>
              <w:t>，其中港股通标的股票的投资比例不超过股票资产的</w:t>
            </w:r>
            <w:r>
              <w:rPr>
                <w:rFonts w:eastAsiaTheme="minorEastAsia"/>
                <w:color w:val="000000" w:themeColor="text1"/>
                <w:kern w:val="0"/>
                <w:szCs w:val="21"/>
              </w:rPr>
              <w:t>50%</w:t>
            </w:r>
            <w:r>
              <w:rPr>
                <w:rFonts w:eastAsiaTheme="minorEastAsia"/>
                <w:color w:val="000000" w:themeColor="text1"/>
                <w:kern w:val="0"/>
                <w:szCs w:val="21"/>
              </w:rPr>
              <w:t>。</w:t>
            </w:r>
          </w:p>
          <w:p w:rsidR="00CA0174" w:rsidRDefault="00C1092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股票投资策略</w:t>
            </w:r>
            <w:r>
              <w:rPr>
                <w:rFonts w:eastAsiaTheme="minorEastAsia"/>
                <w:color w:val="000000" w:themeColor="text1"/>
                <w:kern w:val="0"/>
                <w:szCs w:val="21"/>
              </w:rPr>
              <w:t xml:space="preserve"> </w:t>
            </w:r>
          </w:p>
          <w:p w:rsidR="00CA0174" w:rsidRDefault="00C1092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依托基金管理人的研究平台，自上而下形成行业配置观点，选择中长期有较大发展空间的优势行业进行重点配置；同时自下而上形成个股配置观点，挖掘并灵活投资于各行业中最具有投资价值的上市公司，对买入个股进行</w:t>
            </w:r>
            <w:r>
              <w:rPr>
                <w:rFonts w:eastAsiaTheme="minorEastAsia"/>
                <w:color w:val="000000" w:themeColor="text1"/>
                <w:kern w:val="0"/>
                <w:szCs w:val="21"/>
              </w:rPr>
              <w:t xml:space="preserve"> </w:t>
            </w:r>
            <w:r>
              <w:rPr>
                <w:rFonts w:eastAsiaTheme="minorEastAsia"/>
                <w:color w:val="000000" w:themeColor="text1"/>
                <w:kern w:val="0"/>
                <w:szCs w:val="21"/>
              </w:rPr>
              <w:t>深度研究和跟踪；通过行业配置与个股选择，获取超越业绩比较基准的超额收益。</w:t>
            </w:r>
          </w:p>
          <w:p w:rsidR="00CA0174" w:rsidRDefault="00C1092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行业配置上，基金管理人自上而下通过把握不同行业周期的演变路径，在行业间同时进行横向和纵向的比较，并从行业景气度、估值等多角度，综合评估各个行业的投资价值，并相应确定不同行业的配置权重。</w:t>
            </w:r>
          </w:p>
          <w:p w:rsidR="00CA0174" w:rsidRDefault="00C1092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个股选择上，基金管理人自下而上基于对上市公司质地、经营周期、估值驱动力等维度的深入研究和跟踪，综合运用定量和定性分析的手段，精选个股买入并长期持有。于此同时，紧跟持仓个股盈利变化等核心因素，及时评估和控制个股回撤风险。</w:t>
            </w:r>
          </w:p>
          <w:p w:rsidR="00CA0174" w:rsidRDefault="00C1092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港股投资策略</w:t>
            </w:r>
            <w:r>
              <w:rPr>
                <w:rFonts w:eastAsiaTheme="minorEastAsia"/>
                <w:color w:val="000000" w:themeColor="text1"/>
                <w:kern w:val="0"/>
                <w:szCs w:val="21"/>
              </w:rPr>
              <w:t xml:space="preserve"> </w:t>
            </w:r>
          </w:p>
          <w:p w:rsidR="00CA0174" w:rsidRDefault="00C1092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本基金可通过港股通机制投资于香港股票市场。对于港股</w:t>
            </w:r>
            <w:r>
              <w:rPr>
                <w:rFonts w:eastAsiaTheme="minorEastAsia"/>
                <w:color w:val="000000" w:themeColor="text1"/>
                <w:kern w:val="0"/>
                <w:szCs w:val="21"/>
              </w:rPr>
              <w:lastRenderedPageBreak/>
              <w:t>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同时，关注港股中的稀缺行业和标的，与</w:t>
            </w:r>
            <w:r>
              <w:rPr>
                <w:rFonts w:eastAsiaTheme="minorEastAsia"/>
                <w:color w:val="000000" w:themeColor="text1"/>
                <w:kern w:val="0"/>
                <w:szCs w:val="21"/>
              </w:rPr>
              <w:t xml:space="preserve"> A </w:t>
            </w:r>
            <w:r>
              <w:rPr>
                <w:rFonts w:eastAsiaTheme="minorEastAsia"/>
                <w:color w:val="000000" w:themeColor="text1"/>
                <w:kern w:val="0"/>
                <w:szCs w:val="21"/>
              </w:rPr>
              <w:t>股形成互补。</w:t>
            </w:r>
          </w:p>
          <w:p w:rsidR="00CA0174" w:rsidRDefault="00C10923">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w:t>
            </w:r>
            <w:r>
              <w:rPr>
                <w:rFonts w:eastAsiaTheme="minorEastAsia"/>
                <w:color w:val="000000" w:themeColor="text1"/>
                <w:kern w:val="0"/>
                <w:szCs w:val="21"/>
              </w:rPr>
              <w:tab/>
            </w:r>
            <w:r>
              <w:rPr>
                <w:rFonts w:eastAsiaTheme="minorEastAsia"/>
                <w:color w:val="000000" w:themeColor="text1"/>
                <w:kern w:val="0"/>
                <w:szCs w:val="21"/>
              </w:rPr>
              <w:t>其他投资策略</w:t>
            </w:r>
            <w:r>
              <w:rPr>
                <w:rFonts w:eastAsiaTheme="minorEastAsia"/>
                <w:color w:val="000000" w:themeColor="text1"/>
                <w:kern w:val="0"/>
                <w:szCs w:val="21"/>
              </w:rPr>
              <w:t xml:space="preserve"> </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包括债券投资策略、股指期货投资策略、资产支持证券投资策略、股票期权投资策略、证券公司短期公司债券投资策略、存托凭证投资策略。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*65%+</w:t>
            </w:r>
            <w:r w:rsidRPr="00B27A29">
              <w:rPr>
                <w:rFonts w:eastAsiaTheme="minorEastAsia"/>
                <w:color w:val="000000" w:themeColor="text1"/>
                <w:kern w:val="0"/>
                <w:szCs w:val="21"/>
              </w:rPr>
              <w:t>中证港股通指数收益率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股票型基金产品，预期风险和收益水平高于混合型基金、债券型基金和货币市场基金。本基金可投资香港联合交易所上市的股票，将面临港股通机制下因投资环境、投资标的、市场制度以及交易规则等差异带来的特有风险。</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摩根全景优势股票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摩根全景优势股票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013899</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013900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263,217,948.82</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15,367,332.21</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摩根全景优势股票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摩根全景优势股票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-3,815,608.31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-240,440.21</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6,246,239.35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349,101.99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0.0235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0.0223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213,048,115.03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12,362,685.47</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0.8094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0.8045</w:t>
            </w:r>
          </w:p>
        </w:tc>
      </w:tr>
    </w:tbl>
    <w:p w:rsidR="00CA0174" w:rsidRDefault="00C1092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摩根全景优势股票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CA0174">
        <w:tc>
          <w:tcPr>
            <w:tcW w:w="1290" w:type="dxa"/>
            <w:vAlign w:val="center"/>
          </w:tcPr>
          <w:p w:rsidR="00CA0174" w:rsidRDefault="00C10923">
            <w:pPr>
              <w:jc w:val="left"/>
            </w:pPr>
            <w:r>
              <w:rPr>
                <w:rFonts w:eastAsiaTheme="minorEastAsia"/>
                <w:color w:val="000000" w:themeColor="text1"/>
                <w:szCs w:val="21"/>
              </w:rPr>
              <w:t>过去三个月</w:t>
            </w:r>
          </w:p>
        </w:tc>
        <w:tc>
          <w:tcPr>
            <w:tcW w:w="1291" w:type="dxa"/>
            <w:vAlign w:val="center"/>
          </w:tcPr>
          <w:p w:rsidR="00CA0174" w:rsidRDefault="00C10923">
            <w:pPr>
              <w:jc w:val="right"/>
            </w:pPr>
            <w:r>
              <w:rPr>
                <w:rFonts w:eastAsiaTheme="minorEastAsia"/>
                <w:color w:val="000000" w:themeColor="text1"/>
                <w:szCs w:val="21"/>
              </w:rPr>
              <w:t>2.94%</w:t>
            </w:r>
          </w:p>
        </w:tc>
        <w:tc>
          <w:tcPr>
            <w:tcW w:w="1291" w:type="dxa"/>
            <w:vAlign w:val="center"/>
          </w:tcPr>
          <w:p w:rsidR="00CA0174" w:rsidRDefault="00C10923">
            <w:pPr>
              <w:jc w:val="right"/>
            </w:pPr>
            <w:r>
              <w:rPr>
                <w:rFonts w:eastAsiaTheme="minorEastAsia"/>
                <w:color w:val="000000" w:themeColor="text1"/>
                <w:szCs w:val="21"/>
              </w:rPr>
              <w:t>0.98%</w:t>
            </w:r>
          </w:p>
        </w:tc>
        <w:tc>
          <w:tcPr>
            <w:tcW w:w="1291" w:type="dxa"/>
            <w:vAlign w:val="center"/>
          </w:tcPr>
          <w:p w:rsidR="00CA0174" w:rsidRDefault="00C10923">
            <w:pPr>
              <w:jc w:val="right"/>
            </w:pPr>
            <w:r>
              <w:rPr>
                <w:rFonts w:eastAsiaTheme="minorEastAsia"/>
                <w:color w:val="000000" w:themeColor="text1"/>
                <w:szCs w:val="21"/>
              </w:rPr>
              <w:t>3.67%</w:t>
            </w:r>
          </w:p>
        </w:tc>
        <w:tc>
          <w:tcPr>
            <w:tcW w:w="1291" w:type="dxa"/>
            <w:vAlign w:val="center"/>
          </w:tcPr>
          <w:p w:rsidR="00CA0174" w:rsidRDefault="00C10923">
            <w:pPr>
              <w:jc w:val="right"/>
            </w:pPr>
            <w:r>
              <w:rPr>
                <w:rFonts w:eastAsiaTheme="minorEastAsia"/>
                <w:color w:val="000000" w:themeColor="text1"/>
                <w:szCs w:val="21"/>
              </w:rPr>
              <w:t>0.70%</w:t>
            </w:r>
          </w:p>
        </w:tc>
        <w:tc>
          <w:tcPr>
            <w:tcW w:w="1291" w:type="dxa"/>
            <w:vAlign w:val="center"/>
          </w:tcPr>
          <w:p w:rsidR="00CA0174" w:rsidRDefault="00C10923">
            <w:pPr>
              <w:jc w:val="right"/>
            </w:pPr>
            <w:r>
              <w:rPr>
                <w:rFonts w:eastAsiaTheme="minorEastAsia"/>
                <w:color w:val="000000" w:themeColor="text1"/>
                <w:szCs w:val="21"/>
              </w:rPr>
              <w:t>-0.73%</w:t>
            </w:r>
          </w:p>
        </w:tc>
        <w:tc>
          <w:tcPr>
            <w:tcW w:w="1291" w:type="dxa"/>
            <w:vAlign w:val="center"/>
          </w:tcPr>
          <w:p w:rsidR="00CA0174" w:rsidRDefault="00C10923">
            <w:pPr>
              <w:jc w:val="right"/>
            </w:pPr>
            <w:r>
              <w:rPr>
                <w:rFonts w:eastAsiaTheme="minorEastAsia"/>
                <w:color w:val="000000" w:themeColor="text1"/>
                <w:szCs w:val="21"/>
              </w:rPr>
              <w:t>0.28%</w:t>
            </w:r>
          </w:p>
        </w:tc>
      </w:tr>
      <w:tr w:rsidR="00CA0174">
        <w:tc>
          <w:tcPr>
            <w:tcW w:w="1290" w:type="dxa"/>
            <w:vAlign w:val="center"/>
          </w:tcPr>
          <w:p w:rsidR="00CA0174" w:rsidRDefault="00C10923">
            <w:pPr>
              <w:jc w:val="left"/>
            </w:pPr>
            <w:r>
              <w:rPr>
                <w:rFonts w:eastAsiaTheme="minorEastAsia"/>
                <w:color w:val="000000" w:themeColor="text1"/>
                <w:szCs w:val="21"/>
              </w:rPr>
              <w:t>过去六个月</w:t>
            </w:r>
          </w:p>
        </w:tc>
        <w:tc>
          <w:tcPr>
            <w:tcW w:w="1291" w:type="dxa"/>
            <w:vAlign w:val="center"/>
          </w:tcPr>
          <w:p w:rsidR="00CA0174" w:rsidRDefault="00C10923">
            <w:pPr>
              <w:jc w:val="right"/>
            </w:pPr>
            <w:r>
              <w:rPr>
                <w:rFonts w:eastAsiaTheme="minorEastAsia"/>
                <w:color w:val="000000" w:themeColor="text1"/>
                <w:szCs w:val="21"/>
              </w:rPr>
              <w:t>-3.54%</w:t>
            </w:r>
          </w:p>
        </w:tc>
        <w:tc>
          <w:tcPr>
            <w:tcW w:w="1291" w:type="dxa"/>
            <w:vAlign w:val="center"/>
          </w:tcPr>
          <w:p w:rsidR="00CA0174" w:rsidRDefault="00C10923">
            <w:pPr>
              <w:jc w:val="right"/>
            </w:pPr>
            <w:r>
              <w:rPr>
                <w:rFonts w:eastAsiaTheme="minorEastAsia"/>
                <w:color w:val="000000" w:themeColor="text1"/>
                <w:szCs w:val="21"/>
              </w:rPr>
              <w:t>1.10%</w:t>
            </w:r>
          </w:p>
        </w:tc>
        <w:tc>
          <w:tcPr>
            <w:tcW w:w="1291" w:type="dxa"/>
            <w:vAlign w:val="center"/>
          </w:tcPr>
          <w:p w:rsidR="00CA0174" w:rsidRDefault="00C10923">
            <w:pPr>
              <w:jc w:val="right"/>
            </w:pPr>
            <w:r>
              <w:rPr>
                <w:rFonts w:eastAsiaTheme="minorEastAsia"/>
                <w:color w:val="000000" w:themeColor="text1"/>
                <w:szCs w:val="21"/>
              </w:rPr>
              <w:t>8.14%</w:t>
            </w:r>
          </w:p>
        </w:tc>
        <w:tc>
          <w:tcPr>
            <w:tcW w:w="1291" w:type="dxa"/>
            <w:vAlign w:val="center"/>
          </w:tcPr>
          <w:p w:rsidR="00CA0174" w:rsidRDefault="00C10923">
            <w:pPr>
              <w:jc w:val="right"/>
            </w:pPr>
            <w:r>
              <w:rPr>
                <w:rFonts w:eastAsiaTheme="minorEastAsia"/>
                <w:color w:val="000000" w:themeColor="text1"/>
                <w:szCs w:val="21"/>
              </w:rPr>
              <w:t>0.92%</w:t>
            </w:r>
          </w:p>
        </w:tc>
        <w:tc>
          <w:tcPr>
            <w:tcW w:w="1291" w:type="dxa"/>
            <w:vAlign w:val="center"/>
          </w:tcPr>
          <w:p w:rsidR="00CA0174" w:rsidRDefault="00C10923">
            <w:pPr>
              <w:jc w:val="right"/>
            </w:pPr>
            <w:r>
              <w:rPr>
                <w:rFonts w:eastAsiaTheme="minorEastAsia"/>
                <w:color w:val="000000" w:themeColor="text1"/>
                <w:szCs w:val="21"/>
              </w:rPr>
              <w:t>-11.68%</w:t>
            </w:r>
          </w:p>
        </w:tc>
        <w:tc>
          <w:tcPr>
            <w:tcW w:w="1291" w:type="dxa"/>
            <w:vAlign w:val="center"/>
          </w:tcPr>
          <w:p w:rsidR="00CA0174" w:rsidRDefault="00C10923">
            <w:pPr>
              <w:jc w:val="right"/>
            </w:pPr>
            <w:r>
              <w:rPr>
                <w:rFonts w:eastAsiaTheme="minorEastAsia"/>
                <w:color w:val="000000" w:themeColor="text1"/>
                <w:szCs w:val="21"/>
              </w:rPr>
              <w:t>0.18%</w:t>
            </w:r>
          </w:p>
        </w:tc>
      </w:tr>
      <w:tr w:rsidR="00CA0174">
        <w:tc>
          <w:tcPr>
            <w:tcW w:w="1290" w:type="dxa"/>
            <w:vAlign w:val="center"/>
          </w:tcPr>
          <w:p w:rsidR="00CA0174" w:rsidRDefault="00C10923">
            <w:pPr>
              <w:jc w:val="left"/>
            </w:pPr>
            <w:r>
              <w:rPr>
                <w:rFonts w:eastAsiaTheme="minorEastAsia"/>
                <w:color w:val="000000" w:themeColor="text1"/>
                <w:szCs w:val="21"/>
              </w:rPr>
              <w:t>过去一年</w:t>
            </w:r>
          </w:p>
        </w:tc>
        <w:tc>
          <w:tcPr>
            <w:tcW w:w="1291" w:type="dxa"/>
            <w:vAlign w:val="center"/>
          </w:tcPr>
          <w:p w:rsidR="00CA0174" w:rsidRDefault="00C10923">
            <w:pPr>
              <w:jc w:val="right"/>
            </w:pPr>
            <w:r>
              <w:rPr>
                <w:rFonts w:eastAsiaTheme="minorEastAsia"/>
                <w:color w:val="000000" w:themeColor="text1"/>
                <w:szCs w:val="21"/>
              </w:rPr>
              <w:t>-15.09%</w:t>
            </w:r>
          </w:p>
        </w:tc>
        <w:tc>
          <w:tcPr>
            <w:tcW w:w="1291" w:type="dxa"/>
            <w:vAlign w:val="center"/>
          </w:tcPr>
          <w:p w:rsidR="00CA0174" w:rsidRDefault="00C10923">
            <w:pPr>
              <w:jc w:val="right"/>
            </w:pPr>
            <w:r>
              <w:rPr>
                <w:rFonts w:eastAsiaTheme="minorEastAsia"/>
                <w:color w:val="000000" w:themeColor="text1"/>
                <w:szCs w:val="21"/>
              </w:rPr>
              <w:t>1.16%</w:t>
            </w:r>
          </w:p>
        </w:tc>
        <w:tc>
          <w:tcPr>
            <w:tcW w:w="1291" w:type="dxa"/>
            <w:vAlign w:val="center"/>
          </w:tcPr>
          <w:p w:rsidR="00CA0174" w:rsidRDefault="00C10923">
            <w:pPr>
              <w:jc w:val="right"/>
            </w:pPr>
            <w:r>
              <w:rPr>
                <w:rFonts w:eastAsiaTheme="minorEastAsia"/>
                <w:color w:val="000000" w:themeColor="text1"/>
                <w:szCs w:val="21"/>
              </w:rPr>
              <w:t>-1.46%</w:t>
            </w:r>
          </w:p>
        </w:tc>
        <w:tc>
          <w:tcPr>
            <w:tcW w:w="1291" w:type="dxa"/>
            <w:vAlign w:val="center"/>
          </w:tcPr>
          <w:p w:rsidR="00CA0174" w:rsidRDefault="00C10923">
            <w:pPr>
              <w:jc w:val="right"/>
            </w:pPr>
            <w:r>
              <w:rPr>
                <w:rFonts w:eastAsiaTheme="minorEastAsia"/>
                <w:color w:val="000000" w:themeColor="text1"/>
                <w:szCs w:val="21"/>
              </w:rPr>
              <w:t>0.96%</w:t>
            </w:r>
          </w:p>
        </w:tc>
        <w:tc>
          <w:tcPr>
            <w:tcW w:w="1291" w:type="dxa"/>
            <w:vAlign w:val="center"/>
          </w:tcPr>
          <w:p w:rsidR="00CA0174" w:rsidRDefault="00C10923">
            <w:pPr>
              <w:jc w:val="right"/>
            </w:pPr>
            <w:r>
              <w:rPr>
                <w:rFonts w:eastAsiaTheme="minorEastAsia"/>
                <w:color w:val="000000" w:themeColor="text1"/>
                <w:szCs w:val="21"/>
              </w:rPr>
              <w:t>-13.63%</w:t>
            </w:r>
          </w:p>
        </w:tc>
        <w:tc>
          <w:tcPr>
            <w:tcW w:w="1291" w:type="dxa"/>
            <w:vAlign w:val="center"/>
          </w:tcPr>
          <w:p w:rsidR="00CA0174" w:rsidRDefault="00C10923">
            <w:pPr>
              <w:jc w:val="right"/>
            </w:pPr>
            <w:r>
              <w:rPr>
                <w:rFonts w:eastAsiaTheme="minorEastAsia"/>
                <w:color w:val="000000" w:themeColor="text1"/>
                <w:szCs w:val="21"/>
              </w:rPr>
              <w:t>0.20%</w:t>
            </w:r>
          </w:p>
        </w:tc>
      </w:tr>
      <w:tr w:rsidR="00CA0174">
        <w:tc>
          <w:tcPr>
            <w:tcW w:w="1290" w:type="dxa"/>
            <w:vAlign w:val="center"/>
          </w:tcPr>
          <w:p w:rsidR="00CA0174" w:rsidRDefault="00C10923">
            <w:pPr>
              <w:jc w:val="left"/>
            </w:pPr>
            <w:r>
              <w:rPr>
                <w:rFonts w:eastAsiaTheme="minorEastAsia"/>
                <w:color w:val="000000" w:themeColor="text1"/>
                <w:szCs w:val="21"/>
              </w:rPr>
              <w:t>过去三年</w:t>
            </w:r>
          </w:p>
        </w:tc>
        <w:tc>
          <w:tcPr>
            <w:tcW w:w="1291" w:type="dxa"/>
            <w:vAlign w:val="center"/>
          </w:tcPr>
          <w:p w:rsidR="00CA0174" w:rsidRDefault="00C10923">
            <w:pPr>
              <w:jc w:val="right"/>
            </w:pPr>
            <w:r>
              <w:rPr>
                <w:rFonts w:eastAsiaTheme="minorEastAsia"/>
                <w:color w:val="000000" w:themeColor="text1"/>
                <w:szCs w:val="21"/>
              </w:rPr>
              <w:t>-</w:t>
            </w:r>
          </w:p>
        </w:tc>
        <w:tc>
          <w:tcPr>
            <w:tcW w:w="1291" w:type="dxa"/>
            <w:vAlign w:val="center"/>
          </w:tcPr>
          <w:p w:rsidR="00CA0174" w:rsidRDefault="00C10923">
            <w:pPr>
              <w:jc w:val="right"/>
            </w:pPr>
            <w:r>
              <w:rPr>
                <w:rFonts w:eastAsiaTheme="minorEastAsia"/>
                <w:color w:val="000000" w:themeColor="text1"/>
                <w:szCs w:val="21"/>
              </w:rPr>
              <w:t>-</w:t>
            </w:r>
          </w:p>
        </w:tc>
        <w:tc>
          <w:tcPr>
            <w:tcW w:w="1291" w:type="dxa"/>
            <w:vAlign w:val="center"/>
          </w:tcPr>
          <w:p w:rsidR="00CA0174" w:rsidRDefault="00C10923">
            <w:pPr>
              <w:jc w:val="right"/>
            </w:pPr>
            <w:r>
              <w:rPr>
                <w:rFonts w:eastAsiaTheme="minorEastAsia"/>
                <w:color w:val="000000" w:themeColor="text1"/>
                <w:szCs w:val="21"/>
              </w:rPr>
              <w:t>-</w:t>
            </w:r>
          </w:p>
        </w:tc>
        <w:tc>
          <w:tcPr>
            <w:tcW w:w="1291" w:type="dxa"/>
            <w:vAlign w:val="center"/>
          </w:tcPr>
          <w:p w:rsidR="00CA0174" w:rsidRDefault="00C10923">
            <w:pPr>
              <w:jc w:val="right"/>
            </w:pPr>
            <w:r>
              <w:rPr>
                <w:rFonts w:eastAsiaTheme="minorEastAsia"/>
                <w:color w:val="000000" w:themeColor="text1"/>
                <w:szCs w:val="21"/>
              </w:rPr>
              <w:t>-</w:t>
            </w:r>
          </w:p>
        </w:tc>
        <w:tc>
          <w:tcPr>
            <w:tcW w:w="1291" w:type="dxa"/>
            <w:vAlign w:val="center"/>
          </w:tcPr>
          <w:p w:rsidR="00CA0174" w:rsidRDefault="00C10923">
            <w:pPr>
              <w:jc w:val="right"/>
            </w:pPr>
            <w:r>
              <w:rPr>
                <w:rFonts w:eastAsiaTheme="minorEastAsia"/>
                <w:color w:val="000000" w:themeColor="text1"/>
                <w:szCs w:val="21"/>
              </w:rPr>
              <w:t>-</w:t>
            </w:r>
          </w:p>
        </w:tc>
        <w:tc>
          <w:tcPr>
            <w:tcW w:w="1291" w:type="dxa"/>
            <w:vAlign w:val="center"/>
          </w:tcPr>
          <w:p w:rsidR="00CA0174" w:rsidRDefault="00C10923">
            <w:pPr>
              <w:jc w:val="right"/>
            </w:pPr>
            <w:r>
              <w:rPr>
                <w:rFonts w:eastAsiaTheme="minorEastAsia"/>
                <w:color w:val="000000" w:themeColor="text1"/>
                <w:szCs w:val="21"/>
              </w:rPr>
              <w:t>-</w:t>
            </w:r>
          </w:p>
        </w:tc>
      </w:tr>
      <w:tr w:rsidR="00CA0174">
        <w:tc>
          <w:tcPr>
            <w:tcW w:w="1290" w:type="dxa"/>
            <w:vAlign w:val="center"/>
          </w:tcPr>
          <w:p w:rsidR="00CA0174" w:rsidRDefault="00C10923">
            <w:pPr>
              <w:jc w:val="left"/>
            </w:pPr>
            <w:r>
              <w:rPr>
                <w:rFonts w:eastAsiaTheme="minorEastAsia"/>
                <w:color w:val="000000" w:themeColor="text1"/>
                <w:szCs w:val="21"/>
              </w:rPr>
              <w:t>过去五年</w:t>
            </w:r>
          </w:p>
        </w:tc>
        <w:tc>
          <w:tcPr>
            <w:tcW w:w="1291" w:type="dxa"/>
            <w:vAlign w:val="center"/>
          </w:tcPr>
          <w:p w:rsidR="00CA0174" w:rsidRDefault="00C10923">
            <w:pPr>
              <w:jc w:val="right"/>
            </w:pPr>
            <w:r>
              <w:rPr>
                <w:rFonts w:eastAsiaTheme="minorEastAsia"/>
                <w:color w:val="000000" w:themeColor="text1"/>
                <w:szCs w:val="21"/>
              </w:rPr>
              <w:t>-</w:t>
            </w:r>
          </w:p>
        </w:tc>
        <w:tc>
          <w:tcPr>
            <w:tcW w:w="1291" w:type="dxa"/>
            <w:vAlign w:val="center"/>
          </w:tcPr>
          <w:p w:rsidR="00CA0174" w:rsidRDefault="00C10923">
            <w:pPr>
              <w:jc w:val="right"/>
            </w:pPr>
            <w:r>
              <w:rPr>
                <w:rFonts w:eastAsiaTheme="minorEastAsia"/>
                <w:color w:val="000000" w:themeColor="text1"/>
                <w:szCs w:val="21"/>
              </w:rPr>
              <w:t>-</w:t>
            </w:r>
          </w:p>
        </w:tc>
        <w:tc>
          <w:tcPr>
            <w:tcW w:w="1291" w:type="dxa"/>
            <w:vAlign w:val="center"/>
          </w:tcPr>
          <w:p w:rsidR="00CA0174" w:rsidRDefault="00C10923">
            <w:pPr>
              <w:jc w:val="right"/>
            </w:pPr>
            <w:r>
              <w:rPr>
                <w:rFonts w:eastAsiaTheme="minorEastAsia"/>
                <w:color w:val="000000" w:themeColor="text1"/>
                <w:szCs w:val="21"/>
              </w:rPr>
              <w:t>-</w:t>
            </w:r>
          </w:p>
        </w:tc>
        <w:tc>
          <w:tcPr>
            <w:tcW w:w="1291" w:type="dxa"/>
            <w:vAlign w:val="center"/>
          </w:tcPr>
          <w:p w:rsidR="00CA0174" w:rsidRDefault="00C10923">
            <w:pPr>
              <w:jc w:val="right"/>
            </w:pPr>
            <w:r>
              <w:rPr>
                <w:rFonts w:eastAsiaTheme="minorEastAsia"/>
                <w:color w:val="000000" w:themeColor="text1"/>
                <w:szCs w:val="21"/>
              </w:rPr>
              <w:t>-</w:t>
            </w:r>
          </w:p>
        </w:tc>
        <w:tc>
          <w:tcPr>
            <w:tcW w:w="1291" w:type="dxa"/>
            <w:vAlign w:val="center"/>
          </w:tcPr>
          <w:p w:rsidR="00CA0174" w:rsidRDefault="00C10923">
            <w:pPr>
              <w:jc w:val="right"/>
            </w:pPr>
            <w:r>
              <w:rPr>
                <w:rFonts w:eastAsiaTheme="minorEastAsia"/>
                <w:color w:val="000000" w:themeColor="text1"/>
                <w:szCs w:val="21"/>
              </w:rPr>
              <w:t>-</w:t>
            </w:r>
          </w:p>
        </w:tc>
        <w:tc>
          <w:tcPr>
            <w:tcW w:w="1291" w:type="dxa"/>
            <w:vAlign w:val="center"/>
          </w:tcPr>
          <w:p w:rsidR="00CA0174" w:rsidRDefault="00C10923">
            <w:pPr>
              <w:jc w:val="right"/>
            </w:pPr>
            <w:r>
              <w:rPr>
                <w:rFonts w:eastAsiaTheme="minorEastAsia"/>
                <w:color w:val="000000" w:themeColor="text1"/>
                <w:szCs w:val="21"/>
              </w:rPr>
              <w:t>-</w:t>
            </w:r>
          </w:p>
        </w:tc>
      </w:tr>
      <w:tr w:rsidR="00CA0174">
        <w:tc>
          <w:tcPr>
            <w:tcW w:w="1290" w:type="dxa"/>
            <w:vAlign w:val="center"/>
          </w:tcPr>
          <w:p w:rsidR="00CA0174" w:rsidRDefault="00C10923">
            <w:pPr>
              <w:jc w:val="left"/>
            </w:pPr>
            <w:r>
              <w:rPr>
                <w:rFonts w:eastAsiaTheme="minorEastAsia"/>
                <w:color w:val="000000" w:themeColor="text1"/>
                <w:szCs w:val="21"/>
              </w:rPr>
              <w:t>自基金合同生效起至今</w:t>
            </w:r>
          </w:p>
        </w:tc>
        <w:tc>
          <w:tcPr>
            <w:tcW w:w="1291" w:type="dxa"/>
            <w:vAlign w:val="center"/>
          </w:tcPr>
          <w:p w:rsidR="00CA0174" w:rsidRDefault="00C10923">
            <w:pPr>
              <w:jc w:val="right"/>
            </w:pPr>
            <w:r>
              <w:rPr>
                <w:rFonts w:eastAsiaTheme="minorEastAsia"/>
                <w:color w:val="000000" w:themeColor="text1"/>
                <w:szCs w:val="21"/>
              </w:rPr>
              <w:t>-19.06%</w:t>
            </w:r>
          </w:p>
        </w:tc>
        <w:tc>
          <w:tcPr>
            <w:tcW w:w="1291" w:type="dxa"/>
            <w:vAlign w:val="center"/>
          </w:tcPr>
          <w:p w:rsidR="00CA0174" w:rsidRDefault="00C10923">
            <w:pPr>
              <w:jc w:val="right"/>
            </w:pPr>
            <w:r>
              <w:rPr>
                <w:rFonts w:eastAsiaTheme="minorEastAsia"/>
                <w:color w:val="000000" w:themeColor="text1"/>
                <w:szCs w:val="21"/>
              </w:rPr>
              <w:t>1.10%</w:t>
            </w:r>
          </w:p>
        </w:tc>
        <w:tc>
          <w:tcPr>
            <w:tcW w:w="1291" w:type="dxa"/>
            <w:vAlign w:val="center"/>
          </w:tcPr>
          <w:p w:rsidR="00CA0174" w:rsidRDefault="00C10923">
            <w:pPr>
              <w:jc w:val="right"/>
            </w:pPr>
            <w:r>
              <w:rPr>
                <w:rFonts w:eastAsiaTheme="minorEastAsia"/>
                <w:color w:val="000000" w:themeColor="text1"/>
                <w:szCs w:val="21"/>
              </w:rPr>
              <w:t>-11.40%</w:t>
            </w:r>
          </w:p>
        </w:tc>
        <w:tc>
          <w:tcPr>
            <w:tcW w:w="1291" w:type="dxa"/>
            <w:vAlign w:val="center"/>
          </w:tcPr>
          <w:p w:rsidR="00CA0174" w:rsidRDefault="00C10923">
            <w:pPr>
              <w:jc w:val="right"/>
            </w:pPr>
            <w:r>
              <w:rPr>
                <w:rFonts w:eastAsiaTheme="minorEastAsia"/>
                <w:color w:val="000000" w:themeColor="text1"/>
                <w:szCs w:val="21"/>
              </w:rPr>
              <w:t>1.05%</w:t>
            </w:r>
          </w:p>
        </w:tc>
        <w:tc>
          <w:tcPr>
            <w:tcW w:w="1291" w:type="dxa"/>
            <w:vAlign w:val="center"/>
          </w:tcPr>
          <w:p w:rsidR="00CA0174" w:rsidRDefault="00C10923">
            <w:pPr>
              <w:jc w:val="right"/>
            </w:pPr>
            <w:r>
              <w:rPr>
                <w:rFonts w:eastAsiaTheme="minorEastAsia"/>
                <w:color w:val="000000" w:themeColor="text1"/>
                <w:szCs w:val="21"/>
              </w:rPr>
              <w:t>-7.66%</w:t>
            </w:r>
          </w:p>
        </w:tc>
        <w:tc>
          <w:tcPr>
            <w:tcW w:w="1291" w:type="dxa"/>
            <w:vAlign w:val="center"/>
          </w:tcPr>
          <w:p w:rsidR="00CA0174" w:rsidRDefault="00C10923">
            <w:pPr>
              <w:jc w:val="right"/>
            </w:pPr>
            <w:r>
              <w:rPr>
                <w:rFonts w:eastAsiaTheme="minorEastAsia"/>
                <w:color w:val="000000" w:themeColor="text1"/>
                <w:szCs w:val="21"/>
              </w:rPr>
              <w:t>0.05%</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摩根全景优势股票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CA0174">
        <w:tc>
          <w:tcPr>
            <w:tcW w:w="1290" w:type="dxa"/>
            <w:vAlign w:val="center"/>
          </w:tcPr>
          <w:p w:rsidR="00CA0174" w:rsidRDefault="00C10923">
            <w:pPr>
              <w:jc w:val="left"/>
            </w:pPr>
            <w:r>
              <w:rPr>
                <w:rFonts w:eastAsiaTheme="minorEastAsia"/>
                <w:color w:val="000000" w:themeColor="text1"/>
                <w:szCs w:val="21"/>
              </w:rPr>
              <w:t>过去三个月</w:t>
            </w:r>
          </w:p>
        </w:tc>
        <w:tc>
          <w:tcPr>
            <w:tcW w:w="1291" w:type="dxa"/>
            <w:vAlign w:val="center"/>
          </w:tcPr>
          <w:p w:rsidR="00CA0174" w:rsidRDefault="00C10923">
            <w:pPr>
              <w:jc w:val="right"/>
            </w:pPr>
            <w:r>
              <w:rPr>
                <w:rFonts w:eastAsiaTheme="minorEastAsia"/>
                <w:color w:val="000000" w:themeColor="text1"/>
                <w:szCs w:val="21"/>
              </w:rPr>
              <w:t>2.81%</w:t>
            </w:r>
          </w:p>
        </w:tc>
        <w:tc>
          <w:tcPr>
            <w:tcW w:w="1291" w:type="dxa"/>
            <w:vAlign w:val="center"/>
          </w:tcPr>
          <w:p w:rsidR="00CA0174" w:rsidRDefault="00C10923">
            <w:pPr>
              <w:jc w:val="right"/>
            </w:pPr>
            <w:r>
              <w:rPr>
                <w:rFonts w:eastAsiaTheme="minorEastAsia"/>
                <w:color w:val="000000" w:themeColor="text1"/>
                <w:szCs w:val="21"/>
              </w:rPr>
              <w:t>0.98%</w:t>
            </w:r>
          </w:p>
        </w:tc>
        <w:tc>
          <w:tcPr>
            <w:tcW w:w="1291" w:type="dxa"/>
            <w:vAlign w:val="center"/>
          </w:tcPr>
          <w:p w:rsidR="00CA0174" w:rsidRDefault="00C10923">
            <w:pPr>
              <w:jc w:val="right"/>
            </w:pPr>
            <w:r>
              <w:rPr>
                <w:rFonts w:eastAsiaTheme="minorEastAsia"/>
                <w:color w:val="000000" w:themeColor="text1"/>
                <w:szCs w:val="21"/>
              </w:rPr>
              <w:t>3.67%</w:t>
            </w:r>
          </w:p>
        </w:tc>
        <w:tc>
          <w:tcPr>
            <w:tcW w:w="1291" w:type="dxa"/>
            <w:vAlign w:val="center"/>
          </w:tcPr>
          <w:p w:rsidR="00CA0174" w:rsidRDefault="00C10923">
            <w:pPr>
              <w:jc w:val="right"/>
            </w:pPr>
            <w:r>
              <w:rPr>
                <w:rFonts w:eastAsiaTheme="minorEastAsia"/>
                <w:color w:val="000000" w:themeColor="text1"/>
                <w:szCs w:val="21"/>
              </w:rPr>
              <w:t>0.70%</w:t>
            </w:r>
          </w:p>
        </w:tc>
        <w:tc>
          <w:tcPr>
            <w:tcW w:w="1291" w:type="dxa"/>
            <w:vAlign w:val="center"/>
          </w:tcPr>
          <w:p w:rsidR="00CA0174" w:rsidRDefault="00C10923">
            <w:pPr>
              <w:jc w:val="right"/>
            </w:pPr>
            <w:r>
              <w:rPr>
                <w:rFonts w:eastAsiaTheme="minorEastAsia"/>
                <w:color w:val="000000" w:themeColor="text1"/>
                <w:szCs w:val="21"/>
              </w:rPr>
              <w:t>-0.86%</w:t>
            </w:r>
          </w:p>
        </w:tc>
        <w:tc>
          <w:tcPr>
            <w:tcW w:w="1291" w:type="dxa"/>
            <w:vAlign w:val="center"/>
          </w:tcPr>
          <w:p w:rsidR="00CA0174" w:rsidRDefault="00C10923">
            <w:pPr>
              <w:jc w:val="right"/>
            </w:pPr>
            <w:r>
              <w:rPr>
                <w:rFonts w:eastAsiaTheme="minorEastAsia"/>
                <w:color w:val="000000" w:themeColor="text1"/>
                <w:szCs w:val="21"/>
              </w:rPr>
              <w:t>0.28%</w:t>
            </w:r>
          </w:p>
        </w:tc>
      </w:tr>
      <w:tr w:rsidR="00CA0174">
        <w:tc>
          <w:tcPr>
            <w:tcW w:w="1290" w:type="dxa"/>
            <w:vAlign w:val="center"/>
          </w:tcPr>
          <w:p w:rsidR="00CA0174" w:rsidRDefault="00C10923">
            <w:pPr>
              <w:jc w:val="left"/>
            </w:pPr>
            <w:r>
              <w:rPr>
                <w:rFonts w:eastAsiaTheme="minorEastAsia"/>
                <w:color w:val="000000" w:themeColor="text1"/>
                <w:szCs w:val="21"/>
              </w:rPr>
              <w:t>过去六个月</w:t>
            </w:r>
          </w:p>
        </w:tc>
        <w:tc>
          <w:tcPr>
            <w:tcW w:w="1291" w:type="dxa"/>
            <w:vAlign w:val="center"/>
          </w:tcPr>
          <w:p w:rsidR="00CA0174" w:rsidRDefault="00C10923">
            <w:pPr>
              <w:jc w:val="right"/>
            </w:pPr>
            <w:r>
              <w:rPr>
                <w:rFonts w:eastAsiaTheme="minorEastAsia"/>
                <w:color w:val="000000" w:themeColor="text1"/>
                <w:szCs w:val="21"/>
              </w:rPr>
              <w:t>-3.78%</w:t>
            </w:r>
          </w:p>
        </w:tc>
        <w:tc>
          <w:tcPr>
            <w:tcW w:w="1291" w:type="dxa"/>
            <w:vAlign w:val="center"/>
          </w:tcPr>
          <w:p w:rsidR="00CA0174" w:rsidRDefault="00C10923">
            <w:pPr>
              <w:jc w:val="right"/>
            </w:pPr>
            <w:r>
              <w:rPr>
                <w:rFonts w:eastAsiaTheme="minorEastAsia"/>
                <w:color w:val="000000" w:themeColor="text1"/>
                <w:szCs w:val="21"/>
              </w:rPr>
              <w:t>1.10%</w:t>
            </w:r>
          </w:p>
        </w:tc>
        <w:tc>
          <w:tcPr>
            <w:tcW w:w="1291" w:type="dxa"/>
            <w:vAlign w:val="center"/>
          </w:tcPr>
          <w:p w:rsidR="00CA0174" w:rsidRDefault="00C10923">
            <w:pPr>
              <w:jc w:val="right"/>
            </w:pPr>
            <w:r>
              <w:rPr>
                <w:rFonts w:eastAsiaTheme="minorEastAsia"/>
                <w:color w:val="000000" w:themeColor="text1"/>
                <w:szCs w:val="21"/>
              </w:rPr>
              <w:t>8.14%</w:t>
            </w:r>
          </w:p>
        </w:tc>
        <w:tc>
          <w:tcPr>
            <w:tcW w:w="1291" w:type="dxa"/>
            <w:vAlign w:val="center"/>
          </w:tcPr>
          <w:p w:rsidR="00CA0174" w:rsidRDefault="00C10923">
            <w:pPr>
              <w:jc w:val="right"/>
            </w:pPr>
            <w:r>
              <w:rPr>
                <w:rFonts w:eastAsiaTheme="minorEastAsia"/>
                <w:color w:val="000000" w:themeColor="text1"/>
                <w:szCs w:val="21"/>
              </w:rPr>
              <w:t>0.92%</w:t>
            </w:r>
          </w:p>
        </w:tc>
        <w:tc>
          <w:tcPr>
            <w:tcW w:w="1291" w:type="dxa"/>
            <w:vAlign w:val="center"/>
          </w:tcPr>
          <w:p w:rsidR="00CA0174" w:rsidRDefault="00C10923">
            <w:pPr>
              <w:jc w:val="right"/>
            </w:pPr>
            <w:r>
              <w:rPr>
                <w:rFonts w:eastAsiaTheme="minorEastAsia"/>
                <w:color w:val="000000" w:themeColor="text1"/>
                <w:szCs w:val="21"/>
              </w:rPr>
              <w:t>-11.92%</w:t>
            </w:r>
          </w:p>
        </w:tc>
        <w:tc>
          <w:tcPr>
            <w:tcW w:w="1291" w:type="dxa"/>
            <w:vAlign w:val="center"/>
          </w:tcPr>
          <w:p w:rsidR="00CA0174" w:rsidRDefault="00C10923">
            <w:pPr>
              <w:jc w:val="right"/>
            </w:pPr>
            <w:r>
              <w:rPr>
                <w:rFonts w:eastAsiaTheme="minorEastAsia"/>
                <w:color w:val="000000" w:themeColor="text1"/>
                <w:szCs w:val="21"/>
              </w:rPr>
              <w:t>0.18%</w:t>
            </w:r>
          </w:p>
        </w:tc>
      </w:tr>
      <w:tr w:rsidR="00CA0174">
        <w:tc>
          <w:tcPr>
            <w:tcW w:w="1290" w:type="dxa"/>
            <w:vAlign w:val="center"/>
          </w:tcPr>
          <w:p w:rsidR="00CA0174" w:rsidRDefault="00C10923">
            <w:pPr>
              <w:jc w:val="left"/>
            </w:pPr>
            <w:r>
              <w:rPr>
                <w:rFonts w:eastAsiaTheme="minorEastAsia"/>
                <w:color w:val="000000" w:themeColor="text1"/>
                <w:szCs w:val="21"/>
              </w:rPr>
              <w:t>过去一年</w:t>
            </w:r>
          </w:p>
        </w:tc>
        <w:tc>
          <w:tcPr>
            <w:tcW w:w="1291" w:type="dxa"/>
            <w:vAlign w:val="center"/>
          </w:tcPr>
          <w:p w:rsidR="00CA0174" w:rsidRDefault="00C10923">
            <w:pPr>
              <w:jc w:val="right"/>
            </w:pPr>
            <w:r>
              <w:rPr>
                <w:rFonts w:eastAsiaTheme="minorEastAsia"/>
                <w:color w:val="000000" w:themeColor="text1"/>
                <w:szCs w:val="21"/>
              </w:rPr>
              <w:t>-15.51%</w:t>
            </w:r>
          </w:p>
        </w:tc>
        <w:tc>
          <w:tcPr>
            <w:tcW w:w="1291" w:type="dxa"/>
            <w:vAlign w:val="center"/>
          </w:tcPr>
          <w:p w:rsidR="00CA0174" w:rsidRDefault="00C10923">
            <w:pPr>
              <w:jc w:val="right"/>
            </w:pPr>
            <w:r>
              <w:rPr>
                <w:rFonts w:eastAsiaTheme="minorEastAsia"/>
                <w:color w:val="000000" w:themeColor="text1"/>
                <w:szCs w:val="21"/>
              </w:rPr>
              <w:t>1.16%</w:t>
            </w:r>
          </w:p>
        </w:tc>
        <w:tc>
          <w:tcPr>
            <w:tcW w:w="1291" w:type="dxa"/>
            <w:vAlign w:val="center"/>
          </w:tcPr>
          <w:p w:rsidR="00CA0174" w:rsidRDefault="00C10923">
            <w:pPr>
              <w:jc w:val="right"/>
            </w:pPr>
            <w:r>
              <w:rPr>
                <w:rFonts w:eastAsiaTheme="minorEastAsia"/>
                <w:color w:val="000000" w:themeColor="text1"/>
                <w:szCs w:val="21"/>
              </w:rPr>
              <w:t>-1.46%</w:t>
            </w:r>
          </w:p>
        </w:tc>
        <w:tc>
          <w:tcPr>
            <w:tcW w:w="1291" w:type="dxa"/>
            <w:vAlign w:val="center"/>
          </w:tcPr>
          <w:p w:rsidR="00CA0174" w:rsidRDefault="00C10923">
            <w:pPr>
              <w:jc w:val="right"/>
            </w:pPr>
            <w:r>
              <w:rPr>
                <w:rFonts w:eastAsiaTheme="minorEastAsia"/>
                <w:color w:val="000000" w:themeColor="text1"/>
                <w:szCs w:val="21"/>
              </w:rPr>
              <w:t>0.96%</w:t>
            </w:r>
          </w:p>
        </w:tc>
        <w:tc>
          <w:tcPr>
            <w:tcW w:w="1291" w:type="dxa"/>
            <w:vAlign w:val="center"/>
          </w:tcPr>
          <w:p w:rsidR="00CA0174" w:rsidRDefault="00C10923">
            <w:pPr>
              <w:jc w:val="right"/>
            </w:pPr>
            <w:r>
              <w:rPr>
                <w:rFonts w:eastAsiaTheme="minorEastAsia"/>
                <w:color w:val="000000" w:themeColor="text1"/>
                <w:szCs w:val="21"/>
              </w:rPr>
              <w:t>-14.05%</w:t>
            </w:r>
          </w:p>
        </w:tc>
        <w:tc>
          <w:tcPr>
            <w:tcW w:w="1291" w:type="dxa"/>
            <w:vAlign w:val="center"/>
          </w:tcPr>
          <w:p w:rsidR="00CA0174" w:rsidRDefault="00C10923">
            <w:pPr>
              <w:jc w:val="right"/>
            </w:pPr>
            <w:r>
              <w:rPr>
                <w:rFonts w:eastAsiaTheme="minorEastAsia"/>
                <w:color w:val="000000" w:themeColor="text1"/>
                <w:szCs w:val="21"/>
              </w:rPr>
              <w:t>0.20%</w:t>
            </w:r>
          </w:p>
        </w:tc>
      </w:tr>
      <w:tr w:rsidR="00CA0174">
        <w:tc>
          <w:tcPr>
            <w:tcW w:w="1290" w:type="dxa"/>
            <w:vAlign w:val="center"/>
          </w:tcPr>
          <w:p w:rsidR="00CA0174" w:rsidRDefault="00C10923">
            <w:pPr>
              <w:jc w:val="left"/>
            </w:pPr>
            <w:r>
              <w:rPr>
                <w:rFonts w:eastAsiaTheme="minorEastAsia"/>
                <w:color w:val="000000" w:themeColor="text1"/>
                <w:szCs w:val="21"/>
              </w:rPr>
              <w:t>过去三年</w:t>
            </w:r>
          </w:p>
        </w:tc>
        <w:tc>
          <w:tcPr>
            <w:tcW w:w="1291" w:type="dxa"/>
            <w:vAlign w:val="center"/>
          </w:tcPr>
          <w:p w:rsidR="00CA0174" w:rsidRDefault="00C10923">
            <w:pPr>
              <w:jc w:val="right"/>
            </w:pPr>
            <w:r>
              <w:rPr>
                <w:rFonts w:eastAsiaTheme="minorEastAsia"/>
                <w:color w:val="000000" w:themeColor="text1"/>
                <w:szCs w:val="21"/>
              </w:rPr>
              <w:t>-</w:t>
            </w:r>
          </w:p>
        </w:tc>
        <w:tc>
          <w:tcPr>
            <w:tcW w:w="1291" w:type="dxa"/>
            <w:vAlign w:val="center"/>
          </w:tcPr>
          <w:p w:rsidR="00CA0174" w:rsidRDefault="00C10923">
            <w:pPr>
              <w:jc w:val="right"/>
            </w:pPr>
            <w:r>
              <w:rPr>
                <w:rFonts w:eastAsiaTheme="minorEastAsia"/>
                <w:color w:val="000000" w:themeColor="text1"/>
                <w:szCs w:val="21"/>
              </w:rPr>
              <w:t>-</w:t>
            </w:r>
          </w:p>
        </w:tc>
        <w:tc>
          <w:tcPr>
            <w:tcW w:w="1291" w:type="dxa"/>
            <w:vAlign w:val="center"/>
          </w:tcPr>
          <w:p w:rsidR="00CA0174" w:rsidRDefault="00C10923">
            <w:pPr>
              <w:jc w:val="right"/>
            </w:pPr>
            <w:r>
              <w:rPr>
                <w:rFonts w:eastAsiaTheme="minorEastAsia"/>
                <w:color w:val="000000" w:themeColor="text1"/>
                <w:szCs w:val="21"/>
              </w:rPr>
              <w:t>-</w:t>
            </w:r>
          </w:p>
        </w:tc>
        <w:tc>
          <w:tcPr>
            <w:tcW w:w="1291" w:type="dxa"/>
            <w:vAlign w:val="center"/>
          </w:tcPr>
          <w:p w:rsidR="00CA0174" w:rsidRDefault="00C10923">
            <w:pPr>
              <w:jc w:val="right"/>
            </w:pPr>
            <w:r>
              <w:rPr>
                <w:rFonts w:eastAsiaTheme="minorEastAsia"/>
                <w:color w:val="000000" w:themeColor="text1"/>
                <w:szCs w:val="21"/>
              </w:rPr>
              <w:t>-</w:t>
            </w:r>
          </w:p>
        </w:tc>
        <w:tc>
          <w:tcPr>
            <w:tcW w:w="1291" w:type="dxa"/>
            <w:vAlign w:val="center"/>
          </w:tcPr>
          <w:p w:rsidR="00CA0174" w:rsidRDefault="00C10923">
            <w:pPr>
              <w:jc w:val="right"/>
            </w:pPr>
            <w:r>
              <w:rPr>
                <w:rFonts w:eastAsiaTheme="minorEastAsia"/>
                <w:color w:val="000000" w:themeColor="text1"/>
                <w:szCs w:val="21"/>
              </w:rPr>
              <w:t>-</w:t>
            </w:r>
          </w:p>
        </w:tc>
        <w:tc>
          <w:tcPr>
            <w:tcW w:w="1291" w:type="dxa"/>
            <w:vAlign w:val="center"/>
          </w:tcPr>
          <w:p w:rsidR="00CA0174" w:rsidRDefault="00C10923">
            <w:pPr>
              <w:jc w:val="right"/>
            </w:pPr>
            <w:r>
              <w:rPr>
                <w:rFonts w:eastAsiaTheme="minorEastAsia"/>
                <w:color w:val="000000" w:themeColor="text1"/>
                <w:szCs w:val="21"/>
              </w:rPr>
              <w:t>-</w:t>
            </w:r>
          </w:p>
        </w:tc>
      </w:tr>
      <w:tr w:rsidR="00CA0174">
        <w:tc>
          <w:tcPr>
            <w:tcW w:w="1290" w:type="dxa"/>
            <w:vAlign w:val="center"/>
          </w:tcPr>
          <w:p w:rsidR="00CA0174" w:rsidRDefault="00C10923">
            <w:pPr>
              <w:jc w:val="left"/>
            </w:pPr>
            <w:r>
              <w:rPr>
                <w:rFonts w:eastAsiaTheme="minorEastAsia"/>
                <w:color w:val="000000" w:themeColor="text1"/>
                <w:szCs w:val="21"/>
              </w:rPr>
              <w:t>过去五年</w:t>
            </w:r>
          </w:p>
        </w:tc>
        <w:tc>
          <w:tcPr>
            <w:tcW w:w="1291" w:type="dxa"/>
            <w:vAlign w:val="center"/>
          </w:tcPr>
          <w:p w:rsidR="00CA0174" w:rsidRDefault="00C10923">
            <w:pPr>
              <w:jc w:val="right"/>
            </w:pPr>
            <w:r>
              <w:rPr>
                <w:rFonts w:eastAsiaTheme="minorEastAsia"/>
                <w:color w:val="000000" w:themeColor="text1"/>
                <w:szCs w:val="21"/>
              </w:rPr>
              <w:t>-</w:t>
            </w:r>
          </w:p>
        </w:tc>
        <w:tc>
          <w:tcPr>
            <w:tcW w:w="1291" w:type="dxa"/>
            <w:vAlign w:val="center"/>
          </w:tcPr>
          <w:p w:rsidR="00CA0174" w:rsidRDefault="00C10923">
            <w:pPr>
              <w:jc w:val="right"/>
            </w:pPr>
            <w:r>
              <w:rPr>
                <w:rFonts w:eastAsiaTheme="minorEastAsia"/>
                <w:color w:val="000000" w:themeColor="text1"/>
                <w:szCs w:val="21"/>
              </w:rPr>
              <w:t>-</w:t>
            </w:r>
          </w:p>
        </w:tc>
        <w:tc>
          <w:tcPr>
            <w:tcW w:w="1291" w:type="dxa"/>
            <w:vAlign w:val="center"/>
          </w:tcPr>
          <w:p w:rsidR="00CA0174" w:rsidRDefault="00C10923">
            <w:pPr>
              <w:jc w:val="right"/>
            </w:pPr>
            <w:r>
              <w:rPr>
                <w:rFonts w:eastAsiaTheme="minorEastAsia"/>
                <w:color w:val="000000" w:themeColor="text1"/>
                <w:szCs w:val="21"/>
              </w:rPr>
              <w:t>-</w:t>
            </w:r>
          </w:p>
        </w:tc>
        <w:tc>
          <w:tcPr>
            <w:tcW w:w="1291" w:type="dxa"/>
            <w:vAlign w:val="center"/>
          </w:tcPr>
          <w:p w:rsidR="00CA0174" w:rsidRDefault="00C10923">
            <w:pPr>
              <w:jc w:val="right"/>
            </w:pPr>
            <w:r>
              <w:rPr>
                <w:rFonts w:eastAsiaTheme="minorEastAsia"/>
                <w:color w:val="000000" w:themeColor="text1"/>
                <w:szCs w:val="21"/>
              </w:rPr>
              <w:t>-</w:t>
            </w:r>
          </w:p>
        </w:tc>
        <w:tc>
          <w:tcPr>
            <w:tcW w:w="1291" w:type="dxa"/>
            <w:vAlign w:val="center"/>
          </w:tcPr>
          <w:p w:rsidR="00CA0174" w:rsidRDefault="00C10923">
            <w:pPr>
              <w:jc w:val="right"/>
            </w:pPr>
            <w:r>
              <w:rPr>
                <w:rFonts w:eastAsiaTheme="minorEastAsia"/>
                <w:color w:val="000000" w:themeColor="text1"/>
                <w:szCs w:val="21"/>
              </w:rPr>
              <w:t>-</w:t>
            </w:r>
          </w:p>
        </w:tc>
        <w:tc>
          <w:tcPr>
            <w:tcW w:w="1291" w:type="dxa"/>
            <w:vAlign w:val="center"/>
          </w:tcPr>
          <w:p w:rsidR="00CA0174" w:rsidRDefault="00C10923">
            <w:pPr>
              <w:jc w:val="right"/>
            </w:pPr>
            <w:r>
              <w:rPr>
                <w:rFonts w:eastAsiaTheme="minorEastAsia"/>
                <w:color w:val="000000" w:themeColor="text1"/>
                <w:szCs w:val="21"/>
              </w:rPr>
              <w:t>-</w:t>
            </w:r>
          </w:p>
        </w:tc>
      </w:tr>
      <w:tr w:rsidR="00CA0174">
        <w:tc>
          <w:tcPr>
            <w:tcW w:w="1290" w:type="dxa"/>
            <w:vAlign w:val="center"/>
          </w:tcPr>
          <w:p w:rsidR="00CA0174" w:rsidRDefault="00C10923">
            <w:pPr>
              <w:jc w:val="left"/>
            </w:pPr>
            <w:r>
              <w:rPr>
                <w:rFonts w:eastAsiaTheme="minorEastAsia"/>
                <w:color w:val="000000" w:themeColor="text1"/>
                <w:szCs w:val="21"/>
              </w:rPr>
              <w:lastRenderedPageBreak/>
              <w:t>自基金合同生效起至今</w:t>
            </w:r>
          </w:p>
        </w:tc>
        <w:tc>
          <w:tcPr>
            <w:tcW w:w="1291" w:type="dxa"/>
            <w:vAlign w:val="center"/>
          </w:tcPr>
          <w:p w:rsidR="00CA0174" w:rsidRDefault="00C10923">
            <w:pPr>
              <w:jc w:val="right"/>
            </w:pPr>
            <w:r>
              <w:rPr>
                <w:rFonts w:eastAsiaTheme="minorEastAsia"/>
                <w:color w:val="000000" w:themeColor="text1"/>
                <w:szCs w:val="21"/>
              </w:rPr>
              <w:t>-19.55%</w:t>
            </w:r>
          </w:p>
        </w:tc>
        <w:tc>
          <w:tcPr>
            <w:tcW w:w="1291" w:type="dxa"/>
            <w:vAlign w:val="center"/>
          </w:tcPr>
          <w:p w:rsidR="00CA0174" w:rsidRDefault="00C10923">
            <w:pPr>
              <w:jc w:val="right"/>
            </w:pPr>
            <w:r>
              <w:rPr>
                <w:rFonts w:eastAsiaTheme="minorEastAsia"/>
                <w:color w:val="000000" w:themeColor="text1"/>
                <w:szCs w:val="21"/>
              </w:rPr>
              <w:t>1.10%</w:t>
            </w:r>
          </w:p>
        </w:tc>
        <w:tc>
          <w:tcPr>
            <w:tcW w:w="1291" w:type="dxa"/>
            <w:vAlign w:val="center"/>
          </w:tcPr>
          <w:p w:rsidR="00CA0174" w:rsidRDefault="00C10923">
            <w:pPr>
              <w:jc w:val="right"/>
            </w:pPr>
            <w:r>
              <w:rPr>
                <w:rFonts w:eastAsiaTheme="minorEastAsia"/>
                <w:color w:val="000000" w:themeColor="text1"/>
                <w:szCs w:val="21"/>
              </w:rPr>
              <w:t>-11.40%</w:t>
            </w:r>
          </w:p>
        </w:tc>
        <w:tc>
          <w:tcPr>
            <w:tcW w:w="1291" w:type="dxa"/>
            <w:vAlign w:val="center"/>
          </w:tcPr>
          <w:p w:rsidR="00CA0174" w:rsidRDefault="00C10923">
            <w:pPr>
              <w:jc w:val="right"/>
            </w:pPr>
            <w:r>
              <w:rPr>
                <w:rFonts w:eastAsiaTheme="minorEastAsia"/>
                <w:color w:val="000000" w:themeColor="text1"/>
                <w:szCs w:val="21"/>
              </w:rPr>
              <w:t>1.05%</w:t>
            </w:r>
          </w:p>
        </w:tc>
        <w:tc>
          <w:tcPr>
            <w:tcW w:w="1291" w:type="dxa"/>
            <w:vAlign w:val="center"/>
          </w:tcPr>
          <w:p w:rsidR="00CA0174" w:rsidRDefault="00C10923">
            <w:pPr>
              <w:jc w:val="right"/>
            </w:pPr>
            <w:r>
              <w:rPr>
                <w:rFonts w:eastAsiaTheme="minorEastAsia"/>
                <w:color w:val="000000" w:themeColor="text1"/>
                <w:szCs w:val="21"/>
              </w:rPr>
              <w:t>-8.15%</w:t>
            </w:r>
          </w:p>
        </w:tc>
        <w:tc>
          <w:tcPr>
            <w:tcW w:w="1291" w:type="dxa"/>
            <w:vAlign w:val="center"/>
          </w:tcPr>
          <w:p w:rsidR="00CA0174" w:rsidRDefault="00C10923">
            <w:pPr>
              <w:jc w:val="right"/>
            </w:pPr>
            <w:r>
              <w:rPr>
                <w:rFonts w:eastAsiaTheme="minorEastAsia"/>
                <w:color w:val="000000" w:themeColor="text1"/>
                <w:szCs w:val="21"/>
              </w:rPr>
              <w:t>0.05%</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摩根全景优势股票型证券投资基金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(2022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11</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．摩根全景优势股票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C10923" w:rsidRDefault="00C1092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w:t>
      </w:r>
      <w:r w:rsidRPr="00C10923">
        <w:rPr>
          <w:rFonts w:eastAsiaTheme="minorEastAsia" w:hint="eastAsia"/>
          <w:color w:val="000000" w:themeColor="text1"/>
          <w:szCs w:val="21"/>
        </w:rPr>
        <w:t>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．摩根全景优势股票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C10923" w:rsidRDefault="00C10923">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11</w:t>
      </w:r>
      <w:r>
        <w:rPr>
          <w:rFonts w:eastAsiaTheme="minorEastAsia"/>
          <w:color w:val="000000" w:themeColor="text1"/>
          <w:szCs w:val="21"/>
        </w:rPr>
        <w:t>日，</w:t>
      </w:r>
      <w:r w:rsidRPr="00C10923">
        <w:rPr>
          <w:rFonts w:eastAsiaTheme="minorEastAsia" w:hint="eastAsia"/>
          <w:color w:val="000000" w:themeColor="text1"/>
          <w:szCs w:val="21"/>
        </w:rPr>
        <w:t>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CA0174">
        <w:tc>
          <w:tcPr>
            <w:tcW w:w="952" w:type="dxa"/>
            <w:vAlign w:val="center"/>
          </w:tcPr>
          <w:p w:rsidR="00CA0174" w:rsidRDefault="00C10923">
            <w:pPr>
              <w:jc w:val="center"/>
            </w:pPr>
            <w:r>
              <w:rPr>
                <w:rFonts w:eastAsiaTheme="minorEastAsia"/>
                <w:color w:val="000000" w:themeColor="text1"/>
                <w:szCs w:val="21"/>
              </w:rPr>
              <w:t>倪权生</w:t>
            </w:r>
          </w:p>
        </w:tc>
        <w:tc>
          <w:tcPr>
            <w:tcW w:w="930" w:type="dxa"/>
            <w:vAlign w:val="center"/>
          </w:tcPr>
          <w:p w:rsidR="00CA0174" w:rsidRDefault="00C10923">
            <w:pPr>
              <w:jc w:val="center"/>
            </w:pPr>
            <w:r>
              <w:rPr>
                <w:rFonts w:eastAsiaTheme="minorEastAsia"/>
                <w:color w:val="000000" w:themeColor="text1"/>
                <w:szCs w:val="21"/>
              </w:rPr>
              <w:t>本基金基金经理</w:t>
            </w:r>
          </w:p>
        </w:tc>
        <w:tc>
          <w:tcPr>
            <w:tcW w:w="1210" w:type="dxa"/>
            <w:vAlign w:val="center"/>
          </w:tcPr>
          <w:p w:rsidR="00CA0174" w:rsidRDefault="00C10923">
            <w:pPr>
              <w:jc w:val="center"/>
            </w:pPr>
            <w:r>
              <w:rPr>
                <w:rFonts w:eastAsiaTheme="minorEastAsia"/>
                <w:color w:val="000000" w:themeColor="text1"/>
                <w:szCs w:val="21"/>
              </w:rPr>
              <w:t>2022-01-11</w:t>
            </w:r>
          </w:p>
        </w:tc>
        <w:tc>
          <w:tcPr>
            <w:tcW w:w="1309" w:type="dxa"/>
            <w:vAlign w:val="center"/>
          </w:tcPr>
          <w:p w:rsidR="00CA0174" w:rsidRDefault="00C10923">
            <w:pPr>
              <w:jc w:val="center"/>
            </w:pPr>
            <w:r>
              <w:rPr>
                <w:rFonts w:eastAsiaTheme="minorEastAsia"/>
                <w:color w:val="000000" w:themeColor="text1"/>
                <w:szCs w:val="21"/>
              </w:rPr>
              <w:t>-</w:t>
            </w:r>
          </w:p>
        </w:tc>
        <w:tc>
          <w:tcPr>
            <w:tcW w:w="1254" w:type="dxa"/>
            <w:vAlign w:val="center"/>
          </w:tcPr>
          <w:p w:rsidR="00CA0174" w:rsidRDefault="00C10923">
            <w:pPr>
              <w:jc w:val="center"/>
            </w:pPr>
            <w:r>
              <w:rPr>
                <w:rFonts w:eastAsiaTheme="minorEastAsia"/>
                <w:color w:val="000000" w:themeColor="text1"/>
                <w:szCs w:val="21"/>
              </w:rPr>
              <w:t>12</w:t>
            </w:r>
            <w:r>
              <w:rPr>
                <w:rFonts w:eastAsiaTheme="minorEastAsia"/>
                <w:color w:val="000000" w:themeColor="text1"/>
                <w:szCs w:val="21"/>
              </w:rPr>
              <w:t>年</w:t>
            </w:r>
          </w:p>
        </w:tc>
        <w:tc>
          <w:tcPr>
            <w:tcW w:w="3276" w:type="dxa"/>
            <w:vAlign w:val="center"/>
          </w:tcPr>
          <w:p w:rsidR="00CA0174" w:rsidRDefault="00C10923">
            <w:r>
              <w:rPr>
                <w:rFonts w:eastAsiaTheme="minorEastAsia"/>
                <w:color w:val="000000" w:themeColor="text1"/>
                <w:szCs w:val="21"/>
              </w:rPr>
              <w:t>倪权生先生曾任博时基金管理有限公司高级研究员，浙商基金管理有限公司投资经理助理、基金经理</w:t>
            </w:r>
            <w:r>
              <w:rPr>
                <w:rFonts w:eastAsiaTheme="minorEastAsia"/>
                <w:color w:val="000000" w:themeColor="text1"/>
                <w:szCs w:val="21"/>
              </w:rPr>
              <w:t>/</w:t>
            </w:r>
            <w:r>
              <w:rPr>
                <w:rFonts w:eastAsiaTheme="minorEastAsia"/>
                <w:color w:val="000000" w:themeColor="text1"/>
                <w:szCs w:val="21"/>
              </w:rPr>
              <w:t>股票投资部副总经理。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月起加入摩根基金管理（中国）有限公司（原上投摩根基金管理有限公司），历任领先组副组长兼资深基金经理，现任国内权益投资部均衡组组长兼资深基金经理。</w:t>
            </w:r>
          </w:p>
        </w:tc>
      </w:tr>
    </w:tbl>
    <w:p w:rsidR="00CA0174" w:rsidRDefault="00C1092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CA0174" w:rsidRDefault="00C1092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倪权生先生为本基金首任基金经理，其任职日期指本基金基金合同生效之日。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3.</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倪权生</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2,763,088,423.98</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2015-03-30</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54,027,950.96</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2021-04-12</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6</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2,817,116,374.94</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CA0174" w:rsidRDefault="00C1092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CA0174" w:rsidRDefault="00C10923">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CA0174" w:rsidRDefault="00C1092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CA0174" w:rsidRDefault="00C10923">
      <w:pPr>
        <w:spacing w:line="360" w:lineRule="auto"/>
        <w:ind w:firstLineChars="200" w:firstLine="420"/>
        <w:rPr>
          <w:rFonts w:eastAsiaTheme="minorEastAsia"/>
          <w:color w:val="000000" w:themeColor="text1"/>
          <w:szCs w:val="21"/>
        </w:rPr>
      </w:pPr>
      <w:r>
        <w:rPr>
          <w:rFonts w:eastAsiaTheme="minorEastAsia"/>
          <w:color w:val="000000" w:themeColor="text1"/>
          <w:szCs w:val="21"/>
        </w:rPr>
        <w:t>随着疫情影响的消退，市场对经济复苏的预期在今年一季度早期有所提升，但在当前内外部经济环境形势下，较为强劲的复苏存在难度，市场预期也逐步由强复苏向弱复苏调整。从实际跟踪情况看，经济活动从呈现一定复苏态势，但在海外需求偏弱、库存偏高的背景下，外需仍然偏疲软。内需方面，居民出行活动有着较为明显的恢复，地产销售在</w:t>
      </w:r>
      <w:r>
        <w:rPr>
          <w:rFonts w:eastAsiaTheme="minorEastAsia"/>
          <w:color w:val="000000" w:themeColor="text1"/>
          <w:szCs w:val="21"/>
        </w:rPr>
        <w:t>3</w:t>
      </w:r>
      <w:r>
        <w:rPr>
          <w:rFonts w:eastAsiaTheme="minorEastAsia"/>
          <w:color w:val="000000" w:themeColor="text1"/>
          <w:szCs w:val="21"/>
        </w:rPr>
        <w:t>月份看到起色，但投资的提升仍有待观察。</w:t>
      </w:r>
    </w:p>
    <w:p w:rsidR="00CA0174" w:rsidRDefault="00C10923">
      <w:pPr>
        <w:spacing w:line="360" w:lineRule="auto"/>
        <w:ind w:firstLineChars="200" w:firstLine="420"/>
        <w:rPr>
          <w:rFonts w:eastAsiaTheme="minorEastAsia"/>
          <w:color w:val="000000" w:themeColor="text1"/>
          <w:szCs w:val="21"/>
        </w:rPr>
      </w:pPr>
      <w:r>
        <w:rPr>
          <w:rFonts w:eastAsiaTheme="minorEastAsia"/>
          <w:color w:val="000000" w:themeColor="text1"/>
          <w:szCs w:val="21"/>
        </w:rPr>
        <w:t>从股票市场的表现来看，一季度前期对经济复苏有着较高预期，顺周期方向表现较好，但随着市场对经济增速预期的下修，顺周期板块表现开始回落。而一季度后半期，随着新技术或新应用场景带来的投资机会快速吸引市场关注，其中以人工智能驱动的行业板块表现尤为突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后市，我们认为尽管经济处于恢复通道中，但市场对经济增长的预期已经处于较弱的位置，顺周期相关板块下行空间有限，我们将进一步跟踪宏观经济的修正速度，并重点关注其中供需格局较好的行业板块。而在新技术应用方面，我们持续看好数字经济大背景下，数字相关产业在经济结构中变化带来的投资机会，信息化、安全性、数字基建等多重因素叠加的软硬件需求有望在未来几年持续增长，尽管短期市场情绪较高，但相关板块的积极变化仍有望在未来持续提升估值。大消费方面，我们重点关注需求复苏、政策支持的医药细分领域，如中药等，这些领域受宏观经济影响较小，需求恢复刚性较强，且受到政策支持，板块整体估值仍然不高。对于市场关注度较高的国企改革和估值，我们认为结合行业景气度和公司治理的改善可以寻找到较好的投资机会，这类公司治理变化带来的经营效率和财报质量的改善值得关注。</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CA0174" w:rsidRDefault="00C1092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:2.94%</w:t>
      </w:r>
      <w:r>
        <w:rPr>
          <w:rFonts w:eastAsiaTheme="minorEastAsia"/>
          <w:color w:val="000000" w:themeColor="text1"/>
          <w:szCs w:val="21"/>
        </w:rPr>
        <w:t>，同期业绩比较基准收益率为</w:t>
      </w:r>
      <w:r>
        <w:rPr>
          <w:rFonts w:eastAsiaTheme="minorEastAsia"/>
          <w:color w:val="000000" w:themeColor="text1"/>
          <w:szCs w:val="21"/>
        </w:rPr>
        <w:t>:3.67%</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:2.81%</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:3.67%</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196,372,920.20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85.15</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196,372,920.20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85.15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34,195,028.75</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14.83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62,379.53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0.03</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230,630,328.48</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注：本基金本报告期末通过港股通交易机制投资的港股公允价值为人民币</w:t>
      </w:r>
      <w:r w:rsidRPr="00B27A29">
        <w:rPr>
          <w:rFonts w:eastAsiaTheme="minorEastAsia"/>
          <w:color w:val="000000" w:themeColor="text1"/>
          <w:szCs w:val="21"/>
        </w:rPr>
        <w:t>13429244.61</w:t>
      </w:r>
      <w:r w:rsidRPr="00B27A29">
        <w:rPr>
          <w:rFonts w:eastAsiaTheme="minorEastAsia"/>
          <w:color w:val="000000" w:themeColor="text1"/>
          <w:szCs w:val="21"/>
        </w:rPr>
        <w:t>元，占期末净值比例为</w:t>
      </w:r>
      <w:r w:rsidRPr="00B27A29">
        <w:rPr>
          <w:rFonts w:eastAsiaTheme="minorEastAsia"/>
          <w:color w:val="000000" w:themeColor="text1"/>
          <w:szCs w:val="21"/>
        </w:rPr>
        <w:t>5.96%</w:t>
      </w:r>
      <w:r w:rsidRPr="00B27A29">
        <w:rPr>
          <w:rFonts w:eastAsiaTheme="minorEastAsia"/>
          <w:color w:val="000000" w:themeColor="text1"/>
          <w:szCs w:val="21"/>
        </w:rPr>
        <w:t>。</w:t>
      </w:r>
      <w:r w:rsidRPr="00B27A29">
        <w:rPr>
          <w:rFonts w:eastAsiaTheme="minorEastAsia"/>
          <w:color w:val="000000" w:themeColor="text1"/>
          <w:szCs w:val="21"/>
        </w:rPr>
        <w:t xml:space="preserve">  </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670,320.00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0.30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4,981,722.00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2.21</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119,303,955.94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52.93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13,312,229.60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5.91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3,307,659.60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1.47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40,496,460.45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17.97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871,328.00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0.39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182,943,675.59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81.16</w:t>
            </w:r>
          </w:p>
        </w:tc>
      </w:tr>
    </w:tbl>
    <w:p w:rsidR="005E6DF3" w:rsidRPr="00B27A29" w:rsidRDefault="005C671B">
      <w:pPr>
        <w:jc w:val="left"/>
        <w:rPr>
          <w:b/>
        </w:rPr>
      </w:pPr>
      <w:r w:rsidRPr="00B27A29">
        <w:rPr>
          <w:rFonts w:eastAsiaTheme="minorEastAsia"/>
          <w:b/>
          <w:color w:val="000000" w:themeColor="text1"/>
          <w:szCs w:val="21"/>
        </w:rPr>
        <w:t xml:space="preserve"> </w:t>
      </w:r>
      <w:r w:rsidRPr="00B27A29">
        <w:rPr>
          <w:b/>
          <w:kern w:val="0"/>
          <w:szCs w:val="21"/>
        </w:rPr>
        <w:t>5.2.2</w:t>
      </w:r>
      <w:r w:rsidRPr="00B27A29">
        <w:rPr>
          <w:b/>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行业类别</w:t>
            </w:r>
          </w:p>
        </w:tc>
        <w:tc>
          <w:tcPr>
            <w:tcW w:w="311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公允价值（人民币）</w:t>
            </w:r>
          </w:p>
        </w:tc>
        <w:tc>
          <w:tcPr>
            <w:tcW w:w="3118"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p>
        </w:tc>
      </w:tr>
      <w:tr w:rsidR="00CA0174">
        <w:trPr>
          <w:jc w:val="center"/>
        </w:trPr>
        <w:tc>
          <w:tcPr>
            <w:tcW w:w="2397" w:type="dxa"/>
            <w:vAlign w:val="center"/>
          </w:tcPr>
          <w:p w:rsidR="00CA0174" w:rsidRDefault="00C10923">
            <w:pPr>
              <w:jc w:val="center"/>
            </w:pPr>
            <w:r>
              <w:rPr>
                <w:rFonts w:eastAsiaTheme="minorEastAsia"/>
                <w:color w:val="000000" w:themeColor="text1"/>
                <w:szCs w:val="21"/>
              </w:rPr>
              <w:t>A</w:t>
            </w:r>
            <w:r>
              <w:rPr>
                <w:rFonts w:eastAsiaTheme="minorEastAsia"/>
                <w:color w:val="000000" w:themeColor="text1"/>
                <w:szCs w:val="21"/>
              </w:rPr>
              <w:t>基础材料</w:t>
            </w:r>
          </w:p>
        </w:tc>
        <w:tc>
          <w:tcPr>
            <w:tcW w:w="3119" w:type="dxa"/>
            <w:vAlign w:val="center"/>
          </w:tcPr>
          <w:p w:rsidR="00CA0174" w:rsidRDefault="00C10923">
            <w:pPr>
              <w:jc w:val="center"/>
            </w:pPr>
            <w:r>
              <w:rPr>
                <w:rFonts w:eastAsiaTheme="minorEastAsia"/>
                <w:color w:val="000000" w:themeColor="text1"/>
                <w:szCs w:val="21"/>
              </w:rPr>
              <w:t>4,305,336.41</w:t>
            </w:r>
          </w:p>
        </w:tc>
        <w:tc>
          <w:tcPr>
            <w:tcW w:w="3118" w:type="dxa"/>
            <w:vAlign w:val="center"/>
          </w:tcPr>
          <w:p w:rsidR="00CA0174" w:rsidRDefault="00C10923">
            <w:pPr>
              <w:jc w:val="center"/>
            </w:pPr>
            <w:r>
              <w:rPr>
                <w:rFonts w:eastAsiaTheme="minorEastAsia"/>
                <w:color w:val="000000" w:themeColor="text1"/>
                <w:szCs w:val="21"/>
              </w:rPr>
              <w:t>1.91</w:t>
            </w:r>
          </w:p>
        </w:tc>
      </w:tr>
      <w:tr w:rsidR="00CA0174">
        <w:trPr>
          <w:jc w:val="center"/>
        </w:trPr>
        <w:tc>
          <w:tcPr>
            <w:tcW w:w="2397" w:type="dxa"/>
            <w:vAlign w:val="center"/>
          </w:tcPr>
          <w:p w:rsidR="00CA0174" w:rsidRDefault="00C10923">
            <w:pPr>
              <w:jc w:val="center"/>
            </w:pPr>
            <w:r>
              <w:rPr>
                <w:rFonts w:eastAsiaTheme="minorEastAsia"/>
                <w:color w:val="000000" w:themeColor="text1"/>
                <w:szCs w:val="21"/>
              </w:rPr>
              <w:t>B</w:t>
            </w:r>
            <w:r>
              <w:rPr>
                <w:rFonts w:eastAsiaTheme="minorEastAsia"/>
                <w:color w:val="000000" w:themeColor="text1"/>
                <w:szCs w:val="21"/>
              </w:rPr>
              <w:t>消费者非必需品</w:t>
            </w:r>
          </w:p>
        </w:tc>
        <w:tc>
          <w:tcPr>
            <w:tcW w:w="3119" w:type="dxa"/>
            <w:vAlign w:val="center"/>
          </w:tcPr>
          <w:p w:rsidR="00CA0174" w:rsidRDefault="00C10923">
            <w:pPr>
              <w:jc w:val="center"/>
            </w:pPr>
            <w:r>
              <w:rPr>
                <w:rFonts w:eastAsiaTheme="minorEastAsia"/>
                <w:color w:val="000000" w:themeColor="text1"/>
                <w:szCs w:val="21"/>
              </w:rPr>
              <w:t>3,206,049.06</w:t>
            </w:r>
          </w:p>
        </w:tc>
        <w:tc>
          <w:tcPr>
            <w:tcW w:w="3118" w:type="dxa"/>
            <w:vAlign w:val="center"/>
          </w:tcPr>
          <w:p w:rsidR="00CA0174" w:rsidRDefault="00C10923">
            <w:pPr>
              <w:jc w:val="center"/>
            </w:pPr>
            <w:r>
              <w:rPr>
                <w:rFonts w:eastAsiaTheme="minorEastAsia"/>
                <w:color w:val="000000" w:themeColor="text1"/>
                <w:szCs w:val="21"/>
              </w:rPr>
              <w:t>1.42</w:t>
            </w:r>
          </w:p>
        </w:tc>
      </w:tr>
      <w:tr w:rsidR="00CA0174">
        <w:trPr>
          <w:jc w:val="center"/>
        </w:trPr>
        <w:tc>
          <w:tcPr>
            <w:tcW w:w="2397" w:type="dxa"/>
            <w:vAlign w:val="center"/>
          </w:tcPr>
          <w:p w:rsidR="00CA0174" w:rsidRDefault="00C10923">
            <w:pPr>
              <w:jc w:val="center"/>
            </w:pPr>
            <w:r>
              <w:rPr>
                <w:rFonts w:eastAsiaTheme="minorEastAsia"/>
                <w:color w:val="000000" w:themeColor="text1"/>
                <w:szCs w:val="21"/>
              </w:rPr>
              <w:t>C</w:t>
            </w:r>
            <w:r>
              <w:rPr>
                <w:rFonts w:eastAsiaTheme="minorEastAsia"/>
                <w:color w:val="000000" w:themeColor="text1"/>
                <w:szCs w:val="21"/>
              </w:rPr>
              <w:t>消费者常用品</w:t>
            </w:r>
          </w:p>
        </w:tc>
        <w:tc>
          <w:tcPr>
            <w:tcW w:w="3119" w:type="dxa"/>
            <w:vAlign w:val="center"/>
          </w:tcPr>
          <w:p w:rsidR="00CA0174" w:rsidRDefault="00C10923">
            <w:pPr>
              <w:jc w:val="center"/>
            </w:pPr>
            <w:r>
              <w:rPr>
                <w:rFonts w:eastAsiaTheme="minorEastAsia"/>
                <w:color w:val="000000" w:themeColor="text1"/>
                <w:szCs w:val="21"/>
              </w:rPr>
              <w:t>-</w:t>
            </w:r>
          </w:p>
        </w:tc>
        <w:tc>
          <w:tcPr>
            <w:tcW w:w="3118" w:type="dxa"/>
            <w:vAlign w:val="center"/>
          </w:tcPr>
          <w:p w:rsidR="00CA0174" w:rsidRDefault="00C10923">
            <w:pPr>
              <w:jc w:val="center"/>
            </w:pPr>
            <w:r>
              <w:rPr>
                <w:rFonts w:eastAsiaTheme="minorEastAsia"/>
                <w:color w:val="000000" w:themeColor="text1"/>
                <w:szCs w:val="21"/>
              </w:rPr>
              <w:t>-</w:t>
            </w:r>
          </w:p>
        </w:tc>
      </w:tr>
      <w:tr w:rsidR="00CA0174">
        <w:trPr>
          <w:jc w:val="center"/>
        </w:trPr>
        <w:tc>
          <w:tcPr>
            <w:tcW w:w="2397" w:type="dxa"/>
            <w:vAlign w:val="center"/>
          </w:tcPr>
          <w:p w:rsidR="00CA0174" w:rsidRDefault="00C10923">
            <w:pPr>
              <w:jc w:val="center"/>
            </w:pPr>
            <w:r>
              <w:rPr>
                <w:rFonts w:eastAsiaTheme="minorEastAsia"/>
                <w:color w:val="000000" w:themeColor="text1"/>
                <w:szCs w:val="21"/>
              </w:rPr>
              <w:t>D</w:t>
            </w:r>
            <w:r>
              <w:rPr>
                <w:rFonts w:eastAsiaTheme="minorEastAsia"/>
                <w:color w:val="000000" w:themeColor="text1"/>
                <w:szCs w:val="21"/>
              </w:rPr>
              <w:t>能源</w:t>
            </w:r>
          </w:p>
        </w:tc>
        <w:tc>
          <w:tcPr>
            <w:tcW w:w="3119" w:type="dxa"/>
            <w:vAlign w:val="center"/>
          </w:tcPr>
          <w:p w:rsidR="00CA0174" w:rsidRDefault="00C10923">
            <w:pPr>
              <w:jc w:val="center"/>
            </w:pPr>
            <w:r>
              <w:rPr>
                <w:rFonts w:eastAsiaTheme="minorEastAsia"/>
                <w:color w:val="000000" w:themeColor="text1"/>
                <w:szCs w:val="21"/>
              </w:rPr>
              <w:t>-</w:t>
            </w:r>
          </w:p>
        </w:tc>
        <w:tc>
          <w:tcPr>
            <w:tcW w:w="3118" w:type="dxa"/>
            <w:vAlign w:val="center"/>
          </w:tcPr>
          <w:p w:rsidR="00CA0174" w:rsidRDefault="00C10923">
            <w:pPr>
              <w:jc w:val="center"/>
            </w:pPr>
            <w:r>
              <w:rPr>
                <w:rFonts w:eastAsiaTheme="minorEastAsia"/>
                <w:color w:val="000000" w:themeColor="text1"/>
                <w:szCs w:val="21"/>
              </w:rPr>
              <w:t>-</w:t>
            </w:r>
          </w:p>
        </w:tc>
      </w:tr>
      <w:tr w:rsidR="00CA0174">
        <w:trPr>
          <w:jc w:val="center"/>
        </w:trPr>
        <w:tc>
          <w:tcPr>
            <w:tcW w:w="2397" w:type="dxa"/>
            <w:vAlign w:val="center"/>
          </w:tcPr>
          <w:p w:rsidR="00CA0174" w:rsidRDefault="00C10923">
            <w:pPr>
              <w:jc w:val="center"/>
            </w:pPr>
            <w:r>
              <w:rPr>
                <w:rFonts w:eastAsiaTheme="minorEastAsia"/>
                <w:color w:val="000000" w:themeColor="text1"/>
                <w:szCs w:val="21"/>
              </w:rPr>
              <w:t>E</w:t>
            </w:r>
            <w:r>
              <w:rPr>
                <w:rFonts w:eastAsiaTheme="minorEastAsia"/>
                <w:color w:val="000000" w:themeColor="text1"/>
                <w:szCs w:val="21"/>
              </w:rPr>
              <w:t>金融</w:t>
            </w:r>
          </w:p>
        </w:tc>
        <w:tc>
          <w:tcPr>
            <w:tcW w:w="3119" w:type="dxa"/>
            <w:vAlign w:val="center"/>
          </w:tcPr>
          <w:p w:rsidR="00CA0174" w:rsidRDefault="00C10923">
            <w:pPr>
              <w:jc w:val="center"/>
            </w:pPr>
            <w:r>
              <w:rPr>
                <w:rFonts w:eastAsiaTheme="minorEastAsia"/>
                <w:color w:val="000000" w:themeColor="text1"/>
                <w:szCs w:val="21"/>
              </w:rPr>
              <w:t>-</w:t>
            </w:r>
          </w:p>
        </w:tc>
        <w:tc>
          <w:tcPr>
            <w:tcW w:w="3118" w:type="dxa"/>
            <w:vAlign w:val="center"/>
          </w:tcPr>
          <w:p w:rsidR="00CA0174" w:rsidRDefault="00C10923">
            <w:pPr>
              <w:jc w:val="center"/>
            </w:pPr>
            <w:r>
              <w:rPr>
                <w:rFonts w:eastAsiaTheme="minorEastAsia"/>
                <w:color w:val="000000" w:themeColor="text1"/>
                <w:szCs w:val="21"/>
              </w:rPr>
              <w:t>-</w:t>
            </w:r>
          </w:p>
        </w:tc>
      </w:tr>
      <w:tr w:rsidR="00CA0174">
        <w:trPr>
          <w:jc w:val="center"/>
        </w:trPr>
        <w:tc>
          <w:tcPr>
            <w:tcW w:w="2397" w:type="dxa"/>
            <w:vAlign w:val="center"/>
          </w:tcPr>
          <w:p w:rsidR="00CA0174" w:rsidRDefault="00C10923">
            <w:pPr>
              <w:jc w:val="center"/>
            </w:pPr>
            <w:r>
              <w:rPr>
                <w:rFonts w:eastAsiaTheme="minorEastAsia"/>
                <w:color w:val="000000" w:themeColor="text1"/>
                <w:szCs w:val="21"/>
              </w:rPr>
              <w:t>F</w:t>
            </w:r>
            <w:r>
              <w:rPr>
                <w:rFonts w:eastAsiaTheme="minorEastAsia"/>
                <w:color w:val="000000" w:themeColor="text1"/>
                <w:szCs w:val="21"/>
              </w:rPr>
              <w:t>医疗保健</w:t>
            </w:r>
          </w:p>
        </w:tc>
        <w:tc>
          <w:tcPr>
            <w:tcW w:w="3119" w:type="dxa"/>
            <w:vAlign w:val="center"/>
          </w:tcPr>
          <w:p w:rsidR="00CA0174" w:rsidRDefault="00C10923">
            <w:pPr>
              <w:jc w:val="center"/>
            </w:pPr>
            <w:r>
              <w:rPr>
                <w:rFonts w:eastAsiaTheme="minorEastAsia"/>
                <w:color w:val="000000" w:themeColor="text1"/>
                <w:szCs w:val="21"/>
              </w:rPr>
              <w:t>-</w:t>
            </w:r>
          </w:p>
        </w:tc>
        <w:tc>
          <w:tcPr>
            <w:tcW w:w="3118" w:type="dxa"/>
            <w:vAlign w:val="center"/>
          </w:tcPr>
          <w:p w:rsidR="00CA0174" w:rsidRDefault="00C10923">
            <w:pPr>
              <w:jc w:val="center"/>
            </w:pPr>
            <w:r>
              <w:rPr>
                <w:rFonts w:eastAsiaTheme="minorEastAsia"/>
                <w:color w:val="000000" w:themeColor="text1"/>
                <w:szCs w:val="21"/>
              </w:rPr>
              <w:t>-</w:t>
            </w:r>
          </w:p>
        </w:tc>
      </w:tr>
      <w:tr w:rsidR="00CA0174">
        <w:trPr>
          <w:jc w:val="center"/>
        </w:trPr>
        <w:tc>
          <w:tcPr>
            <w:tcW w:w="2397" w:type="dxa"/>
            <w:vAlign w:val="center"/>
          </w:tcPr>
          <w:p w:rsidR="00CA0174" w:rsidRDefault="00C10923">
            <w:pPr>
              <w:jc w:val="center"/>
            </w:pPr>
            <w:r>
              <w:rPr>
                <w:rFonts w:eastAsiaTheme="minorEastAsia"/>
                <w:color w:val="000000" w:themeColor="text1"/>
                <w:szCs w:val="21"/>
              </w:rPr>
              <w:t>G</w:t>
            </w:r>
            <w:r>
              <w:rPr>
                <w:rFonts w:eastAsiaTheme="minorEastAsia"/>
                <w:color w:val="000000" w:themeColor="text1"/>
                <w:szCs w:val="21"/>
              </w:rPr>
              <w:t>工业</w:t>
            </w:r>
          </w:p>
        </w:tc>
        <w:tc>
          <w:tcPr>
            <w:tcW w:w="3119" w:type="dxa"/>
            <w:vAlign w:val="center"/>
          </w:tcPr>
          <w:p w:rsidR="00CA0174" w:rsidRDefault="00C10923">
            <w:pPr>
              <w:jc w:val="center"/>
            </w:pPr>
            <w:r>
              <w:rPr>
                <w:rFonts w:eastAsiaTheme="minorEastAsia"/>
                <w:color w:val="000000" w:themeColor="text1"/>
                <w:szCs w:val="21"/>
              </w:rPr>
              <w:t>-</w:t>
            </w:r>
          </w:p>
        </w:tc>
        <w:tc>
          <w:tcPr>
            <w:tcW w:w="3118" w:type="dxa"/>
            <w:vAlign w:val="center"/>
          </w:tcPr>
          <w:p w:rsidR="00CA0174" w:rsidRDefault="00C10923">
            <w:pPr>
              <w:jc w:val="center"/>
            </w:pPr>
            <w:r>
              <w:rPr>
                <w:rFonts w:eastAsiaTheme="minorEastAsia"/>
                <w:color w:val="000000" w:themeColor="text1"/>
                <w:szCs w:val="21"/>
              </w:rPr>
              <w:t>-</w:t>
            </w:r>
          </w:p>
        </w:tc>
      </w:tr>
      <w:tr w:rsidR="00CA0174">
        <w:trPr>
          <w:jc w:val="center"/>
        </w:trPr>
        <w:tc>
          <w:tcPr>
            <w:tcW w:w="2397" w:type="dxa"/>
            <w:vAlign w:val="center"/>
          </w:tcPr>
          <w:p w:rsidR="00CA0174" w:rsidRDefault="00C10923">
            <w:pPr>
              <w:jc w:val="center"/>
            </w:pPr>
            <w:r>
              <w:rPr>
                <w:rFonts w:eastAsiaTheme="minorEastAsia"/>
                <w:color w:val="000000" w:themeColor="text1"/>
                <w:szCs w:val="21"/>
              </w:rPr>
              <w:t>H</w:t>
            </w:r>
            <w:r>
              <w:rPr>
                <w:rFonts w:eastAsiaTheme="minorEastAsia"/>
                <w:color w:val="000000" w:themeColor="text1"/>
                <w:szCs w:val="21"/>
              </w:rPr>
              <w:t>信息技术</w:t>
            </w:r>
          </w:p>
        </w:tc>
        <w:tc>
          <w:tcPr>
            <w:tcW w:w="3119" w:type="dxa"/>
            <w:vAlign w:val="center"/>
          </w:tcPr>
          <w:p w:rsidR="00CA0174" w:rsidRDefault="00C10923">
            <w:pPr>
              <w:jc w:val="center"/>
            </w:pPr>
            <w:r>
              <w:rPr>
                <w:rFonts w:eastAsiaTheme="minorEastAsia"/>
                <w:color w:val="000000" w:themeColor="text1"/>
                <w:szCs w:val="21"/>
              </w:rPr>
              <w:t>1,966,380.96</w:t>
            </w:r>
          </w:p>
        </w:tc>
        <w:tc>
          <w:tcPr>
            <w:tcW w:w="3118" w:type="dxa"/>
            <w:vAlign w:val="center"/>
          </w:tcPr>
          <w:p w:rsidR="00CA0174" w:rsidRDefault="00C10923">
            <w:pPr>
              <w:jc w:val="center"/>
            </w:pPr>
            <w:r>
              <w:rPr>
                <w:rFonts w:eastAsiaTheme="minorEastAsia"/>
                <w:color w:val="000000" w:themeColor="text1"/>
                <w:szCs w:val="21"/>
              </w:rPr>
              <w:t>0.87</w:t>
            </w:r>
          </w:p>
        </w:tc>
      </w:tr>
      <w:tr w:rsidR="00CA0174">
        <w:trPr>
          <w:jc w:val="center"/>
        </w:trPr>
        <w:tc>
          <w:tcPr>
            <w:tcW w:w="2397" w:type="dxa"/>
            <w:vAlign w:val="center"/>
          </w:tcPr>
          <w:p w:rsidR="00CA0174" w:rsidRDefault="00C10923">
            <w:pPr>
              <w:jc w:val="center"/>
            </w:pPr>
            <w:r>
              <w:rPr>
                <w:rFonts w:eastAsiaTheme="minorEastAsia"/>
                <w:color w:val="000000" w:themeColor="text1"/>
                <w:szCs w:val="21"/>
              </w:rPr>
              <w:t>I</w:t>
            </w:r>
            <w:r>
              <w:rPr>
                <w:rFonts w:eastAsiaTheme="minorEastAsia"/>
                <w:color w:val="000000" w:themeColor="text1"/>
                <w:szCs w:val="21"/>
              </w:rPr>
              <w:t>电信服务</w:t>
            </w:r>
          </w:p>
        </w:tc>
        <w:tc>
          <w:tcPr>
            <w:tcW w:w="3119" w:type="dxa"/>
            <w:vAlign w:val="center"/>
          </w:tcPr>
          <w:p w:rsidR="00CA0174" w:rsidRDefault="00C10923">
            <w:pPr>
              <w:jc w:val="center"/>
            </w:pPr>
            <w:r>
              <w:rPr>
                <w:rFonts w:eastAsiaTheme="minorEastAsia"/>
                <w:color w:val="000000" w:themeColor="text1"/>
                <w:szCs w:val="21"/>
              </w:rPr>
              <w:t>3,951,478.18</w:t>
            </w:r>
          </w:p>
        </w:tc>
        <w:tc>
          <w:tcPr>
            <w:tcW w:w="3118" w:type="dxa"/>
            <w:vAlign w:val="center"/>
          </w:tcPr>
          <w:p w:rsidR="00CA0174" w:rsidRDefault="00C10923">
            <w:pPr>
              <w:jc w:val="center"/>
            </w:pPr>
            <w:r>
              <w:rPr>
                <w:rFonts w:eastAsiaTheme="minorEastAsia"/>
                <w:color w:val="000000" w:themeColor="text1"/>
                <w:szCs w:val="21"/>
              </w:rPr>
              <w:t>1.75</w:t>
            </w:r>
          </w:p>
        </w:tc>
      </w:tr>
      <w:tr w:rsidR="00CA0174">
        <w:trPr>
          <w:jc w:val="center"/>
        </w:trPr>
        <w:tc>
          <w:tcPr>
            <w:tcW w:w="2397" w:type="dxa"/>
            <w:vAlign w:val="center"/>
          </w:tcPr>
          <w:p w:rsidR="00CA0174" w:rsidRDefault="00C10923">
            <w:pPr>
              <w:jc w:val="center"/>
            </w:pPr>
            <w:r>
              <w:rPr>
                <w:rFonts w:eastAsiaTheme="minorEastAsia"/>
                <w:color w:val="000000" w:themeColor="text1"/>
                <w:szCs w:val="21"/>
              </w:rPr>
              <w:t>J</w:t>
            </w:r>
            <w:r>
              <w:rPr>
                <w:rFonts w:eastAsiaTheme="minorEastAsia"/>
                <w:color w:val="000000" w:themeColor="text1"/>
                <w:szCs w:val="21"/>
              </w:rPr>
              <w:t>公用事业</w:t>
            </w:r>
          </w:p>
        </w:tc>
        <w:tc>
          <w:tcPr>
            <w:tcW w:w="3119" w:type="dxa"/>
            <w:vAlign w:val="center"/>
          </w:tcPr>
          <w:p w:rsidR="00CA0174" w:rsidRDefault="00C10923">
            <w:pPr>
              <w:jc w:val="center"/>
            </w:pPr>
            <w:r>
              <w:rPr>
                <w:rFonts w:eastAsiaTheme="minorEastAsia"/>
                <w:color w:val="000000" w:themeColor="text1"/>
                <w:szCs w:val="21"/>
              </w:rPr>
              <w:t>-</w:t>
            </w:r>
          </w:p>
        </w:tc>
        <w:tc>
          <w:tcPr>
            <w:tcW w:w="3118" w:type="dxa"/>
            <w:vAlign w:val="center"/>
          </w:tcPr>
          <w:p w:rsidR="00CA0174" w:rsidRDefault="00C10923">
            <w:pPr>
              <w:jc w:val="center"/>
            </w:pPr>
            <w:r>
              <w:rPr>
                <w:rFonts w:eastAsiaTheme="minorEastAsia"/>
                <w:color w:val="000000" w:themeColor="text1"/>
                <w:szCs w:val="21"/>
              </w:rPr>
              <w:t>-</w:t>
            </w:r>
          </w:p>
        </w:tc>
      </w:tr>
      <w:tr w:rsidR="00CA0174">
        <w:trPr>
          <w:jc w:val="center"/>
        </w:trPr>
        <w:tc>
          <w:tcPr>
            <w:tcW w:w="2397" w:type="dxa"/>
            <w:vAlign w:val="center"/>
          </w:tcPr>
          <w:p w:rsidR="00CA0174" w:rsidRDefault="00C10923">
            <w:pPr>
              <w:jc w:val="center"/>
            </w:pPr>
            <w:r>
              <w:rPr>
                <w:rFonts w:eastAsiaTheme="minorEastAsia"/>
                <w:color w:val="000000" w:themeColor="text1"/>
                <w:szCs w:val="21"/>
              </w:rPr>
              <w:t>K</w:t>
            </w:r>
            <w:r>
              <w:rPr>
                <w:rFonts w:eastAsiaTheme="minorEastAsia"/>
                <w:color w:val="000000" w:themeColor="text1"/>
                <w:szCs w:val="21"/>
              </w:rPr>
              <w:t>房地产</w:t>
            </w:r>
          </w:p>
        </w:tc>
        <w:tc>
          <w:tcPr>
            <w:tcW w:w="3119" w:type="dxa"/>
            <w:vAlign w:val="center"/>
          </w:tcPr>
          <w:p w:rsidR="00CA0174" w:rsidRDefault="00C10923">
            <w:pPr>
              <w:jc w:val="center"/>
            </w:pPr>
            <w:r>
              <w:rPr>
                <w:rFonts w:eastAsiaTheme="minorEastAsia"/>
                <w:color w:val="000000" w:themeColor="text1"/>
                <w:szCs w:val="21"/>
              </w:rPr>
              <w:t>-</w:t>
            </w:r>
          </w:p>
        </w:tc>
        <w:tc>
          <w:tcPr>
            <w:tcW w:w="3118" w:type="dxa"/>
            <w:vAlign w:val="center"/>
          </w:tcPr>
          <w:p w:rsidR="00CA0174" w:rsidRDefault="00C10923">
            <w:pPr>
              <w:jc w:val="center"/>
            </w:pPr>
            <w:r>
              <w:rPr>
                <w:rFonts w:eastAsiaTheme="minorEastAsia"/>
                <w:color w:val="000000" w:themeColor="text1"/>
                <w:szCs w:val="21"/>
              </w:rPr>
              <w:t>-</w:t>
            </w:r>
          </w:p>
        </w:tc>
      </w:tr>
      <w:tr w:rsidR="005E6DF3" w:rsidRPr="00B27A29">
        <w:trPr>
          <w:jc w:val="center"/>
        </w:trPr>
        <w:tc>
          <w:tcPr>
            <w:tcW w:w="23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合计</w:t>
            </w:r>
          </w:p>
        </w:tc>
        <w:tc>
          <w:tcPr>
            <w:tcW w:w="3119"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13,429,244.61</w:t>
            </w:r>
          </w:p>
        </w:tc>
        <w:tc>
          <w:tcPr>
            <w:tcW w:w="3118" w:type="dxa"/>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5.96</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CA0174">
        <w:tc>
          <w:tcPr>
            <w:tcW w:w="817" w:type="dxa"/>
            <w:vAlign w:val="center"/>
          </w:tcPr>
          <w:p w:rsidR="00CA0174" w:rsidRDefault="00C10923">
            <w:pPr>
              <w:jc w:val="center"/>
            </w:pPr>
            <w:r>
              <w:rPr>
                <w:rFonts w:eastAsiaTheme="minorEastAsia"/>
                <w:kern w:val="0"/>
                <w:szCs w:val="21"/>
              </w:rPr>
              <w:t>1</w:t>
            </w:r>
          </w:p>
        </w:tc>
        <w:tc>
          <w:tcPr>
            <w:tcW w:w="1276" w:type="dxa"/>
            <w:vAlign w:val="center"/>
          </w:tcPr>
          <w:p w:rsidR="00CA0174" w:rsidRDefault="00C10923">
            <w:pPr>
              <w:jc w:val="center"/>
            </w:pPr>
            <w:r>
              <w:rPr>
                <w:rFonts w:eastAsiaTheme="minorEastAsia"/>
                <w:kern w:val="0"/>
                <w:szCs w:val="21"/>
              </w:rPr>
              <w:t>002236</w:t>
            </w:r>
          </w:p>
        </w:tc>
        <w:tc>
          <w:tcPr>
            <w:tcW w:w="1701" w:type="dxa"/>
            <w:vAlign w:val="center"/>
          </w:tcPr>
          <w:p w:rsidR="00CA0174" w:rsidRDefault="00C10923">
            <w:pPr>
              <w:jc w:val="center"/>
            </w:pPr>
            <w:r>
              <w:rPr>
                <w:rFonts w:eastAsiaTheme="minorEastAsia"/>
                <w:kern w:val="0"/>
                <w:szCs w:val="21"/>
              </w:rPr>
              <w:t>大华股份</w:t>
            </w:r>
          </w:p>
        </w:tc>
        <w:tc>
          <w:tcPr>
            <w:tcW w:w="1276" w:type="dxa"/>
            <w:vAlign w:val="center"/>
          </w:tcPr>
          <w:p w:rsidR="00CA0174" w:rsidRDefault="00C10923">
            <w:pPr>
              <w:jc w:val="right"/>
            </w:pPr>
            <w:r>
              <w:rPr>
                <w:rFonts w:eastAsiaTheme="minorEastAsia"/>
                <w:kern w:val="0"/>
                <w:szCs w:val="21"/>
              </w:rPr>
              <w:t>387,100.00</w:t>
            </w:r>
          </w:p>
        </w:tc>
        <w:tc>
          <w:tcPr>
            <w:tcW w:w="1842" w:type="dxa"/>
            <w:vAlign w:val="center"/>
          </w:tcPr>
          <w:p w:rsidR="00CA0174" w:rsidRDefault="00C10923">
            <w:pPr>
              <w:jc w:val="right"/>
            </w:pPr>
            <w:r>
              <w:rPr>
                <w:rFonts w:eastAsiaTheme="minorEastAsia"/>
                <w:kern w:val="0"/>
                <w:szCs w:val="21"/>
              </w:rPr>
              <w:t>8,752,331.00</w:t>
            </w:r>
          </w:p>
        </w:tc>
        <w:tc>
          <w:tcPr>
            <w:tcW w:w="1616" w:type="dxa"/>
            <w:vAlign w:val="center"/>
          </w:tcPr>
          <w:p w:rsidR="00CA0174" w:rsidRDefault="00C10923">
            <w:pPr>
              <w:jc w:val="right"/>
            </w:pPr>
            <w:r>
              <w:rPr>
                <w:rFonts w:eastAsiaTheme="minorEastAsia"/>
                <w:kern w:val="0"/>
                <w:szCs w:val="21"/>
              </w:rPr>
              <w:t>3.88</w:t>
            </w:r>
          </w:p>
        </w:tc>
      </w:tr>
      <w:tr w:rsidR="00CA0174">
        <w:tc>
          <w:tcPr>
            <w:tcW w:w="817" w:type="dxa"/>
            <w:vAlign w:val="center"/>
          </w:tcPr>
          <w:p w:rsidR="00CA0174" w:rsidRDefault="00C10923">
            <w:pPr>
              <w:jc w:val="center"/>
            </w:pPr>
            <w:r>
              <w:rPr>
                <w:rFonts w:eastAsiaTheme="minorEastAsia"/>
                <w:kern w:val="0"/>
                <w:szCs w:val="21"/>
              </w:rPr>
              <w:lastRenderedPageBreak/>
              <w:t>2</w:t>
            </w:r>
          </w:p>
        </w:tc>
        <w:tc>
          <w:tcPr>
            <w:tcW w:w="1276" w:type="dxa"/>
            <w:vAlign w:val="center"/>
          </w:tcPr>
          <w:p w:rsidR="00CA0174" w:rsidRDefault="00C10923">
            <w:pPr>
              <w:jc w:val="center"/>
            </w:pPr>
            <w:r>
              <w:rPr>
                <w:rFonts w:eastAsiaTheme="minorEastAsia"/>
                <w:kern w:val="0"/>
                <w:szCs w:val="21"/>
              </w:rPr>
              <w:t>600079</w:t>
            </w:r>
          </w:p>
        </w:tc>
        <w:tc>
          <w:tcPr>
            <w:tcW w:w="1701" w:type="dxa"/>
            <w:vAlign w:val="center"/>
          </w:tcPr>
          <w:p w:rsidR="00CA0174" w:rsidRDefault="00C10923">
            <w:pPr>
              <w:jc w:val="center"/>
            </w:pPr>
            <w:r>
              <w:rPr>
                <w:rFonts w:eastAsiaTheme="minorEastAsia"/>
                <w:kern w:val="0"/>
                <w:szCs w:val="21"/>
              </w:rPr>
              <w:t>人福医药</w:t>
            </w:r>
          </w:p>
        </w:tc>
        <w:tc>
          <w:tcPr>
            <w:tcW w:w="1276" w:type="dxa"/>
            <w:vAlign w:val="center"/>
          </w:tcPr>
          <w:p w:rsidR="00CA0174" w:rsidRDefault="00C10923">
            <w:pPr>
              <w:jc w:val="right"/>
            </w:pPr>
            <w:r>
              <w:rPr>
                <w:rFonts w:eastAsiaTheme="minorEastAsia"/>
                <w:kern w:val="0"/>
                <w:szCs w:val="21"/>
              </w:rPr>
              <w:t>280,319.00</w:t>
            </w:r>
          </w:p>
        </w:tc>
        <w:tc>
          <w:tcPr>
            <w:tcW w:w="1842" w:type="dxa"/>
            <w:vAlign w:val="center"/>
          </w:tcPr>
          <w:p w:rsidR="00CA0174" w:rsidRDefault="00C10923">
            <w:pPr>
              <w:jc w:val="right"/>
            </w:pPr>
            <w:r>
              <w:rPr>
                <w:rFonts w:eastAsiaTheme="minorEastAsia"/>
                <w:kern w:val="0"/>
                <w:szCs w:val="21"/>
              </w:rPr>
              <w:t>7,506,942.82</w:t>
            </w:r>
          </w:p>
        </w:tc>
        <w:tc>
          <w:tcPr>
            <w:tcW w:w="1616" w:type="dxa"/>
            <w:vAlign w:val="center"/>
          </w:tcPr>
          <w:p w:rsidR="00CA0174" w:rsidRDefault="00C10923">
            <w:pPr>
              <w:jc w:val="right"/>
            </w:pPr>
            <w:r>
              <w:rPr>
                <w:rFonts w:eastAsiaTheme="minorEastAsia"/>
                <w:kern w:val="0"/>
                <w:szCs w:val="21"/>
              </w:rPr>
              <w:t>3.33</w:t>
            </w:r>
          </w:p>
        </w:tc>
      </w:tr>
      <w:tr w:rsidR="00CA0174">
        <w:tc>
          <w:tcPr>
            <w:tcW w:w="817" w:type="dxa"/>
            <w:vAlign w:val="center"/>
          </w:tcPr>
          <w:p w:rsidR="00CA0174" w:rsidRDefault="00C10923">
            <w:pPr>
              <w:jc w:val="center"/>
            </w:pPr>
            <w:r>
              <w:rPr>
                <w:rFonts w:eastAsiaTheme="minorEastAsia"/>
                <w:kern w:val="0"/>
                <w:szCs w:val="21"/>
              </w:rPr>
              <w:t>3</w:t>
            </w:r>
          </w:p>
        </w:tc>
        <w:tc>
          <w:tcPr>
            <w:tcW w:w="1276" w:type="dxa"/>
            <w:vAlign w:val="center"/>
          </w:tcPr>
          <w:p w:rsidR="00CA0174" w:rsidRDefault="00C10923">
            <w:pPr>
              <w:jc w:val="center"/>
            </w:pPr>
            <w:r>
              <w:rPr>
                <w:rFonts w:eastAsiaTheme="minorEastAsia"/>
                <w:kern w:val="0"/>
                <w:szCs w:val="21"/>
              </w:rPr>
              <w:t>000032</w:t>
            </w:r>
          </w:p>
        </w:tc>
        <w:tc>
          <w:tcPr>
            <w:tcW w:w="1701" w:type="dxa"/>
            <w:vAlign w:val="center"/>
          </w:tcPr>
          <w:p w:rsidR="00CA0174" w:rsidRDefault="00C10923">
            <w:pPr>
              <w:jc w:val="center"/>
            </w:pPr>
            <w:r>
              <w:rPr>
                <w:rFonts w:eastAsiaTheme="minorEastAsia"/>
                <w:kern w:val="0"/>
                <w:szCs w:val="21"/>
              </w:rPr>
              <w:t>深桑达</w:t>
            </w:r>
            <w:r>
              <w:rPr>
                <w:rFonts w:eastAsiaTheme="minorEastAsia"/>
                <w:kern w:val="0"/>
                <w:szCs w:val="21"/>
              </w:rPr>
              <w:t>A</w:t>
            </w:r>
          </w:p>
        </w:tc>
        <w:tc>
          <w:tcPr>
            <w:tcW w:w="1276" w:type="dxa"/>
            <w:vAlign w:val="center"/>
          </w:tcPr>
          <w:p w:rsidR="00CA0174" w:rsidRDefault="00C10923">
            <w:pPr>
              <w:jc w:val="right"/>
            </w:pPr>
            <w:r>
              <w:rPr>
                <w:rFonts w:eastAsiaTheme="minorEastAsia"/>
                <w:kern w:val="0"/>
                <w:szCs w:val="21"/>
              </w:rPr>
              <w:t>226,360.00</w:t>
            </w:r>
          </w:p>
        </w:tc>
        <w:tc>
          <w:tcPr>
            <w:tcW w:w="1842" w:type="dxa"/>
            <w:vAlign w:val="center"/>
          </w:tcPr>
          <w:p w:rsidR="00CA0174" w:rsidRDefault="00C10923">
            <w:pPr>
              <w:jc w:val="right"/>
            </w:pPr>
            <w:r>
              <w:rPr>
                <w:rFonts w:eastAsiaTheme="minorEastAsia"/>
                <w:kern w:val="0"/>
                <w:szCs w:val="21"/>
              </w:rPr>
              <w:t>7,483,461.60</w:t>
            </w:r>
          </w:p>
        </w:tc>
        <w:tc>
          <w:tcPr>
            <w:tcW w:w="1616" w:type="dxa"/>
            <w:vAlign w:val="center"/>
          </w:tcPr>
          <w:p w:rsidR="00CA0174" w:rsidRDefault="00C10923">
            <w:pPr>
              <w:jc w:val="right"/>
            </w:pPr>
            <w:r>
              <w:rPr>
                <w:rFonts w:eastAsiaTheme="minorEastAsia"/>
                <w:kern w:val="0"/>
                <w:szCs w:val="21"/>
              </w:rPr>
              <w:t>3.32</w:t>
            </w:r>
          </w:p>
        </w:tc>
      </w:tr>
      <w:tr w:rsidR="00CA0174">
        <w:tc>
          <w:tcPr>
            <w:tcW w:w="817" w:type="dxa"/>
            <w:vAlign w:val="center"/>
          </w:tcPr>
          <w:p w:rsidR="00CA0174" w:rsidRDefault="00C10923">
            <w:pPr>
              <w:jc w:val="center"/>
            </w:pPr>
            <w:r>
              <w:rPr>
                <w:rFonts w:eastAsiaTheme="minorEastAsia"/>
                <w:kern w:val="0"/>
                <w:szCs w:val="21"/>
              </w:rPr>
              <w:t>4</w:t>
            </w:r>
          </w:p>
        </w:tc>
        <w:tc>
          <w:tcPr>
            <w:tcW w:w="1276" w:type="dxa"/>
            <w:vAlign w:val="center"/>
          </w:tcPr>
          <w:p w:rsidR="00CA0174" w:rsidRDefault="00C10923">
            <w:pPr>
              <w:jc w:val="center"/>
            </w:pPr>
            <w:r>
              <w:rPr>
                <w:rFonts w:eastAsiaTheme="minorEastAsia"/>
                <w:kern w:val="0"/>
                <w:szCs w:val="21"/>
              </w:rPr>
              <w:t>600557</w:t>
            </w:r>
          </w:p>
        </w:tc>
        <w:tc>
          <w:tcPr>
            <w:tcW w:w="1701" w:type="dxa"/>
            <w:vAlign w:val="center"/>
          </w:tcPr>
          <w:p w:rsidR="00CA0174" w:rsidRDefault="00C10923">
            <w:pPr>
              <w:jc w:val="center"/>
            </w:pPr>
            <w:r>
              <w:rPr>
                <w:rFonts w:eastAsiaTheme="minorEastAsia"/>
                <w:kern w:val="0"/>
                <w:szCs w:val="21"/>
              </w:rPr>
              <w:t>康缘药业</w:t>
            </w:r>
          </w:p>
        </w:tc>
        <w:tc>
          <w:tcPr>
            <w:tcW w:w="1276" w:type="dxa"/>
            <w:vAlign w:val="center"/>
          </w:tcPr>
          <w:p w:rsidR="00CA0174" w:rsidRDefault="00C10923">
            <w:pPr>
              <w:jc w:val="right"/>
            </w:pPr>
            <w:r>
              <w:rPr>
                <w:rFonts w:eastAsiaTheme="minorEastAsia"/>
                <w:kern w:val="0"/>
                <w:szCs w:val="21"/>
              </w:rPr>
              <w:t>215,000.00</w:t>
            </w:r>
          </w:p>
        </w:tc>
        <w:tc>
          <w:tcPr>
            <w:tcW w:w="1842" w:type="dxa"/>
            <w:vAlign w:val="center"/>
          </w:tcPr>
          <w:p w:rsidR="00CA0174" w:rsidRDefault="00C10923">
            <w:pPr>
              <w:jc w:val="right"/>
            </w:pPr>
            <w:r>
              <w:rPr>
                <w:rFonts w:eastAsiaTheme="minorEastAsia"/>
                <w:kern w:val="0"/>
                <w:szCs w:val="21"/>
              </w:rPr>
              <w:t>6,886,450.00</w:t>
            </w:r>
          </w:p>
        </w:tc>
        <w:tc>
          <w:tcPr>
            <w:tcW w:w="1616" w:type="dxa"/>
            <w:vAlign w:val="center"/>
          </w:tcPr>
          <w:p w:rsidR="00CA0174" w:rsidRDefault="00C10923">
            <w:pPr>
              <w:jc w:val="right"/>
            </w:pPr>
            <w:r>
              <w:rPr>
                <w:rFonts w:eastAsiaTheme="minorEastAsia"/>
                <w:kern w:val="0"/>
                <w:szCs w:val="21"/>
              </w:rPr>
              <w:t>3.06</w:t>
            </w:r>
          </w:p>
        </w:tc>
      </w:tr>
      <w:tr w:rsidR="00CA0174">
        <w:tc>
          <w:tcPr>
            <w:tcW w:w="817" w:type="dxa"/>
            <w:vAlign w:val="center"/>
          </w:tcPr>
          <w:p w:rsidR="00CA0174" w:rsidRDefault="00C10923">
            <w:pPr>
              <w:jc w:val="center"/>
            </w:pPr>
            <w:r>
              <w:rPr>
                <w:rFonts w:eastAsiaTheme="minorEastAsia"/>
                <w:kern w:val="0"/>
                <w:szCs w:val="21"/>
              </w:rPr>
              <w:t>5</w:t>
            </w:r>
          </w:p>
        </w:tc>
        <w:tc>
          <w:tcPr>
            <w:tcW w:w="1276" w:type="dxa"/>
            <w:vAlign w:val="center"/>
          </w:tcPr>
          <w:p w:rsidR="00CA0174" w:rsidRDefault="00C10923">
            <w:pPr>
              <w:jc w:val="center"/>
            </w:pPr>
            <w:r>
              <w:rPr>
                <w:rFonts w:eastAsiaTheme="minorEastAsia"/>
                <w:kern w:val="0"/>
                <w:szCs w:val="21"/>
              </w:rPr>
              <w:t>002063</w:t>
            </w:r>
          </w:p>
        </w:tc>
        <w:tc>
          <w:tcPr>
            <w:tcW w:w="1701" w:type="dxa"/>
            <w:vAlign w:val="center"/>
          </w:tcPr>
          <w:p w:rsidR="00CA0174" w:rsidRDefault="00C10923">
            <w:pPr>
              <w:jc w:val="center"/>
            </w:pPr>
            <w:r>
              <w:rPr>
                <w:rFonts w:eastAsiaTheme="minorEastAsia"/>
                <w:kern w:val="0"/>
                <w:szCs w:val="21"/>
              </w:rPr>
              <w:t>远光软件</w:t>
            </w:r>
          </w:p>
        </w:tc>
        <w:tc>
          <w:tcPr>
            <w:tcW w:w="1276" w:type="dxa"/>
            <w:vAlign w:val="center"/>
          </w:tcPr>
          <w:p w:rsidR="00CA0174" w:rsidRDefault="00C10923">
            <w:pPr>
              <w:jc w:val="right"/>
            </w:pPr>
            <w:r>
              <w:rPr>
                <w:rFonts w:eastAsiaTheme="minorEastAsia"/>
                <w:kern w:val="0"/>
                <w:szCs w:val="21"/>
              </w:rPr>
              <w:t>718,110.00</w:t>
            </w:r>
          </w:p>
        </w:tc>
        <w:tc>
          <w:tcPr>
            <w:tcW w:w="1842" w:type="dxa"/>
            <w:vAlign w:val="center"/>
          </w:tcPr>
          <w:p w:rsidR="00CA0174" w:rsidRDefault="00C10923">
            <w:pPr>
              <w:jc w:val="right"/>
            </w:pPr>
            <w:r>
              <w:rPr>
                <w:rFonts w:eastAsiaTheme="minorEastAsia"/>
                <w:kern w:val="0"/>
                <w:szCs w:val="21"/>
              </w:rPr>
              <w:t>6,714,328.50</w:t>
            </w:r>
          </w:p>
        </w:tc>
        <w:tc>
          <w:tcPr>
            <w:tcW w:w="1616" w:type="dxa"/>
            <w:vAlign w:val="center"/>
          </w:tcPr>
          <w:p w:rsidR="00CA0174" w:rsidRDefault="00C10923">
            <w:pPr>
              <w:jc w:val="right"/>
            </w:pPr>
            <w:r>
              <w:rPr>
                <w:rFonts w:eastAsiaTheme="minorEastAsia"/>
                <w:kern w:val="0"/>
                <w:szCs w:val="21"/>
              </w:rPr>
              <w:t>2.98</w:t>
            </w:r>
          </w:p>
        </w:tc>
      </w:tr>
      <w:tr w:rsidR="00CA0174">
        <w:tc>
          <w:tcPr>
            <w:tcW w:w="817" w:type="dxa"/>
            <w:vAlign w:val="center"/>
          </w:tcPr>
          <w:p w:rsidR="00CA0174" w:rsidRDefault="00C10923">
            <w:pPr>
              <w:jc w:val="center"/>
            </w:pPr>
            <w:r>
              <w:rPr>
                <w:rFonts w:eastAsiaTheme="minorEastAsia"/>
                <w:kern w:val="0"/>
                <w:szCs w:val="21"/>
              </w:rPr>
              <w:t>6</w:t>
            </w:r>
          </w:p>
        </w:tc>
        <w:tc>
          <w:tcPr>
            <w:tcW w:w="1276" w:type="dxa"/>
            <w:vAlign w:val="center"/>
          </w:tcPr>
          <w:p w:rsidR="00CA0174" w:rsidRDefault="00C10923">
            <w:pPr>
              <w:jc w:val="center"/>
            </w:pPr>
            <w:r>
              <w:rPr>
                <w:rFonts w:eastAsiaTheme="minorEastAsia"/>
                <w:kern w:val="0"/>
                <w:szCs w:val="21"/>
              </w:rPr>
              <w:t>688100</w:t>
            </w:r>
          </w:p>
        </w:tc>
        <w:tc>
          <w:tcPr>
            <w:tcW w:w="1701" w:type="dxa"/>
            <w:vAlign w:val="center"/>
          </w:tcPr>
          <w:p w:rsidR="00CA0174" w:rsidRDefault="00C10923">
            <w:pPr>
              <w:jc w:val="center"/>
            </w:pPr>
            <w:r>
              <w:rPr>
                <w:rFonts w:eastAsiaTheme="minorEastAsia"/>
                <w:kern w:val="0"/>
                <w:szCs w:val="21"/>
              </w:rPr>
              <w:t>威胜信息</w:t>
            </w:r>
          </w:p>
        </w:tc>
        <w:tc>
          <w:tcPr>
            <w:tcW w:w="1276" w:type="dxa"/>
            <w:vAlign w:val="center"/>
          </w:tcPr>
          <w:p w:rsidR="00CA0174" w:rsidRDefault="00C10923">
            <w:pPr>
              <w:jc w:val="right"/>
            </w:pPr>
            <w:r>
              <w:rPr>
                <w:rFonts w:eastAsiaTheme="minorEastAsia"/>
                <w:kern w:val="0"/>
                <w:szCs w:val="21"/>
              </w:rPr>
              <w:t>217,599.00</w:t>
            </w:r>
          </w:p>
        </w:tc>
        <w:tc>
          <w:tcPr>
            <w:tcW w:w="1842" w:type="dxa"/>
            <w:vAlign w:val="center"/>
          </w:tcPr>
          <w:p w:rsidR="00CA0174" w:rsidRDefault="00C10923">
            <w:pPr>
              <w:jc w:val="right"/>
            </w:pPr>
            <w:r>
              <w:rPr>
                <w:rFonts w:eastAsiaTheme="minorEastAsia"/>
                <w:kern w:val="0"/>
                <w:szCs w:val="21"/>
              </w:rPr>
              <w:t>6,610,657.62</w:t>
            </w:r>
          </w:p>
        </w:tc>
        <w:tc>
          <w:tcPr>
            <w:tcW w:w="1616" w:type="dxa"/>
            <w:vAlign w:val="center"/>
          </w:tcPr>
          <w:p w:rsidR="00CA0174" w:rsidRDefault="00C10923">
            <w:pPr>
              <w:jc w:val="right"/>
            </w:pPr>
            <w:r>
              <w:rPr>
                <w:rFonts w:eastAsiaTheme="minorEastAsia"/>
                <w:kern w:val="0"/>
                <w:szCs w:val="21"/>
              </w:rPr>
              <w:t>2.93</w:t>
            </w:r>
          </w:p>
        </w:tc>
      </w:tr>
      <w:tr w:rsidR="00CA0174">
        <w:tc>
          <w:tcPr>
            <w:tcW w:w="817" w:type="dxa"/>
            <w:vAlign w:val="center"/>
          </w:tcPr>
          <w:p w:rsidR="00CA0174" w:rsidRDefault="00C10923">
            <w:pPr>
              <w:jc w:val="center"/>
            </w:pPr>
            <w:r>
              <w:rPr>
                <w:rFonts w:eastAsiaTheme="minorEastAsia"/>
                <w:kern w:val="0"/>
                <w:szCs w:val="21"/>
              </w:rPr>
              <w:t>7</w:t>
            </w:r>
          </w:p>
        </w:tc>
        <w:tc>
          <w:tcPr>
            <w:tcW w:w="1276" w:type="dxa"/>
            <w:vAlign w:val="center"/>
          </w:tcPr>
          <w:p w:rsidR="00CA0174" w:rsidRDefault="00C10923">
            <w:pPr>
              <w:jc w:val="center"/>
            </w:pPr>
            <w:r>
              <w:rPr>
                <w:rFonts w:eastAsiaTheme="minorEastAsia"/>
                <w:kern w:val="0"/>
                <w:szCs w:val="21"/>
              </w:rPr>
              <w:t>002459</w:t>
            </w:r>
          </w:p>
        </w:tc>
        <w:tc>
          <w:tcPr>
            <w:tcW w:w="1701" w:type="dxa"/>
            <w:vAlign w:val="center"/>
          </w:tcPr>
          <w:p w:rsidR="00CA0174" w:rsidRDefault="00C10923">
            <w:pPr>
              <w:jc w:val="center"/>
            </w:pPr>
            <w:r>
              <w:rPr>
                <w:rFonts w:eastAsiaTheme="minorEastAsia"/>
                <w:kern w:val="0"/>
                <w:szCs w:val="21"/>
              </w:rPr>
              <w:t>晶澳科技</w:t>
            </w:r>
          </w:p>
        </w:tc>
        <w:tc>
          <w:tcPr>
            <w:tcW w:w="1276" w:type="dxa"/>
            <w:vAlign w:val="center"/>
          </w:tcPr>
          <w:p w:rsidR="00CA0174" w:rsidRDefault="00C10923">
            <w:pPr>
              <w:jc w:val="right"/>
            </w:pPr>
            <w:r>
              <w:rPr>
                <w:rFonts w:eastAsiaTheme="minorEastAsia"/>
                <w:kern w:val="0"/>
                <w:szCs w:val="21"/>
              </w:rPr>
              <w:t>103,400.00</w:t>
            </w:r>
          </w:p>
        </w:tc>
        <w:tc>
          <w:tcPr>
            <w:tcW w:w="1842" w:type="dxa"/>
            <w:vAlign w:val="center"/>
          </w:tcPr>
          <w:p w:rsidR="00CA0174" w:rsidRDefault="00C10923">
            <w:pPr>
              <w:jc w:val="right"/>
            </w:pPr>
            <w:r>
              <w:rPr>
                <w:rFonts w:eastAsiaTheme="minorEastAsia"/>
                <w:kern w:val="0"/>
                <w:szCs w:val="21"/>
              </w:rPr>
              <w:t>5,928,956.00</w:t>
            </w:r>
          </w:p>
        </w:tc>
        <w:tc>
          <w:tcPr>
            <w:tcW w:w="1616" w:type="dxa"/>
            <w:vAlign w:val="center"/>
          </w:tcPr>
          <w:p w:rsidR="00CA0174" w:rsidRDefault="00C10923">
            <w:pPr>
              <w:jc w:val="right"/>
            </w:pPr>
            <w:r>
              <w:rPr>
                <w:rFonts w:eastAsiaTheme="minorEastAsia"/>
                <w:kern w:val="0"/>
                <w:szCs w:val="21"/>
              </w:rPr>
              <w:t>2.63</w:t>
            </w:r>
          </w:p>
        </w:tc>
      </w:tr>
      <w:tr w:rsidR="00CA0174">
        <w:tc>
          <w:tcPr>
            <w:tcW w:w="817" w:type="dxa"/>
            <w:vAlign w:val="center"/>
          </w:tcPr>
          <w:p w:rsidR="00CA0174" w:rsidRDefault="00C10923">
            <w:pPr>
              <w:jc w:val="center"/>
            </w:pPr>
            <w:r>
              <w:rPr>
                <w:rFonts w:eastAsiaTheme="minorEastAsia"/>
                <w:kern w:val="0"/>
                <w:szCs w:val="21"/>
              </w:rPr>
              <w:t>8</w:t>
            </w:r>
          </w:p>
        </w:tc>
        <w:tc>
          <w:tcPr>
            <w:tcW w:w="1276" w:type="dxa"/>
            <w:vAlign w:val="center"/>
          </w:tcPr>
          <w:p w:rsidR="00CA0174" w:rsidRDefault="00C10923">
            <w:pPr>
              <w:jc w:val="center"/>
            </w:pPr>
            <w:r>
              <w:rPr>
                <w:rFonts w:eastAsiaTheme="minorEastAsia"/>
                <w:kern w:val="0"/>
                <w:szCs w:val="21"/>
              </w:rPr>
              <w:t>601117</w:t>
            </w:r>
          </w:p>
        </w:tc>
        <w:tc>
          <w:tcPr>
            <w:tcW w:w="1701" w:type="dxa"/>
            <w:vAlign w:val="center"/>
          </w:tcPr>
          <w:p w:rsidR="00CA0174" w:rsidRDefault="00C10923">
            <w:pPr>
              <w:jc w:val="center"/>
            </w:pPr>
            <w:r>
              <w:rPr>
                <w:rFonts w:eastAsiaTheme="minorEastAsia"/>
                <w:kern w:val="0"/>
                <w:szCs w:val="21"/>
              </w:rPr>
              <w:t>中国化学</w:t>
            </w:r>
          </w:p>
        </w:tc>
        <w:tc>
          <w:tcPr>
            <w:tcW w:w="1276" w:type="dxa"/>
            <w:vAlign w:val="center"/>
          </w:tcPr>
          <w:p w:rsidR="00CA0174" w:rsidRDefault="00C10923">
            <w:pPr>
              <w:jc w:val="right"/>
            </w:pPr>
            <w:r>
              <w:rPr>
                <w:rFonts w:eastAsiaTheme="minorEastAsia"/>
                <w:kern w:val="0"/>
                <w:szCs w:val="21"/>
              </w:rPr>
              <w:t>628,100.00</w:t>
            </w:r>
          </w:p>
        </w:tc>
        <w:tc>
          <w:tcPr>
            <w:tcW w:w="1842" w:type="dxa"/>
            <w:vAlign w:val="center"/>
          </w:tcPr>
          <w:p w:rsidR="00CA0174" w:rsidRDefault="00C10923">
            <w:pPr>
              <w:jc w:val="right"/>
            </w:pPr>
            <w:r>
              <w:rPr>
                <w:rFonts w:eastAsiaTheme="minorEastAsia"/>
                <w:kern w:val="0"/>
                <w:szCs w:val="21"/>
              </w:rPr>
              <w:t>5,828,768.00</w:t>
            </w:r>
          </w:p>
        </w:tc>
        <w:tc>
          <w:tcPr>
            <w:tcW w:w="1616" w:type="dxa"/>
            <w:vAlign w:val="center"/>
          </w:tcPr>
          <w:p w:rsidR="00CA0174" w:rsidRDefault="00C10923">
            <w:pPr>
              <w:jc w:val="right"/>
            </w:pPr>
            <w:r>
              <w:rPr>
                <w:rFonts w:eastAsiaTheme="minorEastAsia"/>
                <w:kern w:val="0"/>
                <w:szCs w:val="21"/>
              </w:rPr>
              <w:t>2.59</w:t>
            </w:r>
          </w:p>
        </w:tc>
      </w:tr>
      <w:tr w:rsidR="00CA0174">
        <w:tc>
          <w:tcPr>
            <w:tcW w:w="817" w:type="dxa"/>
            <w:vAlign w:val="center"/>
          </w:tcPr>
          <w:p w:rsidR="00CA0174" w:rsidRDefault="00C10923">
            <w:pPr>
              <w:jc w:val="center"/>
            </w:pPr>
            <w:r>
              <w:rPr>
                <w:rFonts w:eastAsiaTheme="minorEastAsia"/>
                <w:kern w:val="0"/>
                <w:szCs w:val="21"/>
              </w:rPr>
              <w:t>9</w:t>
            </w:r>
          </w:p>
        </w:tc>
        <w:tc>
          <w:tcPr>
            <w:tcW w:w="1276" w:type="dxa"/>
            <w:vAlign w:val="center"/>
          </w:tcPr>
          <w:p w:rsidR="00CA0174" w:rsidRDefault="00C10923">
            <w:pPr>
              <w:jc w:val="center"/>
            </w:pPr>
            <w:r>
              <w:rPr>
                <w:rFonts w:eastAsiaTheme="minorEastAsia"/>
                <w:kern w:val="0"/>
                <w:szCs w:val="21"/>
              </w:rPr>
              <w:t>002180</w:t>
            </w:r>
          </w:p>
        </w:tc>
        <w:tc>
          <w:tcPr>
            <w:tcW w:w="1701" w:type="dxa"/>
            <w:vAlign w:val="center"/>
          </w:tcPr>
          <w:p w:rsidR="00CA0174" w:rsidRDefault="00C10923">
            <w:pPr>
              <w:jc w:val="center"/>
            </w:pPr>
            <w:r>
              <w:rPr>
                <w:rFonts w:eastAsiaTheme="minorEastAsia"/>
                <w:kern w:val="0"/>
                <w:szCs w:val="21"/>
              </w:rPr>
              <w:t>纳思达</w:t>
            </w:r>
          </w:p>
        </w:tc>
        <w:tc>
          <w:tcPr>
            <w:tcW w:w="1276" w:type="dxa"/>
            <w:vAlign w:val="center"/>
          </w:tcPr>
          <w:p w:rsidR="00CA0174" w:rsidRDefault="00C10923">
            <w:pPr>
              <w:jc w:val="right"/>
            </w:pPr>
            <w:r>
              <w:rPr>
                <w:rFonts w:eastAsiaTheme="minorEastAsia"/>
                <w:kern w:val="0"/>
                <w:szCs w:val="21"/>
              </w:rPr>
              <w:t>122,352.00</w:t>
            </w:r>
          </w:p>
        </w:tc>
        <w:tc>
          <w:tcPr>
            <w:tcW w:w="1842" w:type="dxa"/>
            <w:vAlign w:val="center"/>
          </w:tcPr>
          <w:p w:rsidR="00CA0174" w:rsidRDefault="00C10923">
            <w:pPr>
              <w:jc w:val="right"/>
            </w:pPr>
            <w:r>
              <w:rPr>
                <w:rFonts w:eastAsiaTheme="minorEastAsia"/>
                <w:kern w:val="0"/>
                <w:szCs w:val="21"/>
              </w:rPr>
              <w:t>5,483,816.64</w:t>
            </w:r>
          </w:p>
        </w:tc>
        <w:tc>
          <w:tcPr>
            <w:tcW w:w="1616" w:type="dxa"/>
            <w:vAlign w:val="center"/>
          </w:tcPr>
          <w:p w:rsidR="00CA0174" w:rsidRDefault="00C10923">
            <w:pPr>
              <w:jc w:val="right"/>
            </w:pPr>
            <w:r>
              <w:rPr>
                <w:rFonts w:eastAsiaTheme="minorEastAsia"/>
                <w:kern w:val="0"/>
                <w:szCs w:val="21"/>
              </w:rPr>
              <w:t>2.43</w:t>
            </w:r>
          </w:p>
        </w:tc>
      </w:tr>
      <w:tr w:rsidR="00CA0174">
        <w:tc>
          <w:tcPr>
            <w:tcW w:w="817" w:type="dxa"/>
            <w:vAlign w:val="center"/>
          </w:tcPr>
          <w:p w:rsidR="00CA0174" w:rsidRDefault="00C10923">
            <w:pPr>
              <w:jc w:val="center"/>
            </w:pPr>
            <w:r>
              <w:rPr>
                <w:rFonts w:eastAsiaTheme="minorEastAsia"/>
                <w:kern w:val="0"/>
                <w:szCs w:val="21"/>
              </w:rPr>
              <w:t>10</w:t>
            </w:r>
          </w:p>
        </w:tc>
        <w:tc>
          <w:tcPr>
            <w:tcW w:w="1276" w:type="dxa"/>
            <w:vAlign w:val="center"/>
          </w:tcPr>
          <w:p w:rsidR="00CA0174" w:rsidRDefault="00C10923">
            <w:pPr>
              <w:jc w:val="center"/>
            </w:pPr>
            <w:r>
              <w:rPr>
                <w:rFonts w:eastAsiaTheme="minorEastAsia"/>
                <w:kern w:val="0"/>
                <w:szCs w:val="21"/>
              </w:rPr>
              <w:t>300451</w:t>
            </w:r>
          </w:p>
        </w:tc>
        <w:tc>
          <w:tcPr>
            <w:tcW w:w="1701" w:type="dxa"/>
            <w:vAlign w:val="center"/>
          </w:tcPr>
          <w:p w:rsidR="00CA0174" w:rsidRDefault="00C10923">
            <w:pPr>
              <w:jc w:val="center"/>
            </w:pPr>
            <w:r>
              <w:rPr>
                <w:rFonts w:eastAsiaTheme="minorEastAsia"/>
                <w:kern w:val="0"/>
                <w:szCs w:val="21"/>
              </w:rPr>
              <w:t>创业慧康</w:t>
            </w:r>
          </w:p>
        </w:tc>
        <w:tc>
          <w:tcPr>
            <w:tcW w:w="1276" w:type="dxa"/>
            <w:vAlign w:val="center"/>
          </w:tcPr>
          <w:p w:rsidR="00CA0174" w:rsidRDefault="00C10923">
            <w:pPr>
              <w:jc w:val="right"/>
            </w:pPr>
            <w:r>
              <w:rPr>
                <w:rFonts w:eastAsiaTheme="minorEastAsia"/>
                <w:kern w:val="0"/>
                <w:szCs w:val="21"/>
              </w:rPr>
              <w:t>471,200.00</w:t>
            </w:r>
          </w:p>
        </w:tc>
        <w:tc>
          <w:tcPr>
            <w:tcW w:w="1842" w:type="dxa"/>
            <w:vAlign w:val="center"/>
          </w:tcPr>
          <w:p w:rsidR="00CA0174" w:rsidRDefault="00C10923">
            <w:pPr>
              <w:jc w:val="right"/>
            </w:pPr>
            <w:r>
              <w:rPr>
                <w:rFonts w:eastAsiaTheme="minorEastAsia"/>
                <w:kern w:val="0"/>
                <w:szCs w:val="21"/>
              </w:rPr>
              <w:t>5,173,776.00</w:t>
            </w:r>
          </w:p>
        </w:tc>
        <w:tc>
          <w:tcPr>
            <w:tcW w:w="1616" w:type="dxa"/>
            <w:vAlign w:val="center"/>
          </w:tcPr>
          <w:p w:rsidR="00CA0174" w:rsidRDefault="00C10923">
            <w:pPr>
              <w:jc w:val="right"/>
            </w:pPr>
            <w:r>
              <w:rPr>
                <w:rFonts w:eastAsiaTheme="minorEastAsia"/>
                <w:kern w:val="0"/>
                <w:szCs w:val="21"/>
              </w:rPr>
              <w:t>2.30</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本基金投资的前十名证券的发行主体中，人福医药集团股份公司（股票代码</w:t>
      </w:r>
      <w:r w:rsidRPr="00B27A29">
        <w:rPr>
          <w:rFonts w:eastAsiaTheme="minorEastAsia"/>
          <w:color w:val="000000" w:themeColor="text1"/>
          <w:szCs w:val="21"/>
        </w:rPr>
        <w:t>600079</w:t>
      </w:r>
      <w:r w:rsidRPr="00B27A29">
        <w:rPr>
          <w:rFonts w:eastAsiaTheme="minorEastAsia"/>
          <w:color w:val="000000" w:themeColor="text1"/>
          <w:szCs w:val="21"/>
        </w:rPr>
        <w:t>）在报告编制日前一年内曾受到上海证券交易所的处罚。</w:t>
      </w:r>
    </w:p>
    <w:p w:rsidR="00CA0174" w:rsidRDefault="00C10923">
      <w:pPr>
        <w:widowControl/>
        <w:spacing w:line="360" w:lineRule="auto"/>
        <w:rPr>
          <w:rFonts w:eastAsiaTheme="minorEastAsia"/>
          <w:color w:val="000000" w:themeColor="text1"/>
          <w:szCs w:val="21"/>
        </w:rPr>
      </w:pPr>
      <w:r>
        <w:rPr>
          <w:rFonts w:eastAsiaTheme="minorEastAsia"/>
          <w:color w:val="000000" w:themeColor="text1"/>
          <w:szCs w:val="21"/>
        </w:rPr>
        <w:lastRenderedPageBreak/>
        <w:t>本基金对上述主体所发行证券的投资决策程序符合相关法律法规、基金合同及公司投资制度的要求。</w:t>
      </w:r>
    </w:p>
    <w:p w:rsidR="00CA0174" w:rsidRDefault="00C10923">
      <w:pPr>
        <w:widowControl/>
        <w:spacing w:line="360" w:lineRule="auto"/>
        <w:rPr>
          <w:rFonts w:eastAsiaTheme="minorEastAsia"/>
          <w:color w:val="000000" w:themeColor="text1"/>
          <w:szCs w:val="21"/>
        </w:rPr>
      </w:pPr>
      <w:r>
        <w:rPr>
          <w:rFonts w:eastAsiaTheme="minorEastAsia"/>
          <w:color w:val="000000" w:themeColor="text1"/>
          <w:szCs w:val="21"/>
        </w:rPr>
        <w:t>除上述股票外，本基金投资的其余前十名证券的发行主体本期未出现被监管部门立案调查，或在报告编制日前一年内受到公开谴责、处罚的情形。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54,632.69</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7,746.84</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62,379.53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摩根全景优势股票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摩根全景优势股票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lastRenderedPageBreak/>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268,306,299.69</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15,698,565.46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1,074,287.10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515,845.51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6,162,637.97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847,078.76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263,217,948.82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15,367,332.21</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CA0174" w:rsidRDefault="00C1092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CA0174" w:rsidRDefault="00C1092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摩根全景优势股票型证券投资基金基金合同</w:t>
      </w:r>
    </w:p>
    <w:p w:rsidR="00CA0174" w:rsidRDefault="00C1092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摩根全景优势股票型证券投资基金托管协议</w:t>
      </w:r>
    </w:p>
    <w:p w:rsidR="00CA0174" w:rsidRDefault="00C1092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CA0174" w:rsidRDefault="00C1092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CA0174" w:rsidRDefault="00C1092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CA0174" w:rsidRDefault="00C10923">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lastRenderedPageBreak/>
        <w:t>二〇二三年四月二十一日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9C27F9">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9C27F9">
      <w:rPr>
        <w:noProof/>
        <w:kern w:val="0"/>
        <w:szCs w:val="21"/>
      </w:rPr>
      <w:t>15</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9C27F9">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摩根全景优势股票型证券投资基金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27F9"/>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923"/>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0174"/>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AC52D1-D91D-4A69-9FC0-C4A1781B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15</Pages>
  <Words>1260</Words>
  <Characters>7188</Characters>
  <Application>Microsoft Office Word</Application>
  <DocSecurity>0</DocSecurity>
  <Lines>59</Lines>
  <Paragraphs>16</Paragraphs>
  <ScaleCrop>false</ScaleCrop>
  <Company>TRT. Ltd. Co.</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Wang,Xiaodi@FA</cp:lastModifiedBy>
  <cp:revision>220</cp:revision>
  <cp:lastPrinted>2007-07-19T00:46:00Z</cp:lastPrinted>
  <dcterms:created xsi:type="dcterms:W3CDTF">2013-06-21T06:56:00Z</dcterms:created>
  <dcterms:modified xsi:type="dcterms:W3CDTF">2023-04-20T06:25:00Z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