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上投摩根全景优势股票型证券投资基金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报告送出日期：二〇二二年十月二十六日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E43DDC" w:rsidRDefault="00A708D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E43DDC" w:rsidRDefault="00A708D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E43DDC" w:rsidRDefault="00A708D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E43DDC" w:rsidRDefault="00A708D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E43DDC" w:rsidRDefault="00A708D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上投摩根全景优势股票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013899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2022</w:t>
            </w:r>
            <w:r w:rsidRPr="00B27A29">
              <w:rPr>
                <w:rFonts w:eastAsiaTheme="minorEastAsia"/>
                <w:color w:val="000000" w:themeColor="text1"/>
                <w:kern w:val="0"/>
                <w:szCs w:val="21"/>
              </w:rPr>
              <w:t>年</w:t>
            </w:r>
            <w:r w:rsidRPr="00B27A29">
              <w:rPr>
                <w:rFonts w:eastAsiaTheme="minorEastAsia"/>
                <w:color w:val="000000" w:themeColor="text1"/>
                <w:kern w:val="0"/>
                <w:szCs w:val="21"/>
              </w:rPr>
              <w:t>1</w:t>
            </w:r>
            <w:r w:rsidRPr="00B27A29">
              <w:rPr>
                <w:rFonts w:eastAsiaTheme="minorEastAsia"/>
                <w:color w:val="000000" w:themeColor="text1"/>
                <w:kern w:val="0"/>
                <w:szCs w:val="21"/>
              </w:rPr>
              <w:t>月</w:t>
            </w:r>
            <w:r w:rsidRPr="00B27A29">
              <w:rPr>
                <w:rFonts w:eastAsiaTheme="minorEastAsia"/>
                <w:color w:val="000000" w:themeColor="text1"/>
                <w:kern w:val="0"/>
                <w:szCs w:val="21"/>
              </w:rPr>
              <w:t>11</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291,570,481.43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在严格的风险控制的前提下，采用定性与定量的分析，自上而下进行宏观分析和行业配置，自下而上精选个股，力争实现基金资产的长期增值。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E43DDC" w:rsidRDefault="00A708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本基金将采用自上而下与自下而上相结合的投资策略，全景布局</w:t>
            </w:r>
            <w:r>
              <w:rPr>
                <w:rFonts w:eastAsiaTheme="minorEastAsia"/>
                <w:color w:val="000000" w:themeColor="text1"/>
                <w:kern w:val="0"/>
                <w:szCs w:val="21"/>
              </w:rPr>
              <w:t>A</w:t>
            </w:r>
            <w:r>
              <w:rPr>
                <w:rFonts w:eastAsiaTheme="minorEastAsia"/>
                <w:color w:val="000000" w:themeColor="text1"/>
                <w:kern w:val="0"/>
                <w:szCs w:val="21"/>
              </w:rPr>
              <w:t>股及港股两地市场，挖掘并灵活投资于最具有投资价值的上市公司，通过行业配置与个股选择，获取超越业绩比较基准的超额收益。</w:t>
            </w:r>
          </w:p>
          <w:p w:rsidR="00E43DDC" w:rsidRDefault="00A708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资产配置策略</w:t>
            </w:r>
            <w:r>
              <w:rPr>
                <w:rFonts w:eastAsiaTheme="minorEastAsia"/>
                <w:color w:val="000000" w:themeColor="text1"/>
                <w:kern w:val="0"/>
                <w:szCs w:val="21"/>
              </w:rPr>
              <w:t xml:space="preserve"> </w:t>
            </w:r>
          </w:p>
          <w:p w:rsidR="00E43DDC" w:rsidRDefault="00A708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w:t>
            </w:r>
            <w:r>
              <w:rPr>
                <w:rFonts w:eastAsiaTheme="minorEastAsia"/>
                <w:color w:val="000000" w:themeColor="text1"/>
                <w:kern w:val="0"/>
                <w:szCs w:val="21"/>
              </w:rPr>
              <w:lastRenderedPageBreak/>
              <w:t>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在控制风险的前提下，本基金将优先配置股票资产，本基金股票资产占基金资产的投资比例为</w:t>
            </w:r>
            <w:r>
              <w:rPr>
                <w:rFonts w:eastAsiaTheme="minorEastAsia"/>
                <w:color w:val="000000" w:themeColor="text1"/>
                <w:kern w:val="0"/>
                <w:szCs w:val="21"/>
              </w:rPr>
              <w:t>80%-95%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w:t>
            </w:r>
          </w:p>
          <w:p w:rsidR="00E43DDC" w:rsidRDefault="00A708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股票投资策略</w:t>
            </w:r>
            <w:r>
              <w:rPr>
                <w:rFonts w:eastAsiaTheme="minorEastAsia"/>
                <w:color w:val="000000" w:themeColor="text1"/>
                <w:kern w:val="0"/>
                <w:szCs w:val="21"/>
              </w:rPr>
              <w:t xml:space="preserve"> </w:t>
            </w:r>
          </w:p>
          <w:p w:rsidR="00E43DDC" w:rsidRDefault="00A708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依托基金管理人的研究平台，自上而下形成行业配置观点，选择中长期有较大发展空间的优势行业进行重点配置；同时自下而上形成个股配置观点，挖掘并灵活投资于各行业中最具有投资价值的上市公司，对买入个股进行</w:t>
            </w:r>
            <w:r>
              <w:rPr>
                <w:rFonts w:eastAsiaTheme="minorEastAsia"/>
                <w:color w:val="000000" w:themeColor="text1"/>
                <w:kern w:val="0"/>
                <w:szCs w:val="21"/>
              </w:rPr>
              <w:t xml:space="preserve"> </w:t>
            </w:r>
            <w:r>
              <w:rPr>
                <w:rFonts w:eastAsiaTheme="minorEastAsia"/>
                <w:color w:val="000000" w:themeColor="text1"/>
                <w:kern w:val="0"/>
                <w:szCs w:val="21"/>
              </w:rPr>
              <w:t>深度研究和跟踪；通过行业配置与个股选择，获取超越业绩比较基准的超额收益。</w:t>
            </w:r>
          </w:p>
          <w:p w:rsidR="00E43DDC" w:rsidRDefault="00A708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行业配置上，基金管理人自上而下通过把握不同行业周期的演变路径，在行业间同时进行横向和纵向的比较，并从行业景气度、估值等多角度，综合评估各个行业的投资价值，并相应确定不同行业的配置权重。</w:t>
            </w:r>
          </w:p>
          <w:p w:rsidR="00E43DDC" w:rsidRDefault="00A708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个股选择上，基金管理人自下而上基于对上市公司质地、经营周期、估值驱动力等维度的深入研究和跟踪，综合运用定量和定性分析的手段，精选个股买入并长期持有。于此同时，紧跟持仓个股盈利变化等核心因素，及时评估和控制个股回撤风险。</w:t>
            </w:r>
          </w:p>
          <w:p w:rsidR="00E43DDC" w:rsidRDefault="00A708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港股投资策略</w:t>
            </w:r>
            <w:r>
              <w:rPr>
                <w:rFonts w:eastAsiaTheme="minorEastAsia"/>
                <w:color w:val="000000" w:themeColor="text1"/>
                <w:kern w:val="0"/>
                <w:szCs w:val="21"/>
              </w:rPr>
              <w:t xml:space="preserve"> </w:t>
            </w:r>
          </w:p>
          <w:p w:rsidR="00E43DDC" w:rsidRDefault="00A708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本基金可通过港股通机制投资于香港股票市场。对于港股</w:t>
            </w:r>
            <w:r>
              <w:rPr>
                <w:rFonts w:eastAsiaTheme="minorEastAsia"/>
                <w:color w:val="000000" w:themeColor="text1"/>
                <w:kern w:val="0"/>
                <w:szCs w:val="21"/>
              </w:rPr>
              <w:lastRenderedPageBreak/>
              <w:t>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同时，关注港股中的稀缺行业和标的，与</w:t>
            </w:r>
            <w:r>
              <w:rPr>
                <w:rFonts w:eastAsiaTheme="minorEastAsia"/>
                <w:color w:val="000000" w:themeColor="text1"/>
                <w:kern w:val="0"/>
                <w:szCs w:val="21"/>
              </w:rPr>
              <w:t xml:space="preserve"> A </w:t>
            </w:r>
            <w:r>
              <w:rPr>
                <w:rFonts w:eastAsiaTheme="minorEastAsia"/>
                <w:color w:val="000000" w:themeColor="text1"/>
                <w:kern w:val="0"/>
                <w:szCs w:val="21"/>
              </w:rPr>
              <w:t>股形成互补。</w:t>
            </w:r>
          </w:p>
          <w:p w:rsidR="00E43DDC" w:rsidRDefault="00A708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其他投资策略</w:t>
            </w:r>
            <w:r>
              <w:rPr>
                <w:rFonts w:eastAsiaTheme="minorEastAsia"/>
                <w:color w:val="000000" w:themeColor="text1"/>
                <w:kern w:val="0"/>
                <w:szCs w:val="21"/>
              </w:rPr>
              <w:t xml:space="preserve"> </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包括债券投资策略、股指期货投资策略、资产支持证券投资策略、股票期权投资策略、证券公司短期公司债券投资策略、存托凭证投资策略。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股票型基金产品，预期风险和收益水平高于混合型基金、债券型基金和货币市场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上投摩根全景优势股票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上投摩根全景优势股票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013899</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013900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275,843,779.12</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15,726,702.31</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(2022</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上投摩根全景优势股票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上投摩根全景优势股票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-9,247,678.96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-538,808.19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-43,997,866.60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-2,484,304.96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-0.1547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-0.1560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231,471,208.36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13,149,412.59</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0.8391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0.8361</w:t>
            </w:r>
          </w:p>
        </w:tc>
      </w:tr>
    </w:tbl>
    <w:p w:rsidR="00E43DDC" w:rsidRDefault="00A708D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上投摩根全景优势股票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E43DDC">
        <w:tc>
          <w:tcPr>
            <w:tcW w:w="1290" w:type="dxa"/>
            <w:vAlign w:val="center"/>
          </w:tcPr>
          <w:p w:rsidR="00E43DDC" w:rsidRDefault="00A708D3">
            <w:pPr>
              <w:jc w:val="left"/>
            </w:pPr>
            <w:r>
              <w:rPr>
                <w:rFonts w:eastAsiaTheme="minorEastAsia"/>
                <w:color w:val="000000" w:themeColor="text1"/>
                <w:szCs w:val="21"/>
              </w:rPr>
              <w:t>过去三个月</w:t>
            </w:r>
          </w:p>
        </w:tc>
        <w:tc>
          <w:tcPr>
            <w:tcW w:w="1291" w:type="dxa"/>
            <w:vAlign w:val="center"/>
          </w:tcPr>
          <w:p w:rsidR="00E43DDC" w:rsidRDefault="00A708D3">
            <w:pPr>
              <w:jc w:val="right"/>
            </w:pPr>
            <w:r>
              <w:rPr>
                <w:rFonts w:eastAsiaTheme="minorEastAsia"/>
                <w:color w:val="000000" w:themeColor="text1"/>
                <w:szCs w:val="21"/>
              </w:rPr>
              <w:t>-15.92%</w:t>
            </w:r>
          </w:p>
        </w:tc>
        <w:tc>
          <w:tcPr>
            <w:tcW w:w="1291" w:type="dxa"/>
            <w:vAlign w:val="center"/>
          </w:tcPr>
          <w:p w:rsidR="00E43DDC" w:rsidRDefault="00A708D3">
            <w:pPr>
              <w:jc w:val="right"/>
            </w:pPr>
            <w:r>
              <w:rPr>
                <w:rFonts w:eastAsiaTheme="minorEastAsia"/>
                <w:color w:val="000000" w:themeColor="text1"/>
                <w:szCs w:val="21"/>
              </w:rPr>
              <w:t>1.32%</w:t>
            </w:r>
          </w:p>
        </w:tc>
        <w:tc>
          <w:tcPr>
            <w:tcW w:w="1291" w:type="dxa"/>
            <w:vAlign w:val="center"/>
          </w:tcPr>
          <w:p w:rsidR="00E43DDC" w:rsidRDefault="00A708D3">
            <w:pPr>
              <w:jc w:val="right"/>
            </w:pPr>
            <w:r>
              <w:rPr>
                <w:rFonts w:eastAsiaTheme="minorEastAsia"/>
                <w:color w:val="000000" w:themeColor="text1"/>
                <w:szCs w:val="21"/>
              </w:rPr>
              <w:t>-12.66%</w:t>
            </w:r>
          </w:p>
        </w:tc>
        <w:tc>
          <w:tcPr>
            <w:tcW w:w="1291" w:type="dxa"/>
            <w:vAlign w:val="center"/>
          </w:tcPr>
          <w:p w:rsidR="00E43DDC" w:rsidRDefault="00A708D3">
            <w:pPr>
              <w:jc w:val="right"/>
            </w:pPr>
            <w:r>
              <w:rPr>
                <w:rFonts w:eastAsiaTheme="minorEastAsia"/>
                <w:color w:val="000000" w:themeColor="text1"/>
                <w:szCs w:val="21"/>
              </w:rPr>
              <w:t>0.77%</w:t>
            </w:r>
          </w:p>
        </w:tc>
        <w:tc>
          <w:tcPr>
            <w:tcW w:w="1291" w:type="dxa"/>
            <w:vAlign w:val="center"/>
          </w:tcPr>
          <w:p w:rsidR="00E43DDC" w:rsidRDefault="00A708D3">
            <w:pPr>
              <w:jc w:val="right"/>
            </w:pPr>
            <w:r>
              <w:rPr>
                <w:rFonts w:eastAsiaTheme="minorEastAsia"/>
                <w:color w:val="000000" w:themeColor="text1"/>
                <w:szCs w:val="21"/>
              </w:rPr>
              <w:t>-3.26%</w:t>
            </w:r>
          </w:p>
        </w:tc>
        <w:tc>
          <w:tcPr>
            <w:tcW w:w="1291" w:type="dxa"/>
            <w:vAlign w:val="center"/>
          </w:tcPr>
          <w:p w:rsidR="00E43DDC" w:rsidRDefault="00A708D3">
            <w:pPr>
              <w:jc w:val="right"/>
            </w:pPr>
            <w:r>
              <w:rPr>
                <w:rFonts w:eastAsiaTheme="minorEastAsia"/>
                <w:color w:val="000000" w:themeColor="text1"/>
                <w:szCs w:val="21"/>
              </w:rPr>
              <w:t>0.55%</w:t>
            </w:r>
          </w:p>
        </w:tc>
      </w:tr>
      <w:tr w:rsidR="00E43DDC">
        <w:tc>
          <w:tcPr>
            <w:tcW w:w="1290" w:type="dxa"/>
            <w:vAlign w:val="center"/>
          </w:tcPr>
          <w:p w:rsidR="00E43DDC" w:rsidRDefault="00A708D3">
            <w:pPr>
              <w:jc w:val="left"/>
            </w:pPr>
            <w:r>
              <w:rPr>
                <w:rFonts w:eastAsiaTheme="minorEastAsia"/>
                <w:color w:val="000000" w:themeColor="text1"/>
                <w:szCs w:val="21"/>
              </w:rPr>
              <w:t>过去六个月</w:t>
            </w:r>
          </w:p>
        </w:tc>
        <w:tc>
          <w:tcPr>
            <w:tcW w:w="1291" w:type="dxa"/>
            <w:vAlign w:val="center"/>
          </w:tcPr>
          <w:p w:rsidR="00E43DDC" w:rsidRDefault="00A708D3">
            <w:pPr>
              <w:jc w:val="right"/>
            </w:pPr>
            <w:r>
              <w:rPr>
                <w:rFonts w:eastAsiaTheme="minorEastAsia"/>
                <w:color w:val="000000" w:themeColor="text1"/>
                <w:szCs w:val="21"/>
              </w:rPr>
              <w:t>-11.98%</w:t>
            </w:r>
          </w:p>
        </w:tc>
        <w:tc>
          <w:tcPr>
            <w:tcW w:w="1291" w:type="dxa"/>
            <w:vAlign w:val="center"/>
          </w:tcPr>
          <w:p w:rsidR="00E43DDC" w:rsidRDefault="00A708D3">
            <w:pPr>
              <w:jc w:val="right"/>
            </w:pPr>
            <w:r>
              <w:rPr>
                <w:rFonts w:eastAsiaTheme="minorEastAsia"/>
                <w:color w:val="000000" w:themeColor="text1"/>
                <w:szCs w:val="21"/>
              </w:rPr>
              <w:t>1.23%</w:t>
            </w:r>
          </w:p>
        </w:tc>
        <w:tc>
          <w:tcPr>
            <w:tcW w:w="1291" w:type="dxa"/>
            <w:vAlign w:val="center"/>
          </w:tcPr>
          <w:p w:rsidR="00E43DDC" w:rsidRDefault="00A708D3">
            <w:pPr>
              <w:jc w:val="right"/>
            </w:pPr>
            <w:r>
              <w:rPr>
                <w:rFonts w:eastAsiaTheme="minorEastAsia"/>
                <w:color w:val="000000" w:themeColor="text1"/>
                <w:szCs w:val="21"/>
              </w:rPr>
              <w:t>-8.71%</w:t>
            </w:r>
          </w:p>
        </w:tc>
        <w:tc>
          <w:tcPr>
            <w:tcW w:w="1291" w:type="dxa"/>
            <w:vAlign w:val="center"/>
          </w:tcPr>
          <w:p w:rsidR="00E43DDC" w:rsidRDefault="00A708D3">
            <w:pPr>
              <w:jc w:val="right"/>
            </w:pPr>
            <w:r>
              <w:rPr>
                <w:rFonts w:eastAsiaTheme="minorEastAsia"/>
                <w:color w:val="000000" w:themeColor="text1"/>
                <w:szCs w:val="21"/>
              </w:rPr>
              <w:t>1.00%</w:t>
            </w:r>
          </w:p>
        </w:tc>
        <w:tc>
          <w:tcPr>
            <w:tcW w:w="1291" w:type="dxa"/>
            <w:vAlign w:val="center"/>
          </w:tcPr>
          <w:p w:rsidR="00E43DDC" w:rsidRDefault="00A708D3">
            <w:pPr>
              <w:jc w:val="right"/>
            </w:pPr>
            <w:r>
              <w:rPr>
                <w:rFonts w:eastAsiaTheme="minorEastAsia"/>
                <w:color w:val="000000" w:themeColor="text1"/>
                <w:szCs w:val="21"/>
              </w:rPr>
              <w:t>-3.27%</w:t>
            </w:r>
          </w:p>
        </w:tc>
        <w:tc>
          <w:tcPr>
            <w:tcW w:w="1291" w:type="dxa"/>
            <w:vAlign w:val="center"/>
          </w:tcPr>
          <w:p w:rsidR="00E43DDC" w:rsidRDefault="00A708D3">
            <w:pPr>
              <w:jc w:val="right"/>
            </w:pPr>
            <w:r>
              <w:rPr>
                <w:rFonts w:eastAsiaTheme="minorEastAsia"/>
                <w:color w:val="000000" w:themeColor="text1"/>
                <w:szCs w:val="21"/>
              </w:rPr>
              <w:t>0.23%</w:t>
            </w:r>
          </w:p>
        </w:tc>
      </w:tr>
      <w:tr w:rsidR="00E43DDC">
        <w:tc>
          <w:tcPr>
            <w:tcW w:w="1290" w:type="dxa"/>
            <w:vAlign w:val="center"/>
          </w:tcPr>
          <w:p w:rsidR="00E43DDC" w:rsidRDefault="00A708D3">
            <w:pPr>
              <w:jc w:val="left"/>
            </w:pPr>
            <w:r>
              <w:rPr>
                <w:rFonts w:eastAsiaTheme="minorEastAsia"/>
                <w:color w:val="000000" w:themeColor="text1"/>
                <w:szCs w:val="21"/>
              </w:rPr>
              <w:t>过去一年</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r>
      <w:tr w:rsidR="00E43DDC">
        <w:tc>
          <w:tcPr>
            <w:tcW w:w="1290" w:type="dxa"/>
            <w:vAlign w:val="center"/>
          </w:tcPr>
          <w:p w:rsidR="00E43DDC" w:rsidRDefault="00A708D3">
            <w:pPr>
              <w:jc w:val="left"/>
            </w:pPr>
            <w:r>
              <w:rPr>
                <w:rFonts w:eastAsiaTheme="minorEastAsia"/>
                <w:color w:val="000000" w:themeColor="text1"/>
                <w:szCs w:val="21"/>
              </w:rPr>
              <w:t>过去三年</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r>
      <w:tr w:rsidR="00E43DDC">
        <w:tc>
          <w:tcPr>
            <w:tcW w:w="1290" w:type="dxa"/>
            <w:vAlign w:val="center"/>
          </w:tcPr>
          <w:p w:rsidR="00E43DDC" w:rsidRDefault="00A708D3">
            <w:pPr>
              <w:jc w:val="left"/>
            </w:pPr>
            <w:r>
              <w:rPr>
                <w:rFonts w:eastAsiaTheme="minorEastAsia"/>
                <w:color w:val="000000" w:themeColor="text1"/>
                <w:szCs w:val="21"/>
              </w:rPr>
              <w:t>过去五年</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r>
      <w:tr w:rsidR="00E43DDC">
        <w:tc>
          <w:tcPr>
            <w:tcW w:w="1290" w:type="dxa"/>
            <w:vAlign w:val="center"/>
          </w:tcPr>
          <w:p w:rsidR="00E43DDC" w:rsidRDefault="00A708D3">
            <w:pPr>
              <w:jc w:val="left"/>
            </w:pPr>
            <w:r>
              <w:rPr>
                <w:rFonts w:eastAsiaTheme="minorEastAsia"/>
                <w:color w:val="000000" w:themeColor="text1"/>
                <w:szCs w:val="21"/>
              </w:rPr>
              <w:t>自基金合同生效起至今</w:t>
            </w:r>
          </w:p>
        </w:tc>
        <w:tc>
          <w:tcPr>
            <w:tcW w:w="1291" w:type="dxa"/>
            <w:vAlign w:val="center"/>
          </w:tcPr>
          <w:p w:rsidR="00E43DDC" w:rsidRDefault="00A708D3">
            <w:pPr>
              <w:jc w:val="right"/>
            </w:pPr>
            <w:r>
              <w:rPr>
                <w:rFonts w:eastAsiaTheme="minorEastAsia"/>
                <w:color w:val="000000" w:themeColor="text1"/>
                <w:szCs w:val="21"/>
              </w:rPr>
              <w:t>-16.09%</w:t>
            </w:r>
          </w:p>
        </w:tc>
        <w:tc>
          <w:tcPr>
            <w:tcW w:w="1291" w:type="dxa"/>
            <w:vAlign w:val="center"/>
          </w:tcPr>
          <w:p w:rsidR="00E43DDC" w:rsidRDefault="00A708D3">
            <w:pPr>
              <w:jc w:val="right"/>
            </w:pPr>
            <w:r>
              <w:rPr>
                <w:rFonts w:eastAsiaTheme="minorEastAsia"/>
                <w:color w:val="000000" w:themeColor="text1"/>
                <w:szCs w:val="21"/>
              </w:rPr>
              <w:t>1.10%</w:t>
            </w:r>
          </w:p>
        </w:tc>
        <w:tc>
          <w:tcPr>
            <w:tcW w:w="1291" w:type="dxa"/>
            <w:vAlign w:val="center"/>
          </w:tcPr>
          <w:p w:rsidR="00E43DDC" w:rsidRDefault="00A708D3">
            <w:pPr>
              <w:jc w:val="right"/>
            </w:pPr>
            <w:r>
              <w:rPr>
                <w:rFonts w:eastAsiaTheme="minorEastAsia"/>
                <w:color w:val="000000" w:themeColor="text1"/>
                <w:szCs w:val="21"/>
              </w:rPr>
              <w:t>-17.81%</w:t>
            </w:r>
          </w:p>
        </w:tc>
        <w:tc>
          <w:tcPr>
            <w:tcW w:w="1291" w:type="dxa"/>
            <w:vAlign w:val="center"/>
          </w:tcPr>
          <w:p w:rsidR="00E43DDC" w:rsidRDefault="00A708D3">
            <w:pPr>
              <w:jc w:val="right"/>
            </w:pPr>
            <w:r>
              <w:rPr>
                <w:rFonts w:eastAsiaTheme="minorEastAsia"/>
                <w:color w:val="000000" w:themeColor="text1"/>
                <w:szCs w:val="21"/>
              </w:rPr>
              <w:t>1.13%</w:t>
            </w:r>
          </w:p>
        </w:tc>
        <w:tc>
          <w:tcPr>
            <w:tcW w:w="1291" w:type="dxa"/>
            <w:vAlign w:val="center"/>
          </w:tcPr>
          <w:p w:rsidR="00E43DDC" w:rsidRDefault="00A708D3">
            <w:pPr>
              <w:jc w:val="right"/>
            </w:pPr>
            <w:r>
              <w:rPr>
                <w:rFonts w:eastAsiaTheme="minorEastAsia"/>
                <w:color w:val="000000" w:themeColor="text1"/>
                <w:szCs w:val="21"/>
              </w:rPr>
              <w:t>1.72%</w:t>
            </w:r>
          </w:p>
        </w:tc>
        <w:tc>
          <w:tcPr>
            <w:tcW w:w="1291" w:type="dxa"/>
            <w:vAlign w:val="center"/>
          </w:tcPr>
          <w:p w:rsidR="00E43DDC" w:rsidRDefault="00A708D3">
            <w:pPr>
              <w:jc w:val="right"/>
            </w:pPr>
            <w:r>
              <w:rPr>
                <w:rFonts w:eastAsiaTheme="minorEastAsia"/>
                <w:color w:val="000000" w:themeColor="text1"/>
                <w:szCs w:val="21"/>
              </w:rPr>
              <w:t>-0.03%</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上投摩根全景优势股票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E43DDC">
        <w:tc>
          <w:tcPr>
            <w:tcW w:w="1290" w:type="dxa"/>
            <w:vAlign w:val="center"/>
          </w:tcPr>
          <w:p w:rsidR="00E43DDC" w:rsidRDefault="00A708D3">
            <w:pPr>
              <w:jc w:val="left"/>
            </w:pPr>
            <w:r>
              <w:rPr>
                <w:rFonts w:eastAsiaTheme="minorEastAsia"/>
                <w:color w:val="000000" w:themeColor="text1"/>
                <w:szCs w:val="21"/>
              </w:rPr>
              <w:t>过去三个月</w:t>
            </w:r>
          </w:p>
        </w:tc>
        <w:tc>
          <w:tcPr>
            <w:tcW w:w="1291" w:type="dxa"/>
            <w:vAlign w:val="center"/>
          </w:tcPr>
          <w:p w:rsidR="00E43DDC" w:rsidRDefault="00A708D3">
            <w:pPr>
              <w:jc w:val="right"/>
            </w:pPr>
            <w:r>
              <w:rPr>
                <w:rFonts w:eastAsiaTheme="minorEastAsia"/>
                <w:color w:val="000000" w:themeColor="text1"/>
                <w:szCs w:val="21"/>
              </w:rPr>
              <w:t>-16.02%</w:t>
            </w:r>
          </w:p>
        </w:tc>
        <w:tc>
          <w:tcPr>
            <w:tcW w:w="1291" w:type="dxa"/>
            <w:vAlign w:val="center"/>
          </w:tcPr>
          <w:p w:rsidR="00E43DDC" w:rsidRDefault="00A708D3">
            <w:pPr>
              <w:jc w:val="right"/>
            </w:pPr>
            <w:r>
              <w:rPr>
                <w:rFonts w:eastAsiaTheme="minorEastAsia"/>
                <w:color w:val="000000" w:themeColor="text1"/>
                <w:szCs w:val="21"/>
              </w:rPr>
              <w:t>1.32%</w:t>
            </w:r>
          </w:p>
        </w:tc>
        <w:tc>
          <w:tcPr>
            <w:tcW w:w="1291" w:type="dxa"/>
            <w:vAlign w:val="center"/>
          </w:tcPr>
          <w:p w:rsidR="00E43DDC" w:rsidRDefault="00A708D3">
            <w:pPr>
              <w:jc w:val="right"/>
            </w:pPr>
            <w:r>
              <w:rPr>
                <w:rFonts w:eastAsiaTheme="minorEastAsia"/>
                <w:color w:val="000000" w:themeColor="text1"/>
                <w:szCs w:val="21"/>
              </w:rPr>
              <w:t>-12.66%</w:t>
            </w:r>
          </w:p>
        </w:tc>
        <w:tc>
          <w:tcPr>
            <w:tcW w:w="1291" w:type="dxa"/>
            <w:vAlign w:val="center"/>
          </w:tcPr>
          <w:p w:rsidR="00E43DDC" w:rsidRDefault="00A708D3">
            <w:pPr>
              <w:jc w:val="right"/>
            </w:pPr>
            <w:r>
              <w:rPr>
                <w:rFonts w:eastAsiaTheme="minorEastAsia"/>
                <w:color w:val="000000" w:themeColor="text1"/>
                <w:szCs w:val="21"/>
              </w:rPr>
              <w:t>0.77%</w:t>
            </w:r>
          </w:p>
        </w:tc>
        <w:tc>
          <w:tcPr>
            <w:tcW w:w="1291" w:type="dxa"/>
            <w:vAlign w:val="center"/>
          </w:tcPr>
          <w:p w:rsidR="00E43DDC" w:rsidRDefault="00A708D3">
            <w:pPr>
              <w:jc w:val="right"/>
            </w:pPr>
            <w:r>
              <w:rPr>
                <w:rFonts w:eastAsiaTheme="minorEastAsia"/>
                <w:color w:val="000000" w:themeColor="text1"/>
                <w:szCs w:val="21"/>
              </w:rPr>
              <w:t>-3.36%</w:t>
            </w:r>
          </w:p>
        </w:tc>
        <w:tc>
          <w:tcPr>
            <w:tcW w:w="1291" w:type="dxa"/>
            <w:vAlign w:val="center"/>
          </w:tcPr>
          <w:p w:rsidR="00E43DDC" w:rsidRDefault="00A708D3">
            <w:pPr>
              <w:jc w:val="right"/>
            </w:pPr>
            <w:r>
              <w:rPr>
                <w:rFonts w:eastAsiaTheme="minorEastAsia"/>
                <w:color w:val="000000" w:themeColor="text1"/>
                <w:szCs w:val="21"/>
              </w:rPr>
              <w:t>0.55%</w:t>
            </w:r>
          </w:p>
        </w:tc>
      </w:tr>
      <w:tr w:rsidR="00E43DDC">
        <w:tc>
          <w:tcPr>
            <w:tcW w:w="1290" w:type="dxa"/>
            <w:vAlign w:val="center"/>
          </w:tcPr>
          <w:p w:rsidR="00E43DDC" w:rsidRDefault="00A708D3">
            <w:pPr>
              <w:jc w:val="left"/>
            </w:pPr>
            <w:r>
              <w:rPr>
                <w:rFonts w:eastAsiaTheme="minorEastAsia"/>
                <w:color w:val="000000" w:themeColor="text1"/>
                <w:szCs w:val="21"/>
              </w:rPr>
              <w:t>过去六个月</w:t>
            </w:r>
          </w:p>
        </w:tc>
        <w:tc>
          <w:tcPr>
            <w:tcW w:w="1291" w:type="dxa"/>
            <w:vAlign w:val="center"/>
          </w:tcPr>
          <w:p w:rsidR="00E43DDC" w:rsidRDefault="00A708D3">
            <w:pPr>
              <w:jc w:val="right"/>
            </w:pPr>
            <w:r>
              <w:rPr>
                <w:rFonts w:eastAsiaTheme="minorEastAsia"/>
                <w:color w:val="000000" w:themeColor="text1"/>
                <w:szCs w:val="21"/>
              </w:rPr>
              <w:t>-12.19%</w:t>
            </w:r>
          </w:p>
        </w:tc>
        <w:tc>
          <w:tcPr>
            <w:tcW w:w="1291" w:type="dxa"/>
            <w:vAlign w:val="center"/>
          </w:tcPr>
          <w:p w:rsidR="00E43DDC" w:rsidRDefault="00A708D3">
            <w:pPr>
              <w:jc w:val="right"/>
            </w:pPr>
            <w:r>
              <w:rPr>
                <w:rFonts w:eastAsiaTheme="minorEastAsia"/>
                <w:color w:val="000000" w:themeColor="text1"/>
                <w:szCs w:val="21"/>
              </w:rPr>
              <w:t>1.23%</w:t>
            </w:r>
          </w:p>
        </w:tc>
        <w:tc>
          <w:tcPr>
            <w:tcW w:w="1291" w:type="dxa"/>
            <w:vAlign w:val="center"/>
          </w:tcPr>
          <w:p w:rsidR="00E43DDC" w:rsidRDefault="00A708D3">
            <w:pPr>
              <w:jc w:val="right"/>
            </w:pPr>
            <w:r>
              <w:rPr>
                <w:rFonts w:eastAsiaTheme="minorEastAsia"/>
                <w:color w:val="000000" w:themeColor="text1"/>
                <w:szCs w:val="21"/>
              </w:rPr>
              <w:t>-8.71%</w:t>
            </w:r>
          </w:p>
        </w:tc>
        <w:tc>
          <w:tcPr>
            <w:tcW w:w="1291" w:type="dxa"/>
            <w:vAlign w:val="center"/>
          </w:tcPr>
          <w:p w:rsidR="00E43DDC" w:rsidRDefault="00A708D3">
            <w:pPr>
              <w:jc w:val="right"/>
            </w:pPr>
            <w:r>
              <w:rPr>
                <w:rFonts w:eastAsiaTheme="minorEastAsia"/>
                <w:color w:val="000000" w:themeColor="text1"/>
                <w:szCs w:val="21"/>
              </w:rPr>
              <w:t>1.00%</w:t>
            </w:r>
          </w:p>
        </w:tc>
        <w:tc>
          <w:tcPr>
            <w:tcW w:w="1291" w:type="dxa"/>
            <w:vAlign w:val="center"/>
          </w:tcPr>
          <w:p w:rsidR="00E43DDC" w:rsidRDefault="00A708D3">
            <w:pPr>
              <w:jc w:val="right"/>
            </w:pPr>
            <w:r>
              <w:rPr>
                <w:rFonts w:eastAsiaTheme="minorEastAsia"/>
                <w:color w:val="000000" w:themeColor="text1"/>
                <w:szCs w:val="21"/>
              </w:rPr>
              <w:t>-3.48%</w:t>
            </w:r>
          </w:p>
        </w:tc>
        <w:tc>
          <w:tcPr>
            <w:tcW w:w="1291" w:type="dxa"/>
            <w:vAlign w:val="center"/>
          </w:tcPr>
          <w:p w:rsidR="00E43DDC" w:rsidRDefault="00A708D3">
            <w:pPr>
              <w:jc w:val="right"/>
            </w:pPr>
            <w:r>
              <w:rPr>
                <w:rFonts w:eastAsiaTheme="minorEastAsia"/>
                <w:color w:val="000000" w:themeColor="text1"/>
                <w:szCs w:val="21"/>
              </w:rPr>
              <w:t>0.23%</w:t>
            </w:r>
          </w:p>
        </w:tc>
      </w:tr>
      <w:tr w:rsidR="00E43DDC">
        <w:tc>
          <w:tcPr>
            <w:tcW w:w="1290" w:type="dxa"/>
            <w:vAlign w:val="center"/>
          </w:tcPr>
          <w:p w:rsidR="00E43DDC" w:rsidRDefault="00A708D3">
            <w:pPr>
              <w:jc w:val="left"/>
            </w:pPr>
            <w:r>
              <w:rPr>
                <w:rFonts w:eastAsiaTheme="minorEastAsia"/>
                <w:color w:val="000000" w:themeColor="text1"/>
                <w:szCs w:val="21"/>
              </w:rPr>
              <w:t>过去一年</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r>
      <w:tr w:rsidR="00E43DDC">
        <w:tc>
          <w:tcPr>
            <w:tcW w:w="1290" w:type="dxa"/>
            <w:vAlign w:val="center"/>
          </w:tcPr>
          <w:p w:rsidR="00E43DDC" w:rsidRDefault="00A708D3">
            <w:pPr>
              <w:jc w:val="left"/>
            </w:pPr>
            <w:r>
              <w:rPr>
                <w:rFonts w:eastAsiaTheme="minorEastAsia"/>
                <w:color w:val="000000" w:themeColor="text1"/>
                <w:szCs w:val="21"/>
              </w:rPr>
              <w:t>过去三年</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r>
      <w:tr w:rsidR="00E43DDC">
        <w:tc>
          <w:tcPr>
            <w:tcW w:w="1290" w:type="dxa"/>
            <w:vAlign w:val="center"/>
          </w:tcPr>
          <w:p w:rsidR="00E43DDC" w:rsidRDefault="00A708D3">
            <w:pPr>
              <w:jc w:val="left"/>
            </w:pPr>
            <w:r>
              <w:rPr>
                <w:rFonts w:eastAsiaTheme="minorEastAsia"/>
                <w:color w:val="000000" w:themeColor="text1"/>
                <w:szCs w:val="21"/>
              </w:rPr>
              <w:lastRenderedPageBreak/>
              <w:t>过去五年</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c>
          <w:tcPr>
            <w:tcW w:w="1291" w:type="dxa"/>
            <w:vAlign w:val="center"/>
          </w:tcPr>
          <w:p w:rsidR="00E43DDC" w:rsidRDefault="00A708D3">
            <w:pPr>
              <w:jc w:val="right"/>
            </w:pPr>
            <w:r>
              <w:rPr>
                <w:rFonts w:eastAsiaTheme="minorEastAsia"/>
                <w:color w:val="000000" w:themeColor="text1"/>
                <w:szCs w:val="21"/>
              </w:rPr>
              <w:t>-</w:t>
            </w:r>
          </w:p>
        </w:tc>
      </w:tr>
      <w:tr w:rsidR="00E43DDC">
        <w:tc>
          <w:tcPr>
            <w:tcW w:w="1290" w:type="dxa"/>
            <w:vAlign w:val="center"/>
          </w:tcPr>
          <w:p w:rsidR="00E43DDC" w:rsidRDefault="00A708D3">
            <w:pPr>
              <w:jc w:val="left"/>
            </w:pPr>
            <w:r>
              <w:rPr>
                <w:rFonts w:eastAsiaTheme="minorEastAsia"/>
                <w:color w:val="000000" w:themeColor="text1"/>
                <w:szCs w:val="21"/>
              </w:rPr>
              <w:t>自基金合同生效起至今</w:t>
            </w:r>
          </w:p>
        </w:tc>
        <w:tc>
          <w:tcPr>
            <w:tcW w:w="1291" w:type="dxa"/>
            <w:vAlign w:val="center"/>
          </w:tcPr>
          <w:p w:rsidR="00E43DDC" w:rsidRDefault="00A708D3">
            <w:pPr>
              <w:jc w:val="right"/>
            </w:pPr>
            <w:r>
              <w:rPr>
                <w:rFonts w:eastAsiaTheme="minorEastAsia"/>
                <w:color w:val="000000" w:themeColor="text1"/>
                <w:szCs w:val="21"/>
              </w:rPr>
              <w:t>-16.39%</w:t>
            </w:r>
          </w:p>
        </w:tc>
        <w:tc>
          <w:tcPr>
            <w:tcW w:w="1291" w:type="dxa"/>
            <w:vAlign w:val="center"/>
          </w:tcPr>
          <w:p w:rsidR="00E43DDC" w:rsidRDefault="00A708D3">
            <w:pPr>
              <w:jc w:val="right"/>
            </w:pPr>
            <w:r>
              <w:rPr>
                <w:rFonts w:eastAsiaTheme="minorEastAsia"/>
                <w:color w:val="000000" w:themeColor="text1"/>
                <w:szCs w:val="21"/>
              </w:rPr>
              <w:t>1.10%</w:t>
            </w:r>
          </w:p>
        </w:tc>
        <w:tc>
          <w:tcPr>
            <w:tcW w:w="1291" w:type="dxa"/>
            <w:vAlign w:val="center"/>
          </w:tcPr>
          <w:p w:rsidR="00E43DDC" w:rsidRDefault="00A708D3">
            <w:pPr>
              <w:jc w:val="right"/>
            </w:pPr>
            <w:r>
              <w:rPr>
                <w:rFonts w:eastAsiaTheme="minorEastAsia"/>
                <w:color w:val="000000" w:themeColor="text1"/>
                <w:szCs w:val="21"/>
              </w:rPr>
              <w:t>-17.81%</w:t>
            </w:r>
          </w:p>
        </w:tc>
        <w:tc>
          <w:tcPr>
            <w:tcW w:w="1291" w:type="dxa"/>
            <w:vAlign w:val="center"/>
          </w:tcPr>
          <w:p w:rsidR="00E43DDC" w:rsidRDefault="00A708D3">
            <w:pPr>
              <w:jc w:val="right"/>
            </w:pPr>
            <w:r>
              <w:rPr>
                <w:rFonts w:eastAsiaTheme="minorEastAsia"/>
                <w:color w:val="000000" w:themeColor="text1"/>
                <w:szCs w:val="21"/>
              </w:rPr>
              <w:t>1.13%</w:t>
            </w:r>
          </w:p>
        </w:tc>
        <w:tc>
          <w:tcPr>
            <w:tcW w:w="1291" w:type="dxa"/>
            <w:vAlign w:val="center"/>
          </w:tcPr>
          <w:p w:rsidR="00E43DDC" w:rsidRDefault="00A708D3">
            <w:pPr>
              <w:jc w:val="right"/>
            </w:pPr>
            <w:r>
              <w:rPr>
                <w:rFonts w:eastAsiaTheme="minorEastAsia"/>
                <w:color w:val="000000" w:themeColor="text1"/>
                <w:szCs w:val="21"/>
              </w:rPr>
              <w:t>1.42%</w:t>
            </w:r>
          </w:p>
        </w:tc>
        <w:tc>
          <w:tcPr>
            <w:tcW w:w="1291" w:type="dxa"/>
            <w:vAlign w:val="center"/>
          </w:tcPr>
          <w:p w:rsidR="00E43DDC" w:rsidRDefault="00A708D3">
            <w:pPr>
              <w:jc w:val="right"/>
            </w:pPr>
            <w:r>
              <w:rPr>
                <w:rFonts w:eastAsiaTheme="minorEastAsia"/>
                <w:color w:val="000000" w:themeColor="text1"/>
                <w:szCs w:val="21"/>
              </w:rPr>
              <w:t>-0.03%</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上投摩根全景优势股票型证券投资基金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．上投摩根全景优势股票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E43DDC" w:rsidRDefault="00A708D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日，截至本报告期末本基金合同生效未满一年。</w:t>
      </w:r>
    </w:p>
    <w:p w:rsidR="00B742A8" w:rsidRDefault="00A708D3">
      <w:pPr>
        <w:snapToGrid w:val="0"/>
        <w:spacing w:beforeLines="100" w:before="312" w:line="360" w:lineRule="auto"/>
        <w:rPr>
          <w:rFonts w:eastAsiaTheme="minorEastAsia"/>
          <w:color w:val="000000" w:themeColor="text1"/>
          <w:szCs w:val="21"/>
        </w:rPr>
      </w:pPr>
      <w:r w:rsidRPr="00A708D3">
        <w:rPr>
          <w:rFonts w:eastAsiaTheme="minorEastAsia" w:hint="eastAsia"/>
          <w:color w:val="000000" w:themeColor="text1"/>
          <w:szCs w:val="21"/>
        </w:rPr>
        <w:t>本基金建仓期为本基金合同生效日起</w:t>
      </w:r>
      <w:r w:rsidRPr="00A708D3">
        <w:rPr>
          <w:rFonts w:eastAsiaTheme="minorEastAsia" w:hint="eastAsia"/>
          <w:color w:val="000000" w:themeColor="text1"/>
          <w:szCs w:val="21"/>
        </w:rPr>
        <w:t xml:space="preserve"> 6 </w:t>
      </w:r>
      <w:r w:rsidRPr="00A708D3">
        <w:rPr>
          <w:rFonts w:eastAsiaTheme="minorEastAsia" w:hint="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bookmarkStart w:id="0" w:name="_GoBack"/>
      <w:bookmarkEnd w:id="0"/>
      <w:r w:rsidRPr="00B27A29">
        <w:rPr>
          <w:rFonts w:eastAsiaTheme="minorEastAsia"/>
          <w:color w:val="000000" w:themeColor="text1"/>
          <w:szCs w:val="21"/>
        </w:rPr>
        <w:t>2</w:t>
      </w:r>
      <w:r w:rsidRPr="00B27A29">
        <w:rPr>
          <w:rFonts w:eastAsiaTheme="minorEastAsia"/>
          <w:color w:val="000000" w:themeColor="text1"/>
          <w:szCs w:val="21"/>
        </w:rPr>
        <w:t>．上投摩根全景优势股票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E43DDC" w:rsidRDefault="00A708D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日，截至本报告期末本基金合同生效未满一年。</w:t>
      </w:r>
    </w:p>
    <w:p w:rsidR="005E6DF3" w:rsidRPr="00B27A29" w:rsidRDefault="00A708D3">
      <w:pPr>
        <w:tabs>
          <w:tab w:val="left" w:pos="1800"/>
        </w:tabs>
        <w:spacing w:line="288" w:lineRule="auto"/>
        <w:rPr>
          <w:rFonts w:eastAsiaTheme="minorEastAsia"/>
          <w:color w:val="000000" w:themeColor="text1"/>
          <w:szCs w:val="21"/>
        </w:rPr>
      </w:pPr>
      <w:r w:rsidRPr="00A708D3">
        <w:rPr>
          <w:rFonts w:eastAsiaTheme="minorEastAsia" w:hint="eastAsia"/>
          <w:color w:val="000000" w:themeColor="text1"/>
          <w:szCs w:val="21"/>
        </w:rPr>
        <w:t>本基金建仓期为本基金合同生效日起</w:t>
      </w:r>
      <w:r w:rsidRPr="00A708D3">
        <w:rPr>
          <w:rFonts w:eastAsiaTheme="minorEastAsia" w:hint="eastAsia"/>
          <w:color w:val="000000" w:themeColor="text1"/>
          <w:szCs w:val="21"/>
        </w:rPr>
        <w:t xml:space="preserve"> 6 </w:t>
      </w:r>
      <w:r w:rsidRPr="00A708D3">
        <w:rPr>
          <w:rFonts w:eastAsiaTheme="minorEastAsia" w:hint="eastAsia"/>
          <w:color w:val="000000" w:themeColor="text1"/>
          <w:szCs w:val="21"/>
        </w:rPr>
        <w:t>个月，建仓期结束时资产配置比例符合本基金基金合同规定。</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E43DDC">
        <w:tc>
          <w:tcPr>
            <w:tcW w:w="952" w:type="dxa"/>
            <w:vAlign w:val="center"/>
          </w:tcPr>
          <w:p w:rsidR="00E43DDC" w:rsidRDefault="00A708D3">
            <w:pPr>
              <w:jc w:val="center"/>
            </w:pPr>
            <w:r>
              <w:rPr>
                <w:rFonts w:eastAsiaTheme="minorEastAsia"/>
                <w:color w:val="000000" w:themeColor="text1"/>
                <w:szCs w:val="21"/>
              </w:rPr>
              <w:t>倪权生</w:t>
            </w:r>
          </w:p>
        </w:tc>
        <w:tc>
          <w:tcPr>
            <w:tcW w:w="930" w:type="dxa"/>
            <w:vAlign w:val="center"/>
          </w:tcPr>
          <w:p w:rsidR="00E43DDC" w:rsidRDefault="00A708D3">
            <w:pPr>
              <w:jc w:val="center"/>
            </w:pPr>
            <w:r>
              <w:rPr>
                <w:rFonts w:eastAsiaTheme="minorEastAsia"/>
                <w:color w:val="000000" w:themeColor="text1"/>
                <w:szCs w:val="21"/>
              </w:rPr>
              <w:t>本基金基金经理</w:t>
            </w:r>
          </w:p>
        </w:tc>
        <w:tc>
          <w:tcPr>
            <w:tcW w:w="1210" w:type="dxa"/>
            <w:vAlign w:val="center"/>
          </w:tcPr>
          <w:p w:rsidR="00E43DDC" w:rsidRDefault="00A708D3">
            <w:pPr>
              <w:jc w:val="center"/>
            </w:pPr>
            <w:r>
              <w:rPr>
                <w:rFonts w:eastAsiaTheme="minorEastAsia"/>
                <w:color w:val="000000" w:themeColor="text1"/>
                <w:szCs w:val="21"/>
              </w:rPr>
              <w:t>2022-01-11</w:t>
            </w:r>
          </w:p>
        </w:tc>
        <w:tc>
          <w:tcPr>
            <w:tcW w:w="1309" w:type="dxa"/>
            <w:vAlign w:val="center"/>
          </w:tcPr>
          <w:p w:rsidR="00E43DDC" w:rsidRDefault="00A708D3">
            <w:pPr>
              <w:jc w:val="center"/>
            </w:pPr>
            <w:r>
              <w:rPr>
                <w:rFonts w:eastAsiaTheme="minorEastAsia"/>
                <w:color w:val="000000" w:themeColor="text1"/>
                <w:szCs w:val="21"/>
              </w:rPr>
              <w:t>-</w:t>
            </w:r>
          </w:p>
        </w:tc>
        <w:tc>
          <w:tcPr>
            <w:tcW w:w="1254" w:type="dxa"/>
            <w:vAlign w:val="center"/>
          </w:tcPr>
          <w:p w:rsidR="00E43DDC" w:rsidRDefault="00A708D3">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E43DDC" w:rsidRDefault="00A708D3">
            <w:r>
              <w:rPr>
                <w:rFonts w:eastAsiaTheme="minorEastAsia"/>
                <w:color w:val="000000" w:themeColor="text1"/>
                <w:szCs w:val="21"/>
              </w:rPr>
              <w:t>倪权生先生，上海交通大学金融学博士。自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月，在博时基金管理有限公司任高级研究员；</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月，在浙商基金管理有限公司历任投资经理助理、基金经理</w:t>
            </w:r>
            <w:r>
              <w:rPr>
                <w:rFonts w:eastAsiaTheme="minorEastAsia"/>
                <w:color w:val="000000" w:themeColor="text1"/>
                <w:szCs w:val="21"/>
              </w:rPr>
              <w:t>/</w:t>
            </w:r>
            <w:r>
              <w:rPr>
                <w:rFonts w:eastAsiaTheme="minorEastAsia"/>
                <w:color w:val="000000" w:themeColor="text1"/>
                <w:szCs w:val="21"/>
              </w:rPr>
              <w:t>股票投资部副总经理；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月起加入上投摩根基金管理有限公司，现任国内权益投资部均衡组组长兼资深基金经理。自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月起任上投摩根成长先锋混合型证券投资基金基金经理。自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月起同时担任上投摩根均衡优选混合型证券投资基金基金经</w:t>
            </w:r>
            <w:r>
              <w:rPr>
                <w:rFonts w:eastAsiaTheme="minorEastAsia"/>
                <w:color w:val="000000" w:themeColor="text1"/>
                <w:szCs w:val="21"/>
              </w:rPr>
              <w:lastRenderedPageBreak/>
              <w:t>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月起同时担任上投摩根全景优势股票型证券投资基金基金经理，自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月起同时担任上投摩根鑫睿优选一年持有期混合型证券投资基金基金经理，自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月起同时担任上投摩根核心优选混合型证券投资基金基金经理。</w:t>
            </w:r>
          </w:p>
        </w:tc>
      </w:tr>
    </w:tbl>
    <w:p w:rsidR="00E43DDC" w:rsidRDefault="00A708D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E43DDC" w:rsidRDefault="00A708D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倪权生先生为本基金首任基金经理，其任职日期指本基金基金合同生效之日。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3.</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倪权生</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3,322,397,451.31</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2015-03-30</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684,896,017.71</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2021-04-12</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4,007,293,469.02</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全景优势股票型证券投资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E43DDC" w:rsidRDefault="00A708D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43DDC" w:rsidRDefault="00A708D3">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w:t>
      </w:r>
      <w:r>
        <w:rPr>
          <w:rFonts w:eastAsiaTheme="minorEastAsia"/>
          <w:color w:val="000000" w:themeColor="text1"/>
          <w:szCs w:val="21"/>
        </w:rPr>
        <w:lastRenderedPageBreak/>
        <w:t>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E43DDC" w:rsidRDefault="00A708D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E43DDC" w:rsidRDefault="00A708D3">
      <w:pPr>
        <w:spacing w:line="360" w:lineRule="auto"/>
        <w:ind w:firstLineChars="200" w:firstLine="420"/>
        <w:rPr>
          <w:rFonts w:eastAsiaTheme="minorEastAsia"/>
          <w:color w:val="000000" w:themeColor="text1"/>
          <w:szCs w:val="21"/>
        </w:rPr>
      </w:pPr>
      <w:r>
        <w:rPr>
          <w:rFonts w:eastAsiaTheme="minorEastAsia"/>
          <w:color w:val="000000" w:themeColor="text1"/>
          <w:szCs w:val="21"/>
        </w:rPr>
        <w:t>三季度市场波动较大，投资情绪整体偏弱，海外加息进一步加剧市场对流动性的担心。从国内经济环境来看，二季度疫情影响边际减弱后，经济活动有所恢复，但疫情因素仍然不时影响经济活动，消费活动尚未完全恢复到正常状态。地产销售整体仍在筑底，投资拐点仍需等待。出口金额尽管边际增速有所放缓，但增速绝对值仍维持较好，出口表现出一定韧性，由于海外通胀、加息等因素的影响，市场仍然对未来海外需求有所担心。整体而言，市场目前处于情绪相对底部。从中报披露的上市公司盈利变化来看，</w:t>
      </w:r>
      <w:r>
        <w:rPr>
          <w:rFonts w:eastAsiaTheme="minorEastAsia"/>
          <w:color w:val="000000" w:themeColor="text1"/>
          <w:szCs w:val="21"/>
        </w:rPr>
        <w:t>A</w:t>
      </w:r>
      <w:r>
        <w:rPr>
          <w:rFonts w:eastAsiaTheme="minorEastAsia"/>
          <w:color w:val="000000" w:themeColor="text1"/>
          <w:szCs w:val="21"/>
        </w:rPr>
        <w:t>股中报收入和盈利增速均较一季度有所回落，其中中小市值公司的相对业绩增速继续下降。从行业角度看，景气度相对较高的行业集中在资源（煤炭、有色等）、化工和电力设备等高景气制造业。</w:t>
      </w:r>
    </w:p>
    <w:p w:rsidR="00E43DDC" w:rsidRDefault="00A708D3">
      <w:pPr>
        <w:spacing w:line="360" w:lineRule="auto"/>
        <w:ind w:firstLineChars="200" w:firstLine="420"/>
        <w:rPr>
          <w:rFonts w:eastAsiaTheme="minorEastAsia"/>
          <w:color w:val="000000" w:themeColor="text1"/>
          <w:szCs w:val="21"/>
        </w:rPr>
      </w:pPr>
      <w:r>
        <w:rPr>
          <w:rFonts w:eastAsiaTheme="minorEastAsia"/>
          <w:color w:val="000000" w:themeColor="text1"/>
          <w:szCs w:val="21"/>
        </w:rPr>
        <w:t>在细分领域，我们寻找盈利增长相对确定性更高的机会，在一些细分行业，由于其自身的需求周期较好或处于国产化渗透率提升阶段，相关企业增长受外部宏观经济影响相对较小，保持着较快增速，如军工、新材料、半导体设备材料、新能源产业链等。而随着生产、生活的智能化和场景虚拟化，各种新兴的应用场景不断出现，这也推动对相关软硬件的需求。</w:t>
      </w:r>
    </w:p>
    <w:p w:rsidR="00E43DDC" w:rsidRDefault="00A708D3">
      <w:pPr>
        <w:spacing w:line="360" w:lineRule="auto"/>
        <w:ind w:firstLineChars="200" w:firstLine="420"/>
        <w:rPr>
          <w:rFonts w:eastAsiaTheme="minorEastAsia"/>
          <w:color w:val="000000" w:themeColor="text1"/>
          <w:szCs w:val="21"/>
        </w:rPr>
      </w:pPr>
      <w:r>
        <w:rPr>
          <w:rFonts w:eastAsiaTheme="minorEastAsia"/>
          <w:color w:val="000000" w:themeColor="text1"/>
          <w:szCs w:val="21"/>
        </w:rPr>
        <w:t>组合配置方面，一方面继续配置前期已经布局的，基本面较强且业绩增长确定性较高的新能源、军工、半导体设备材料、新材料等行业。其中新能源重点关注竞争格局较好的中上游环节。军工重点关注业绩处于高增长，利润率持续提升的军工电子和航空航天产业链，半导体重点关注在晶圆产能扩产背景下受益的国产设备和材料。新材料方面，重点布局国产替代空间大的化工、金属新材料。另一方面，组合也在布局一些估值处于低位，交易热度较低，但基本面仍有稳定增长的企业，如医药、农业等行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展望后市，尽管短期受到内外部不确定性因素的影响，宏观经济和资本市场有所波动，但目前从估值看全市场已经处于估值低位，隐含着投资者较低的预期。若在基本面、政策面或流动性方面看到边际改善，市场情绪有望修复。</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E43DDC" w:rsidRDefault="00A708D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本报告期上投摩根全景优势股票</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:-15.92%</w:t>
      </w:r>
      <w:r>
        <w:rPr>
          <w:rFonts w:eastAsiaTheme="minorEastAsia"/>
          <w:color w:val="000000" w:themeColor="text1"/>
          <w:szCs w:val="21"/>
        </w:rPr>
        <w:t>，同期业绩比较基准收益率为</w:t>
      </w:r>
      <w:r>
        <w:rPr>
          <w:rFonts w:eastAsiaTheme="minorEastAsia"/>
          <w:color w:val="000000" w:themeColor="text1"/>
          <w:szCs w:val="21"/>
        </w:rPr>
        <w:t>:-12.66%,</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上投摩根全景优势股票</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:-16.02%</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:-12.66%</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198,177,596.86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80.52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198,177,596.86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80.52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45,495,894.94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18.49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2,436,967.83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246,110,459.63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178,680,163.71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73.04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4,781,205.15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12,198,453.00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4.99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2,517,775.00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198,177,596.86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81.01</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E43DDC">
        <w:tc>
          <w:tcPr>
            <w:tcW w:w="817" w:type="dxa"/>
            <w:vAlign w:val="center"/>
          </w:tcPr>
          <w:p w:rsidR="00E43DDC" w:rsidRDefault="00A708D3">
            <w:pPr>
              <w:jc w:val="center"/>
            </w:pPr>
            <w:r>
              <w:rPr>
                <w:rFonts w:eastAsiaTheme="minorEastAsia"/>
                <w:kern w:val="0"/>
                <w:szCs w:val="21"/>
              </w:rPr>
              <w:t>1</w:t>
            </w:r>
          </w:p>
        </w:tc>
        <w:tc>
          <w:tcPr>
            <w:tcW w:w="1276" w:type="dxa"/>
            <w:vAlign w:val="center"/>
          </w:tcPr>
          <w:p w:rsidR="00E43DDC" w:rsidRDefault="00A708D3">
            <w:pPr>
              <w:jc w:val="center"/>
            </w:pPr>
            <w:r>
              <w:rPr>
                <w:rFonts w:eastAsiaTheme="minorEastAsia"/>
                <w:kern w:val="0"/>
                <w:szCs w:val="21"/>
              </w:rPr>
              <w:t>000733</w:t>
            </w:r>
          </w:p>
        </w:tc>
        <w:tc>
          <w:tcPr>
            <w:tcW w:w="1701" w:type="dxa"/>
            <w:vAlign w:val="center"/>
          </w:tcPr>
          <w:p w:rsidR="00E43DDC" w:rsidRDefault="00A708D3">
            <w:pPr>
              <w:jc w:val="center"/>
            </w:pPr>
            <w:r>
              <w:rPr>
                <w:rFonts w:eastAsiaTheme="minorEastAsia"/>
                <w:kern w:val="0"/>
                <w:szCs w:val="21"/>
              </w:rPr>
              <w:t>振华科技</w:t>
            </w:r>
          </w:p>
        </w:tc>
        <w:tc>
          <w:tcPr>
            <w:tcW w:w="1276" w:type="dxa"/>
            <w:vAlign w:val="center"/>
          </w:tcPr>
          <w:p w:rsidR="00E43DDC" w:rsidRDefault="00A708D3">
            <w:pPr>
              <w:jc w:val="right"/>
            </w:pPr>
            <w:r>
              <w:rPr>
                <w:rFonts w:eastAsiaTheme="minorEastAsia"/>
                <w:kern w:val="0"/>
                <w:szCs w:val="21"/>
              </w:rPr>
              <w:t>80,703.00</w:t>
            </w:r>
          </w:p>
        </w:tc>
        <w:tc>
          <w:tcPr>
            <w:tcW w:w="1842" w:type="dxa"/>
            <w:vAlign w:val="center"/>
          </w:tcPr>
          <w:p w:rsidR="00E43DDC" w:rsidRDefault="00A708D3">
            <w:pPr>
              <w:jc w:val="right"/>
            </w:pPr>
            <w:r>
              <w:rPr>
                <w:rFonts w:eastAsiaTheme="minorEastAsia"/>
                <w:kern w:val="0"/>
                <w:szCs w:val="21"/>
              </w:rPr>
              <w:t>9,359,933.94</w:t>
            </w:r>
          </w:p>
        </w:tc>
        <w:tc>
          <w:tcPr>
            <w:tcW w:w="1616" w:type="dxa"/>
            <w:vAlign w:val="center"/>
          </w:tcPr>
          <w:p w:rsidR="00E43DDC" w:rsidRDefault="00A708D3">
            <w:pPr>
              <w:jc w:val="right"/>
            </w:pPr>
            <w:r>
              <w:rPr>
                <w:rFonts w:eastAsiaTheme="minorEastAsia"/>
                <w:kern w:val="0"/>
                <w:szCs w:val="21"/>
              </w:rPr>
              <w:t>3.83</w:t>
            </w:r>
          </w:p>
        </w:tc>
      </w:tr>
      <w:tr w:rsidR="00E43DDC">
        <w:tc>
          <w:tcPr>
            <w:tcW w:w="817" w:type="dxa"/>
            <w:vAlign w:val="center"/>
          </w:tcPr>
          <w:p w:rsidR="00E43DDC" w:rsidRDefault="00A708D3">
            <w:pPr>
              <w:jc w:val="center"/>
            </w:pPr>
            <w:r>
              <w:rPr>
                <w:rFonts w:eastAsiaTheme="minorEastAsia"/>
                <w:kern w:val="0"/>
                <w:szCs w:val="21"/>
              </w:rPr>
              <w:t>2</w:t>
            </w:r>
          </w:p>
        </w:tc>
        <w:tc>
          <w:tcPr>
            <w:tcW w:w="1276" w:type="dxa"/>
            <w:vAlign w:val="center"/>
          </w:tcPr>
          <w:p w:rsidR="00E43DDC" w:rsidRDefault="00A708D3">
            <w:pPr>
              <w:jc w:val="center"/>
            </w:pPr>
            <w:r>
              <w:rPr>
                <w:rFonts w:eastAsiaTheme="minorEastAsia"/>
                <w:kern w:val="0"/>
                <w:szCs w:val="21"/>
              </w:rPr>
              <w:t>000810</w:t>
            </w:r>
          </w:p>
        </w:tc>
        <w:tc>
          <w:tcPr>
            <w:tcW w:w="1701" w:type="dxa"/>
            <w:vAlign w:val="center"/>
          </w:tcPr>
          <w:p w:rsidR="00E43DDC" w:rsidRDefault="00A708D3">
            <w:pPr>
              <w:jc w:val="center"/>
            </w:pPr>
            <w:r>
              <w:rPr>
                <w:rFonts w:eastAsiaTheme="minorEastAsia"/>
                <w:kern w:val="0"/>
                <w:szCs w:val="21"/>
              </w:rPr>
              <w:t>创维数字</w:t>
            </w:r>
          </w:p>
        </w:tc>
        <w:tc>
          <w:tcPr>
            <w:tcW w:w="1276" w:type="dxa"/>
            <w:vAlign w:val="center"/>
          </w:tcPr>
          <w:p w:rsidR="00E43DDC" w:rsidRDefault="00A708D3">
            <w:pPr>
              <w:jc w:val="right"/>
            </w:pPr>
            <w:r>
              <w:rPr>
                <w:rFonts w:eastAsiaTheme="minorEastAsia"/>
                <w:kern w:val="0"/>
                <w:szCs w:val="21"/>
              </w:rPr>
              <w:t>499,822.00</w:t>
            </w:r>
          </w:p>
        </w:tc>
        <w:tc>
          <w:tcPr>
            <w:tcW w:w="1842" w:type="dxa"/>
            <w:vAlign w:val="center"/>
          </w:tcPr>
          <w:p w:rsidR="00E43DDC" w:rsidRDefault="00A708D3">
            <w:pPr>
              <w:jc w:val="right"/>
            </w:pPr>
            <w:r>
              <w:rPr>
                <w:rFonts w:eastAsiaTheme="minorEastAsia"/>
                <w:kern w:val="0"/>
                <w:szCs w:val="21"/>
              </w:rPr>
              <w:t>7,987,155.56</w:t>
            </w:r>
          </w:p>
        </w:tc>
        <w:tc>
          <w:tcPr>
            <w:tcW w:w="1616" w:type="dxa"/>
            <w:vAlign w:val="center"/>
          </w:tcPr>
          <w:p w:rsidR="00E43DDC" w:rsidRDefault="00A708D3">
            <w:pPr>
              <w:jc w:val="right"/>
            </w:pPr>
            <w:r>
              <w:rPr>
                <w:rFonts w:eastAsiaTheme="minorEastAsia"/>
                <w:kern w:val="0"/>
                <w:szCs w:val="21"/>
              </w:rPr>
              <w:t>3.27</w:t>
            </w:r>
          </w:p>
        </w:tc>
      </w:tr>
      <w:tr w:rsidR="00E43DDC">
        <w:tc>
          <w:tcPr>
            <w:tcW w:w="817" w:type="dxa"/>
            <w:vAlign w:val="center"/>
          </w:tcPr>
          <w:p w:rsidR="00E43DDC" w:rsidRDefault="00A708D3">
            <w:pPr>
              <w:jc w:val="center"/>
            </w:pPr>
            <w:r>
              <w:rPr>
                <w:rFonts w:eastAsiaTheme="minorEastAsia"/>
                <w:kern w:val="0"/>
                <w:szCs w:val="21"/>
              </w:rPr>
              <w:lastRenderedPageBreak/>
              <w:t>3</w:t>
            </w:r>
          </w:p>
        </w:tc>
        <w:tc>
          <w:tcPr>
            <w:tcW w:w="1276" w:type="dxa"/>
            <w:vAlign w:val="center"/>
          </w:tcPr>
          <w:p w:rsidR="00E43DDC" w:rsidRDefault="00A708D3">
            <w:pPr>
              <w:jc w:val="center"/>
            </w:pPr>
            <w:r>
              <w:rPr>
                <w:rFonts w:eastAsiaTheme="minorEastAsia"/>
                <w:kern w:val="0"/>
                <w:szCs w:val="21"/>
              </w:rPr>
              <w:t>002180</w:t>
            </w:r>
          </w:p>
        </w:tc>
        <w:tc>
          <w:tcPr>
            <w:tcW w:w="1701" w:type="dxa"/>
            <w:vAlign w:val="center"/>
          </w:tcPr>
          <w:p w:rsidR="00E43DDC" w:rsidRDefault="00A708D3">
            <w:pPr>
              <w:jc w:val="center"/>
            </w:pPr>
            <w:r>
              <w:rPr>
                <w:rFonts w:eastAsiaTheme="minorEastAsia"/>
                <w:kern w:val="0"/>
                <w:szCs w:val="21"/>
              </w:rPr>
              <w:t>纳思达</w:t>
            </w:r>
          </w:p>
        </w:tc>
        <w:tc>
          <w:tcPr>
            <w:tcW w:w="1276" w:type="dxa"/>
            <w:vAlign w:val="center"/>
          </w:tcPr>
          <w:p w:rsidR="00E43DDC" w:rsidRDefault="00A708D3">
            <w:pPr>
              <w:jc w:val="right"/>
            </w:pPr>
            <w:r>
              <w:rPr>
                <w:rFonts w:eastAsiaTheme="minorEastAsia"/>
                <w:kern w:val="0"/>
                <w:szCs w:val="21"/>
              </w:rPr>
              <w:t>177,911.00</w:t>
            </w:r>
          </w:p>
        </w:tc>
        <w:tc>
          <w:tcPr>
            <w:tcW w:w="1842" w:type="dxa"/>
            <w:vAlign w:val="center"/>
          </w:tcPr>
          <w:p w:rsidR="00E43DDC" w:rsidRDefault="00A708D3">
            <w:pPr>
              <w:jc w:val="right"/>
            </w:pPr>
            <w:r>
              <w:rPr>
                <w:rFonts w:eastAsiaTheme="minorEastAsia"/>
                <w:kern w:val="0"/>
                <w:szCs w:val="21"/>
              </w:rPr>
              <w:t>7,676,859.65</w:t>
            </w:r>
          </w:p>
        </w:tc>
        <w:tc>
          <w:tcPr>
            <w:tcW w:w="1616" w:type="dxa"/>
            <w:vAlign w:val="center"/>
          </w:tcPr>
          <w:p w:rsidR="00E43DDC" w:rsidRDefault="00A708D3">
            <w:pPr>
              <w:jc w:val="right"/>
            </w:pPr>
            <w:r>
              <w:rPr>
                <w:rFonts w:eastAsiaTheme="minorEastAsia"/>
                <w:kern w:val="0"/>
                <w:szCs w:val="21"/>
              </w:rPr>
              <w:t>3.14</w:t>
            </w:r>
          </w:p>
        </w:tc>
      </w:tr>
      <w:tr w:rsidR="00E43DDC">
        <w:tc>
          <w:tcPr>
            <w:tcW w:w="817" w:type="dxa"/>
            <w:vAlign w:val="center"/>
          </w:tcPr>
          <w:p w:rsidR="00E43DDC" w:rsidRDefault="00A708D3">
            <w:pPr>
              <w:jc w:val="center"/>
            </w:pPr>
            <w:r>
              <w:rPr>
                <w:rFonts w:eastAsiaTheme="minorEastAsia"/>
                <w:kern w:val="0"/>
                <w:szCs w:val="21"/>
              </w:rPr>
              <w:t>4</w:t>
            </w:r>
          </w:p>
        </w:tc>
        <w:tc>
          <w:tcPr>
            <w:tcW w:w="1276" w:type="dxa"/>
            <w:vAlign w:val="center"/>
          </w:tcPr>
          <w:p w:rsidR="00E43DDC" w:rsidRDefault="00A708D3">
            <w:pPr>
              <w:jc w:val="center"/>
            </w:pPr>
            <w:r>
              <w:rPr>
                <w:rFonts w:eastAsiaTheme="minorEastAsia"/>
                <w:kern w:val="0"/>
                <w:szCs w:val="21"/>
              </w:rPr>
              <w:t>300014</w:t>
            </w:r>
          </w:p>
        </w:tc>
        <w:tc>
          <w:tcPr>
            <w:tcW w:w="1701" w:type="dxa"/>
            <w:vAlign w:val="center"/>
          </w:tcPr>
          <w:p w:rsidR="00E43DDC" w:rsidRDefault="00A708D3">
            <w:pPr>
              <w:jc w:val="center"/>
            </w:pPr>
            <w:r>
              <w:rPr>
                <w:rFonts w:eastAsiaTheme="minorEastAsia"/>
                <w:kern w:val="0"/>
                <w:szCs w:val="21"/>
              </w:rPr>
              <w:t>亿纬锂能</w:t>
            </w:r>
          </w:p>
        </w:tc>
        <w:tc>
          <w:tcPr>
            <w:tcW w:w="1276" w:type="dxa"/>
            <w:vAlign w:val="center"/>
          </w:tcPr>
          <w:p w:rsidR="00E43DDC" w:rsidRDefault="00A708D3">
            <w:pPr>
              <w:jc w:val="right"/>
            </w:pPr>
            <w:r>
              <w:rPr>
                <w:rFonts w:eastAsiaTheme="minorEastAsia"/>
                <w:kern w:val="0"/>
                <w:szCs w:val="21"/>
              </w:rPr>
              <w:t>89,672.00</w:t>
            </w:r>
          </w:p>
        </w:tc>
        <w:tc>
          <w:tcPr>
            <w:tcW w:w="1842" w:type="dxa"/>
            <w:vAlign w:val="center"/>
          </w:tcPr>
          <w:p w:rsidR="00E43DDC" w:rsidRDefault="00A708D3">
            <w:pPr>
              <w:jc w:val="right"/>
            </w:pPr>
            <w:r>
              <w:rPr>
                <w:rFonts w:eastAsiaTheme="minorEastAsia"/>
                <w:kern w:val="0"/>
                <w:szCs w:val="21"/>
              </w:rPr>
              <w:t>7,586,251.20</w:t>
            </w:r>
          </w:p>
        </w:tc>
        <w:tc>
          <w:tcPr>
            <w:tcW w:w="1616" w:type="dxa"/>
            <w:vAlign w:val="center"/>
          </w:tcPr>
          <w:p w:rsidR="00E43DDC" w:rsidRDefault="00A708D3">
            <w:pPr>
              <w:jc w:val="right"/>
            </w:pPr>
            <w:r>
              <w:rPr>
                <w:rFonts w:eastAsiaTheme="minorEastAsia"/>
                <w:kern w:val="0"/>
                <w:szCs w:val="21"/>
              </w:rPr>
              <w:t>3.10</w:t>
            </w:r>
          </w:p>
        </w:tc>
      </w:tr>
      <w:tr w:rsidR="00E43DDC">
        <w:tc>
          <w:tcPr>
            <w:tcW w:w="817" w:type="dxa"/>
            <w:vAlign w:val="center"/>
          </w:tcPr>
          <w:p w:rsidR="00E43DDC" w:rsidRDefault="00A708D3">
            <w:pPr>
              <w:jc w:val="center"/>
            </w:pPr>
            <w:r>
              <w:rPr>
                <w:rFonts w:eastAsiaTheme="minorEastAsia"/>
                <w:kern w:val="0"/>
                <w:szCs w:val="21"/>
              </w:rPr>
              <w:t>5</w:t>
            </w:r>
          </w:p>
        </w:tc>
        <w:tc>
          <w:tcPr>
            <w:tcW w:w="1276" w:type="dxa"/>
            <w:vAlign w:val="center"/>
          </w:tcPr>
          <w:p w:rsidR="00E43DDC" w:rsidRDefault="00A708D3">
            <w:pPr>
              <w:jc w:val="center"/>
            </w:pPr>
            <w:r>
              <w:rPr>
                <w:rFonts w:eastAsiaTheme="minorEastAsia"/>
                <w:kern w:val="0"/>
                <w:szCs w:val="21"/>
              </w:rPr>
              <w:t>600765</w:t>
            </w:r>
          </w:p>
        </w:tc>
        <w:tc>
          <w:tcPr>
            <w:tcW w:w="1701" w:type="dxa"/>
            <w:vAlign w:val="center"/>
          </w:tcPr>
          <w:p w:rsidR="00E43DDC" w:rsidRDefault="00A708D3">
            <w:pPr>
              <w:jc w:val="center"/>
            </w:pPr>
            <w:r>
              <w:rPr>
                <w:rFonts w:eastAsiaTheme="minorEastAsia"/>
                <w:kern w:val="0"/>
                <w:szCs w:val="21"/>
              </w:rPr>
              <w:t>中航重机</w:t>
            </w:r>
          </w:p>
        </w:tc>
        <w:tc>
          <w:tcPr>
            <w:tcW w:w="1276" w:type="dxa"/>
            <w:vAlign w:val="center"/>
          </w:tcPr>
          <w:p w:rsidR="00E43DDC" w:rsidRDefault="00A708D3">
            <w:pPr>
              <w:jc w:val="right"/>
            </w:pPr>
            <w:r>
              <w:rPr>
                <w:rFonts w:eastAsiaTheme="minorEastAsia"/>
                <w:kern w:val="0"/>
                <w:szCs w:val="21"/>
              </w:rPr>
              <w:t>246,850.00</w:t>
            </w:r>
          </w:p>
        </w:tc>
        <w:tc>
          <w:tcPr>
            <w:tcW w:w="1842" w:type="dxa"/>
            <w:vAlign w:val="center"/>
          </w:tcPr>
          <w:p w:rsidR="00E43DDC" w:rsidRDefault="00A708D3">
            <w:pPr>
              <w:jc w:val="right"/>
            </w:pPr>
            <w:r>
              <w:rPr>
                <w:rFonts w:eastAsiaTheme="minorEastAsia"/>
                <w:kern w:val="0"/>
                <w:szCs w:val="21"/>
              </w:rPr>
              <w:t>7,395,626.00</w:t>
            </w:r>
          </w:p>
        </w:tc>
        <w:tc>
          <w:tcPr>
            <w:tcW w:w="1616" w:type="dxa"/>
            <w:vAlign w:val="center"/>
          </w:tcPr>
          <w:p w:rsidR="00E43DDC" w:rsidRDefault="00A708D3">
            <w:pPr>
              <w:jc w:val="right"/>
            </w:pPr>
            <w:r>
              <w:rPr>
                <w:rFonts w:eastAsiaTheme="minorEastAsia"/>
                <w:kern w:val="0"/>
                <w:szCs w:val="21"/>
              </w:rPr>
              <w:t>3.02</w:t>
            </w:r>
          </w:p>
        </w:tc>
      </w:tr>
      <w:tr w:rsidR="00E43DDC">
        <w:tc>
          <w:tcPr>
            <w:tcW w:w="817" w:type="dxa"/>
            <w:vAlign w:val="center"/>
          </w:tcPr>
          <w:p w:rsidR="00E43DDC" w:rsidRDefault="00A708D3">
            <w:pPr>
              <w:jc w:val="center"/>
            </w:pPr>
            <w:r>
              <w:rPr>
                <w:rFonts w:eastAsiaTheme="minorEastAsia"/>
                <w:kern w:val="0"/>
                <w:szCs w:val="21"/>
              </w:rPr>
              <w:t>6</w:t>
            </w:r>
          </w:p>
        </w:tc>
        <w:tc>
          <w:tcPr>
            <w:tcW w:w="1276" w:type="dxa"/>
            <w:vAlign w:val="center"/>
          </w:tcPr>
          <w:p w:rsidR="00E43DDC" w:rsidRDefault="00A708D3">
            <w:pPr>
              <w:jc w:val="center"/>
            </w:pPr>
            <w:r>
              <w:rPr>
                <w:rFonts w:eastAsiaTheme="minorEastAsia"/>
                <w:kern w:val="0"/>
                <w:szCs w:val="21"/>
              </w:rPr>
              <w:t>300274</w:t>
            </w:r>
          </w:p>
        </w:tc>
        <w:tc>
          <w:tcPr>
            <w:tcW w:w="1701" w:type="dxa"/>
            <w:vAlign w:val="center"/>
          </w:tcPr>
          <w:p w:rsidR="00E43DDC" w:rsidRDefault="00A708D3">
            <w:pPr>
              <w:jc w:val="center"/>
            </w:pPr>
            <w:r>
              <w:rPr>
                <w:rFonts w:eastAsiaTheme="minorEastAsia"/>
                <w:kern w:val="0"/>
                <w:szCs w:val="21"/>
              </w:rPr>
              <w:t>阳光电源</w:t>
            </w:r>
          </w:p>
        </w:tc>
        <w:tc>
          <w:tcPr>
            <w:tcW w:w="1276" w:type="dxa"/>
            <w:vAlign w:val="center"/>
          </w:tcPr>
          <w:p w:rsidR="00E43DDC" w:rsidRDefault="00A708D3">
            <w:pPr>
              <w:jc w:val="right"/>
            </w:pPr>
            <w:r>
              <w:rPr>
                <w:rFonts w:eastAsiaTheme="minorEastAsia"/>
                <w:kern w:val="0"/>
                <w:szCs w:val="21"/>
              </w:rPr>
              <w:t>64,900.00</w:t>
            </w:r>
          </w:p>
        </w:tc>
        <w:tc>
          <w:tcPr>
            <w:tcW w:w="1842" w:type="dxa"/>
            <w:vAlign w:val="center"/>
          </w:tcPr>
          <w:p w:rsidR="00E43DDC" w:rsidRDefault="00A708D3">
            <w:pPr>
              <w:jc w:val="right"/>
            </w:pPr>
            <w:r>
              <w:rPr>
                <w:rFonts w:eastAsiaTheme="minorEastAsia"/>
                <w:kern w:val="0"/>
                <w:szCs w:val="21"/>
              </w:rPr>
              <w:t>7,179,238.00</w:t>
            </w:r>
          </w:p>
        </w:tc>
        <w:tc>
          <w:tcPr>
            <w:tcW w:w="1616" w:type="dxa"/>
            <w:vAlign w:val="center"/>
          </w:tcPr>
          <w:p w:rsidR="00E43DDC" w:rsidRDefault="00A708D3">
            <w:pPr>
              <w:jc w:val="right"/>
            </w:pPr>
            <w:r>
              <w:rPr>
                <w:rFonts w:eastAsiaTheme="minorEastAsia"/>
                <w:kern w:val="0"/>
                <w:szCs w:val="21"/>
              </w:rPr>
              <w:t>2.93</w:t>
            </w:r>
          </w:p>
        </w:tc>
      </w:tr>
      <w:tr w:rsidR="00E43DDC">
        <w:tc>
          <w:tcPr>
            <w:tcW w:w="817" w:type="dxa"/>
            <w:vAlign w:val="center"/>
          </w:tcPr>
          <w:p w:rsidR="00E43DDC" w:rsidRDefault="00A708D3">
            <w:pPr>
              <w:jc w:val="center"/>
            </w:pPr>
            <w:r>
              <w:rPr>
                <w:rFonts w:eastAsiaTheme="minorEastAsia"/>
                <w:kern w:val="0"/>
                <w:szCs w:val="21"/>
              </w:rPr>
              <w:t>7</w:t>
            </w:r>
          </w:p>
        </w:tc>
        <w:tc>
          <w:tcPr>
            <w:tcW w:w="1276" w:type="dxa"/>
            <w:vAlign w:val="center"/>
          </w:tcPr>
          <w:p w:rsidR="00E43DDC" w:rsidRDefault="00A708D3">
            <w:pPr>
              <w:jc w:val="center"/>
            </w:pPr>
            <w:r>
              <w:rPr>
                <w:rFonts w:eastAsiaTheme="minorEastAsia"/>
                <w:kern w:val="0"/>
                <w:szCs w:val="21"/>
              </w:rPr>
              <w:t>600438</w:t>
            </w:r>
          </w:p>
        </w:tc>
        <w:tc>
          <w:tcPr>
            <w:tcW w:w="1701" w:type="dxa"/>
            <w:vAlign w:val="center"/>
          </w:tcPr>
          <w:p w:rsidR="00E43DDC" w:rsidRDefault="00A708D3">
            <w:pPr>
              <w:jc w:val="center"/>
            </w:pPr>
            <w:r>
              <w:rPr>
                <w:rFonts w:eastAsiaTheme="minorEastAsia"/>
                <w:kern w:val="0"/>
                <w:szCs w:val="21"/>
              </w:rPr>
              <w:t>通威股份</w:t>
            </w:r>
          </w:p>
        </w:tc>
        <w:tc>
          <w:tcPr>
            <w:tcW w:w="1276" w:type="dxa"/>
            <w:vAlign w:val="center"/>
          </w:tcPr>
          <w:p w:rsidR="00E43DDC" w:rsidRDefault="00A708D3">
            <w:pPr>
              <w:jc w:val="right"/>
            </w:pPr>
            <w:r>
              <w:rPr>
                <w:rFonts w:eastAsiaTheme="minorEastAsia"/>
                <w:kern w:val="0"/>
                <w:szCs w:val="21"/>
              </w:rPr>
              <w:t>146,669.00</w:t>
            </w:r>
          </w:p>
        </w:tc>
        <w:tc>
          <w:tcPr>
            <w:tcW w:w="1842" w:type="dxa"/>
            <w:vAlign w:val="center"/>
          </w:tcPr>
          <w:p w:rsidR="00E43DDC" w:rsidRDefault="00A708D3">
            <w:pPr>
              <w:jc w:val="right"/>
            </w:pPr>
            <w:r>
              <w:rPr>
                <w:rFonts w:eastAsiaTheme="minorEastAsia"/>
                <w:kern w:val="0"/>
                <w:szCs w:val="21"/>
              </w:rPr>
              <w:t>6,887,576.24</w:t>
            </w:r>
          </w:p>
        </w:tc>
        <w:tc>
          <w:tcPr>
            <w:tcW w:w="1616" w:type="dxa"/>
            <w:vAlign w:val="center"/>
          </w:tcPr>
          <w:p w:rsidR="00E43DDC" w:rsidRDefault="00A708D3">
            <w:pPr>
              <w:jc w:val="right"/>
            </w:pPr>
            <w:r>
              <w:rPr>
                <w:rFonts w:eastAsiaTheme="minorEastAsia"/>
                <w:kern w:val="0"/>
                <w:szCs w:val="21"/>
              </w:rPr>
              <w:t>2.82</w:t>
            </w:r>
          </w:p>
        </w:tc>
      </w:tr>
      <w:tr w:rsidR="00E43DDC">
        <w:tc>
          <w:tcPr>
            <w:tcW w:w="817" w:type="dxa"/>
            <w:vAlign w:val="center"/>
          </w:tcPr>
          <w:p w:rsidR="00E43DDC" w:rsidRDefault="00A708D3">
            <w:pPr>
              <w:jc w:val="center"/>
            </w:pPr>
            <w:r>
              <w:rPr>
                <w:rFonts w:eastAsiaTheme="minorEastAsia"/>
                <w:kern w:val="0"/>
                <w:szCs w:val="21"/>
              </w:rPr>
              <w:t>8</w:t>
            </w:r>
          </w:p>
        </w:tc>
        <w:tc>
          <w:tcPr>
            <w:tcW w:w="1276" w:type="dxa"/>
            <w:vAlign w:val="center"/>
          </w:tcPr>
          <w:p w:rsidR="00E43DDC" w:rsidRDefault="00A708D3">
            <w:pPr>
              <w:jc w:val="center"/>
            </w:pPr>
            <w:r>
              <w:rPr>
                <w:rFonts w:eastAsiaTheme="minorEastAsia"/>
                <w:kern w:val="0"/>
                <w:szCs w:val="21"/>
              </w:rPr>
              <w:t>000915</w:t>
            </w:r>
          </w:p>
        </w:tc>
        <w:tc>
          <w:tcPr>
            <w:tcW w:w="1701" w:type="dxa"/>
            <w:vAlign w:val="center"/>
          </w:tcPr>
          <w:p w:rsidR="00E43DDC" w:rsidRDefault="00A708D3">
            <w:pPr>
              <w:jc w:val="center"/>
            </w:pPr>
            <w:r>
              <w:rPr>
                <w:rFonts w:eastAsiaTheme="minorEastAsia"/>
                <w:kern w:val="0"/>
                <w:szCs w:val="21"/>
              </w:rPr>
              <w:t>华特达因</w:t>
            </w:r>
          </w:p>
        </w:tc>
        <w:tc>
          <w:tcPr>
            <w:tcW w:w="1276" w:type="dxa"/>
            <w:vAlign w:val="center"/>
          </w:tcPr>
          <w:p w:rsidR="00E43DDC" w:rsidRDefault="00A708D3">
            <w:pPr>
              <w:jc w:val="right"/>
            </w:pPr>
            <w:r>
              <w:rPr>
                <w:rFonts w:eastAsiaTheme="minorEastAsia"/>
                <w:kern w:val="0"/>
                <w:szCs w:val="21"/>
              </w:rPr>
              <w:t>137,100.00</w:t>
            </w:r>
          </w:p>
        </w:tc>
        <w:tc>
          <w:tcPr>
            <w:tcW w:w="1842" w:type="dxa"/>
            <w:vAlign w:val="center"/>
          </w:tcPr>
          <w:p w:rsidR="00E43DDC" w:rsidRDefault="00A708D3">
            <w:pPr>
              <w:jc w:val="right"/>
            </w:pPr>
            <w:r>
              <w:rPr>
                <w:rFonts w:eastAsiaTheme="minorEastAsia"/>
                <w:kern w:val="0"/>
                <w:szCs w:val="21"/>
              </w:rPr>
              <w:t>5,674,569.00</w:t>
            </w:r>
          </w:p>
        </w:tc>
        <w:tc>
          <w:tcPr>
            <w:tcW w:w="1616" w:type="dxa"/>
            <w:vAlign w:val="center"/>
          </w:tcPr>
          <w:p w:rsidR="00E43DDC" w:rsidRDefault="00A708D3">
            <w:pPr>
              <w:jc w:val="right"/>
            </w:pPr>
            <w:r>
              <w:rPr>
                <w:rFonts w:eastAsiaTheme="minorEastAsia"/>
                <w:kern w:val="0"/>
                <w:szCs w:val="21"/>
              </w:rPr>
              <w:t>2.32</w:t>
            </w:r>
          </w:p>
        </w:tc>
      </w:tr>
      <w:tr w:rsidR="00E43DDC">
        <w:tc>
          <w:tcPr>
            <w:tcW w:w="817" w:type="dxa"/>
            <w:vAlign w:val="center"/>
          </w:tcPr>
          <w:p w:rsidR="00E43DDC" w:rsidRDefault="00A708D3">
            <w:pPr>
              <w:jc w:val="center"/>
            </w:pPr>
            <w:r>
              <w:rPr>
                <w:rFonts w:eastAsiaTheme="minorEastAsia"/>
                <w:kern w:val="0"/>
                <w:szCs w:val="21"/>
              </w:rPr>
              <w:t>9</w:t>
            </w:r>
          </w:p>
        </w:tc>
        <w:tc>
          <w:tcPr>
            <w:tcW w:w="1276" w:type="dxa"/>
            <w:vAlign w:val="center"/>
          </w:tcPr>
          <w:p w:rsidR="00E43DDC" w:rsidRDefault="00A708D3">
            <w:pPr>
              <w:jc w:val="center"/>
            </w:pPr>
            <w:r>
              <w:rPr>
                <w:rFonts w:eastAsiaTheme="minorEastAsia"/>
                <w:kern w:val="0"/>
                <w:szCs w:val="21"/>
              </w:rPr>
              <w:t>600529</w:t>
            </w:r>
          </w:p>
        </w:tc>
        <w:tc>
          <w:tcPr>
            <w:tcW w:w="1701" w:type="dxa"/>
            <w:vAlign w:val="center"/>
          </w:tcPr>
          <w:p w:rsidR="00E43DDC" w:rsidRDefault="00A708D3">
            <w:pPr>
              <w:jc w:val="center"/>
            </w:pPr>
            <w:r>
              <w:rPr>
                <w:rFonts w:eastAsiaTheme="minorEastAsia"/>
                <w:kern w:val="0"/>
                <w:szCs w:val="21"/>
              </w:rPr>
              <w:t>山东药玻</w:t>
            </w:r>
          </w:p>
        </w:tc>
        <w:tc>
          <w:tcPr>
            <w:tcW w:w="1276" w:type="dxa"/>
            <w:vAlign w:val="center"/>
          </w:tcPr>
          <w:p w:rsidR="00E43DDC" w:rsidRDefault="00A708D3">
            <w:pPr>
              <w:jc w:val="right"/>
            </w:pPr>
            <w:r>
              <w:rPr>
                <w:rFonts w:eastAsiaTheme="minorEastAsia"/>
                <w:kern w:val="0"/>
                <w:szCs w:val="21"/>
              </w:rPr>
              <w:t>189,145.00</w:t>
            </w:r>
          </w:p>
        </w:tc>
        <w:tc>
          <w:tcPr>
            <w:tcW w:w="1842" w:type="dxa"/>
            <w:vAlign w:val="center"/>
          </w:tcPr>
          <w:p w:rsidR="00E43DDC" w:rsidRDefault="00A708D3">
            <w:pPr>
              <w:jc w:val="right"/>
            </w:pPr>
            <w:r>
              <w:rPr>
                <w:rFonts w:eastAsiaTheme="minorEastAsia"/>
                <w:kern w:val="0"/>
                <w:szCs w:val="21"/>
              </w:rPr>
              <w:t>5,479,530.65</w:t>
            </w:r>
          </w:p>
        </w:tc>
        <w:tc>
          <w:tcPr>
            <w:tcW w:w="1616" w:type="dxa"/>
            <w:vAlign w:val="center"/>
          </w:tcPr>
          <w:p w:rsidR="00E43DDC" w:rsidRDefault="00A708D3">
            <w:pPr>
              <w:jc w:val="right"/>
            </w:pPr>
            <w:r>
              <w:rPr>
                <w:rFonts w:eastAsiaTheme="minorEastAsia"/>
                <w:kern w:val="0"/>
                <w:szCs w:val="21"/>
              </w:rPr>
              <w:t>2.24</w:t>
            </w:r>
          </w:p>
        </w:tc>
      </w:tr>
      <w:tr w:rsidR="00E43DDC">
        <w:tc>
          <w:tcPr>
            <w:tcW w:w="817" w:type="dxa"/>
            <w:vAlign w:val="center"/>
          </w:tcPr>
          <w:p w:rsidR="00E43DDC" w:rsidRDefault="00A708D3">
            <w:pPr>
              <w:jc w:val="center"/>
            </w:pPr>
            <w:r>
              <w:rPr>
                <w:rFonts w:eastAsiaTheme="minorEastAsia"/>
                <w:kern w:val="0"/>
                <w:szCs w:val="21"/>
              </w:rPr>
              <w:t>10</w:t>
            </w:r>
          </w:p>
        </w:tc>
        <w:tc>
          <w:tcPr>
            <w:tcW w:w="1276" w:type="dxa"/>
            <w:vAlign w:val="center"/>
          </w:tcPr>
          <w:p w:rsidR="00E43DDC" w:rsidRDefault="00A708D3">
            <w:pPr>
              <w:jc w:val="center"/>
            </w:pPr>
            <w:r>
              <w:rPr>
                <w:rFonts w:eastAsiaTheme="minorEastAsia"/>
                <w:kern w:val="0"/>
                <w:szCs w:val="21"/>
              </w:rPr>
              <w:t>688232</w:t>
            </w:r>
          </w:p>
        </w:tc>
        <w:tc>
          <w:tcPr>
            <w:tcW w:w="1701" w:type="dxa"/>
            <w:vAlign w:val="center"/>
          </w:tcPr>
          <w:p w:rsidR="00E43DDC" w:rsidRDefault="00A708D3">
            <w:pPr>
              <w:jc w:val="center"/>
            </w:pPr>
            <w:r>
              <w:rPr>
                <w:rFonts w:eastAsiaTheme="minorEastAsia"/>
                <w:kern w:val="0"/>
                <w:szCs w:val="21"/>
              </w:rPr>
              <w:t>新点软件</w:t>
            </w:r>
          </w:p>
        </w:tc>
        <w:tc>
          <w:tcPr>
            <w:tcW w:w="1276" w:type="dxa"/>
            <w:vAlign w:val="center"/>
          </w:tcPr>
          <w:p w:rsidR="00E43DDC" w:rsidRDefault="00A708D3">
            <w:pPr>
              <w:jc w:val="right"/>
            </w:pPr>
            <w:r>
              <w:rPr>
                <w:rFonts w:eastAsiaTheme="minorEastAsia"/>
                <w:kern w:val="0"/>
                <w:szCs w:val="21"/>
              </w:rPr>
              <w:t>108,570.00</w:t>
            </w:r>
          </w:p>
        </w:tc>
        <w:tc>
          <w:tcPr>
            <w:tcW w:w="1842" w:type="dxa"/>
            <w:vAlign w:val="center"/>
          </w:tcPr>
          <w:p w:rsidR="00E43DDC" w:rsidRDefault="00A708D3">
            <w:pPr>
              <w:jc w:val="right"/>
            </w:pPr>
            <w:r>
              <w:rPr>
                <w:rFonts w:eastAsiaTheme="minorEastAsia"/>
                <w:kern w:val="0"/>
                <w:szCs w:val="21"/>
              </w:rPr>
              <w:t>5,330,787.00</w:t>
            </w:r>
          </w:p>
        </w:tc>
        <w:tc>
          <w:tcPr>
            <w:tcW w:w="1616" w:type="dxa"/>
            <w:vAlign w:val="center"/>
          </w:tcPr>
          <w:p w:rsidR="00E43DDC" w:rsidRDefault="00A708D3">
            <w:pPr>
              <w:jc w:val="right"/>
            </w:pPr>
            <w:r>
              <w:rPr>
                <w:rFonts w:eastAsiaTheme="minorEastAsia"/>
                <w:kern w:val="0"/>
                <w:szCs w:val="21"/>
              </w:rPr>
              <w:t>2.18</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lastRenderedPageBreak/>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81,758.02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2,170,190.48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185,019.33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2,436,967.83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上投摩根全景优势股票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上投摩根全景优势股票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297,940,274.40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16,761,907.55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2,049,193.12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751,952.68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24,145,688.40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1,787,157.92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275,843,779.12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15,726,702.31</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lastRenderedPageBreak/>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E43DDC" w:rsidRDefault="00A708D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中国证监会准予上投摩根全景优势股票型证券投资基金募集注册的文件</w:t>
      </w:r>
    </w:p>
    <w:p w:rsidR="00E43DDC" w:rsidRDefault="00A708D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上投摩根全景优势股票型证券投资基金基金合同</w:t>
      </w:r>
    </w:p>
    <w:p w:rsidR="00E43DDC" w:rsidRDefault="00A708D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上投摩根全景优势股票型证券投资基金托管协议</w:t>
      </w:r>
    </w:p>
    <w:p w:rsidR="00E43DDC" w:rsidRDefault="00A708D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E43DDC" w:rsidRDefault="00A708D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E43DDC" w:rsidRDefault="00A708D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E43DDC" w:rsidRDefault="00A708D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上投摩根基金管理有限公司开放式基金业务规则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二〇二二年十月二十六日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742A8">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B742A8">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B742A8">
      <w:rPr>
        <w:rStyle w:val="af6"/>
        <w:noProof/>
      </w:rPr>
      <w:t>14</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上投摩根全景优势股票型证券投资基金</w:t>
    </w:r>
    <w:r>
      <w:t>2022</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08D3"/>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2A8"/>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97CAC"/>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43DDC"/>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87B656"/>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CCEDA3-EFD9-4BAE-BE09-E9281D8A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24</TotalTime>
  <Pages>14</Pages>
  <Words>3800</Words>
  <Characters>4561</Characters>
  <Application>Microsoft Office Word</Application>
  <DocSecurity>0</DocSecurity>
  <Lines>456</Lines>
  <Paragraphs>522</Paragraphs>
  <ScaleCrop>false</ScaleCrop>
  <Company>TRT. Ltd. Co.</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Yiping.Wang@Product-PD</cp:lastModifiedBy>
  <cp:revision>220</cp:revision>
  <cp:lastPrinted>2007-07-19T00:46:00Z</cp:lastPrinted>
  <dcterms:created xsi:type="dcterms:W3CDTF">2013-06-21T06:56:00Z</dcterms:created>
  <dcterms:modified xsi:type="dcterms:W3CDTF">2022-10-25T08:32:00Z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