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B63059" w:rsidRDefault="00B63059">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B63059" w:rsidRDefault="00B63059">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B63059" w:rsidRDefault="00B63059">
      <w:pPr>
        <w:spacing w:line="360" w:lineRule="auto"/>
        <w:jc w:val="center"/>
        <w:rPr>
          <w:rFonts w:hint="eastAsia"/>
        </w:rPr>
      </w:pPr>
      <w:r>
        <w:rPr>
          <w:rFonts w:ascii="宋体" w:hAnsi="宋体" w:hint="eastAsia"/>
          <w:b/>
          <w:bCs/>
          <w:color w:val="000000" w:themeColor="text1"/>
          <w:sz w:val="48"/>
          <w:szCs w:val="30"/>
        </w:rPr>
        <w:t>摩根均衡优选混合型证券投资基金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B63059" w:rsidRDefault="00B63059">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B63059" w:rsidRDefault="00B63059">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B63059" w:rsidRDefault="00B63059">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B63059" w:rsidRDefault="00B6305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63059" w:rsidRDefault="00B6305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63059" w:rsidRDefault="00B6305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63059" w:rsidRDefault="00B6305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63059" w:rsidRDefault="00B6305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63059" w:rsidRDefault="00B6305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63059" w:rsidRDefault="00B6305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63059" w:rsidRDefault="00B6305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63059" w:rsidRDefault="00B6305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63059" w:rsidRDefault="00B6305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63059" w:rsidRDefault="00B63059">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B63059" w:rsidRDefault="00B63059">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招商银行股份有限公</w:t>
      </w:r>
      <w:r>
        <w:rPr>
          <w:rFonts w:ascii="宋体" w:hAnsi="宋体" w:hint="eastAsia"/>
          <w:b/>
          <w:bCs/>
          <w:sz w:val="28"/>
          <w:szCs w:val="30"/>
        </w:rPr>
        <w:t>司</w:t>
      </w:r>
    </w:p>
    <w:p w:rsidR="00B63059" w:rsidRDefault="00B63059">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B63059" w:rsidRDefault="00B63059">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B63059" w:rsidRDefault="00B63059">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基金托管人招商银行股份有限公司根据本基金合同约定，于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B63059" w:rsidRDefault="00B63059">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733088303"/>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B63059" w:rsidRDefault="00B63059">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szCs w:val="24"/>
                <w:lang w:eastAsia="zh-Hans"/>
              </w:rPr>
              <w:t>摩根均衡优选混</w:t>
            </w:r>
            <w:r>
              <w:rPr>
                <w:rFonts w:ascii="宋体" w:hAnsi="宋体" w:hint="eastAsia"/>
                <w:szCs w:val="24"/>
                <w:lang w:eastAsia="zh-Hans"/>
              </w:rPr>
              <w:t>合</w:t>
            </w:r>
            <w:r>
              <w:rPr>
                <w:rFonts w:ascii="宋体" w:hAnsi="宋体" w:hint="eastAsia"/>
                <w:lang w:eastAsia="zh-Hans"/>
              </w:rPr>
              <w:t xml:space="preserve"> </w:t>
            </w:r>
          </w:p>
        </w:tc>
      </w:tr>
      <w:tr w:rsidR="00000000">
        <w:trPr>
          <w:divId w:val="7330883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lang w:eastAsia="zh-Hans"/>
              </w:rPr>
              <w:t>01309</w:t>
            </w:r>
            <w:r>
              <w:rPr>
                <w:rFonts w:ascii="宋体" w:hAnsi="宋体" w:hint="eastAsia"/>
                <w:lang w:eastAsia="zh-Hans"/>
              </w:rPr>
              <w:t>1</w:t>
            </w:r>
          </w:p>
        </w:tc>
      </w:tr>
      <w:tr w:rsidR="00000000">
        <w:trPr>
          <w:divId w:val="7330883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lang w:eastAsia="zh-Hans"/>
              </w:rPr>
              <w:t>契约型开放</w:t>
            </w:r>
            <w:r>
              <w:rPr>
                <w:rFonts w:ascii="宋体" w:hAnsi="宋体" w:hint="eastAsia"/>
                <w:lang w:eastAsia="zh-Hans"/>
              </w:rPr>
              <w:t>式</w:t>
            </w:r>
          </w:p>
        </w:tc>
      </w:tr>
      <w:tr w:rsidR="00000000">
        <w:trPr>
          <w:divId w:val="7330883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lang w:eastAsia="zh-Hans"/>
              </w:rPr>
              <w:t>2021</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27</w:t>
            </w:r>
            <w:r>
              <w:rPr>
                <w:rFonts w:ascii="宋体" w:hAnsi="宋体" w:hint="eastAsia"/>
                <w:lang w:eastAsia="zh-Hans"/>
              </w:rPr>
              <w:t>日</w:t>
            </w:r>
          </w:p>
        </w:tc>
      </w:tr>
      <w:tr w:rsidR="00000000">
        <w:trPr>
          <w:divId w:val="7330883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lang w:eastAsia="zh-Hans"/>
              </w:rPr>
              <w:t>234,357,242.4</w:t>
            </w:r>
            <w:r>
              <w:rPr>
                <w:rFonts w:ascii="宋体" w:hAnsi="宋体" w:hint="eastAsia"/>
                <w:lang w:eastAsia="zh-Hans"/>
              </w:rPr>
              <w:t>7</w:t>
            </w:r>
            <w:r>
              <w:rPr>
                <w:rFonts w:hint="eastAsia"/>
              </w:rPr>
              <w:t>份</w:t>
            </w:r>
            <w:r>
              <w:rPr>
                <w:rFonts w:ascii="宋体" w:hAnsi="宋体" w:hint="eastAsia"/>
                <w:lang w:eastAsia="zh-Hans"/>
              </w:rPr>
              <w:t xml:space="preserve"> </w:t>
            </w:r>
          </w:p>
        </w:tc>
      </w:tr>
      <w:tr w:rsidR="00000000">
        <w:trPr>
          <w:divId w:val="7330883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lang w:eastAsia="zh-Hans"/>
              </w:rPr>
              <w:t>在严格的风险控制的前提下，采用定性与定量的分析，自上而下进行宏观分析和行业配置，自下而上精选个股，力争实现基金资产的长期增值</w:t>
            </w:r>
            <w:r>
              <w:rPr>
                <w:rFonts w:ascii="宋体" w:hAnsi="宋体" w:hint="eastAsia"/>
                <w:lang w:eastAsia="zh-Hans"/>
              </w:rPr>
              <w:t>。</w:t>
            </w:r>
          </w:p>
        </w:tc>
      </w:tr>
      <w:tr w:rsidR="00000000">
        <w:trPr>
          <w:divId w:val="7330883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lang w:eastAsia="zh-Hans"/>
              </w:rPr>
              <w:t>1</w:t>
            </w:r>
            <w:r>
              <w:rPr>
                <w:rFonts w:ascii="宋体" w:hAnsi="宋体" w:hint="eastAsia"/>
                <w:lang w:eastAsia="zh-Hans"/>
              </w:rPr>
              <w:t xml:space="preserve">、　　资产配置策略　</w:t>
            </w:r>
            <w:r>
              <w:rPr>
                <w:rFonts w:ascii="宋体" w:hAnsi="宋体" w:hint="eastAsia"/>
                <w:lang w:eastAsia="zh-Hans"/>
              </w:rPr>
              <w:br/>
            </w:r>
            <w:r>
              <w:rPr>
                <w:rFonts w:ascii="宋体" w:hAnsi="宋体" w:hint="eastAsia"/>
                <w:lang w:eastAsia="zh-Hans"/>
              </w:rPr>
              <w:t xml:space="preserve">本基金将综合分析和持续跟踪基本面、政策面、市场面等多方面因素，对宏观经济、国家政策、资金面和市场情绪等影响证券市场的重要因素进行深入分析，重点关注包括　</w:t>
            </w:r>
            <w:r>
              <w:rPr>
                <w:rFonts w:ascii="宋体" w:hAnsi="宋体" w:hint="eastAsia"/>
                <w:lang w:eastAsia="zh-Hans"/>
              </w:rPr>
              <w:t>GDP</w:t>
            </w:r>
            <w:r>
              <w:rPr>
                <w:rFonts w:ascii="宋体" w:hAnsi="宋体" w:hint="eastAsia"/>
                <w:lang w:eastAsia="zh-Hans"/>
              </w:rPr>
              <w:t>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在控制风险的前提下，本基金将优先配置股票资产，本基金股票资产占基金资产的投资比例为</w:t>
            </w:r>
            <w:r>
              <w:rPr>
                <w:rFonts w:ascii="宋体" w:hAnsi="宋体" w:hint="eastAsia"/>
                <w:lang w:eastAsia="zh-Hans"/>
              </w:rPr>
              <w:t>60%-95%</w:t>
            </w:r>
            <w:r>
              <w:rPr>
                <w:rFonts w:ascii="宋体" w:hAnsi="宋体" w:hint="eastAsia"/>
                <w:lang w:eastAsia="zh-Hans"/>
              </w:rPr>
              <w:t>，其中港股通标的股票的投资比例不超过股票资产的</w:t>
            </w:r>
            <w:r>
              <w:rPr>
                <w:rFonts w:ascii="宋体" w:hAnsi="宋体" w:hint="eastAsia"/>
                <w:lang w:eastAsia="zh-Hans"/>
              </w:rPr>
              <w:t>50%</w:t>
            </w:r>
            <w:r>
              <w:rPr>
                <w:rFonts w:ascii="宋体" w:hAnsi="宋体" w:hint="eastAsia"/>
                <w:lang w:eastAsia="zh-Hans"/>
              </w:rPr>
              <w:t>。</w:t>
            </w:r>
            <w:r>
              <w:rPr>
                <w:rFonts w:ascii="宋体" w:hAnsi="宋体" w:hint="eastAsia"/>
                <w:lang w:eastAsia="zh-Hans"/>
              </w:rPr>
              <w:br/>
              <w:t>2</w:t>
            </w:r>
            <w:r>
              <w:rPr>
                <w:rFonts w:ascii="宋体" w:hAnsi="宋体" w:hint="eastAsia"/>
                <w:lang w:eastAsia="zh-Hans"/>
              </w:rPr>
              <w:t xml:space="preserve">、　　股票投资策略　</w:t>
            </w:r>
            <w:r>
              <w:rPr>
                <w:rFonts w:ascii="宋体" w:hAnsi="宋体" w:hint="eastAsia"/>
                <w:lang w:eastAsia="zh-Hans"/>
              </w:rPr>
              <w:br/>
            </w:r>
            <w:r>
              <w:rPr>
                <w:rFonts w:ascii="宋体" w:hAnsi="宋体" w:hint="eastAsia"/>
                <w:lang w:eastAsia="zh-Hans"/>
              </w:rPr>
              <w:t>本基金依托基金管理人的研究平台，自上而下形成行业配置观点，选择中长期有较大发展空间的优势行业进行重点配置；同时自下而上形成个股配置观点，挖掘并灵活投资于各行业中最具有投资价值的上市公司，对买入个股进行深度研究和跟踪；通过行业配置与个股选择，获取超越业绩比较基准的超额收益。</w:t>
            </w:r>
            <w:r>
              <w:rPr>
                <w:rFonts w:ascii="宋体" w:hAnsi="宋体" w:hint="eastAsia"/>
                <w:lang w:eastAsia="zh-Hans"/>
              </w:rPr>
              <w:br/>
              <w:t>3</w:t>
            </w:r>
            <w:r>
              <w:rPr>
                <w:rFonts w:ascii="宋体" w:hAnsi="宋体" w:hint="eastAsia"/>
                <w:lang w:eastAsia="zh-Hans"/>
              </w:rPr>
              <w:t xml:space="preserve">、　　港股投资策略　</w:t>
            </w:r>
            <w:r>
              <w:rPr>
                <w:rFonts w:ascii="宋体" w:hAnsi="宋体" w:hint="eastAsia"/>
                <w:lang w:eastAsia="zh-Hans"/>
              </w:rPr>
              <w:br/>
            </w:r>
            <w:r>
              <w:rPr>
                <w:rFonts w:ascii="宋体" w:hAnsi="宋体" w:hint="eastAsia"/>
                <w:lang w:eastAsia="zh-Hans"/>
              </w:rPr>
              <w:t>本基金可通过港股通机制投资于香港股票市场。对于港股投资，本基金将结合宏观基本面，包含资金流向等对香港</w:t>
            </w:r>
            <w:r>
              <w:rPr>
                <w:rFonts w:ascii="宋体" w:hAnsi="宋体" w:hint="eastAsia"/>
                <w:lang w:eastAsia="zh-Hans"/>
              </w:rPr>
              <w:t xml:space="preserve">上市公司进行初步判断，并结合产业趋势以及公司发展前景自下而上进行布局，从公司商业模式、产品创新及竞争力、主营业务收入来源和区域分布等多维度进行考量，挖掘优质企业。同时，关注港股中的稀缺行业和标的，与　</w:t>
            </w:r>
            <w:r>
              <w:rPr>
                <w:rFonts w:ascii="宋体" w:hAnsi="宋体" w:hint="eastAsia"/>
                <w:lang w:eastAsia="zh-Hans"/>
              </w:rPr>
              <w:t>A</w:t>
            </w:r>
            <w:r>
              <w:rPr>
                <w:rFonts w:ascii="宋体" w:hAnsi="宋体" w:hint="eastAsia"/>
                <w:lang w:eastAsia="zh-Hans"/>
              </w:rPr>
              <w:t xml:space="preserve">　股形成互补。本基金将通过自下而上方法挖掘优质个股，结合各项定量和定性指标挑选出最具上涨潜力的标的。　</w:t>
            </w:r>
            <w:r>
              <w:rPr>
                <w:rFonts w:ascii="宋体" w:hAnsi="宋体" w:hint="eastAsia"/>
                <w:lang w:eastAsia="zh-Hans"/>
              </w:rPr>
              <w:br/>
              <w:t>4</w:t>
            </w:r>
            <w:r>
              <w:rPr>
                <w:rFonts w:ascii="宋体" w:hAnsi="宋体" w:hint="eastAsia"/>
                <w:lang w:eastAsia="zh-Hans"/>
              </w:rPr>
              <w:t xml:space="preserve">、　　债券投资策略　</w:t>
            </w:r>
            <w:r>
              <w:rPr>
                <w:rFonts w:ascii="宋体" w:hAnsi="宋体" w:hint="eastAsia"/>
                <w:lang w:eastAsia="zh-Hans"/>
              </w:rPr>
              <w:br/>
            </w:r>
            <w:r>
              <w:rPr>
                <w:rFonts w:ascii="宋体" w:hAnsi="宋体" w:hint="eastAsia"/>
                <w:lang w:eastAsia="zh-Hans"/>
              </w:rPr>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其中对于可转换债券</w:t>
            </w:r>
            <w:r>
              <w:rPr>
                <w:rFonts w:ascii="宋体" w:hAnsi="宋体" w:hint="eastAsia"/>
                <w:lang w:eastAsia="zh-Hans"/>
              </w:rPr>
              <w:t>(</w:t>
            </w:r>
            <w:r>
              <w:rPr>
                <w:rFonts w:ascii="宋体" w:hAnsi="宋体" w:hint="eastAsia"/>
                <w:lang w:eastAsia="zh-Hans"/>
              </w:rPr>
              <w:t>含可分离交易可转债</w:t>
            </w:r>
            <w:r>
              <w:rPr>
                <w:rFonts w:ascii="宋体" w:hAnsi="宋体" w:hint="eastAsia"/>
                <w:lang w:eastAsia="zh-Hans"/>
              </w:rPr>
              <w:t>)</w:t>
            </w:r>
            <w:r>
              <w:rPr>
                <w:rFonts w:ascii="宋体" w:hAnsi="宋体" w:hint="eastAsia"/>
                <w:lang w:eastAsia="zh-Hans"/>
              </w:rPr>
              <w:t>，考虑到其兼具权益类证券与固定收益类证券的特性，具有抵御下行风险、分享股票价格上涨收益的特点。对于可转债的选择将结合其债性和股性特征，在对公司基本面和转债条款深入研究的基础上进行估值分析，投资于公司基本面优良、具有较高安全边际和良好流动性的可转换债券，获取稳健的投资回报。</w:t>
            </w:r>
            <w:r>
              <w:rPr>
                <w:rFonts w:ascii="宋体" w:hAnsi="宋体" w:hint="eastAsia"/>
                <w:lang w:eastAsia="zh-Hans"/>
              </w:rPr>
              <w:br/>
              <w:t>5</w:t>
            </w:r>
            <w:r>
              <w:rPr>
                <w:rFonts w:ascii="宋体" w:hAnsi="宋体" w:hint="eastAsia"/>
                <w:lang w:eastAsia="zh-Hans"/>
              </w:rPr>
              <w:t xml:space="preserve">、　　其他投资策略　</w:t>
            </w:r>
            <w:r>
              <w:rPr>
                <w:rFonts w:ascii="宋体" w:hAnsi="宋体" w:hint="eastAsia"/>
                <w:lang w:eastAsia="zh-Hans"/>
              </w:rPr>
              <w:br/>
            </w:r>
            <w:r>
              <w:rPr>
                <w:rFonts w:ascii="宋体" w:hAnsi="宋体" w:hint="eastAsia"/>
                <w:lang w:eastAsia="zh-Hans"/>
              </w:rPr>
              <w:t>包括股指期货投资策略、资产支持证</w:t>
            </w:r>
            <w:r>
              <w:rPr>
                <w:rFonts w:ascii="宋体" w:hAnsi="宋体" w:hint="eastAsia"/>
                <w:lang w:eastAsia="zh-Hans"/>
              </w:rPr>
              <w:t>券投资策略、股票期权投资策略、证券公司短期公司债券投资策略、存托凭证投资策略</w:t>
            </w:r>
            <w:r>
              <w:rPr>
                <w:rFonts w:ascii="宋体" w:hAnsi="宋体" w:hint="eastAsia"/>
                <w:lang w:eastAsia="zh-Hans"/>
              </w:rPr>
              <w:t>。</w:t>
            </w:r>
          </w:p>
        </w:tc>
      </w:tr>
      <w:tr w:rsidR="00000000">
        <w:trPr>
          <w:divId w:val="7330883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*65%+</w:t>
            </w:r>
            <w:r>
              <w:rPr>
                <w:rFonts w:ascii="宋体" w:hAnsi="宋体" w:hint="eastAsia"/>
                <w:lang w:eastAsia="zh-Hans"/>
              </w:rPr>
              <w:t>中证港股通综合指数收益率</w:t>
            </w:r>
            <w:r>
              <w:rPr>
                <w:rFonts w:ascii="宋体" w:hAnsi="宋体" w:hint="eastAsia"/>
                <w:lang w:eastAsia="zh-Hans"/>
              </w:rPr>
              <w:t>*20%+</w:t>
            </w:r>
            <w:r>
              <w:rPr>
                <w:rFonts w:ascii="宋体" w:hAnsi="宋体" w:hint="eastAsia"/>
                <w:lang w:eastAsia="zh-Hans"/>
              </w:rPr>
              <w:t>上证国债指数收益率</w:t>
            </w:r>
            <w:r>
              <w:rPr>
                <w:rFonts w:ascii="宋体" w:hAnsi="宋体" w:hint="eastAsia"/>
                <w:lang w:eastAsia="zh-Hans"/>
              </w:rPr>
              <w:t>*15</w:t>
            </w:r>
            <w:r>
              <w:rPr>
                <w:rFonts w:ascii="宋体" w:hAnsi="宋体" w:hint="eastAsia"/>
                <w:lang w:eastAsia="zh-Hans"/>
              </w:rPr>
              <w:t>%</w:t>
            </w:r>
          </w:p>
        </w:tc>
      </w:tr>
      <w:tr w:rsidR="00000000">
        <w:trPr>
          <w:divId w:val="7330883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lang w:eastAsia="zh-Hans"/>
              </w:rPr>
              <w:t>本基金属于混合型基金产品，预期风险和收益水平高于债券型基金和货币市场基金，低于股票型基金。本基金可投资香港联合交易所上市的股票，将面临港股通机制下因投资环境、投资标的、市场制度以及交易规则等差异带来的特有风险</w:t>
            </w:r>
            <w:r>
              <w:rPr>
                <w:rFonts w:ascii="宋体" w:hAnsi="宋体" w:hint="eastAsia"/>
                <w:lang w:eastAsia="zh-Hans"/>
              </w:rPr>
              <w:t>。</w:t>
            </w:r>
          </w:p>
        </w:tc>
      </w:tr>
      <w:tr w:rsidR="00000000">
        <w:trPr>
          <w:divId w:val="7330883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73308830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lang w:eastAsia="zh-Hans"/>
              </w:rPr>
              <w:t>招商银行股份有限公</w:t>
            </w:r>
            <w:r>
              <w:rPr>
                <w:rFonts w:ascii="宋体" w:hAnsi="宋体" w:hint="eastAsia"/>
                <w:lang w:eastAsia="zh-Hans"/>
              </w:rPr>
              <w:t>司</w:t>
            </w:r>
          </w:p>
        </w:tc>
      </w:tr>
      <w:tr w:rsidR="00000000">
        <w:trPr>
          <w:divId w:val="73308830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pPr>
            <w:r>
              <w:rPr>
                <w:rFonts w:ascii="宋体" w:hAnsi="宋体" w:hint="eastAsia"/>
                <w:lang w:eastAsia="zh-Hans"/>
              </w:rPr>
              <w:t>摩根均衡优选混合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pPr>
            <w:r>
              <w:rPr>
                <w:rFonts w:ascii="宋体" w:hAnsi="宋体" w:hint="eastAsia"/>
                <w:lang w:eastAsia="zh-Hans"/>
              </w:rPr>
              <w:t>摩根均衡优选混合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73308830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pPr>
            <w:r>
              <w:rPr>
                <w:rFonts w:ascii="宋体" w:hAnsi="宋体" w:hint="eastAsia"/>
                <w:lang w:eastAsia="zh-Hans"/>
              </w:rPr>
              <w:t>01309</w:t>
            </w:r>
            <w:r>
              <w:rPr>
                <w:rFonts w:ascii="宋体" w:hAnsi="宋体" w:hint="eastAsia"/>
                <w:lang w:eastAsia="zh-Hans"/>
              </w:rPr>
              <w:t>1</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pPr>
            <w:r>
              <w:rPr>
                <w:rFonts w:ascii="宋体" w:hAnsi="宋体" w:hint="eastAsia"/>
                <w:lang w:eastAsia="zh-Hans"/>
              </w:rPr>
              <w:t>01309</w:t>
            </w:r>
            <w:r>
              <w:rPr>
                <w:rFonts w:ascii="宋体" w:hAnsi="宋体" w:hint="eastAsia"/>
                <w:lang w:eastAsia="zh-Hans"/>
              </w:rPr>
              <w:t>2</w:t>
            </w:r>
            <w:r>
              <w:rPr>
                <w:rFonts w:ascii="宋体" w:hAnsi="宋体" w:hint="eastAsia"/>
                <w:kern w:val="0"/>
                <w:sz w:val="20"/>
                <w:lang w:eastAsia="zh-Hans"/>
              </w:rPr>
              <w:t xml:space="preserve"> </w:t>
            </w:r>
          </w:p>
        </w:tc>
      </w:tr>
      <w:bookmarkEnd w:id="32"/>
      <w:bookmarkEnd w:id="33"/>
      <w:tr w:rsidR="00000000">
        <w:trPr>
          <w:divId w:val="73308830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63059" w:rsidRDefault="00B63059">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lang w:eastAsia="zh-Hans"/>
              </w:rPr>
              <w:t>213,844,673.0</w:t>
            </w:r>
            <w:r>
              <w:rPr>
                <w:rFonts w:ascii="宋体" w:hAnsi="宋体" w:hint="eastAsia"/>
                <w:lang w:eastAsia="zh-Hans"/>
              </w:rPr>
              <w:t>8</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lang w:eastAsia="zh-Hans"/>
              </w:rPr>
              <w:t>20,512,569.3</w:t>
            </w:r>
            <w:r>
              <w:rPr>
                <w:rFonts w:ascii="宋体" w:hAnsi="宋体" w:hint="eastAsia"/>
                <w:lang w:eastAsia="zh-Hans"/>
              </w:rPr>
              <w:t>9</w:t>
            </w:r>
            <w:r>
              <w:rPr>
                <w:rFonts w:hint="eastAsia"/>
              </w:rPr>
              <w:t>份</w:t>
            </w:r>
            <w:r>
              <w:rPr>
                <w:rFonts w:ascii="宋体" w:hAnsi="宋体" w:hint="eastAsia"/>
                <w:lang w:eastAsia="zh-Hans"/>
              </w:rPr>
              <w:t xml:space="preserve"> </w:t>
            </w:r>
          </w:p>
        </w:tc>
      </w:tr>
    </w:tbl>
    <w:p w:rsidR="00B63059" w:rsidRDefault="00B63059">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B63059" w:rsidRDefault="00B63059">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B63059" w:rsidRDefault="00B63059">
      <w:pPr>
        <w:jc w:val="right"/>
        <w:divId w:val="424964161"/>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424964161"/>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B63059" w:rsidRDefault="00B63059">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B63059" w:rsidRDefault="00B63059">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42496416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3059" w:rsidRDefault="00B63059">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B63059" w:rsidRDefault="00B63059">
            <w:pPr>
              <w:jc w:val="center"/>
              <w:rPr>
                <w:rFonts w:hint="eastAsia"/>
              </w:rPr>
            </w:pPr>
            <w:r>
              <w:rPr>
                <w:rFonts w:ascii="宋体" w:hAnsi="宋体" w:hint="eastAsia"/>
                <w:szCs w:val="24"/>
                <w:lang w:eastAsia="zh-Hans"/>
              </w:rPr>
              <w:t>摩根均衡优选混合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B63059" w:rsidRDefault="00B63059">
            <w:pPr>
              <w:jc w:val="center"/>
            </w:pPr>
            <w:r>
              <w:rPr>
                <w:rFonts w:ascii="宋体" w:hAnsi="宋体" w:hint="eastAsia"/>
                <w:szCs w:val="24"/>
                <w:lang w:eastAsia="zh-Hans"/>
              </w:rPr>
              <w:t>摩根均衡优选混合</w:t>
            </w:r>
            <w:r>
              <w:rPr>
                <w:rFonts w:ascii="宋体" w:hAnsi="宋体" w:hint="eastAsia"/>
                <w:szCs w:val="24"/>
                <w:lang w:eastAsia="zh-Hans"/>
              </w:rPr>
              <w:t>C</w:t>
            </w:r>
          </w:p>
        </w:tc>
      </w:tr>
      <w:tr w:rsidR="00000000">
        <w:trPr>
          <w:divId w:val="42496416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63059" w:rsidRDefault="00B63059">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63059" w:rsidRDefault="00B63059">
            <w:pPr>
              <w:jc w:val="right"/>
              <w:rPr>
                <w:rFonts w:hint="eastAsia"/>
              </w:rPr>
            </w:pPr>
            <w:r>
              <w:rPr>
                <w:rFonts w:ascii="宋体" w:hAnsi="宋体" w:hint="eastAsia"/>
                <w:szCs w:val="24"/>
                <w:lang w:eastAsia="zh-Hans"/>
              </w:rPr>
              <w:t>47,965,999.5</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63059" w:rsidRDefault="00B63059">
            <w:pPr>
              <w:jc w:val="right"/>
            </w:pPr>
            <w:r>
              <w:rPr>
                <w:rFonts w:ascii="宋体" w:hAnsi="宋体" w:hint="eastAsia"/>
                <w:szCs w:val="24"/>
                <w:lang w:eastAsia="zh-Hans"/>
              </w:rPr>
              <w:t>4,290,589.7</w:t>
            </w:r>
            <w:r>
              <w:rPr>
                <w:rFonts w:ascii="宋体" w:hAnsi="宋体" w:hint="eastAsia"/>
                <w:szCs w:val="24"/>
                <w:lang w:eastAsia="zh-Hans"/>
              </w:rPr>
              <w:t>4</w:t>
            </w:r>
          </w:p>
        </w:tc>
      </w:tr>
      <w:tr w:rsidR="00000000">
        <w:trPr>
          <w:divId w:val="42496416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63059" w:rsidRDefault="00B63059">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63059" w:rsidRDefault="00B63059">
            <w:pPr>
              <w:jc w:val="right"/>
              <w:rPr>
                <w:rFonts w:hint="eastAsia"/>
              </w:rPr>
            </w:pPr>
            <w:r>
              <w:rPr>
                <w:rFonts w:ascii="宋体" w:hAnsi="宋体" w:hint="eastAsia"/>
                <w:szCs w:val="24"/>
                <w:lang w:eastAsia="zh-Hans"/>
              </w:rPr>
              <w:t>75,761,006.4</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63059" w:rsidRDefault="00B63059">
            <w:pPr>
              <w:jc w:val="right"/>
            </w:pPr>
            <w:r>
              <w:rPr>
                <w:rFonts w:ascii="宋体" w:hAnsi="宋体" w:hint="eastAsia"/>
                <w:szCs w:val="24"/>
                <w:lang w:eastAsia="zh-Hans"/>
              </w:rPr>
              <w:t>6,527,127.8</w:t>
            </w:r>
            <w:r>
              <w:rPr>
                <w:rFonts w:ascii="宋体" w:hAnsi="宋体" w:hint="eastAsia"/>
                <w:szCs w:val="24"/>
                <w:lang w:eastAsia="zh-Hans"/>
              </w:rPr>
              <w:t>4</w:t>
            </w:r>
          </w:p>
        </w:tc>
      </w:tr>
      <w:tr w:rsidR="00000000">
        <w:trPr>
          <w:divId w:val="42496416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63059" w:rsidRDefault="00B63059">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63059" w:rsidRDefault="00B63059">
            <w:pPr>
              <w:jc w:val="right"/>
              <w:rPr>
                <w:rFonts w:hint="eastAsia"/>
              </w:rPr>
            </w:pPr>
            <w:r>
              <w:rPr>
                <w:rFonts w:ascii="宋体" w:hAnsi="宋体" w:hint="eastAsia"/>
                <w:szCs w:val="24"/>
                <w:lang w:eastAsia="zh-Hans"/>
              </w:rPr>
              <w:t>0.270</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63059" w:rsidRDefault="00B63059">
            <w:pPr>
              <w:jc w:val="right"/>
            </w:pPr>
            <w:r>
              <w:rPr>
                <w:rFonts w:ascii="宋体" w:hAnsi="宋体" w:hint="eastAsia"/>
                <w:szCs w:val="24"/>
                <w:lang w:eastAsia="zh-Hans"/>
              </w:rPr>
              <w:t>0.256</w:t>
            </w:r>
            <w:r>
              <w:rPr>
                <w:rFonts w:ascii="宋体" w:hAnsi="宋体" w:hint="eastAsia"/>
                <w:szCs w:val="24"/>
                <w:lang w:eastAsia="zh-Hans"/>
              </w:rPr>
              <w:t>7</w:t>
            </w:r>
          </w:p>
        </w:tc>
      </w:tr>
      <w:tr w:rsidR="00000000">
        <w:trPr>
          <w:divId w:val="42496416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63059" w:rsidRDefault="00B63059">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63059" w:rsidRDefault="00B63059">
            <w:pPr>
              <w:jc w:val="right"/>
              <w:rPr>
                <w:rFonts w:hint="eastAsia"/>
              </w:rPr>
            </w:pPr>
            <w:r>
              <w:rPr>
                <w:rFonts w:ascii="宋体" w:hAnsi="宋体" w:hint="eastAsia"/>
                <w:szCs w:val="24"/>
                <w:lang w:eastAsia="zh-Hans"/>
              </w:rPr>
              <w:t>250,592,629.2</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63059" w:rsidRDefault="00B63059">
            <w:pPr>
              <w:jc w:val="right"/>
            </w:pPr>
            <w:r>
              <w:rPr>
                <w:rFonts w:ascii="宋体" w:hAnsi="宋体" w:hint="eastAsia"/>
                <w:szCs w:val="24"/>
                <w:lang w:eastAsia="zh-Hans"/>
              </w:rPr>
              <w:t>23,471,117.0</w:t>
            </w:r>
            <w:r>
              <w:rPr>
                <w:rFonts w:ascii="宋体" w:hAnsi="宋体" w:hint="eastAsia"/>
                <w:szCs w:val="24"/>
                <w:lang w:eastAsia="zh-Hans"/>
              </w:rPr>
              <w:t>9</w:t>
            </w:r>
          </w:p>
        </w:tc>
      </w:tr>
      <w:tr w:rsidR="00000000">
        <w:trPr>
          <w:divId w:val="42496416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63059" w:rsidRDefault="00B63059">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63059" w:rsidRDefault="00B63059">
            <w:pPr>
              <w:jc w:val="right"/>
              <w:rPr>
                <w:rFonts w:hint="eastAsia"/>
              </w:rPr>
            </w:pPr>
            <w:r>
              <w:rPr>
                <w:rFonts w:ascii="宋体" w:hAnsi="宋体" w:hint="eastAsia"/>
                <w:szCs w:val="24"/>
                <w:lang w:eastAsia="zh-Hans"/>
              </w:rPr>
              <w:t>1.171</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63059" w:rsidRDefault="00B63059">
            <w:pPr>
              <w:jc w:val="right"/>
            </w:pPr>
            <w:r>
              <w:rPr>
                <w:rFonts w:ascii="宋体" w:hAnsi="宋体" w:hint="eastAsia"/>
                <w:szCs w:val="24"/>
                <w:lang w:eastAsia="zh-Hans"/>
              </w:rPr>
              <w:t>1.144</w:t>
            </w:r>
            <w:r>
              <w:rPr>
                <w:rFonts w:ascii="宋体" w:hAnsi="宋体" w:hint="eastAsia"/>
                <w:szCs w:val="24"/>
                <w:lang w:eastAsia="zh-Hans"/>
              </w:rPr>
              <w:t>2</w:t>
            </w:r>
          </w:p>
        </w:tc>
      </w:tr>
    </w:tbl>
    <w:p w:rsidR="00B63059" w:rsidRDefault="00B63059">
      <w:pPr>
        <w:wordWrap w:val="0"/>
        <w:spacing w:line="360" w:lineRule="auto"/>
        <w:jc w:val="left"/>
        <w:divId w:val="631835155"/>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B63059" w:rsidRDefault="00B63059">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B63059" w:rsidRDefault="00B63059">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B63059" w:rsidRDefault="00B63059">
      <w:pPr>
        <w:spacing w:line="360" w:lineRule="auto"/>
        <w:jc w:val="center"/>
        <w:divId w:val="183523298"/>
        <w:rPr>
          <w:rFonts w:hint="eastAsia"/>
        </w:rPr>
      </w:pPr>
      <w:r>
        <w:rPr>
          <w:rFonts w:ascii="宋体" w:hAnsi="宋体" w:hint="eastAsia"/>
        </w:rPr>
        <w:t>摩根均衡优选混合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8352329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3059" w:rsidRDefault="00B63059">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②－④</w:t>
            </w:r>
            <w:r>
              <w:rPr>
                <w:rFonts w:ascii="宋体" w:hAnsi="宋体" w:hint="eastAsia"/>
              </w:rPr>
              <w:t xml:space="preserve"> </w:t>
            </w:r>
          </w:p>
        </w:tc>
      </w:tr>
      <w:tr w:rsidR="00000000">
        <w:trPr>
          <w:divId w:val="1835232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25.9</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1.8</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7.2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1.0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63059" w:rsidRDefault="00B63059">
            <w:pPr>
              <w:spacing w:line="360" w:lineRule="auto"/>
              <w:jc w:val="right"/>
            </w:pPr>
            <w:r>
              <w:rPr>
                <w:rFonts w:ascii="宋体" w:hAnsi="宋体" w:hint="eastAsia"/>
              </w:rPr>
              <w:t>18.7</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0.8</w:t>
            </w:r>
            <w:r>
              <w:rPr>
                <w:rFonts w:ascii="宋体" w:hAnsi="宋体" w:hint="eastAsia"/>
              </w:rPr>
              <w:t>0</w:t>
            </w:r>
            <w:r>
              <w:rPr>
                <w:rFonts w:ascii="宋体" w:hAnsi="宋体" w:hint="eastAsia"/>
              </w:rPr>
              <w:t xml:space="preserve">% </w:t>
            </w:r>
          </w:p>
        </w:tc>
      </w:tr>
      <w:tr w:rsidR="00000000">
        <w:trPr>
          <w:divId w:val="1835232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26.7</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1.7</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4.5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63059" w:rsidRDefault="00B63059">
            <w:pPr>
              <w:spacing w:line="360" w:lineRule="auto"/>
              <w:jc w:val="right"/>
            </w:pPr>
            <w:r>
              <w:rPr>
                <w:rFonts w:ascii="宋体" w:hAnsi="宋体" w:hint="eastAsia"/>
              </w:rPr>
              <w:t>22.1</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0.7</w:t>
            </w:r>
            <w:r>
              <w:rPr>
                <w:rFonts w:ascii="宋体" w:hAnsi="宋体" w:hint="eastAsia"/>
              </w:rPr>
              <w:t>3</w:t>
            </w:r>
            <w:r>
              <w:rPr>
                <w:rFonts w:ascii="宋体" w:hAnsi="宋体" w:hint="eastAsia"/>
              </w:rPr>
              <w:t xml:space="preserve">% </w:t>
            </w:r>
          </w:p>
        </w:tc>
      </w:tr>
      <w:tr w:rsidR="00000000">
        <w:trPr>
          <w:divId w:val="1835232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75.6</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1.5</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20.1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63059" w:rsidRDefault="00B63059">
            <w:pPr>
              <w:spacing w:line="360" w:lineRule="auto"/>
              <w:jc w:val="right"/>
            </w:pPr>
            <w:r>
              <w:rPr>
                <w:rFonts w:ascii="宋体" w:hAnsi="宋体" w:hint="eastAsia"/>
              </w:rPr>
              <w:t>55.4</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0.7</w:t>
            </w:r>
            <w:r>
              <w:rPr>
                <w:rFonts w:ascii="宋体" w:hAnsi="宋体" w:hint="eastAsia"/>
              </w:rPr>
              <w:t>1</w:t>
            </w:r>
            <w:r>
              <w:rPr>
                <w:rFonts w:ascii="宋体" w:hAnsi="宋体" w:hint="eastAsia"/>
              </w:rPr>
              <w:t xml:space="preserve">% </w:t>
            </w:r>
          </w:p>
        </w:tc>
      </w:tr>
      <w:tr w:rsidR="00000000">
        <w:trPr>
          <w:divId w:val="1835232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66.4</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1.3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27.3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63059" w:rsidRDefault="00B63059">
            <w:pPr>
              <w:spacing w:line="360" w:lineRule="auto"/>
              <w:jc w:val="right"/>
            </w:pPr>
            <w:r>
              <w:rPr>
                <w:rFonts w:ascii="宋体" w:hAnsi="宋体" w:hint="eastAsia"/>
              </w:rPr>
              <w:t>39.1</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0.3</w:t>
            </w:r>
            <w:r>
              <w:rPr>
                <w:rFonts w:ascii="宋体" w:hAnsi="宋体" w:hint="eastAsia"/>
              </w:rPr>
              <w:t>8</w:t>
            </w:r>
            <w:r>
              <w:rPr>
                <w:rFonts w:ascii="宋体" w:hAnsi="宋体" w:hint="eastAsia"/>
              </w:rPr>
              <w:t xml:space="preserve">% </w:t>
            </w:r>
          </w:p>
        </w:tc>
      </w:tr>
      <w:tr w:rsidR="00000000">
        <w:trPr>
          <w:divId w:val="1835232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17.1</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1.2</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6.9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0.9</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63059" w:rsidRDefault="00B63059">
            <w:pPr>
              <w:spacing w:line="360" w:lineRule="auto"/>
              <w:jc w:val="right"/>
            </w:pPr>
            <w:r>
              <w:rPr>
                <w:rFonts w:ascii="宋体" w:hAnsi="宋体" w:hint="eastAsia"/>
              </w:rPr>
              <w:t>10.1</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0.3</w:t>
            </w:r>
            <w:r>
              <w:rPr>
                <w:rFonts w:ascii="宋体" w:hAnsi="宋体" w:hint="eastAsia"/>
              </w:rPr>
              <w:t>1</w:t>
            </w:r>
            <w:r>
              <w:rPr>
                <w:rFonts w:ascii="宋体" w:hAnsi="宋体" w:hint="eastAsia"/>
              </w:rPr>
              <w:t xml:space="preserve">% </w:t>
            </w:r>
          </w:p>
        </w:tc>
      </w:tr>
    </w:tbl>
    <w:p w:rsidR="00B63059" w:rsidRDefault="00B63059">
      <w:pPr>
        <w:spacing w:line="360" w:lineRule="auto"/>
        <w:jc w:val="center"/>
        <w:divId w:val="1281913324"/>
      </w:pPr>
      <w:r>
        <w:rPr>
          <w:rFonts w:ascii="宋体" w:hAnsi="宋体" w:hint="eastAsia"/>
        </w:rPr>
        <w:t>摩根均衡优选混合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28191332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3059" w:rsidRDefault="00B63059">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2819133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25.8</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1.8</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7.2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1.0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63059" w:rsidRDefault="00B63059">
            <w:pPr>
              <w:spacing w:line="360" w:lineRule="auto"/>
              <w:jc w:val="right"/>
            </w:pPr>
            <w:r>
              <w:rPr>
                <w:rFonts w:ascii="宋体" w:hAnsi="宋体" w:hint="eastAsia"/>
              </w:rPr>
              <w:t>18.5</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0.8</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2819133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26.4</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1.7</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4.5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0.9</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63059" w:rsidRDefault="00B63059">
            <w:pPr>
              <w:spacing w:line="360" w:lineRule="auto"/>
              <w:jc w:val="right"/>
            </w:pPr>
            <w:r>
              <w:rPr>
                <w:rFonts w:ascii="宋体" w:hAnsi="宋体" w:hint="eastAsia"/>
              </w:rPr>
              <w:t>21.8</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0.7</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2819133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74.7</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1.5</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20.1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63059" w:rsidRDefault="00B63059">
            <w:pPr>
              <w:spacing w:line="360" w:lineRule="auto"/>
              <w:jc w:val="right"/>
            </w:pPr>
            <w:r>
              <w:rPr>
                <w:rFonts w:ascii="宋体" w:hAnsi="宋体" w:hint="eastAsia"/>
              </w:rPr>
              <w:t>54.6</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0.7</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2819133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63.9</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1.3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27.3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63059" w:rsidRDefault="00B63059">
            <w:pPr>
              <w:spacing w:line="360" w:lineRule="auto"/>
              <w:jc w:val="right"/>
            </w:pPr>
            <w:r>
              <w:rPr>
                <w:rFonts w:ascii="宋体" w:hAnsi="宋体" w:hint="eastAsia"/>
              </w:rPr>
              <w:t>36.6</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0.3</w:t>
            </w:r>
            <w:r>
              <w:rPr>
                <w:rFonts w:ascii="宋体" w:hAnsi="宋体" w:hint="eastAsia"/>
              </w:rPr>
              <w:t>8</w:t>
            </w:r>
            <w:r>
              <w:rPr>
                <w:rFonts w:ascii="宋体" w:hAnsi="宋体" w:hint="eastAsia"/>
              </w:rPr>
              <w:t>%</w:t>
            </w:r>
            <w:r>
              <w:rPr>
                <w:rFonts w:ascii="宋体" w:hAnsi="宋体" w:hint="eastAsia"/>
              </w:rPr>
              <w:t xml:space="preserve"> </w:t>
            </w:r>
          </w:p>
        </w:tc>
      </w:tr>
      <w:tr w:rsidR="00000000">
        <w:trPr>
          <w:divId w:val="12819133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14.4</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1.2</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6.9</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0.9</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63059" w:rsidRDefault="00B63059">
            <w:pPr>
              <w:spacing w:line="360" w:lineRule="auto"/>
              <w:jc w:val="right"/>
            </w:pPr>
            <w:r>
              <w:rPr>
                <w:rFonts w:ascii="宋体" w:hAnsi="宋体" w:hint="eastAsia"/>
              </w:rPr>
              <w:t>7.4</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spacing w:line="360" w:lineRule="auto"/>
              <w:jc w:val="right"/>
            </w:pPr>
            <w:r>
              <w:rPr>
                <w:rFonts w:ascii="宋体" w:hAnsi="宋体" w:hint="eastAsia"/>
              </w:rPr>
              <w:t>0.3</w:t>
            </w:r>
            <w:r>
              <w:rPr>
                <w:rFonts w:ascii="宋体" w:hAnsi="宋体" w:hint="eastAsia"/>
              </w:rPr>
              <w:t>0</w:t>
            </w:r>
            <w:r>
              <w:rPr>
                <w:rFonts w:ascii="宋体" w:hAnsi="宋体" w:hint="eastAsia"/>
              </w:rPr>
              <w:t>%</w:t>
            </w:r>
            <w:r>
              <w:rPr>
                <w:rFonts w:ascii="宋体" w:hAnsi="宋体" w:hint="eastAsia"/>
              </w:rPr>
              <w:t xml:space="preserve"> </w:t>
            </w:r>
          </w:p>
        </w:tc>
      </w:tr>
    </w:tbl>
    <w:p w:rsidR="00B63059" w:rsidRDefault="00B63059">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B63059" w:rsidRDefault="00B63059">
      <w:pPr>
        <w:spacing w:line="360" w:lineRule="auto"/>
        <w:jc w:val="left"/>
        <w:divId w:val="2064863478"/>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B63059" w:rsidRDefault="00B63059">
      <w:pPr>
        <w:spacing w:line="360" w:lineRule="auto"/>
        <w:jc w:val="left"/>
        <w:divId w:val="69934759"/>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B63059" w:rsidRDefault="00B63059">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2021</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27</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B63059" w:rsidRDefault="00B63059">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B63059" w:rsidRDefault="00B63059">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509757201"/>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3059" w:rsidRDefault="00B63059">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3059" w:rsidRDefault="00B63059">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3059" w:rsidRDefault="00B63059">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3059" w:rsidRDefault="00B63059">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3059" w:rsidRDefault="00B63059">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509757201"/>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3059" w:rsidRDefault="00B6305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059" w:rsidRDefault="00B63059">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3059" w:rsidRDefault="00B63059">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3059" w:rsidRDefault="00B63059">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059" w:rsidRDefault="00B6305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059" w:rsidRDefault="00B63059">
            <w:pPr>
              <w:widowControl/>
              <w:jc w:val="left"/>
            </w:pPr>
          </w:p>
        </w:tc>
      </w:tr>
      <w:tr w:rsidR="00000000">
        <w:trPr>
          <w:divId w:val="150975720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倪权</w:t>
            </w:r>
            <w:r>
              <w:rPr>
                <w:rFonts w:ascii="宋体" w:hAnsi="宋体" w:hint="eastAsia"/>
                <w:szCs w:val="24"/>
                <w:lang w:eastAsia="zh-Hans"/>
              </w:rPr>
              <w:t>生</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27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15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left"/>
            </w:pPr>
            <w:r>
              <w:rPr>
                <w:rFonts w:ascii="宋体" w:hAnsi="宋体" w:hint="eastAsia"/>
                <w:szCs w:val="24"/>
                <w:lang w:eastAsia="zh-Hans"/>
              </w:rPr>
              <w:t>倪权生先生曾任博时基金管理有限公司高级研究员，浙商基金管理有限公司投资经理助理、基金经理</w:t>
            </w:r>
            <w:r>
              <w:rPr>
                <w:rFonts w:ascii="宋体" w:hAnsi="宋体" w:hint="eastAsia"/>
                <w:szCs w:val="24"/>
                <w:lang w:eastAsia="zh-Hans"/>
              </w:rPr>
              <w:t>/</w:t>
            </w:r>
            <w:r>
              <w:rPr>
                <w:rFonts w:ascii="宋体" w:hAnsi="宋体" w:hint="eastAsia"/>
                <w:szCs w:val="24"/>
                <w:lang w:eastAsia="zh-Hans"/>
              </w:rPr>
              <w:t>股票投资部副总经理。</w:t>
            </w:r>
            <w:r>
              <w:rPr>
                <w:rFonts w:ascii="宋体" w:hAnsi="宋体" w:hint="eastAsia"/>
                <w:szCs w:val="24"/>
                <w:lang w:eastAsia="zh-Hans"/>
              </w:rPr>
              <w:t>2019</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月起加入摩根基金管理（中国）有限公司（原上投摩根基金管理有限公司），历任领先组副组长兼资深基金经理，现任国内权益投资部均衡与价值组组长兼资深基金经理</w:t>
            </w:r>
            <w:r>
              <w:rPr>
                <w:rFonts w:ascii="宋体" w:hAnsi="宋体" w:hint="eastAsia"/>
                <w:szCs w:val="24"/>
                <w:lang w:eastAsia="zh-Hans"/>
              </w:rPr>
              <w:t>。</w:t>
            </w:r>
          </w:p>
        </w:tc>
      </w:tr>
    </w:tbl>
    <w:p w:rsidR="00B63059" w:rsidRDefault="00B63059">
      <w:pPr>
        <w:wordWrap w:val="0"/>
        <w:spacing w:line="360" w:lineRule="auto"/>
        <w:jc w:val="left"/>
        <w:divId w:val="1201749433"/>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B63059" w:rsidRDefault="00B63059">
      <w:pPr>
        <w:pStyle w:val="XBRLTitle3"/>
        <w:spacing w:before="156"/>
        <w:ind w:left="0"/>
        <w:divId w:val="565335896"/>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414520594"/>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B63059" w:rsidRDefault="00B63059">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B63059" w:rsidRDefault="00B63059">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B63059" w:rsidRDefault="00B63059">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B63059" w:rsidRDefault="00B63059">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B63059" w:rsidRDefault="00B63059">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414520594"/>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pPr>
              <w:jc w:val="center"/>
            </w:pPr>
            <w:r>
              <w:rPr>
                <w:rFonts w:ascii="宋体" w:hAnsi="宋体" w:hint="eastAsia"/>
                <w:szCs w:val="24"/>
              </w:rPr>
              <w:t>倪权</w:t>
            </w:r>
            <w:r>
              <w:rPr>
                <w:rFonts w:ascii="宋体" w:hAnsi="宋体" w:hint="eastAsia"/>
                <w:szCs w:val="24"/>
              </w:rPr>
              <w:t>生</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pPr>
              <w:jc w:val="right"/>
            </w:pPr>
            <w:r>
              <w:rPr>
                <w:rFonts w:ascii="宋体" w:hAnsi="宋体" w:hint="eastAsia"/>
                <w:szCs w:val="24"/>
              </w:rPr>
              <w:t>5</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pPr>
              <w:jc w:val="right"/>
            </w:pPr>
            <w:r>
              <w:rPr>
                <w:rFonts w:ascii="宋体" w:hAnsi="宋体" w:hint="eastAsia"/>
                <w:szCs w:val="24"/>
              </w:rPr>
              <w:t>1,979,990,052.1</w:t>
            </w:r>
            <w:r>
              <w:rPr>
                <w:rFonts w:ascii="宋体" w:hAnsi="宋体" w:hint="eastAsia"/>
                <w:szCs w:val="24"/>
              </w:rPr>
              <w:t>2</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pPr>
              <w:jc w:val="center"/>
            </w:pPr>
            <w:r>
              <w:rPr>
                <w:rFonts w:ascii="宋体" w:hAnsi="宋体" w:hint="eastAsia"/>
                <w:szCs w:val="24"/>
              </w:rPr>
              <w:t>2015-03-3</w:t>
            </w:r>
            <w:r>
              <w:rPr>
                <w:rFonts w:ascii="宋体" w:hAnsi="宋体" w:hint="eastAsia"/>
                <w:szCs w:val="24"/>
              </w:rPr>
              <w:t>0</w:t>
            </w:r>
          </w:p>
        </w:tc>
      </w:tr>
      <w:tr w:rsidR="00000000">
        <w:trPr>
          <w:divId w:val="414520594"/>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B63059" w:rsidRDefault="00B63059">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pPr>
              <w:jc w:val="right"/>
            </w:pPr>
            <w:r>
              <w:rPr>
                <w:rFonts w:ascii="宋体" w:hAnsi="宋体" w:hint="eastAsia"/>
                <w:szCs w:val="24"/>
              </w:rPr>
              <w:t>2</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pPr>
              <w:jc w:val="right"/>
            </w:pPr>
            <w:r>
              <w:rPr>
                <w:rFonts w:ascii="宋体" w:hAnsi="宋体" w:hint="eastAsia"/>
                <w:szCs w:val="24"/>
              </w:rPr>
              <w:t>247,888,942.5</w:t>
            </w:r>
            <w:r>
              <w:rPr>
                <w:rFonts w:ascii="宋体" w:hAnsi="宋体" w:hint="eastAsia"/>
                <w:szCs w:val="24"/>
              </w:rPr>
              <w:t>6</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pPr>
              <w:jc w:val="center"/>
            </w:pPr>
            <w:r>
              <w:rPr>
                <w:rFonts w:ascii="宋体" w:hAnsi="宋体" w:hint="eastAsia"/>
                <w:szCs w:val="24"/>
              </w:rPr>
              <w:t>2021-04-1</w:t>
            </w:r>
            <w:r>
              <w:rPr>
                <w:rFonts w:ascii="宋体" w:hAnsi="宋体" w:hint="eastAsia"/>
                <w:szCs w:val="24"/>
              </w:rPr>
              <w:t>2</w:t>
            </w:r>
          </w:p>
        </w:tc>
      </w:tr>
      <w:tr w:rsidR="00000000">
        <w:trPr>
          <w:divId w:val="414520594"/>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B63059" w:rsidRDefault="00B63059">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pPr>
              <w:jc w:val="center"/>
            </w:pPr>
            <w:r>
              <w:rPr>
                <w:rFonts w:ascii="宋体" w:hAnsi="宋体" w:hint="eastAsia"/>
                <w:szCs w:val="24"/>
              </w:rPr>
              <w:t>-</w:t>
            </w:r>
          </w:p>
        </w:tc>
      </w:tr>
      <w:tr w:rsidR="00000000">
        <w:trPr>
          <w:divId w:val="414520594"/>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B63059" w:rsidRDefault="00B63059">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pPr>
              <w:jc w:val="right"/>
            </w:pPr>
            <w:r>
              <w:rPr>
                <w:rFonts w:ascii="宋体" w:hAnsi="宋体" w:hint="eastAsia"/>
                <w:szCs w:val="24"/>
              </w:rPr>
              <w:t>7</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pPr>
              <w:jc w:val="right"/>
            </w:pPr>
            <w:r>
              <w:rPr>
                <w:rFonts w:ascii="宋体" w:hAnsi="宋体" w:hint="eastAsia"/>
                <w:szCs w:val="24"/>
              </w:rPr>
              <w:t>2,227,878,994.6</w:t>
            </w:r>
            <w:r>
              <w:rPr>
                <w:rFonts w:ascii="宋体" w:hAnsi="宋体" w:hint="eastAsia"/>
                <w:szCs w:val="24"/>
              </w:rPr>
              <w:t>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3059" w:rsidRDefault="00B63059">
            <w:pPr>
              <w:jc w:val="center"/>
            </w:pPr>
            <w:r>
              <w:rPr>
                <w:rFonts w:ascii="宋体" w:hAnsi="宋体" w:hint="eastAsia"/>
                <w:szCs w:val="24"/>
              </w:rPr>
              <w:t xml:space="preserve">- </w:t>
            </w:r>
          </w:p>
        </w:tc>
      </w:tr>
    </w:tbl>
    <w:p w:rsidR="00B63059" w:rsidRDefault="00B63059">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B63059" w:rsidRDefault="00B63059">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B63059" w:rsidRDefault="00B63059">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B63059" w:rsidRDefault="00B63059">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B63059" w:rsidRDefault="00B63059">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B63059" w:rsidRDefault="00B63059">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B63059" w:rsidRDefault="00B63059">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B63059" w:rsidRDefault="00B63059">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B63059" w:rsidRDefault="00B63059">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年二季度以</w:t>
      </w:r>
      <w:r>
        <w:rPr>
          <w:rFonts w:ascii="宋体" w:hAnsi="宋体" w:cs="宋体" w:hint="eastAsia"/>
          <w:color w:val="000000"/>
          <w:kern w:val="0"/>
        </w:rPr>
        <w:t>AI</w:t>
      </w:r>
      <w:r>
        <w:rPr>
          <w:rFonts w:ascii="宋体" w:hAnsi="宋体" w:cs="宋体" w:hint="eastAsia"/>
          <w:color w:val="000000"/>
          <w:kern w:val="0"/>
        </w:rPr>
        <w:t>相关产业链表现较好，多数传统行业股票收益率不佳。从宏观经济和内外部环境来看，国内制造业，特别是出口链制造业表现延续强势，其中尤以高端制造业表现更为明显，如</w:t>
      </w:r>
      <w:r>
        <w:rPr>
          <w:rFonts w:ascii="宋体" w:hAnsi="宋体" w:cs="宋体" w:hint="eastAsia"/>
          <w:color w:val="000000"/>
          <w:kern w:val="0"/>
        </w:rPr>
        <w:t>AI</w:t>
      </w:r>
      <w:r>
        <w:rPr>
          <w:rFonts w:ascii="宋体" w:hAnsi="宋体" w:cs="宋体" w:hint="eastAsia"/>
          <w:color w:val="000000"/>
          <w:kern w:val="0"/>
        </w:rPr>
        <w:t>相关的电子器件及通信产品、海外供电相关的电力设备和能源设施、传统资本品中的工程机械、通用设备等，以及创新药</w:t>
      </w:r>
      <w:r>
        <w:rPr>
          <w:rFonts w:ascii="宋体" w:hAnsi="宋体" w:cs="宋体" w:hint="eastAsia"/>
          <w:color w:val="000000"/>
          <w:kern w:val="0"/>
        </w:rPr>
        <w:t>BD</w:t>
      </w:r>
      <w:r>
        <w:rPr>
          <w:rFonts w:ascii="宋体" w:hAnsi="宋体" w:cs="宋体" w:hint="eastAsia"/>
          <w:color w:val="000000"/>
          <w:kern w:val="0"/>
        </w:rPr>
        <w:t>出海等。内需方面，消费整体平稳，商品消费在高基数影响下表现一般，但服务型消费增长势头较好。</w:t>
      </w:r>
      <w:r>
        <w:rPr>
          <w:rFonts w:ascii="宋体" w:hAnsi="宋体" w:cs="宋体" w:hint="eastAsia"/>
          <w:color w:val="000000"/>
          <w:kern w:val="0"/>
        </w:rPr>
        <w:br/>
      </w:r>
      <w:r>
        <w:rPr>
          <w:rFonts w:ascii="宋体" w:hAnsi="宋体" w:cs="宋体" w:hint="eastAsia"/>
          <w:color w:val="000000"/>
          <w:kern w:val="0"/>
        </w:rPr>
        <w:t xml:space="preserve">　　组合操作层面，组合维持均衡配置的策略，基本维持上季度的行业配置。其中算力相关的电子与通信维持标配，在非科技领域，继续超配机械、电新、化工、有色等行业。在出海端，我们看到全球资本品需求的增长，以及中国中高端制造业在全球份额的提升，表现在机械、电力设备等领域。同时制造业的繁荣又带动上游原材料的需求增长，而其中的一些品类如工业金属、部分小金属及化工品，受制于全球矿产供给的约束，或者受制于国内产能扩张的约束，其供给弹性较小，从而由原来的供需宽松格局转为供需偏紧，带动盈利和现金流的持续改善。</w:t>
      </w:r>
      <w:r>
        <w:rPr>
          <w:rFonts w:ascii="宋体" w:hAnsi="宋体" w:cs="宋体" w:hint="eastAsia"/>
          <w:color w:val="000000"/>
          <w:kern w:val="0"/>
        </w:rPr>
        <w:t>AI</w:t>
      </w:r>
      <w:r>
        <w:rPr>
          <w:rFonts w:ascii="宋体" w:hAnsi="宋体" w:cs="宋体" w:hint="eastAsia"/>
          <w:color w:val="000000"/>
          <w:kern w:val="0"/>
        </w:rPr>
        <w:t>方面，继续配置光模块和</w:t>
      </w:r>
      <w:r>
        <w:rPr>
          <w:rFonts w:ascii="宋体" w:hAnsi="宋体" w:cs="宋体" w:hint="eastAsia"/>
          <w:color w:val="000000"/>
          <w:kern w:val="0"/>
        </w:rPr>
        <w:t>PCB</w:t>
      </w:r>
      <w:r>
        <w:rPr>
          <w:rFonts w:ascii="宋体" w:hAnsi="宋体" w:cs="宋体" w:hint="eastAsia"/>
          <w:color w:val="000000"/>
          <w:kern w:val="0"/>
        </w:rPr>
        <w:t>相关资产，目前国内外算力需求仍处于高速增长期，相关行业和公司盈利继续兑现，估值具备优势。期间适度增加了半导体的配置，我们认为国内算力需求的增长驱动的半导体及中上游需求将会加速。受美联储利率政策导向预期的影响，本期组合降低了部分有色配置，短期从利率预期的角度来讲，大宗有色的权益股票可能承压，但从长期维度看，仍然看好部分品种的供给紧平衡驱动的高盈利状态。医药特别是</w:t>
      </w:r>
      <w:r>
        <w:rPr>
          <w:rFonts w:ascii="宋体" w:hAnsi="宋体" w:cs="宋体" w:hint="eastAsia"/>
          <w:color w:val="000000"/>
          <w:kern w:val="0"/>
        </w:rPr>
        <w:t>CXO</w:t>
      </w:r>
      <w:r>
        <w:rPr>
          <w:rFonts w:ascii="宋体" w:hAnsi="宋体" w:cs="宋体" w:hint="eastAsia"/>
          <w:color w:val="000000"/>
          <w:kern w:val="0"/>
        </w:rPr>
        <w:t>环节也是组合配置的一部分，目前看创新药</w:t>
      </w:r>
      <w:r>
        <w:rPr>
          <w:rFonts w:ascii="宋体" w:hAnsi="宋体" w:cs="宋体" w:hint="eastAsia"/>
          <w:color w:val="000000"/>
          <w:kern w:val="0"/>
        </w:rPr>
        <w:t>BD</w:t>
      </w:r>
      <w:r>
        <w:rPr>
          <w:rFonts w:ascii="宋体" w:hAnsi="宋体" w:cs="宋体" w:hint="eastAsia"/>
          <w:color w:val="000000"/>
          <w:kern w:val="0"/>
        </w:rPr>
        <w:t>的数据仍然较好，</w:t>
      </w:r>
      <w:r>
        <w:rPr>
          <w:rFonts w:ascii="宋体" w:hAnsi="宋体" w:cs="宋体" w:hint="eastAsia"/>
          <w:color w:val="000000"/>
          <w:kern w:val="0"/>
        </w:rPr>
        <w:t>CXO</w:t>
      </w:r>
      <w:r>
        <w:rPr>
          <w:rFonts w:ascii="宋体" w:hAnsi="宋体" w:cs="宋体" w:hint="eastAsia"/>
          <w:color w:val="000000"/>
          <w:kern w:val="0"/>
        </w:rPr>
        <w:t>行业的财报也显示出复苏迹象，整体股价位置和估值都比较低，具有配置价值。</w:t>
      </w:r>
      <w:r>
        <w:rPr>
          <w:rFonts w:ascii="宋体" w:hAnsi="宋体" w:cs="宋体" w:hint="eastAsia"/>
          <w:color w:val="000000"/>
          <w:kern w:val="0"/>
        </w:rPr>
        <w:br/>
      </w:r>
      <w:r>
        <w:rPr>
          <w:rFonts w:ascii="宋体" w:hAnsi="宋体" w:cs="宋体" w:hint="eastAsia"/>
          <w:color w:val="000000"/>
          <w:kern w:val="0"/>
        </w:rPr>
        <w:t xml:space="preserve">　　展望后市，虽然二季度</w:t>
      </w:r>
      <w:r>
        <w:rPr>
          <w:rFonts w:ascii="宋体" w:hAnsi="宋体" w:cs="宋体" w:hint="eastAsia"/>
          <w:color w:val="000000"/>
          <w:kern w:val="0"/>
        </w:rPr>
        <w:t>AI</w:t>
      </w:r>
      <w:r>
        <w:rPr>
          <w:rFonts w:ascii="宋体" w:hAnsi="宋体" w:cs="宋体" w:hint="eastAsia"/>
          <w:color w:val="000000"/>
          <w:kern w:val="0"/>
        </w:rPr>
        <w:t>相关的科技行业涨幅较大，市场分化程度超出预期，但从下半年的基本面来看，</w:t>
      </w:r>
      <w:r>
        <w:rPr>
          <w:rFonts w:ascii="宋体" w:hAnsi="宋体" w:cs="宋体" w:hint="eastAsia"/>
          <w:color w:val="000000"/>
          <w:kern w:val="0"/>
        </w:rPr>
        <w:t>AI</w:t>
      </w:r>
      <w:r>
        <w:rPr>
          <w:rFonts w:ascii="宋体" w:hAnsi="宋体" w:cs="宋体" w:hint="eastAsia"/>
          <w:color w:val="000000"/>
          <w:kern w:val="0"/>
        </w:rPr>
        <w:t>相关的领域景气度有望继续延续，但估值的偏高可能会导致波动加大。而非</w:t>
      </w:r>
      <w:r>
        <w:rPr>
          <w:rFonts w:ascii="宋体" w:hAnsi="宋体" w:cs="宋体" w:hint="eastAsia"/>
          <w:color w:val="000000"/>
          <w:kern w:val="0"/>
        </w:rPr>
        <w:t>AI</w:t>
      </w:r>
      <w:r>
        <w:rPr>
          <w:rFonts w:ascii="宋体" w:hAnsi="宋体" w:cs="宋体" w:hint="eastAsia"/>
          <w:color w:val="000000"/>
          <w:kern w:val="0"/>
        </w:rPr>
        <w:t>领域，我们前面提到的出海制造业、创新药、上游大宗环节等，仍有不错的景气度、且估值不贵。整体而言，我们认为市场尽管局部较热，但整体估值不贵，且受益于经济动能转换的新兴行业景气度较好，仍具备较好投资机会</w:t>
      </w:r>
      <w:r>
        <w:rPr>
          <w:rFonts w:ascii="宋体" w:hAnsi="宋体" w:cs="宋体" w:hint="eastAsia"/>
          <w:color w:val="000000"/>
          <w:kern w:val="0"/>
        </w:rPr>
        <w:t>。</w:t>
      </w:r>
    </w:p>
    <w:p w:rsidR="00B63059" w:rsidRDefault="00B63059">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B63059" w:rsidRDefault="00B63059">
      <w:pPr>
        <w:spacing w:line="360" w:lineRule="auto"/>
        <w:ind w:firstLineChars="200" w:firstLine="420"/>
        <w:rPr>
          <w:rFonts w:hint="eastAsia"/>
        </w:rPr>
      </w:pPr>
      <w:r>
        <w:rPr>
          <w:rFonts w:ascii="宋体" w:hAnsi="宋体" w:hint="eastAsia"/>
        </w:rPr>
        <w:t>本报告期摩根均衡优选混合</w:t>
      </w:r>
      <w:r>
        <w:rPr>
          <w:rFonts w:ascii="宋体" w:hAnsi="宋体" w:hint="eastAsia"/>
        </w:rPr>
        <w:t>A</w:t>
      </w:r>
      <w:r>
        <w:rPr>
          <w:rFonts w:ascii="宋体" w:hAnsi="宋体" w:hint="eastAsia"/>
        </w:rPr>
        <w:t>份额净值增长率为：</w:t>
      </w:r>
      <w:r>
        <w:rPr>
          <w:rFonts w:ascii="宋体" w:hAnsi="宋体" w:hint="eastAsia"/>
        </w:rPr>
        <w:t>25.99%</w:t>
      </w:r>
      <w:r>
        <w:rPr>
          <w:rFonts w:ascii="宋体" w:hAnsi="宋体" w:hint="eastAsia"/>
        </w:rPr>
        <w:t>，同期业绩比较基准收益率为：</w:t>
      </w:r>
      <w:r>
        <w:rPr>
          <w:rFonts w:ascii="宋体" w:hAnsi="宋体" w:hint="eastAsia"/>
        </w:rPr>
        <w:t>7.28%</w:t>
      </w:r>
      <w:r>
        <w:rPr>
          <w:rFonts w:ascii="宋体" w:hAnsi="宋体" w:hint="eastAsia"/>
        </w:rPr>
        <w:t>；</w:t>
      </w:r>
      <w:r>
        <w:rPr>
          <w:rFonts w:ascii="宋体" w:hAnsi="宋体" w:hint="eastAsia"/>
        </w:rPr>
        <w:br/>
      </w:r>
      <w:r>
        <w:rPr>
          <w:rFonts w:ascii="宋体" w:hAnsi="宋体" w:hint="eastAsia"/>
        </w:rPr>
        <w:t xml:space="preserve">　　摩根均衡优选混合</w:t>
      </w:r>
      <w:r>
        <w:rPr>
          <w:rFonts w:ascii="宋体" w:hAnsi="宋体" w:hint="eastAsia"/>
        </w:rPr>
        <w:t>C</w:t>
      </w:r>
      <w:r>
        <w:rPr>
          <w:rFonts w:ascii="宋体" w:hAnsi="宋体" w:hint="eastAsia"/>
        </w:rPr>
        <w:t>份额净值增长率为：</w:t>
      </w:r>
      <w:r>
        <w:rPr>
          <w:rFonts w:ascii="宋体" w:hAnsi="宋体" w:hint="eastAsia"/>
        </w:rPr>
        <w:t>25.83%</w:t>
      </w:r>
      <w:r>
        <w:rPr>
          <w:rFonts w:ascii="宋体" w:hAnsi="宋体" w:hint="eastAsia"/>
        </w:rPr>
        <w:t>，同期业绩比较基准收益率为：</w:t>
      </w:r>
      <w:r>
        <w:rPr>
          <w:rFonts w:ascii="宋体" w:hAnsi="宋体" w:hint="eastAsia"/>
        </w:rPr>
        <w:t>7.28%</w:t>
      </w:r>
      <w:r>
        <w:rPr>
          <w:rFonts w:ascii="宋体" w:hAnsi="宋体" w:hint="eastAsia"/>
        </w:rPr>
        <w:t>。</w:t>
      </w:r>
    </w:p>
    <w:p w:rsidR="00B63059" w:rsidRDefault="00B63059">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B63059" w:rsidRDefault="00B63059">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B63059" w:rsidRDefault="00B63059">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B63059" w:rsidRDefault="00B63059">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601140489"/>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63059" w:rsidRDefault="00B63059">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B63059" w:rsidRDefault="00B63059">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B63059" w:rsidRDefault="00B63059">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B63059" w:rsidRDefault="00B63059">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60114048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B63059" w:rsidRDefault="00B63059">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244,441,708.9</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87.2</w:t>
            </w:r>
            <w:r>
              <w:rPr>
                <w:rFonts w:ascii="宋体" w:hAnsi="宋体" w:hint="eastAsia"/>
                <w:szCs w:val="24"/>
                <w:lang w:eastAsia="zh-Hans"/>
              </w:rPr>
              <w:t>1</w:t>
            </w:r>
          </w:p>
        </w:tc>
      </w:tr>
      <w:tr w:rsidR="00000000">
        <w:trPr>
          <w:divId w:val="160114048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63059" w:rsidRDefault="00B63059">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244,441,708.9</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87.2</w:t>
            </w:r>
            <w:r>
              <w:rPr>
                <w:rFonts w:ascii="宋体" w:hAnsi="宋体" w:hint="eastAsia"/>
                <w:szCs w:val="24"/>
                <w:lang w:eastAsia="zh-Hans"/>
              </w:rPr>
              <w:t>1</w:t>
            </w:r>
          </w:p>
        </w:tc>
      </w:tr>
      <w:tr w:rsidR="00000000">
        <w:trPr>
          <w:divId w:val="160114048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B63059" w:rsidRDefault="00B63059">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r>
      <w:tr w:rsidR="00000000">
        <w:trPr>
          <w:divId w:val="160114048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B63059" w:rsidRDefault="00B63059">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r>
      <w:tr w:rsidR="00000000">
        <w:trPr>
          <w:divId w:val="160114048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63059" w:rsidRDefault="00B63059">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r>
      <w:tr w:rsidR="00000000">
        <w:trPr>
          <w:divId w:val="160114048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63059" w:rsidRDefault="00B63059">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r>
      <w:tr w:rsidR="00000000">
        <w:trPr>
          <w:divId w:val="160114048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B63059" w:rsidRDefault="00B63059">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r>
      <w:tr w:rsidR="00000000">
        <w:trPr>
          <w:divId w:val="160114048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B63059" w:rsidRDefault="00B63059">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r>
      <w:tr w:rsidR="00000000">
        <w:trPr>
          <w:divId w:val="160114048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B63059" w:rsidRDefault="00B63059">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r>
      <w:tr w:rsidR="00000000">
        <w:trPr>
          <w:divId w:val="160114048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63059" w:rsidRDefault="00B63059">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w:t>
            </w:r>
          </w:p>
        </w:tc>
      </w:tr>
      <w:tr w:rsidR="00000000">
        <w:trPr>
          <w:divId w:val="160114048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B63059" w:rsidRDefault="00B63059">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35,644,728.1</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12.7</w:t>
            </w:r>
            <w:r>
              <w:rPr>
                <w:rFonts w:ascii="宋体" w:hAnsi="宋体" w:hint="eastAsia"/>
                <w:szCs w:val="24"/>
                <w:lang w:eastAsia="zh-Hans"/>
              </w:rPr>
              <w:t>2</w:t>
            </w:r>
          </w:p>
        </w:tc>
      </w:tr>
      <w:tr w:rsidR="00000000">
        <w:trPr>
          <w:divId w:val="160114048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B63059" w:rsidRDefault="00B63059">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202,192.5</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0.0</w:t>
            </w:r>
            <w:r>
              <w:rPr>
                <w:rFonts w:ascii="宋体" w:hAnsi="宋体" w:hint="eastAsia"/>
                <w:szCs w:val="24"/>
                <w:lang w:eastAsia="zh-Hans"/>
              </w:rPr>
              <w:t>7</w:t>
            </w:r>
          </w:p>
        </w:tc>
      </w:tr>
      <w:tr w:rsidR="00000000">
        <w:trPr>
          <w:divId w:val="160114048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63059" w:rsidRDefault="00B63059">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B63059" w:rsidRDefault="00B63059">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280,288,629.6</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B63059" w:rsidRDefault="00B63059">
            <w:pPr>
              <w:jc w:val="right"/>
            </w:pPr>
            <w:r>
              <w:rPr>
                <w:rFonts w:ascii="宋体" w:hAnsi="宋体" w:hint="eastAsia"/>
                <w:szCs w:val="24"/>
                <w:lang w:eastAsia="zh-Hans"/>
              </w:rPr>
              <w:t>100.0</w:t>
            </w:r>
            <w:r>
              <w:rPr>
                <w:rFonts w:ascii="宋体" w:hAnsi="宋体" w:hint="eastAsia"/>
                <w:szCs w:val="24"/>
                <w:lang w:eastAsia="zh-Hans"/>
              </w:rPr>
              <w:t>0</w:t>
            </w:r>
          </w:p>
        </w:tc>
      </w:tr>
    </w:tbl>
    <w:p w:rsidR="00B63059" w:rsidRDefault="00B63059">
      <w:pPr>
        <w:spacing w:line="360" w:lineRule="auto"/>
        <w:jc w:val="left"/>
        <w:divId w:val="1387290280"/>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17,766,777.15</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6.48%</w:t>
      </w:r>
      <w:r>
        <w:rPr>
          <w:rFonts w:ascii="宋体" w:hAnsi="宋体" w:hint="eastAsia"/>
        </w:rPr>
        <w:t>。</w:t>
      </w:r>
    </w:p>
    <w:p w:rsidR="00B63059" w:rsidRDefault="00B63059">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B63059" w:rsidRDefault="00B63059">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058894961"/>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B63059" w:rsidRDefault="00B63059">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B63059" w:rsidRDefault="00B63059">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B63059" w:rsidRDefault="00B63059">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2,337,372.0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0.8</w:t>
            </w:r>
            <w:r>
              <w:rPr>
                <w:rFonts w:ascii="宋体" w:hAnsi="宋体" w:hint="eastAsia"/>
                <w:szCs w:val="24"/>
                <w:lang w:eastAsia="zh-Hans"/>
              </w:rPr>
              <w:t>5</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212,238,662.7</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77.4</w:t>
            </w:r>
            <w:r>
              <w:rPr>
                <w:rFonts w:ascii="宋体" w:hAnsi="宋体" w:hint="eastAsia"/>
                <w:szCs w:val="24"/>
                <w:lang w:eastAsia="zh-Hans"/>
              </w:rPr>
              <w:t>4</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1,288,586.0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0.4</w:t>
            </w:r>
            <w:r>
              <w:rPr>
                <w:rFonts w:ascii="宋体" w:hAnsi="宋体" w:hint="eastAsia"/>
                <w:szCs w:val="24"/>
                <w:lang w:eastAsia="zh-Hans"/>
              </w:rPr>
              <w:t>7</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837,060.0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0.3</w:t>
            </w:r>
            <w:r>
              <w:rPr>
                <w:rFonts w:ascii="宋体" w:hAnsi="宋体" w:hint="eastAsia"/>
                <w:szCs w:val="24"/>
                <w:lang w:eastAsia="zh-Hans"/>
              </w:rPr>
              <w:t>1</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9,973,251.0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3.6</w:t>
            </w:r>
            <w:r>
              <w:rPr>
                <w:rFonts w:ascii="宋体" w:hAnsi="宋体" w:hint="eastAsia"/>
                <w:szCs w:val="24"/>
                <w:lang w:eastAsia="zh-Hans"/>
              </w:rPr>
              <w:t>4</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w:t>
            </w:r>
          </w:p>
        </w:tc>
      </w:tr>
      <w:tr w:rsidR="00000000">
        <w:trPr>
          <w:divId w:val="105889496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63059" w:rsidRDefault="00B63059">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63059" w:rsidRDefault="00B63059">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63059" w:rsidRDefault="00B63059">
            <w:pPr>
              <w:jc w:val="right"/>
            </w:pPr>
            <w:r>
              <w:rPr>
                <w:rFonts w:ascii="宋体" w:hAnsi="宋体" w:hint="eastAsia"/>
                <w:szCs w:val="24"/>
                <w:lang w:eastAsia="zh-Hans"/>
              </w:rPr>
              <w:t>226,674,931.7</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63059" w:rsidRDefault="00B63059">
            <w:pPr>
              <w:jc w:val="right"/>
            </w:pPr>
            <w:r>
              <w:rPr>
                <w:rFonts w:ascii="宋体" w:hAnsi="宋体" w:hint="eastAsia"/>
                <w:szCs w:val="24"/>
                <w:lang w:eastAsia="zh-Hans"/>
              </w:rPr>
              <w:t>82.7</w:t>
            </w:r>
            <w:r>
              <w:rPr>
                <w:rFonts w:ascii="宋体" w:hAnsi="宋体" w:hint="eastAsia"/>
                <w:szCs w:val="24"/>
                <w:lang w:eastAsia="zh-Hans"/>
              </w:rPr>
              <w:t>1</w:t>
            </w:r>
          </w:p>
        </w:tc>
      </w:tr>
    </w:tbl>
    <w:p w:rsidR="00B63059" w:rsidRDefault="00B63059">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189343917"/>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B63059" w:rsidRDefault="00B63059">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B63059" w:rsidRDefault="00B63059">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B63059" w:rsidRDefault="00B63059">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89343917"/>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4,281,391.2</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1.5</w:t>
            </w:r>
            <w:r>
              <w:rPr>
                <w:rFonts w:ascii="宋体" w:hAnsi="宋体" w:hint="eastAsia"/>
                <w:szCs w:val="24"/>
                <w:lang w:eastAsia="zh-Hans"/>
              </w:rPr>
              <w:t>6</w:t>
            </w:r>
          </w:p>
        </w:tc>
      </w:tr>
      <w:tr w:rsidR="00000000">
        <w:trPr>
          <w:divId w:val="189343917"/>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w:t>
            </w:r>
          </w:p>
        </w:tc>
      </w:tr>
      <w:tr w:rsidR="00000000">
        <w:trPr>
          <w:divId w:val="189343917"/>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w:t>
            </w:r>
          </w:p>
        </w:tc>
      </w:tr>
      <w:tr w:rsidR="00000000">
        <w:trPr>
          <w:divId w:val="189343917"/>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w:t>
            </w:r>
          </w:p>
        </w:tc>
      </w:tr>
      <w:tr w:rsidR="00000000">
        <w:trPr>
          <w:divId w:val="189343917"/>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w:t>
            </w:r>
          </w:p>
        </w:tc>
      </w:tr>
      <w:tr w:rsidR="00000000">
        <w:trPr>
          <w:divId w:val="189343917"/>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w:t>
            </w:r>
          </w:p>
        </w:tc>
      </w:tr>
      <w:tr w:rsidR="00000000">
        <w:trPr>
          <w:divId w:val="189343917"/>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1,988,532.0</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0.7</w:t>
            </w:r>
            <w:r>
              <w:rPr>
                <w:rFonts w:ascii="宋体" w:hAnsi="宋体" w:hint="eastAsia"/>
                <w:szCs w:val="24"/>
                <w:lang w:eastAsia="zh-Hans"/>
              </w:rPr>
              <w:t>3</w:t>
            </w:r>
          </w:p>
        </w:tc>
      </w:tr>
      <w:tr w:rsidR="00000000">
        <w:trPr>
          <w:divId w:val="189343917"/>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7,651,863.9</w:t>
            </w:r>
            <w:r>
              <w:rPr>
                <w:rFonts w:ascii="宋体" w:hAnsi="宋体" w:hint="eastAsia"/>
                <w:szCs w:val="24"/>
                <w:lang w:eastAsia="zh-Hans"/>
              </w:rPr>
              <w:t>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2.7</w:t>
            </w:r>
            <w:r>
              <w:rPr>
                <w:rFonts w:ascii="宋体" w:hAnsi="宋体" w:hint="eastAsia"/>
                <w:szCs w:val="24"/>
                <w:lang w:eastAsia="zh-Hans"/>
              </w:rPr>
              <w:t>9</w:t>
            </w:r>
          </w:p>
        </w:tc>
      </w:tr>
      <w:tr w:rsidR="00000000">
        <w:trPr>
          <w:divId w:val="189343917"/>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3,844,990.0</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1.4</w:t>
            </w:r>
            <w:r>
              <w:rPr>
                <w:rFonts w:ascii="宋体" w:hAnsi="宋体" w:hint="eastAsia"/>
                <w:szCs w:val="24"/>
                <w:lang w:eastAsia="zh-Hans"/>
              </w:rPr>
              <w:t>0</w:t>
            </w:r>
          </w:p>
        </w:tc>
      </w:tr>
      <w:tr w:rsidR="00000000">
        <w:trPr>
          <w:divId w:val="189343917"/>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w:t>
            </w:r>
          </w:p>
        </w:tc>
      </w:tr>
      <w:tr w:rsidR="00000000">
        <w:trPr>
          <w:divId w:val="189343917"/>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w:t>
            </w:r>
          </w:p>
        </w:tc>
      </w:tr>
      <w:tr w:rsidR="00000000">
        <w:trPr>
          <w:divId w:val="189343917"/>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17,766,777.1</w:t>
            </w:r>
            <w:r>
              <w:rPr>
                <w:rFonts w:ascii="宋体" w:hAnsi="宋体" w:hint="eastAsia"/>
                <w:szCs w:val="24"/>
                <w:lang w:eastAsia="zh-Hans"/>
              </w:rPr>
              <w:t>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B63059" w:rsidRDefault="00B63059">
            <w:pPr>
              <w:jc w:val="right"/>
            </w:pPr>
            <w:r>
              <w:rPr>
                <w:rFonts w:ascii="宋体" w:hAnsi="宋体" w:hint="eastAsia"/>
                <w:szCs w:val="24"/>
                <w:lang w:eastAsia="zh-Hans"/>
              </w:rPr>
              <w:t>6.4</w:t>
            </w:r>
            <w:r>
              <w:rPr>
                <w:rFonts w:ascii="宋体" w:hAnsi="宋体" w:hint="eastAsia"/>
                <w:szCs w:val="24"/>
                <w:lang w:eastAsia="zh-Hans"/>
              </w:rPr>
              <w:t>8</w:t>
            </w:r>
          </w:p>
        </w:tc>
      </w:tr>
    </w:tbl>
    <w:p w:rsidR="00B63059" w:rsidRDefault="00B63059">
      <w:pPr>
        <w:spacing w:line="360" w:lineRule="auto"/>
        <w:divId w:val="91171869"/>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B63059" w:rsidRDefault="00B63059">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B63059" w:rsidRDefault="00B63059">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49561035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63059" w:rsidRDefault="00B63059">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63059" w:rsidRDefault="00B63059">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63059" w:rsidRDefault="00B63059">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63059" w:rsidRDefault="00B63059">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63059" w:rsidRDefault="00B63059">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63059" w:rsidRDefault="00B63059">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9561035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53,94</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14,152,470.7</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5.1</w:t>
            </w:r>
            <w:r>
              <w:rPr>
                <w:rFonts w:ascii="宋体" w:hAnsi="宋体" w:hint="eastAsia"/>
                <w:szCs w:val="24"/>
                <w:lang w:eastAsia="zh-Hans"/>
              </w:rPr>
              <w:t>6</w:t>
            </w:r>
          </w:p>
        </w:tc>
      </w:tr>
      <w:tr w:rsidR="00000000">
        <w:trPr>
          <w:divId w:val="49561035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132,40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12,380,724.0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4.5</w:t>
            </w:r>
            <w:r>
              <w:rPr>
                <w:rFonts w:ascii="宋体" w:hAnsi="宋体" w:hint="eastAsia"/>
                <w:szCs w:val="24"/>
                <w:lang w:eastAsia="zh-Hans"/>
              </w:rPr>
              <w:t>2</w:t>
            </w:r>
          </w:p>
        </w:tc>
      </w:tr>
      <w:tr w:rsidR="00000000">
        <w:trPr>
          <w:divId w:val="49561035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00235</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杰瑞股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80,67</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12,303,395.0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4.4</w:t>
            </w:r>
            <w:r>
              <w:rPr>
                <w:rFonts w:ascii="宋体" w:hAnsi="宋体" w:hint="eastAsia"/>
                <w:szCs w:val="24"/>
                <w:lang w:eastAsia="zh-Hans"/>
              </w:rPr>
              <w:t>9</w:t>
            </w:r>
          </w:p>
        </w:tc>
      </w:tr>
      <w:tr w:rsidR="00000000">
        <w:trPr>
          <w:divId w:val="49561035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18,93</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11,491,117.0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4.1</w:t>
            </w:r>
            <w:r>
              <w:rPr>
                <w:rFonts w:ascii="宋体" w:hAnsi="宋体" w:hint="eastAsia"/>
                <w:szCs w:val="24"/>
                <w:lang w:eastAsia="zh-Hans"/>
              </w:rPr>
              <w:t>9</w:t>
            </w:r>
          </w:p>
        </w:tc>
      </w:tr>
      <w:tr w:rsidR="00000000">
        <w:trPr>
          <w:divId w:val="49561035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60086</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远东股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333,40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11,158,898.0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4.0</w:t>
            </w:r>
            <w:r>
              <w:rPr>
                <w:rFonts w:ascii="宋体" w:hAnsi="宋体" w:hint="eastAsia"/>
                <w:szCs w:val="24"/>
                <w:lang w:eastAsia="zh-Hans"/>
              </w:rPr>
              <w:t>7</w:t>
            </w:r>
          </w:p>
        </w:tc>
      </w:tr>
      <w:tr w:rsidR="00000000">
        <w:trPr>
          <w:divId w:val="49561035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27,70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10,886,377.0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3.9</w:t>
            </w:r>
            <w:r>
              <w:rPr>
                <w:rFonts w:ascii="宋体" w:hAnsi="宋体" w:hint="eastAsia"/>
                <w:szCs w:val="24"/>
                <w:lang w:eastAsia="zh-Hans"/>
              </w:rPr>
              <w:t>7</w:t>
            </w:r>
          </w:p>
        </w:tc>
      </w:tr>
      <w:tr w:rsidR="00000000">
        <w:trPr>
          <w:divId w:val="49561035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60325</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药明康</w:t>
            </w:r>
            <w:r>
              <w:rPr>
                <w:rFonts w:ascii="宋体" w:hAnsi="宋体" w:hint="eastAsia"/>
                <w:szCs w:val="24"/>
                <w:lang w:eastAsia="zh-Hans"/>
              </w:rPr>
              <w:t>德</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80,10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9,973,251.0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3.6</w:t>
            </w:r>
            <w:r>
              <w:rPr>
                <w:rFonts w:ascii="宋体" w:hAnsi="宋体" w:hint="eastAsia"/>
                <w:szCs w:val="24"/>
                <w:lang w:eastAsia="zh-Hans"/>
              </w:rPr>
              <w:t>4</w:t>
            </w:r>
          </w:p>
        </w:tc>
      </w:tr>
      <w:tr w:rsidR="00000000">
        <w:trPr>
          <w:divId w:val="49561035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0098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98,54</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7,651,863.9</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2.7</w:t>
            </w:r>
            <w:r>
              <w:rPr>
                <w:rFonts w:ascii="宋体" w:hAnsi="宋体" w:hint="eastAsia"/>
                <w:szCs w:val="24"/>
                <w:lang w:eastAsia="zh-Hans"/>
              </w:rPr>
              <w:t>9</w:t>
            </w:r>
          </w:p>
        </w:tc>
      </w:tr>
      <w:tr w:rsidR="00000000">
        <w:trPr>
          <w:divId w:val="49561035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68800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睿创微</w:t>
            </w:r>
            <w:r>
              <w:rPr>
                <w:rFonts w:ascii="宋体" w:hAnsi="宋体" w:hint="eastAsia"/>
                <w:szCs w:val="24"/>
                <w:lang w:eastAsia="zh-Hans"/>
              </w:rPr>
              <w:t>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45,70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7,069,333.0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2.5</w:t>
            </w:r>
            <w:r>
              <w:rPr>
                <w:rFonts w:ascii="宋体" w:hAnsi="宋体" w:hint="eastAsia"/>
                <w:szCs w:val="24"/>
                <w:lang w:eastAsia="zh-Hans"/>
              </w:rPr>
              <w:t>8</w:t>
            </w:r>
          </w:p>
        </w:tc>
      </w:tr>
      <w:tr w:rsidR="00000000">
        <w:trPr>
          <w:divId w:val="49561035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00200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szCs w:val="24"/>
                <w:lang w:eastAsia="zh-Hans"/>
              </w:rPr>
              <w:t>大族激</w:t>
            </w:r>
            <w:r>
              <w:rPr>
                <w:rFonts w:ascii="宋体" w:hAnsi="宋体" w:hint="eastAsia"/>
                <w:szCs w:val="24"/>
                <w:lang w:eastAsia="zh-Hans"/>
              </w:rPr>
              <w:t>光</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45,10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6,769,961.0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2.4</w:t>
            </w:r>
            <w:r>
              <w:rPr>
                <w:rFonts w:ascii="宋体" w:hAnsi="宋体" w:hint="eastAsia"/>
                <w:szCs w:val="24"/>
                <w:lang w:eastAsia="zh-Hans"/>
              </w:rPr>
              <w:t>7</w:t>
            </w:r>
          </w:p>
        </w:tc>
      </w:tr>
    </w:tbl>
    <w:p w:rsidR="00B63059" w:rsidRDefault="00B63059">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p w:rsidR="00B63059" w:rsidRDefault="00B63059">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7" w:name="m08QD_06"/>
      <w:bookmarkEnd w:id="207"/>
      <w:r>
        <w:rPr>
          <w:rFonts w:ascii="宋体" w:hAnsi="宋体" w:hint="eastAsia"/>
        </w:rPr>
        <w:t xml:space="preserve"> </w:t>
      </w:r>
    </w:p>
    <w:p w:rsidR="00B63059" w:rsidRDefault="00B63059">
      <w:pPr>
        <w:pStyle w:val="XBRLTitle2"/>
        <w:spacing w:before="156" w:line="360" w:lineRule="auto"/>
        <w:ind w:left="454"/>
      </w:pPr>
      <w:bookmarkStart w:id="208" w:name="_Toc17898202"/>
      <w:bookmarkStart w:id="209" w:name="_Toc17897954"/>
      <w:bookmarkStart w:id="210" w:name="_Toc481075071"/>
      <w:bookmarkStart w:id="211" w:name="_Toc438646472"/>
      <w:bookmarkStart w:id="212" w:name="_Toc490050024"/>
      <w:bookmarkStart w:id="213" w:name="_Toc512519503"/>
      <w:bookmarkStart w:id="214" w:name="_Toc513295863"/>
      <w:bookmarkStart w:id="215" w:name="_Toc513295915"/>
      <w:bookmarkStart w:id="216"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8"/>
      <w:bookmarkEnd w:id="209"/>
      <w:bookmarkEnd w:id="210"/>
      <w:bookmarkEnd w:id="211"/>
      <w:bookmarkEnd w:id="212"/>
      <w:bookmarkEnd w:id="213"/>
      <w:bookmarkEnd w:id="214"/>
      <w:bookmarkEnd w:id="215"/>
      <w:r>
        <w:rPr>
          <w:rFonts w:hAnsi="宋体" w:hint="eastAsia"/>
        </w:rPr>
        <w:t xml:space="preserve"> </w:t>
      </w:r>
    </w:p>
    <w:p w:rsidR="00B63059" w:rsidRDefault="00B63059">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B63059" w:rsidRDefault="00B63059">
      <w:pPr>
        <w:pStyle w:val="XBRLTitle2"/>
        <w:spacing w:before="156" w:line="360" w:lineRule="auto"/>
        <w:ind w:left="454"/>
      </w:pPr>
      <w:bookmarkStart w:id="217" w:name="_Toc17898203"/>
      <w:bookmarkStart w:id="218" w:name="_Toc17897955"/>
      <w:bookmarkStart w:id="219" w:name="_Toc481075072"/>
      <w:bookmarkStart w:id="220" w:name="_Toc438646473"/>
      <w:bookmarkStart w:id="221" w:name="_Toc490050025"/>
      <w:bookmarkStart w:id="222" w:name="_Toc512519504"/>
      <w:bookmarkStart w:id="223" w:name="_Toc513295864"/>
      <w:bookmarkStart w:id="224" w:name="_Toc513295916"/>
      <w:bookmarkStart w:id="225" w:name="m507"/>
      <w:bookmarkEnd w:id="216"/>
      <w:r>
        <w:rPr>
          <w:rFonts w:hAnsi="宋体" w:hint="eastAsia"/>
        </w:rPr>
        <w:t>报告期末按公允价值占基金资产净值比例大小排序的前十名资产支持证券投资明</w:t>
      </w:r>
      <w:r>
        <w:rPr>
          <w:rFonts w:hAnsi="宋体" w:hint="eastAsia"/>
        </w:rPr>
        <w:t>细</w:t>
      </w:r>
      <w:bookmarkEnd w:id="217"/>
      <w:bookmarkEnd w:id="218"/>
      <w:bookmarkEnd w:id="219"/>
      <w:bookmarkEnd w:id="220"/>
      <w:bookmarkEnd w:id="221"/>
      <w:bookmarkEnd w:id="222"/>
      <w:bookmarkEnd w:id="223"/>
      <w:bookmarkEnd w:id="224"/>
      <w:r>
        <w:rPr>
          <w:rFonts w:hAnsi="宋体" w:hint="eastAsia"/>
        </w:rPr>
        <w:t xml:space="preserve"> </w:t>
      </w:r>
    </w:p>
    <w:p w:rsidR="00B63059" w:rsidRDefault="00B63059">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B63059" w:rsidRDefault="00B63059">
      <w:pPr>
        <w:pStyle w:val="XBRLTitle2"/>
        <w:spacing w:before="156" w:line="360" w:lineRule="auto"/>
        <w:ind w:left="454"/>
      </w:pPr>
      <w:bookmarkStart w:id="226" w:name="_Toc17898204"/>
      <w:bookmarkStart w:id="227" w:name="_Toc17897956"/>
      <w:bookmarkStart w:id="228" w:name="_Toc481075073"/>
      <w:bookmarkStart w:id="229" w:name="_Toc438646474"/>
      <w:bookmarkStart w:id="230" w:name="_Toc490050026"/>
      <w:bookmarkStart w:id="231" w:name="_Toc512519505"/>
      <w:bookmarkStart w:id="232" w:name="_Toc513295865"/>
      <w:bookmarkStart w:id="233" w:name="_Toc513295917"/>
      <w:bookmarkStart w:id="234" w:name="m508"/>
      <w:bookmarkEnd w:id="225"/>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6"/>
      <w:bookmarkEnd w:id="227"/>
      <w:bookmarkEnd w:id="228"/>
      <w:bookmarkEnd w:id="229"/>
      <w:bookmarkEnd w:id="230"/>
      <w:bookmarkEnd w:id="231"/>
      <w:bookmarkEnd w:id="232"/>
      <w:bookmarkEnd w:id="233"/>
      <w:r>
        <w:rPr>
          <w:rFonts w:hAnsi="宋体" w:hint="eastAsia"/>
        </w:rPr>
        <w:t xml:space="preserve"> </w:t>
      </w:r>
    </w:p>
    <w:p w:rsidR="00B63059" w:rsidRDefault="00B63059">
      <w:pPr>
        <w:spacing w:line="360" w:lineRule="auto"/>
        <w:ind w:firstLineChars="200" w:firstLine="420"/>
        <w:divId w:val="1217862162"/>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B63059" w:rsidRDefault="00B63059">
      <w:pPr>
        <w:pStyle w:val="XBRLTitle2"/>
        <w:spacing w:before="156" w:line="360" w:lineRule="auto"/>
        <w:ind w:left="454"/>
      </w:pPr>
      <w:bookmarkStart w:id="235" w:name="_Toc17898205"/>
      <w:bookmarkStart w:id="236" w:name="_Toc17897957"/>
      <w:bookmarkStart w:id="237" w:name="_Toc481075074"/>
      <w:bookmarkStart w:id="238" w:name="_Toc438646475"/>
      <w:bookmarkStart w:id="239" w:name="_Toc490050027"/>
      <w:bookmarkStart w:id="240" w:name="_Toc512519506"/>
      <w:bookmarkStart w:id="241" w:name="_Toc513295866"/>
      <w:bookmarkStart w:id="242" w:name="_Toc513295918"/>
      <w:bookmarkStart w:id="243" w:name="m509"/>
      <w:bookmarkEnd w:id="234"/>
      <w:r>
        <w:rPr>
          <w:rFonts w:hAnsi="宋体" w:hint="eastAsia"/>
        </w:rPr>
        <w:t>报告期末按公允价值占基金资产净值比例大小排序的前五名权证投资明</w:t>
      </w:r>
      <w:r>
        <w:rPr>
          <w:rFonts w:hAnsi="宋体" w:hint="eastAsia"/>
        </w:rPr>
        <w:t>细</w:t>
      </w:r>
      <w:bookmarkEnd w:id="235"/>
      <w:bookmarkEnd w:id="236"/>
      <w:bookmarkEnd w:id="237"/>
      <w:bookmarkEnd w:id="238"/>
      <w:bookmarkEnd w:id="239"/>
      <w:bookmarkEnd w:id="240"/>
      <w:bookmarkEnd w:id="241"/>
      <w:bookmarkEnd w:id="242"/>
      <w:r>
        <w:rPr>
          <w:rFonts w:hAnsi="宋体" w:hint="eastAsia"/>
        </w:rPr>
        <w:t xml:space="preserve"> </w:t>
      </w:r>
      <w:bookmarkEnd w:id="243"/>
    </w:p>
    <w:p w:rsidR="00B63059" w:rsidRDefault="00B63059">
      <w:pPr>
        <w:spacing w:line="360" w:lineRule="auto"/>
        <w:ind w:firstLineChars="200" w:firstLine="420"/>
        <w:divId w:val="729496471"/>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B63059" w:rsidRDefault="00B63059">
      <w:pPr>
        <w:pStyle w:val="XBRLTitle2"/>
        <w:spacing w:before="156"/>
        <w:ind w:left="454"/>
      </w:pPr>
      <w:bookmarkStart w:id="244"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4"/>
    </w:p>
    <w:p w:rsidR="00B63059" w:rsidRDefault="00B63059">
      <w:pPr>
        <w:spacing w:line="360" w:lineRule="auto"/>
        <w:ind w:firstLineChars="200" w:firstLine="420"/>
        <w:divId w:val="680202999"/>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B63059" w:rsidRDefault="00B63059">
      <w:pPr>
        <w:pStyle w:val="XBRLTitle2"/>
        <w:spacing w:before="156" w:line="360" w:lineRule="auto"/>
        <w:ind w:left="454"/>
      </w:pPr>
      <w:bookmarkStart w:id="245" w:name="_Toc17898209"/>
      <w:bookmarkStart w:id="246" w:name="_Toc17897959"/>
      <w:bookmarkStart w:id="247" w:name="_Toc512519510"/>
      <w:bookmarkStart w:id="248" w:name="_Toc481075078"/>
      <w:bookmarkStart w:id="249" w:name="_Toc490050031"/>
      <w:bookmarkStart w:id="250" w:name="_Toc513295868"/>
      <w:bookmarkStart w:id="251" w:name="_Toc513295922"/>
      <w:bookmarkStart w:id="252" w:name="_Toc438646476"/>
      <w:r>
        <w:rPr>
          <w:rFonts w:hAnsi="宋体" w:hint="eastAsia"/>
        </w:rPr>
        <w:t>报告期末本基金投资的国债期货交易情况说</w:t>
      </w:r>
      <w:r>
        <w:rPr>
          <w:rFonts w:hAnsi="宋体" w:hint="eastAsia"/>
        </w:rPr>
        <w:t>明</w:t>
      </w:r>
      <w:bookmarkEnd w:id="245"/>
      <w:bookmarkEnd w:id="246"/>
      <w:bookmarkEnd w:id="247"/>
      <w:bookmarkEnd w:id="248"/>
      <w:bookmarkEnd w:id="249"/>
      <w:bookmarkEnd w:id="250"/>
      <w:bookmarkEnd w:id="251"/>
      <w:r>
        <w:rPr>
          <w:rFonts w:hAnsi="宋体" w:hint="eastAsia"/>
        </w:rPr>
        <w:t xml:space="preserve"> </w:t>
      </w:r>
      <w:bookmarkEnd w:id="252"/>
    </w:p>
    <w:p w:rsidR="00B63059" w:rsidRDefault="00B63059">
      <w:pPr>
        <w:spacing w:line="360" w:lineRule="auto"/>
        <w:ind w:firstLineChars="200" w:firstLine="420"/>
        <w:divId w:val="752702402"/>
        <w:rPr>
          <w:rFonts w:hint="eastAsia"/>
        </w:rPr>
      </w:pPr>
      <w:bookmarkStart w:id="253" w:name="m510_01_1597"/>
      <w:bookmarkStart w:id="254" w:name="m510_01_1598"/>
      <w:bookmarkEnd w:id="253"/>
      <w:r>
        <w:rPr>
          <w:rFonts w:ascii="宋体" w:hAnsi="宋体" w:hint="eastAsia"/>
          <w:szCs w:val="21"/>
          <w:lang w:eastAsia="zh-Hans"/>
        </w:rPr>
        <w:t>本基金本报告期末未持有国债期货</w:t>
      </w:r>
      <w:r>
        <w:rPr>
          <w:rFonts w:ascii="宋体" w:hAnsi="宋体" w:hint="eastAsia"/>
          <w:szCs w:val="21"/>
          <w:lang w:eastAsia="zh-Hans"/>
        </w:rPr>
        <w:t>。</w:t>
      </w:r>
    </w:p>
    <w:p w:rsidR="00B63059" w:rsidRDefault="00B63059">
      <w:pPr>
        <w:pStyle w:val="XBRLTitle2"/>
        <w:spacing w:before="156" w:line="360" w:lineRule="auto"/>
        <w:ind w:left="454"/>
      </w:pPr>
      <w:bookmarkStart w:id="255" w:name="_Toc17898213"/>
      <w:bookmarkStart w:id="256" w:name="_Toc17897960"/>
      <w:bookmarkStart w:id="257" w:name="_Toc512519514"/>
      <w:bookmarkStart w:id="258" w:name="_Toc481075082"/>
      <w:bookmarkStart w:id="259" w:name="_Toc490050035"/>
      <w:bookmarkStart w:id="260" w:name="_Toc513295869"/>
      <w:bookmarkStart w:id="261" w:name="_Toc513295926"/>
      <w:r>
        <w:rPr>
          <w:rFonts w:hAnsi="宋体" w:hint="eastAsia"/>
        </w:rPr>
        <w:t>投资组合报告附</w:t>
      </w:r>
      <w:r>
        <w:rPr>
          <w:rFonts w:hAnsi="宋体" w:hint="eastAsia"/>
        </w:rPr>
        <w:t>注</w:t>
      </w:r>
      <w:bookmarkEnd w:id="255"/>
      <w:bookmarkEnd w:id="256"/>
      <w:bookmarkEnd w:id="257"/>
      <w:bookmarkEnd w:id="258"/>
      <w:bookmarkEnd w:id="259"/>
      <w:bookmarkEnd w:id="260"/>
      <w:bookmarkEnd w:id="261"/>
      <w:r>
        <w:rPr>
          <w:rFonts w:hAnsi="宋体" w:hint="eastAsia"/>
        </w:rPr>
        <w:t xml:space="preserve"> </w:t>
      </w:r>
    </w:p>
    <w:p w:rsidR="00B63059" w:rsidRDefault="00B63059">
      <w:pPr>
        <w:pStyle w:val="XBRLTitle3"/>
        <w:spacing w:before="156"/>
        <w:ind w:left="0"/>
        <w:rPr>
          <w:rFonts w:hint="eastAsia"/>
        </w:rPr>
      </w:pPr>
      <w:bookmarkStart w:id="262" w:name="_Toc513295927"/>
      <w:bookmarkStart w:id="263" w:name="_Toc490050036"/>
      <w:bookmarkStart w:id="264" w:name="_Toc481075083"/>
      <w:bookmarkStart w:id="265" w:name="_Toc512519515"/>
      <w:bookmarkStart w:id="266" w:name="_Toc17898214"/>
      <w:bookmarkEnd w:id="262"/>
      <w:bookmarkEnd w:id="263"/>
      <w:bookmarkEnd w:id="264"/>
      <w:bookmarkEnd w:id="265"/>
      <w:r>
        <w:rPr>
          <w:rFonts w:hint="eastAsia"/>
        </w:rPr>
        <w:t> </w:t>
      </w:r>
      <w:bookmarkEnd w:id="266"/>
    </w:p>
    <w:p w:rsidR="00B63059" w:rsidRDefault="00B63059">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B63059" w:rsidRDefault="00B63059">
      <w:pPr>
        <w:pStyle w:val="XBRLTitle3"/>
        <w:spacing w:before="156"/>
        <w:ind w:left="0"/>
      </w:pPr>
      <w:bookmarkStart w:id="267" w:name="_Toc490050037"/>
      <w:bookmarkStart w:id="268" w:name="_Toc481075084"/>
      <w:bookmarkStart w:id="269" w:name="_Toc512519516"/>
      <w:bookmarkStart w:id="270" w:name="_Toc513295928"/>
      <w:bookmarkStart w:id="271" w:name="_Toc17898215"/>
      <w:bookmarkEnd w:id="267"/>
      <w:bookmarkEnd w:id="268"/>
      <w:bookmarkEnd w:id="269"/>
      <w:r>
        <w:rPr>
          <w:rFonts w:hint="eastAsia"/>
        </w:rPr>
        <w:t> </w:t>
      </w:r>
      <w:bookmarkEnd w:id="270"/>
      <w:bookmarkEnd w:id="271"/>
    </w:p>
    <w:p w:rsidR="00B63059" w:rsidRDefault="00B63059">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B63059" w:rsidRDefault="00B63059">
      <w:pPr>
        <w:pStyle w:val="XBRLTitle3"/>
        <w:spacing w:before="156"/>
        <w:ind w:left="0"/>
      </w:pPr>
      <w:bookmarkStart w:id="272" w:name="_Toc17898216"/>
      <w:bookmarkStart w:id="273" w:name="_Toc481075085"/>
      <w:bookmarkStart w:id="274" w:name="_Toc490050038"/>
      <w:bookmarkStart w:id="275" w:name="_Toc512519517"/>
      <w:bookmarkStart w:id="276" w:name="_Toc513295929"/>
      <w:bookmarkStart w:id="277" w:name="m510_02"/>
      <w:bookmarkEnd w:id="254"/>
      <w:r>
        <w:rPr>
          <w:rFonts w:hint="eastAsia"/>
        </w:rPr>
        <w:t>其他资产构</w:t>
      </w:r>
      <w:r>
        <w:rPr>
          <w:rFonts w:hint="eastAsia"/>
        </w:rPr>
        <w:t>成</w:t>
      </w:r>
      <w:bookmarkEnd w:id="272"/>
      <w:bookmarkEnd w:id="273"/>
      <w:bookmarkEnd w:id="274"/>
      <w:bookmarkEnd w:id="275"/>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507162389"/>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3059" w:rsidRDefault="00B63059">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3059" w:rsidRDefault="00B63059">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3059" w:rsidRDefault="00B63059">
            <w:pPr>
              <w:jc w:val="center"/>
            </w:pPr>
            <w:r>
              <w:rPr>
                <w:rFonts w:ascii="宋体" w:hAnsi="宋体" w:hint="eastAsia"/>
              </w:rPr>
              <w:t>金额（元</w:t>
            </w:r>
            <w:r>
              <w:rPr>
                <w:rFonts w:ascii="宋体" w:hAnsi="宋体" w:hint="eastAsia"/>
              </w:rPr>
              <w:t>）</w:t>
            </w:r>
            <w:r>
              <w:t xml:space="preserve"> </w:t>
            </w:r>
          </w:p>
        </w:tc>
      </w:tr>
      <w:tr w:rsidR="00000000">
        <w:trPr>
          <w:divId w:val="15071623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rPr>
              <w:t>144,602.3</w:t>
            </w:r>
            <w:r>
              <w:rPr>
                <w:rFonts w:ascii="宋体" w:hAnsi="宋体" w:hint="eastAsia"/>
              </w:rPr>
              <w:t>5</w:t>
            </w:r>
          </w:p>
        </w:tc>
      </w:tr>
      <w:tr w:rsidR="00000000">
        <w:trPr>
          <w:divId w:val="15071623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rPr>
              <w:t>-</w:t>
            </w:r>
          </w:p>
        </w:tc>
      </w:tr>
      <w:tr w:rsidR="00000000">
        <w:trPr>
          <w:divId w:val="15071623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rPr>
              <w:t>51,840.0</w:t>
            </w:r>
            <w:r>
              <w:rPr>
                <w:rFonts w:ascii="宋体" w:hAnsi="宋体" w:hint="eastAsia"/>
              </w:rPr>
              <w:t>0</w:t>
            </w:r>
          </w:p>
        </w:tc>
      </w:tr>
      <w:tr w:rsidR="00000000">
        <w:trPr>
          <w:divId w:val="15071623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rPr>
              <w:t>-</w:t>
            </w:r>
          </w:p>
        </w:tc>
      </w:tr>
      <w:tr w:rsidR="00000000">
        <w:trPr>
          <w:divId w:val="15071623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rPr>
              <w:t>5,750.2</w:t>
            </w:r>
            <w:r>
              <w:rPr>
                <w:rFonts w:ascii="宋体" w:hAnsi="宋体" w:hint="eastAsia"/>
              </w:rPr>
              <w:t>0</w:t>
            </w:r>
          </w:p>
        </w:tc>
      </w:tr>
      <w:tr w:rsidR="00000000">
        <w:trPr>
          <w:divId w:val="15071623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rPr>
              <w:t>-</w:t>
            </w:r>
          </w:p>
        </w:tc>
      </w:tr>
      <w:tr w:rsidR="00000000">
        <w:trPr>
          <w:divId w:val="15071623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rPr>
              <w:t>-</w:t>
            </w:r>
          </w:p>
        </w:tc>
      </w:tr>
      <w:tr w:rsidR="00000000">
        <w:trPr>
          <w:divId w:val="150716238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rPr>
              <w:t>202,192.5</w:t>
            </w:r>
            <w:r>
              <w:rPr>
                <w:rFonts w:ascii="宋体" w:hAnsi="宋体" w:hint="eastAsia"/>
              </w:rPr>
              <w:t>5</w:t>
            </w:r>
          </w:p>
        </w:tc>
      </w:tr>
    </w:tbl>
    <w:p w:rsidR="00B63059" w:rsidRDefault="00B63059">
      <w:pPr>
        <w:pStyle w:val="XBRLTitle3"/>
        <w:spacing w:before="156"/>
        <w:ind w:left="0"/>
      </w:pPr>
      <w:bookmarkStart w:id="278" w:name="_Toc17898217"/>
      <w:bookmarkStart w:id="279" w:name="_Toc481075086"/>
      <w:bookmarkStart w:id="280" w:name="_Toc490050039"/>
      <w:bookmarkStart w:id="281" w:name="_Toc512519518"/>
      <w:bookmarkStart w:id="282" w:name="_Toc513295930"/>
      <w:bookmarkStart w:id="283" w:name="m510_03"/>
      <w:bookmarkEnd w:id="277"/>
      <w:r>
        <w:rPr>
          <w:rFonts w:hint="eastAsia"/>
        </w:rPr>
        <w:t>报告期末持有的处于转股期的可转换债券明</w:t>
      </w:r>
      <w:r>
        <w:rPr>
          <w:rFonts w:hint="eastAsia"/>
        </w:rPr>
        <w:t>细</w:t>
      </w:r>
      <w:bookmarkEnd w:id="278"/>
      <w:bookmarkEnd w:id="279"/>
      <w:bookmarkEnd w:id="280"/>
      <w:bookmarkEnd w:id="281"/>
      <w:bookmarkEnd w:id="282"/>
    </w:p>
    <w:p w:rsidR="00B63059" w:rsidRDefault="00B63059">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B63059" w:rsidRDefault="00B63059">
      <w:pPr>
        <w:pStyle w:val="XBRLTitle3"/>
        <w:spacing w:before="156"/>
        <w:ind w:left="0"/>
      </w:pPr>
      <w:bookmarkStart w:id="284" w:name="_Toc17898218"/>
      <w:bookmarkStart w:id="285" w:name="_Toc481075087"/>
      <w:bookmarkStart w:id="286" w:name="_Toc490050040"/>
      <w:bookmarkStart w:id="287" w:name="_Toc512519519"/>
      <w:bookmarkStart w:id="288" w:name="_Toc513295931"/>
      <w:bookmarkStart w:id="289" w:name="m510_04"/>
      <w:bookmarkEnd w:id="283"/>
      <w:r>
        <w:rPr>
          <w:rFonts w:hint="eastAsia"/>
        </w:rPr>
        <w:t>报告期末前十名股票中存在流通受限情况的说</w:t>
      </w:r>
      <w:r>
        <w:rPr>
          <w:rFonts w:hint="eastAsia"/>
        </w:rPr>
        <w:t>明</w:t>
      </w:r>
      <w:bookmarkEnd w:id="284"/>
      <w:bookmarkEnd w:id="285"/>
      <w:bookmarkEnd w:id="286"/>
      <w:bookmarkEnd w:id="287"/>
      <w:bookmarkEnd w:id="288"/>
    </w:p>
    <w:p w:rsidR="00B63059" w:rsidRDefault="00B63059">
      <w:pPr>
        <w:spacing w:line="360" w:lineRule="auto"/>
        <w:ind w:firstLineChars="200" w:firstLine="420"/>
        <w:jc w:val="left"/>
        <w:divId w:val="669526841"/>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B63059" w:rsidRDefault="00B63059">
      <w:pPr>
        <w:pStyle w:val="XBRLTitle3"/>
        <w:spacing w:before="156"/>
        <w:ind w:left="0"/>
      </w:pPr>
      <w:bookmarkStart w:id="290" w:name="_Toc17898219"/>
      <w:bookmarkStart w:id="291" w:name="_Toc512519520"/>
      <w:bookmarkStart w:id="292" w:name="_Toc481075088"/>
      <w:bookmarkStart w:id="293" w:name="_Toc490050041"/>
      <w:bookmarkStart w:id="294" w:name="_Toc513295932"/>
      <w:bookmarkStart w:id="295" w:name="m510_05_1678"/>
      <w:bookmarkEnd w:id="289"/>
      <w:r>
        <w:rPr>
          <w:rFonts w:hint="eastAsia"/>
        </w:rPr>
        <w:t>投资组合报告附注的其他文字描述部</w:t>
      </w:r>
      <w:r>
        <w:rPr>
          <w:rFonts w:hint="eastAsia"/>
        </w:rPr>
        <w:t>分</w:t>
      </w:r>
      <w:bookmarkEnd w:id="290"/>
      <w:bookmarkEnd w:id="291"/>
      <w:bookmarkEnd w:id="292"/>
      <w:bookmarkEnd w:id="293"/>
      <w:bookmarkEnd w:id="294"/>
      <w:r>
        <w:rPr>
          <w:rFonts w:hint="eastAsia"/>
          <w:sz w:val="21"/>
        </w:rPr>
        <w:t xml:space="preserve"> </w:t>
      </w:r>
    </w:p>
    <w:p w:rsidR="00B63059" w:rsidRDefault="00B63059">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5"/>
      <w:r>
        <w:rPr>
          <w:rFonts w:ascii="宋体" w:hAnsi="宋体" w:hint="eastAsia"/>
        </w:rPr>
        <w:t xml:space="preserve"> </w:t>
      </w:r>
    </w:p>
    <w:p w:rsidR="00B63059" w:rsidRDefault="00B63059">
      <w:pPr>
        <w:pStyle w:val="XBRLTitle1"/>
        <w:spacing w:before="156" w:line="360" w:lineRule="auto"/>
        <w:ind w:left="425"/>
      </w:pPr>
      <w:bookmarkStart w:id="296" w:name="_Toc17898220"/>
      <w:bookmarkStart w:id="297" w:name="_Toc17897961"/>
      <w:bookmarkStart w:id="298" w:name="_Toc512519521"/>
      <w:bookmarkStart w:id="299" w:name="_Toc481075089"/>
      <w:bookmarkStart w:id="300" w:name="_Toc438646477"/>
      <w:bookmarkStart w:id="301" w:name="_Toc490050042"/>
      <w:bookmarkStart w:id="302" w:name="_Toc513295870"/>
      <w:bookmarkStart w:id="303" w:name="_Toc513295933"/>
      <w:bookmarkStart w:id="304" w:name="m601"/>
      <w:bookmarkEnd w:id="183"/>
      <w:r>
        <w:rPr>
          <w:rFonts w:hAnsi="宋体" w:hint="eastAsia"/>
        </w:rPr>
        <w:t>开放式基金份额变</w:t>
      </w:r>
      <w:r>
        <w:rPr>
          <w:rFonts w:hAnsi="宋体" w:hint="eastAsia"/>
        </w:rPr>
        <w:t>动</w:t>
      </w:r>
      <w:bookmarkStart w:id="305" w:name="m601_tab"/>
      <w:bookmarkEnd w:id="296"/>
      <w:bookmarkEnd w:id="297"/>
      <w:bookmarkEnd w:id="298"/>
      <w:bookmarkEnd w:id="299"/>
      <w:bookmarkEnd w:id="300"/>
      <w:bookmarkEnd w:id="301"/>
      <w:bookmarkEnd w:id="302"/>
      <w:bookmarkEnd w:id="303"/>
      <w:r>
        <w:rPr>
          <w:rFonts w:hAnsi="宋体" w:hint="eastAsia"/>
        </w:rPr>
        <w:t xml:space="preserve"> </w:t>
      </w:r>
    </w:p>
    <w:p w:rsidR="00B63059" w:rsidRDefault="00B63059">
      <w:pPr>
        <w:wordWrap w:val="0"/>
        <w:spacing w:line="360" w:lineRule="auto"/>
        <w:jc w:val="right"/>
        <w:divId w:val="2127770480"/>
        <w:rPr>
          <w:rFonts w:hint="eastAsia"/>
        </w:rPr>
      </w:pPr>
      <w:bookmarkStart w:id="30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9"/>
        <w:gridCol w:w="2572"/>
      </w:tblGrid>
      <w:tr w:rsidR="00000000">
        <w:trPr>
          <w:divId w:val="2127770480"/>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B63059" w:rsidRDefault="00B63059">
            <w:pPr>
              <w:pStyle w:val="xl33"/>
              <w:widowControl w:val="0"/>
              <w:pBdr>
                <w:left w:val="none" w:sz="0" w:space="0" w:color="auto"/>
                <w:bottom w:val="none" w:sz="0" w:space="0" w:color="auto"/>
                <w:right w:val="none" w:sz="0" w:space="0" w:color="auto"/>
              </w:pBdr>
              <w:spacing w:before="0" w:beforeAutospacing="0" w:after="0" w:afterAutospacing="0"/>
              <w:jc w:val="both"/>
            </w:pPr>
            <w:bookmarkStart w:id="307" w:name="m10_01" w:colFirst="1" w:colLast="2"/>
            <w:bookmarkEnd w:id="306"/>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63059" w:rsidRDefault="00B63059">
            <w:pPr>
              <w:ind w:right="3"/>
              <w:jc w:val="center"/>
            </w:pPr>
            <w:r>
              <w:rPr>
                <w:rFonts w:ascii="宋体" w:hAnsi="宋体" w:hint="eastAsia"/>
                <w:lang w:eastAsia="zh-Hans"/>
              </w:rPr>
              <w:t>摩根均衡优选混合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63059" w:rsidRDefault="00B63059">
            <w:pPr>
              <w:ind w:right="3"/>
              <w:jc w:val="center"/>
            </w:pPr>
            <w:r>
              <w:rPr>
                <w:rFonts w:ascii="宋体" w:hAnsi="宋体" w:hint="eastAsia"/>
                <w:lang w:eastAsia="zh-Hans"/>
              </w:rPr>
              <w:t>摩根均衡优选混合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212777048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3059" w:rsidRDefault="00B6305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3059" w:rsidRDefault="00B63059">
            <w:pPr>
              <w:jc w:val="right"/>
            </w:pPr>
            <w:r>
              <w:rPr>
                <w:rFonts w:ascii="宋体" w:hAnsi="宋体" w:hint="eastAsia"/>
              </w:rPr>
              <w:t>359,699,608.9</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3059" w:rsidRDefault="00B63059">
            <w:pPr>
              <w:jc w:val="right"/>
            </w:pPr>
            <w:r>
              <w:rPr>
                <w:rFonts w:ascii="宋体" w:hAnsi="宋体" w:hint="eastAsia"/>
              </w:rPr>
              <w:t>31,095,108.6</w:t>
            </w:r>
            <w:r>
              <w:rPr>
                <w:rFonts w:ascii="宋体" w:hAnsi="宋体" w:hint="eastAsia"/>
              </w:rPr>
              <w:t>1</w:t>
            </w:r>
          </w:p>
        </w:tc>
      </w:tr>
      <w:tr w:rsidR="00000000">
        <w:trPr>
          <w:divId w:val="212777048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3059" w:rsidRDefault="00B6305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3059" w:rsidRDefault="00B63059">
            <w:pPr>
              <w:jc w:val="right"/>
            </w:pPr>
            <w:r>
              <w:rPr>
                <w:rFonts w:ascii="宋体" w:hAnsi="宋体" w:hint="eastAsia"/>
              </w:rPr>
              <w:t>4,179,019.2</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3059" w:rsidRDefault="00B63059">
            <w:pPr>
              <w:jc w:val="right"/>
            </w:pPr>
            <w:r>
              <w:rPr>
                <w:rFonts w:ascii="宋体" w:hAnsi="宋体" w:hint="eastAsia"/>
              </w:rPr>
              <w:t>1,556,291.2</w:t>
            </w:r>
            <w:r>
              <w:rPr>
                <w:rFonts w:ascii="宋体" w:hAnsi="宋体" w:hint="eastAsia"/>
              </w:rPr>
              <w:t>3</w:t>
            </w:r>
          </w:p>
        </w:tc>
      </w:tr>
      <w:tr w:rsidR="00000000">
        <w:trPr>
          <w:divId w:val="212777048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3059" w:rsidRDefault="00B6305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3059" w:rsidRDefault="00B63059">
            <w:pPr>
              <w:jc w:val="right"/>
            </w:pPr>
            <w:r>
              <w:rPr>
                <w:rFonts w:ascii="宋体" w:hAnsi="宋体" w:hint="eastAsia"/>
              </w:rPr>
              <w:t>150,033,955.1</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3059" w:rsidRDefault="00B63059">
            <w:pPr>
              <w:jc w:val="right"/>
            </w:pPr>
            <w:r>
              <w:rPr>
                <w:rFonts w:ascii="宋体" w:hAnsi="宋体" w:hint="eastAsia"/>
              </w:rPr>
              <w:t>12,138,830.4</w:t>
            </w:r>
            <w:r>
              <w:rPr>
                <w:rFonts w:ascii="宋体" w:hAnsi="宋体" w:hint="eastAsia"/>
              </w:rPr>
              <w:t>5</w:t>
            </w:r>
          </w:p>
        </w:tc>
      </w:tr>
      <w:tr w:rsidR="00000000">
        <w:trPr>
          <w:divId w:val="212777048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3059" w:rsidRDefault="00B6305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3059" w:rsidRDefault="00B63059">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3059" w:rsidRDefault="00B63059">
            <w:pPr>
              <w:jc w:val="right"/>
            </w:pPr>
            <w:r>
              <w:rPr>
                <w:rFonts w:ascii="宋体" w:hAnsi="宋体" w:hint="eastAsia"/>
              </w:rPr>
              <w:t>-</w:t>
            </w:r>
          </w:p>
        </w:tc>
      </w:tr>
      <w:tr w:rsidR="00000000">
        <w:trPr>
          <w:divId w:val="212777048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3059" w:rsidRDefault="00B6305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3059" w:rsidRDefault="00B63059">
            <w:pPr>
              <w:jc w:val="right"/>
            </w:pPr>
            <w:r>
              <w:rPr>
                <w:rFonts w:ascii="宋体" w:hAnsi="宋体" w:hint="eastAsia"/>
              </w:rPr>
              <w:t>213,844,673.0</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3059" w:rsidRDefault="00B63059">
            <w:pPr>
              <w:jc w:val="right"/>
            </w:pPr>
            <w:r>
              <w:rPr>
                <w:rFonts w:ascii="宋体" w:hAnsi="宋体" w:hint="eastAsia"/>
              </w:rPr>
              <w:t>20,512,569.3</w:t>
            </w:r>
            <w:r>
              <w:rPr>
                <w:rFonts w:ascii="宋体" w:hAnsi="宋体" w:hint="eastAsia"/>
              </w:rPr>
              <w:t>9</w:t>
            </w:r>
          </w:p>
        </w:tc>
      </w:tr>
    </w:tbl>
    <w:p w:rsidR="00B63059" w:rsidRDefault="00B63059">
      <w:pPr>
        <w:spacing w:line="360" w:lineRule="auto"/>
        <w:jc w:val="left"/>
        <w:divId w:val="2127770480"/>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7"/>
      <w:r>
        <w:rPr>
          <w:rFonts w:ascii="宋体" w:hAnsi="宋体" w:hint="eastAsia"/>
        </w:rPr>
        <w:t xml:space="preserve"> </w:t>
      </w:r>
    </w:p>
    <w:p w:rsidR="00B63059" w:rsidRDefault="00B63059">
      <w:pPr>
        <w:pStyle w:val="XBRLTitle1"/>
        <w:spacing w:before="156" w:line="360" w:lineRule="auto"/>
        <w:ind w:left="425"/>
      </w:pPr>
      <w:bookmarkStart w:id="308" w:name="_Toc17898221"/>
      <w:bookmarkStart w:id="309" w:name="_Toc17897962"/>
      <w:bookmarkStart w:id="310" w:name="m7manage01"/>
      <w:bookmarkStart w:id="311" w:name="_Toc512519522"/>
      <w:bookmarkStart w:id="312" w:name="_Toc481075090"/>
      <w:bookmarkStart w:id="313" w:name="_Toc438646478"/>
      <w:bookmarkStart w:id="314" w:name="_Toc490050043"/>
      <w:bookmarkStart w:id="315" w:name="_Toc513295871"/>
      <w:bookmarkStart w:id="316" w:name="_Toc513295934"/>
      <w:bookmarkEnd w:id="304"/>
      <w:bookmarkEnd w:id="305"/>
      <w:r>
        <w:rPr>
          <w:rFonts w:hAnsi="宋体" w:hint="eastAsia"/>
        </w:rPr>
        <w:t>基金管理人运用固有资金投资本基金情</w:t>
      </w:r>
      <w:r>
        <w:rPr>
          <w:rFonts w:hAnsi="宋体" w:hint="eastAsia"/>
        </w:rPr>
        <w:t>况</w:t>
      </w:r>
      <w:bookmarkEnd w:id="308"/>
      <w:bookmarkEnd w:id="309"/>
      <w:bookmarkEnd w:id="310"/>
      <w:bookmarkEnd w:id="311"/>
      <w:bookmarkEnd w:id="312"/>
      <w:bookmarkEnd w:id="313"/>
      <w:bookmarkEnd w:id="314"/>
      <w:bookmarkEnd w:id="315"/>
      <w:bookmarkEnd w:id="316"/>
      <w:r>
        <w:rPr>
          <w:rFonts w:hAnsi="宋体" w:hint="eastAsia"/>
        </w:rPr>
        <w:t xml:space="preserve"> </w:t>
      </w:r>
    </w:p>
    <w:p w:rsidR="00B63059" w:rsidRDefault="00B63059">
      <w:pPr>
        <w:pStyle w:val="XBRLTitle2"/>
        <w:spacing w:before="156" w:line="360" w:lineRule="auto"/>
        <w:ind w:left="454"/>
        <w:rPr>
          <w:rFonts w:hint="eastAsia"/>
        </w:rPr>
      </w:pPr>
      <w:bookmarkStart w:id="317" w:name="_Toc17898222"/>
      <w:bookmarkStart w:id="318" w:name="_Toc17897963"/>
      <w:bookmarkStart w:id="319" w:name="_Toc512519523"/>
      <w:bookmarkStart w:id="320" w:name="_Toc481075091"/>
      <w:bookmarkStart w:id="321" w:name="_Toc458599606"/>
      <w:bookmarkStart w:id="322" w:name="_Toc490050044"/>
      <w:bookmarkStart w:id="323" w:name="_Toc513295872"/>
      <w:bookmarkStart w:id="324" w:name="_Toc513295935"/>
      <w:r>
        <w:rPr>
          <w:rFonts w:hAnsi="宋体" w:hint="eastAsia"/>
        </w:rPr>
        <w:t>基金管理人持有本基金份额变动情</w:t>
      </w:r>
      <w:r>
        <w:rPr>
          <w:rFonts w:hAnsi="宋体" w:hint="eastAsia"/>
        </w:rPr>
        <w:t>况</w:t>
      </w:r>
      <w:bookmarkEnd w:id="317"/>
      <w:bookmarkEnd w:id="318"/>
      <w:bookmarkEnd w:id="319"/>
      <w:bookmarkEnd w:id="320"/>
      <w:bookmarkEnd w:id="321"/>
      <w:bookmarkEnd w:id="322"/>
      <w:bookmarkEnd w:id="323"/>
      <w:bookmarkEnd w:id="324"/>
      <w:r>
        <w:rPr>
          <w:rFonts w:hAnsi="宋体" w:hint="eastAsia"/>
          <w:lang w:eastAsia="zh-CN"/>
        </w:rPr>
        <w:t xml:space="preserve"> </w:t>
      </w:r>
    </w:p>
    <w:p w:rsidR="00B63059" w:rsidRDefault="00B63059">
      <w:pPr>
        <w:wordWrap w:val="0"/>
        <w:spacing w:line="360" w:lineRule="auto"/>
        <w:jc w:val="right"/>
        <w:divId w:val="1986859191"/>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986859191"/>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jc w:val="center"/>
            </w:pPr>
            <w:r>
              <w:rPr>
                <w:rFonts w:ascii="宋体" w:hAnsi="宋体" w:hint="eastAsia"/>
                <w:lang w:eastAsia="zh-Hans"/>
              </w:rPr>
              <w:t>摩根均衡优选混合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jc w:val="center"/>
            </w:pPr>
            <w:r>
              <w:rPr>
                <w:rFonts w:ascii="宋体" w:hAnsi="宋体" w:hint="eastAsia"/>
                <w:lang w:eastAsia="zh-Hans"/>
              </w:rPr>
              <w:t>摩根均衡优选混合</w:t>
            </w:r>
            <w:r>
              <w:rPr>
                <w:rFonts w:ascii="宋体" w:hAnsi="宋体" w:hint="eastAsia"/>
                <w:lang w:eastAsia="zh-Hans"/>
              </w:rPr>
              <w:t>C</w:t>
            </w:r>
            <w:r>
              <w:rPr>
                <w:rFonts w:ascii="宋体" w:hAnsi="宋体" w:hint="eastAsia"/>
                <w:color w:val="000000"/>
              </w:rPr>
              <w:t xml:space="preserve"> </w:t>
            </w:r>
          </w:p>
        </w:tc>
      </w:tr>
      <w:tr w:rsidR="00000000">
        <w:trPr>
          <w:divId w:val="198685919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rPr>
                <w:rFonts w:hint="eastAsia"/>
              </w:rPr>
            </w:pPr>
            <w:r>
              <w:rPr>
                <w:rFonts w:ascii="宋体" w:hAnsi="宋体" w:hint="eastAsia"/>
                <w:kern w:val="0"/>
                <w:szCs w:val="24"/>
                <w:lang w:eastAsia="zh-Hans"/>
              </w:rPr>
              <w:t>1,637,781.4</w:t>
            </w:r>
            <w:r>
              <w:rPr>
                <w:rFonts w:ascii="宋体" w:hAnsi="宋体" w:hint="eastAsia"/>
                <w:kern w:val="0"/>
                <w:szCs w:val="24"/>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kern w:val="0"/>
                <w:szCs w:val="24"/>
                <w:lang w:eastAsia="zh-Hans"/>
              </w:rPr>
              <w:t>-</w:t>
            </w:r>
          </w:p>
        </w:tc>
      </w:tr>
      <w:tr w:rsidR="00000000">
        <w:trPr>
          <w:divId w:val="198685919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szCs w:val="24"/>
                <w:lang w:eastAsia="zh-Hans"/>
              </w:rPr>
              <w:t>-</w:t>
            </w:r>
          </w:p>
        </w:tc>
      </w:tr>
      <w:tr w:rsidR="00000000">
        <w:trPr>
          <w:divId w:val="198685919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rPr>
                <w:rFonts w:hint="eastAsia"/>
              </w:rPr>
            </w:pPr>
            <w:r>
              <w:rPr>
                <w:rFonts w:ascii="宋体" w:hAnsi="宋体" w:hint="eastAsia"/>
                <w:lang w:eastAsia="zh-Hans"/>
              </w:rPr>
              <w:t>262,683.4</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lang w:eastAsia="zh-Hans"/>
              </w:rPr>
              <w:t>-</w:t>
            </w:r>
          </w:p>
        </w:tc>
      </w:tr>
      <w:tr w:rsidR="00000000">
        <w:trPr>
          <w:divId w:val="198685919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rPr>
                <w:rFonts w:hint="eastAsia"/>
              </w:rPr>
            </w:pPr>
            <w:r>
              <w:rPr>
                <w:rFonts w:ascii="宋体" w:hAnsi="宋体" w:hint="eastAsia"/>
                <w:lang w:eastAsia="zh-Hans"/>
              </w:rPr>
              <w:t>1,375,097.9</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lang w:eastAsia="zh-Hans"/>
              </w:rPr>
              <w:t>-</w:t>
            </w:r>
          </w:p>
        </w:tc>
      </w:tr>
      <w:tr w:rsidR="00000000">
        <w:trPr>
          <w:divId w:val="198685919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rPr>
                <w:rFonts w:hint="eastAsia"/>
              </w:rPr>
            </w:pPr>
            <w:r>
              <w:rPr>
                <w:rFonts w:ascii="宋体" w:hAnsi="宋体" w:hint="eastAsia"/>
                <w:lang w:eastAsia="zh-Hans"/>
              </w:rPr>
              <w:t>0.5</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lang w:eastAsia="zh-Hans"/>
              </w:rPr>
              <w:t>-</w:t>
            </w:r>
          </w:p>
        </w:tc>
      </w:tr>
    </w:tbl>
    <w:p w:rsidR="00B63059" w:rsidRDefault="00B63059">
      <w:pPr>
        <w:pStyle w:val="XBRLTitle2"/>
        <w:spacing w:before="156" w:line="360" w:lineRule="auto"/>
        <w:ind w:left="454"/>
      </w:pPr>
      <w:bookmarkStart w:id="325" w:name="_Toc17898223"/>
      <w:bookmarkStart w:id="326" w:name="_Toc17897964"/>
      <w:bookmarkStart w:id="327" w:name="_Toc512519524"/>
      <w:bookmarkStart w:id="328" w:name="_Toc481075092"/>
      <w:bookmarkStart w:id="329" w:name="_Toc458599607"/>
      <w:bookmarkStart w:id="330" w:name="_Toc490050045"/>
      <w:bookmarkStart w:id="331" w:name="_Toc513295873"/>
      <w:bookmarkStart w:id="332" w:name="_Toc513295936"/>
      <w:r>
        <w:rPr>
          <w:rFonts w:hAnsi="宋体" w:hint="eastAsia"/>
        </w:rPr>
        <w:t>基金管理人运用固有资金投资本基金交易明</w:t>
      </w:r>
      <w:r>
        <w:rPr>
          <w:rFonts w:hAnsi="宋体" w:hint="eastAsia"/>
        </w:rPr>
        <w:t>细</w:t>
      </w:r>
      <w:bookmarkEnd w:id="325"/>
      <w:bookmarkEnd w:id="326"/>
      <w:bookmarkEnd w:id="327"/>
      <w:bookmarkEnd w:id="328"/>
      <w:bookmarkEnd w:id="329"/>
      <w:bookmarkEnd w:id="330"/>
      <w:bookmarkEnd w:id="331"/>
      <w:bookmarkEnd w:id="332"/>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426656077"/>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63059" w:rsidRDefault="00B63059">
            <w:pPr>
              <w:jc w:val="center"/>
            </w:pPr>
            <w:r>
              <w:rPr>
                <w:rFonts w:ascii="宋体" w:hAnsi="宋体" w:hint="eastAsia"/>
              </w:rPr>
              <w:t>适用费率</w:t>
            </w:r>
            <w:r>
              <w:rPr>
                <w:rFonts w:ascii="宋体" w:hAnsi="宋体" w:hint="eastAsia"/>
              </w:rPr>
              <w:t xml:space="preserve"> </w:t>
            </w:r>
          </w:p>
        </w:tc>
      </w:tr>
      <w:tr w:rsidR="00000000">
        <w:trPr>
          <w:divId w:val="142665607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rPr>
              <w:t>-262,683.4</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rPr>
              <w:t>-276,343.0</w:t>
            </w:r>
            <w:r>
              <w:rPr>
                <w:rFonts w:ascii="宋体" w:hAnsi="宋体" w:hint="eastAsia"/>
              </w:rPr>
              <w:t>3</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rPr>
              <w:t>-</w:t>
            </w:r>
            <w:r>
              <w:t xml:space="preserve"> </w:t>
            </w:r>
          </w:p>
        </w:tc>
      </w:tr>
      <w:tr w:rsidR="00000000">
        <w:trPr>
          <w:divId w:val="142665607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rPr>
              <w:t>-262,683.4</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pPr>
              <w:jc w:val="right"/>
            </w:pPr>
            <w:r>
              <w:rPr>
                <w:rFonts w:ascii="宋体" w:hAnsi="宋体" w:hint="eastAsia"/>
              </w:rPr>
              <w:t>-276,343.0</w:t>
            </w:r>
            <w:r>
              <w:rPr>
                <w:rFonts w:ascii="宋体" w:hAnsi="宋体" w:hint="eastAsia"/>
              </w:rPr>
              <w:t>3</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63059" w:rsidRDefault="00B63059"/>
        </w:tc>
      </w:tr>
    </w:tbl>
    <w:p w:rsidR="00B63059" w:rsidRDefault="00B63059">
      <w:pPr>
        <w:spacing w:line="360" w:lineRule="auto"/>
        <w:jc w:val="left"/>
        <w:divId w:val="208298994"/>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B63059" w:rsidRDefault="00B63059">
      <w:pPr>
        <w:pStyle w:val="XBRLTitle1"/>
        <w:spacing w:before="156" w:line="360" w:lineRule="auto"/>
        <w:ind w:left="425"/>
      </w:pPr>
      <w:bookmarkStart w:id="333" w:name="_Toc17898225"/>
      <w:bookmarkStart w:id="334" w:name="_Toc17897966"/>
      <w:bookmarkStart w:id="335" w:name="_Toc512519526"/>
      <w:bookmarkStart w:id="336" w:name="_Toc490050046"/>
      <w:bookmarkStart w:id="337" w:name="_Toc481075094"/>
      <w:bookmarkStart w:id="338" w:name="_Toc479856294"/>
      <w:bookmarkStart w:id="339" w:name="_Toc513295875"/>
      <w:bookmarkStart w:id="340" w:name="_Toc513295938"/>
      <w:bookmarkStart w:id="341" w:name="m701"/>
      <w:r>
        <w:rPr>
          <w:rFonts w:hAnsi="宋体" w:hint="eastAsia"/>
        </w:rPr>
        <w:t>影响投资者决策的其他重要信</w:t>
      </w:r>
      <w:r>
        <w:rPr>
          <w:rFonts w:hAnsi="宋体" w:hint="eastAsia"/>
        </w:rPr>
        <w:t>息</w:t>
      </w:r>
      <w:bookmarkEnd w:id="333"/>
      <w:bookmarkEnd w:id="334"/>
      <w:bookmarkEnd w:id="335"/>
      <w:bookmarkEnd w:id="336"/>
      <w:bookmarkEnd w:id="337"/>
      <w:bookmarkEnd w:id="338"/>
      <w:bookmarkEnd w:id="339"/>
      <w:bookmarkEnd w:id="340"/>
      <w:r>
        <w:rPr>
          <w:rFonts w:hAnsi="宋体" w:hint="eastAsia"/>
          <w:lang w:eastAsia="zh-CN"/>
        </w:rPr>
        <w:t xml:space="preserve"> </w:t>
      </w:r>
    </w:p>
    <w:p w:rsidR="00B63059" w:rsidRDefault="00B63059">
      <w:pPr>
        <w:pStyle w:val="XBRLTitle2"/>
        <w:spacing w:before="156" w:line="360" w:lineRule="auto"/>
        <w:ind w:left="454"/>
        <w:rPr>
          <w:rFonts w:hint="eastAsia"/>
        </w:rPr>
      </w:pPr>
      <w:bookmarkStart w:id="342" w:name="_Toc17898226"/>
      <w:bookmarkStart w:id="343" w:name="_Toc17897967"/>
      <w:bookmarkStart w:id="344" w:name="_Toc512519527"/>
      <w:bookmarkStart w:id="345" w:name="_Toc481075095"/>
      <w:bookmarkStart w:id="346" w:name="_Toc490050047"/>
      <w:bookmarkStart w:id="347" w:name="_Toc513295876"/>
      <w:bookmarkStart w:id="348"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2"/>
      <w:bookmarkEnd w:id="343"/>
      <w:bookmarkEnd w:id="344"/>
      <w:bookmarkEnd w:id="345"/>
      <w:bookmarkEnd w:id="346"/>
      <w:bookmarkEnd w:id="347"/>
      <w:bookmarkEnd w:id="348"/>
      <w:r>
        <w:rPr>
          <w:rFonts w:hAnsi="宋体" w:hint="eastAsia"/>
          <w:kern w:val="0"/>
          <w:lang w:eastAsia="zh-CN"/>
        </w:rPr>
        <w:t xml:space="preserve"> </w:t>
      </w:r>
    </w:p>
    <w:bookmarkEnd w:id="22"/>
    <w:bookmarkEnd w:id="42"/>
    <w:bookmarkEnd w:id="43"/>
    <w:p w:rsidR="00B63059" w:rsidRDefault="00B63059">
      <w:pPr>
        <w:spacing w:line="360" w:lineRule="auto"/>
        <w:ind w:firstLineChars="200" w:firstLine="420"/>
        <w:divId w:val="1642465861"/>
        <w:rPr>
          <w:rFonts w:ascii="宋体" w:hAnsi="宋体" w:hint="eastAsia"/>
          <w:szCs w:val="21"/>
          <w:lang w:eastAsia="zh-Hans"/>
        </w:rPr>
      </w:pPr>
      <w:r>
        <w:rPr>
          <w:rFonts w:ascii="宋体" w:hAnsi="宋体" w:hint="eastAsia"/>
          <w:szCs w:val="21"/>
          <w:lang w:eastAsia="zh-Hans"/>
        </w:rPr>
        <w:t>无。</w:t>
      </w:r>
    </w:p>
    <w:p w:rsidR="00B63059" w:rsidRDefault="00B63059">
      <w:pPr>
        <w:pStyle w:val="XBRLTitle1"/>
        <w:spacing w:before="156" w:line="360" w:lineRule="auto"/>
        <w:ind w:left="425"/>
        <w:rPr>
          <w:rFonts w:hint="eastAsia"/>
        </w:rPr>
      </w:pPr>
      <w:bookmarkStart w:id="349" w:name="_Toc17898228"/>
      <w:bookmarkStart w:id="350" w:name="_Toc17897969"/>
      <w:bookmarkStart w:id="351" w:name="_Toc512519529"/>
      <w:bookmarkStart w:id="352" w:name="_Toc490050049"/>
      <w:bookmarkStart w:id="353" w:name="_Toc481075097"/>
      <w:bookmarkStart w:id="354" w:name="_Toc438646481"/>
      <w:bookmarkStart w:id="355" w:name="_Toc513295878"/>
      <w:bookmarkStart w:id="356" w:name="_Toc513295941"/>
      <w:bookmarkEnd w:id="341"/>
      <w:r>
        <w:rPr>
          <w:rFonts w:hAnsi="宋体" w:hint="eastAsia"/>
        </w:rPr>
        <w:t>备查文件目</w:t>
      </w:r>
      <w:r>
        <w:rPr>
          <w:rFonts w:hAnsi="宋体" w:hint="eastAsia"/>
        </w:rPr>
        <w:t>录</w:t>
      </w:r>
      <w:bookmarkEnd w:id="349"/>
      <w:bookmarkEnd w:id="350"/>
      <w:bookmarkEnd w:id="351"/>
      <w:bookmarkEnd w:id="352"/>
      <w:bookmarkEnd w:id="353"/>
      <w:bookmarkEnd w:id="354"/>
      <w:bookmarkEnd w:id="355"/>
      <w:bookmarkEnd w:id="356"/>
      <w:r>
        <w:rPr>
          <w:rFonts w:hAnsi="宋体" w:hint="eastAsia"/>
        </w:rPr>
        <w:t xml:space="preserve"> </w:t>
      </w:r>
    </w:p>
    <w:p w:rsidR="00B63059" w:rsidRDefault="00B63059">
      <w:pPr>
        <w:pStyle w:val="XBRLTitle2"/>
        <w:spacing w:before="156" w:line="360" w:lineRule="auto"/>
        <w:ind w:left="454"/>
        <w:rPr>
          <w:rFonts w:hint="eastAsia"/>
        </w:rPr>
      </w:pPr>
      <w:bookmarkStart w:id="357" w:name="_Toc438646482"/>
      <w:bookmarkStart w:id="358" w:name="_Toc17898229"/>
      <w:bookmarkStart w:id="359" w:name="_Toc17897970"/>
      <w:bookmarkStart w:id="360" w:name="_Toc512519530"/>
      <w:bookmarkStart w:id="361" w:name="_Toc481075098"/>
      <w:bookmarkStart w:id="362" w:name="_Toc490050050"/>
      <w:bookmarkStart w:id="363" w:name="_Toc513295879"/>
      <w:bookmarkStart w:id="364" w:name="_Toc513295942"/>
      <w:bookmarkStart w:id="365" w:name="m801_01_1733"/>
      <w:r>
        <w:rPr>
          <w:rFonts w:hAnsi="宋体" w:hint="eastAsia"/>
        </w:rPr>
        <w:t>备查文件目</w:t>
      </w:r>
      <w:r>
        <w:rPr>
          <w:rFonts w:hAnsi="宋体" w:hint="eastAsia"/>
        </w:rPr>
        <w:t>录</w:t>
      </w:r>
      <w:bookmarkEnd w:id="357"/>
      <w:bookmarkEnd w:id="358"/>
      <w:bookmarkEnd w:id="359"/>
      <w:bookmarkEnd w:id="360"/>
      <w:bookmarkEnd w:id="361"/>
      <w:bookmarkEnd w:id="362"/>
      <w:bookmarkEnd w:id="363"/>
      <w:bookmarkEnd w:id="364"/>
      <w:r>
        <w:rPr>
          <w:rFonts w:hAnsi="宋体" w:hint="eastAsia"/>
        </w:rPr>
        <w:t xml:space="preserve"> </w:t>
      </w:r>
    </w:p>
    <w:p w:rsidR="00B63059" w:rsidRDefault="00B63059">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摩根均衡优选混合型证券投资基金基金合同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摩根均衡优选混合型证券投资基金托管协议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B63059" w:rsidRDefault="00B63059">
      <w:pPr>
        <w:pStyle w:val="XBRLTitle2"/>
        <w:spacing w:before="156" w:line="360" w:lineRule="auto"/>
        <w:ind w:left="454"/>
      </w:pPr>
      <w:bookmarkStart w:id="366" w:name="_Toc438646483"/>
      <w:bookmarkStart w:id="367" w:name="_Toc17898230"/>
      <w:bookmarkStart w:id="368" w:name="_Toc17897971"/>
      <w:bookmarkStart w:id="369" w:name="_Toc512519531"/>
      <w:bookmarkStart w:id="370" w:name="_Toc481075099"/>
      <w:bookmarkStart w:id="371" w:name="_Toc490050051"/>
      <w:bookmarkStart w:id="372" w:name="_Toc513295880"/>
      <w:bookmarkStart w:id="373" w:name="_Toc513295943"/>
      <w:bookmarkStart w:id="374" w:name="m801_01_1734"/>
      <w:bookmarkEnd w:id="365"/>
      <w:r>
        <w:rPr>
          <w:rFonts w:hAnsi="宋体" w:hint="eastAsia"/>
        </w:rPr>
        <w:t>存放地</w:t>
      </w:r>
      <w:r>
        <w:rPr>
          <w:rFonts w:hAnsi="宋体" w:hint="eastAsia"/>
        </w:rPr>
        <w:t>点</w:t>
      </w:r>
      <w:bookmarkEnd w:id="366"/>
      <w:bookmarkEnd w:id="367"/>
      <w:bookmarkEnd w:id="368"/>
      <w:bookmarkEnd w:id="369"/>
      <w:bookmarkEnd w:id="370"/>
      <w:bookmarkEnd w:id="371"/>
      <w:bookmarkEnd w:id="372"/>
      <w:bookmarkEnd w:id="373"/>
      <w:r>
        <w:rPr>
          <w:rFonts w:hAnsi="宋体" w:hint="eastAsia"/>
        </w:rPr>
        <w:t xml:space="preserve"> </w:t>
      </w:r>
    </w:p>
    <w:p w:rsidR="00B63059" w:rsidRDefault="00B63059">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B63059" w:rsidRDefault="00B63059">
      <w:pPr>
        <w:pStyle w:val="XBRLTitle2"/>
        <w:spacing w:before="156" w:line="360" w:lineRule="auto"/>
        <w:ind w:left="454"/>
      </w:pPr>
      <w:bookmarkStart w:id="375" w:name="_Toc438646484"/>
      <w:bookmarkStart w:id="376" w:name="_Toc17898231"/>
      <w:bookmarkStart w:id="377" w:name="_Toc17897972"/>
      <w:bookmarkStart w:id="378" w:name="_Toc512519532"/>
      <w:bookmarkStart w:id="379" w:name="_Toc481075100"/>
      <w:bookmarkStart w:id="380" w:name="_Toc490050052"/>
      <w:bookmarkStart w:id="381" w:name="_Toc513295881"/>
      <w:bookmarkStart w:id="382" w:name="_Toc513295944"/>
      <w:bookmarkStart w:id="383" w:name="m801_01_1735"/>
      <w:bookmarkEnd w:id="374"/>
      <w:r>
        <w:rPr>
          <w:rFonts w:hAnsi="宋体" w:hint="eastAsia"/>
        </w:rPr>
        <w:t>查阅方</w:t>
      </w:r>
      <w:r>
        <w:rPr>
          <w:rFonts w:hAnsi="宋体" w:hint="eastAsia"/>
        </w:rPr>
        <w:t>式</w:t>
      </w:r>
      <w:bookmarkEnd w:id="375"/>
      <w:bookmarkEnd w:id="376"/>
      <w:bookmarkEnd w:id="377"/>
      <w:bookmarkEnd w:id="378"/>
      <w:bookmarkEnd w:id="379"/>
      <w:bookmarkEnd w:id="380"/>
      <w:bookmarkEnd w:id="381"/>
      <w:bookmarkEnd w:id="382"/>
      <w:r>
        <w:rPr>
          <w:rFonts w:hAnsi="宋体" w:hint="eastAsia"/>
        </w:rPr>
        <w:t xml:space="preserve"> </w:t>
      </w:r>
    </w:p>
    <w:p w:rsidR="00B63059" w:rsidRDefault="00B63059">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3"/>
    <w:p w:rsidR="00B63059" w:rsidRDefault="00B63059">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B63059" w:rsidRDefault="00B63059">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B63059" w:rsidRDefault="00B63059">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B63059" w:rsidRDefault="00B63059">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B63059">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3059" w:rsidRDefault="00B63059">
      <w:pPr>
        <w:rPr>
          <w:szCs w:val="21"/>
        </w:rPr>
      </w:pPr>
      <w:r>
        <w:rPr>
          <w:szCs w:val="21"/>
        </w:rPr>
        <w:separator/>
      </w:r>
      <w:r>
        <w:rPr>
          <w:szCs w:val="21"/>
        </w:rPr>
        <w:t xml:space="preserve"> </w:t>
      </w:r>
    </w:p>
  </w:endnote>
  <w:endnote w:type="continuationSeparator" w:id="0">
    <w:p w:rsidR="00B63059" w:rsidRDefault="00B63059">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059" w:rsidRDefault="00B63059">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3059" w:rsidRDefault="00B63059">
      <w:pPr>
        <w:rPr>
          <w:szCs w:val="21"/>
        </w:rPr>
      </w:pPr>
      <w:r>
        <w:rPr>
          <w:szCs w:val="21"/>
        </w:rPr>
        <w:separator/>
      </w:r>
      <w:r>
        <w:rPr>
          <w:szCs w:val="21"/>
        </w:rPr>
        <w:t xml:space="preserve"> </w:t>
      </w:r>
    </w:p>
  </w:footnote>
  <w:footnote w:type="continuationSeparator" w:id="0">
    <w:p w:rsidR="00B63059" w:rsidRDefault="00B63059">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059" w:rsidRDefault="00B63059">
    <w:pPr>
      <w:pStyle w:val="a8"/>
      <w:jc w:val="right"/>
    </w:pPr>
    <w:r>
      <w:rPr>
        <w:rFonts w:ascii="宋体" w:hAnsi="宋体" w:hint="eastAsia"/>
      </w:rPr>
      <w:t>摩根均衡优选混合型证券投资基金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587467159">
    <w:abstractNumId w:val="0"/>
  </w:num>
  <w:num w:numId="2" w16cid:durableId="6000668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C2939"/>
    <w:rsid w:val="006C2939"/>
    <w:rsid w:val="00B63059"/>
    <w:rsid w:val="00EF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99AB68DD-DBAC-42AC-AEA5-4153AC23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34759">
      <w:marLeft w:val="0"/>
      <w:marRight w:val="0"/>
      <w:marTop w:val="0"/>
      <w:marBottom w:val="0"/>
      <w:divBdr>
        <w:top w:val="none" w:sz="0" w:space="0" w:color="auto"/>
        <w:left w:val="none" w:sz="0" w:space="0" w:color="auto"/>
        <w:bottom w:val="none" w:sz="0" w:space="0" w:color="auto"/>
        <w:right w:val="none" w:sz="0" w:space="0" w:color="auto"/>
      </w:divBdr>
    </w:div>
    <w:div w:id="91171869">
      <w:marLeft w:val="0"/>
      <w:marRight w:val="0"/>
      <w:marTop w:val="0"/>
      <w:marBottom w:val="0"/>
      <w:divBdr>
        <w:top w:val="none" w:sz="0" w:space="0" w:color="auto"/>
        <w:left w:val="none" w:sz="0" w:space="0" w:color="auto"/>
        <w:bottom w:val="none" w:sz="0" w:space="0" w:color="auto"/>
        <w:right w:val="none" w:sz="0" w:space="0" w:color="auto"/>
      </w:divBdr>
      <w:divsChild>
        <w:div w:id="189343917">
          <w:marLeft w:val="0"/>
          <w:marRight w:val="0"/>
          <w:marTop w:val="0"/>
          <w:marBottom w:val="0"/>
          <w:divBdr>
            <w:top w:val="none" w:sz="0" w:space="0" w:color="auto"/>
            <w:left w:val="none" w:sz="0" w:space="0" w:color="auto"/>
            <w:bottom w:val="none" w:sz="0" w:space="0" w:color="auto"/>
            <w:right w:val="none" w:sz="0" w:space="0" w:color="auto"/>
          </w:divBdr>
        </w:div>
      </w:divsChild>
    </w:div>
    <w:div w:id="208298994">
      <w:marLeft w:val="0"/>
      <w:marRight w:val="0"/>
      <w:marTop w:val="0"/>
      <w:marBottom w:val="0"/>
      <w:divBdr>
        <w:top w:val="none" w:sz="0" w:space="0" w:color="auto"/>
        <w:left w:val="none" w:sz="0" w:space="0" w:color="auto"/>
        <w:bottom w:val="none" w:sz="0" w:space="0" w:color="auto"/>
        <w:right w:val="none" w:sz="0" w:space="0" w:color="auto"/>
      </w:divBdr>
      <w:divsChild>
        <w:div w:id="1426656077">
          <w:marLeft w:val="0"/>
          <w:marRight w:val="0"/>
          <w:marTop w:val="0"/>
          <w:marBottom w:val="0"/>
          <w:divBdr>
            <w:top w:val="none" w:sz="0" w:space="0" w:color="auto"/>
            <w:left w:val="none" w:sz="0" w:space="0" w:color="auto"/>
            <w:bottom w:val="none" w:sz="0" w:space="0" w:color="auto"/>
            <w:right w:val="none" w:sz="0" w:space="0" w:color="auto"/>
          </w:divBdr>
        </w:div>
      </w:divsChild>
    </w:div>
    <w:div w:id="495610359">
      <w:marLeft w:val="0"/>
      <w:marRight w:val="0"/>
      <w:marTop w:val="0"/>
      <w:marBottom w:val="0"/>
      <w:divBdr>
        <w:top w:val="none" w:sz="0" w:space="0" w:color="auto"/>
        <w:left w:val="none" w:sz="0" w:space="0" w:color="auto"/>
        <w:bottom w:val="none" w:sz="0" w:space="0" w:color="auto"/>
        <w:right w:val="none" w:sz="0" w:space="0" w:color="auto"/>
      </w:divBdr>
    </w:div>
    <w:div w:id="565335896">
      <w:marLeft w:val="0"/>
      <w:marRight w:val="0"/>
      <w:marTop w:val="0"/>
      <w:marBottom w:val="0"/>
      <w:divBdr>
        <w:top w:val="none" w:sz="0" w:space="0" w:color="auto"/>
        <w:left w:val="none" w:sz="0" w:space="0" w:color="auto"/>
        <w:bottom w:val="none" w:sz="0" w:space="0" w:color="auto"/>
        <w:right w:val="none" w:sz="0" w:space="0" w:color="auto"/>
      </w:divBdr>
      <w:divsChild>
        <w:div w:id="1704674099">
          <w:marLeft w:val="0"/>
          <w:marRight w:val="0"/>
          <w:marTop w:val="0"/>
          <w:marBottom w:val="0"/>
          <w:divBdr>
            <w:top w:val="none" w:sz="0" w:space="0" w:color="auto"/>
            <w:left w:val="none" w:sz="0" w:space="0" w:color="auto"/>
            <w:bottom w:val="none" w:sz="0" w:space="0" w:color="auto"/>
            <w:right w:val="none" w:sz="0" w:space="0" w:color="auto"/>
          </w:divBdr>
          <w:divsChild>
            <w:div w:id="4145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59411">
      <w:marLeft w:val="0"/>
      <w:marRight w:val="0"/>
      <w:marTop w:val="0"/>
      <w:marBottom w:val="0"/>
      <w:divBdr>
        <w:top w:val="none" w:sz="0" w:space="0" w:color="auto"/>
        <w:left w:val="none" w:sz="0" w:space="0" w:color="auto"/>
        <w:bottom w:val="none" w:sz="0" w:space="0" w:color="auto"/>
        <w:right w:val="none" w:sz="0" w:space="0" w:color="auto"/>
      </w:divBdr>
      <w:divsChild>
        <w:div w:id="183523298">
          <w:marLeft w:val="0"/>
          <w:marRight w:val="0"/>
          <w:marTop w:val="0"/>
          <w:marBottom w:val="0"/>
          <w:divBdr>
            <w:top w:val="none" w:sz="0" w:space="0" w:color="auto"/>
            <w:left w:val="none" w:sz="0" w:space="0" w:color="auto"/>
            <w:bottom w:val="none" w:sz="0" w:space="0" w:color="auto"/>
            <w:right w:val="none" w:sz="0" w:space="0" w:color="auto"/>
          </w:divBdr>
        </w:div>
        <w:div w:id="1281913324">
          <w:marLeft w:val="0"/>
          <w:marRight w:val="0"/>
          <w:marTop w:val="0"/>
          <w:marBottom w:val="0"/>
          <w:divBdr>
            <w:top w:val="none" w:sz="0" w:space="0" w:color="auto"/>
            <w:left w:val="none" w:sz="0" w:space="0" w:color="auto"/>
            <w:bottom w:val="none" w:sz="0" w:space="0" w:color="auto"/>
            <w:right w:val="none" w:sz="0" w:space="0" w:color="auto"/>
          </w:divBdr>
        </w:div>
      </w:divsChild>
    </w:div>
    <w:div w:id="631835155">
      <w:marLeft w:val="0"/>
      <w:marRight w:val="0"/>
      <w:marTop w:val="0"/>
      <w:marBottom w:val="0"/>
      <w:divBdr>
        <w:top w:val="none" w:sz="0" w:space="0" w:color="auto"/>
        <w:left w:val="none" w:sz="0" w:space="0" w:color="auto"/>
        <w:bottom w:val="none" w:sz="0" w:space="0" w:color="auto"/>
        <w:right w:val="none" w:sz="0" w:space="0" w:color="auto"/>
      </w:divBdr>
      <w:divsChild>
        <w:div w:id="424964161">
          <w:marLeft w:val="0"/>
          <w:marRight w:val="0"/>
          <w:marTop w:val="0"/>
          <w:marBottom w:val="0"/>
          <w:divBdr>
            <w:top w:val="none" w:sz="0" w:space="0" w:color="auto"/>
            <w:left w:val="none" w:sz="0" w:space="0" w:color="auto"/>
            <w:bottom w:val="none" w:sz="0" w:space="0" w:color="auto"/>
            <w:right w:val="none" w:sz="0" w:space="0" w:color="auto"/>
          </w:divBdr>
        </w:div>
      </w:divsChild>
    </w:div>
    <w:div w:id="669526841">
      <w:marLeft w:val="0"/>
      <w:marRight w:val="0"/>
      <w:marTop w:val="0"/>
      <w:marBottom w:val="0"/>
      <w:divBdr>
        <w:top w:val="none" w:sz="0" w:space="0" w:color="auto"/>
        <w:left w:val="none" w:sz="0" w:space="0" w:color="auto"/>
        <w:bottom w:val="none" w:sz="0" w:space="0" w:color="auto"/>
        <w:right w:val="none" w:sz="0" w:space="0" w:color="auto"/>
      </w:divBdr>
    </w:div>
    <w:div w:id="680202999">
      <w:marLeft w:val="0"/>
      <w:marRight w:val="0"/>
      <w:marTop w:val="0"/>
      <w:marBottom w:val="0"/>
      <w:divBdr>
        <w:top w:val="none" w:sz="0" w:space="0" w:color="auto"/>
        <w:left w:val="none" w:sz="0" w:space="0" w:color="auto"/>
        <w:bottom w:val="none" w:sz="0" w:space="0" w:color="auto"/>
        <w:right w:val="none" w:sz="0" w:space="0" w:color="auto"/>
      </w:divBdr>
    </w:div>
    <w:div w:id="729496471">
      <w:marLeft w:val="0"/>
      <w:marRight w:val="0"/>
      <w:marTop w:val="0"/>
      <w:marBottom w:val="0"/>
      <w:divBdr>
        <w:top w:val="none" w:sz="0" w:space="0" w:color="auto"/>
        <w:left w:val="none" w:sz="0" w:space="0" w:color="auto"/>
        <w:bottom w:val="none" w:sz="0" w:space="0" w:color="auto"/>
        <w:right w:val="none" w:sz="0" w:space="0" w:color="auto"/>
      </w:divBdr>
    </w:div>
    <w:div w:id="733088303">
      <w:marLeft w:val="0"/>
      <w:marRight w:val="0"/>
      <w:marTop w:val="0"/>
      <w:marBottom w:val="0"/>
      <w:divBdr>
        <w:top w:val="none" w:sz="0" w:space="0" w:color="auto"/>
        <w:left w:val="none" w:sz="0" w:space="0" w:color="auto"/>
        <w:bottom w:val="none" w:sz="0" w:space="0" w:color="auto"/>
        <w:right w:val="none" w:sz="0" w:space="0" w:color="auto"/>
      </w:divBdr>
    </w:div>
    <w:div w:id="752702402">
      <w:marLeft w:val="0"/>
      <w:marRight w:val="0"/>
      <w:marTop w:val="0"/>
      <w:marBottom w:val="0"/>
      <w:divBdr>
        <w:top w:val="none" w:sz="0" w:space="0" w:color="auto"/>
        <w:left w:val="none" w:sz="0" w:space="0" w:color="auto"/>
        <w:bottom w:val="none" w:sz="0" w:space="0" w:color="auto"/>
        <w:right w:val="none" w:sz="0" w:space="0" w:color="auto"/>
      </w:divBdr>
    </w:div>
    <w:div w:id="969825434">
      <w:marLeft w:val="0"/>
      <w:marRight w:val="0"/>
      <w:marTop w:val="0"/>
      <w:marBottom w:val="0"/>
      <w:divBdr>
        <w:top w:val="none" w:sz="0" w:space="0" w:color="auto"/>
        <w:left w:val="none" w:sz="0" w:space="0" w:color="auto"/>
        <w:bottom w:val="none" w:sz="0" w:space="0" w:color="auto"/>
        <w:right w:val="none" w:sz="0" w:space="0" w:color="auto"/>
      </w:divBdr>
      <w:divsChild>
        <w:div w:id="1986859191">
          <w:marLeft w:val="0"/>
          <w:marRight w:val="0"/>
          <w:marTop w:val="0"/>
          <w:marBottom w:val="0"/>
          <w:divBdr>
            <w:top w:val="none" w:sz="0" w:space="0" w:color="auto"/>
            <w:left w:val="none" w:sz="0" w:space="0" w:color="auto"/>
            <w:bottom w:val="none" w:sz="0" w:space="0" w:color="auto"/>
            <w:right w:val="none" w:sz="0" w:space="0" w:color="auto"/>
          </w:divBdr>
        </w:div>
      </w:divsChild>
    </w:div>
    <w:div w:id="1201749433">
      <w:marLeft w:val="0"/>
      <w:marRight w:val="0"/>
      <w:marTop w:val="0"/>
      <w:marBottom w:val="0"/>
      <w:divBdr>
        <w:top w:val="none" w:sz="0" w:space="0" w:color="auto"/>
        <w:left w:val="none" w:sz="0" w:space="0" w:color="auto"/>
        <w:bottom w:val="none" w:sz="0" w:space="0" w:color="auto"/>
        <w:right w:val="none" w:sz="0" w:space="0" w:color="auto"/>
      </w:divBdr>
      <w:divsChild>
        <w:div w:id="1509757201">
          <w:marLeft w:val="0"/>
          <w:marRight w:val="0"/>
          <w:marTop w:val="0"/>
          <w:marBottom w:val="0"/>
          <w:divBdr>
            <w:top w:val="none" w:sz="0" w:space="0" w:color="auto"/>
            <w:left w:val="none" w:sz="0" w:space="0" w:color="auto"/>
            <w:bottom w:val="none" w:sz="0" w:space="0" w:color="auto"/>
            <w:right w:val="none" w:sz="0" w:space="0" w:color="auto"/>
          </w:divBdr>
        </w:div>
      </w:divsChild>
    </w:div>
    <w:div w:id="1217862162">
      <w:marLeft w:val="0"/>
      <w:marRight w:val="0"/>
      <w:marTop w:val="0"/>
      <w:marBottom w:val="0"/>
      <w:divBdr>
        <w:top w:val="none" w:sz="0" w:space="0" w:color="auto"/>
        <w:left w:val="none" w:sz="0" w:space="0" w:color="auto"/>
        <w:bottom w:val="none" w:sz="0" w:space="0" w:color="auto"/>
        <w:right w:val="none" w:sz="0" w:space="0" w:color="auto"/>
      </w:divBdr>
    </w:div>
    <w:div w:id="1272667854">
      <w:marLeft w:val="0"/>
      <w:marRight w:val="0"/>
      <w:marTop w:val="0"/>
      <w:marBottom w:val="0"/>
      <w:divBdr>
        <w:top w:val="none" w:sz="0" w:space="0" w:color="auto"/>
        <w:left w:val="none" w:sz="0" w:space="0" w:color="auto"/>
        <w:bottom w:val="none" w:sz="0" w:space="0" w:color="auto"/>
        <w:right w:val="none" w:sz="0" w:space="0" w:color="auto"/>
      </w:divBdr>
      <w:divsChild>
        <w:div w:id="1507162389">
          <w:marLeft w:val="0"/>
          <w:marRight w:val="0"/>
          <w:marTop w:val="0"/>
          <w:marBottom w:val="0"/>
          <w:divBdr>
            <w:top w:val="none" w:sz="0" w:space="0" w:color="auto"/>
            <w:left w:val="none" w:sz="0" w:space="0" w:color="auto"/>
            <w:bottom w:val="none" w:sz="0" w:space="0" w:color="auto"/>
            <w:right w:val="none" w:sz="0" w:space="0" w:color="auto"/>
          </w:divBdr>
        </w:div>
      </w:divsChild>
    </w:div>
    <w:div w:id="1337810132">
      <w:marLeft w:val="0"/>
      <w:marRight w:val="0"/>
      <w:marTop w:val="0"/>
      <w:marBottom w:val="0"/>
      <w:divBdr>
        <w:top w:val="none" w:sz="0" w:space="0" w:color="auto"/>
        <w:left w:val="none" w:sz="0" w:space="0" w:color="auto"/>
        <w:bottom w:val="none" w:sz="0" w:space="0" w:color="auto"/>
        <w:right w:val="none" w:sz="0" w:space="0" w:color="auto"/>
      </w:divBdr>
      <w:divsChild>
        <w:div w:id="1058894961">
          <w:marLeft w:val="0"/>
          <w:marRight w:val="0"/>
          <w:marTop w:val="0"/>
          <w:marBottom w:val="0"/>
          <w:divBdr>
            <w:top w:val="none" w:sz="0" w:space="0" w:color="auto"/>
            <w:left w:val="none" w:sz="0" w:space="0" w:color="auto"/>
            <w:bottom w:val="none" w:sz="0" w:space="0" w:color="auto"/>
            <w:right w:val="none" w:sz="0" w:space="0" w:color="auto"/>
          </w:divBdr>
        </w:div>
      </w:divsChild>
    </w:div>
    <w:div w:id="1387290280">
      <w:marLeft w:val="0"/>
      <w:marRight w:val="0"/>
      <w:marTop w:val="0"/>
      <w:marBottom w:val="0"/>
      <w:divBdr>
        <w:top w:val="none" w:sz="0" w:space="0" w:color="auto"/>
        <w:left w:val="none" w:sz="0" w:space="0" w:color="auto"/>
        <w:bottom w:val="none" w:sz="0" w:space="0" w:color="auto"/>
        <w:right w:val="none" w:sz="0" w:space="0" w:color="auto"/>
      </w:divBdr>
      <w:divsChild>
        <w:div w:id="1601140489">
          <w:marLeft w:val="0"/>
          <w:marRight w:val="0"/>
          <w:marTop w:val="0"/>
          <w:marBottom w:val="0"/>
          <w:divBdr>
            <w:top w:val="none" w:sz="0" w:space="0" w:color="auto"/>
            <w:left w:val="none" w:sz="0" w:space="0" w:color="auto"/>
            <w:bottom w:val="none" w:sz="0" w:space="0" w:color="auto"/>
            <w:right w:val="none" w:sz="0" w:space="0" w:color="auto"/>
          </w:divBdr>
        </w:div>
      </w:divsChild>
    </w:div>
    <w:div w:id="1642465861">
      <w:marLeft w:val="0"/>
      <w:marRight w:val="0"/>
      <w:marTop w:val="0"/>
      <w:marBottom w:val="0"/>
      <w:divBdr>
        <w:top w:val="none" w:sz="0" w:space="0" w:color="auto"/>
        <w:left w:val="none" w:sz="0" w:space="0" w:color="auto"/>
        <w:bottom w:val="none" w:sz="0" w:space="0" w:color="auto"/>
        <w:right w:val="none" w:sz="0" w:space="0" w:color="auto"/>
      </w:divBdr>
    </w:div>
    <w:div w:id="2064863478">
      <w:marLeft w:val="0"/>
      <w:marRight w:val="0"/>
      <w:marTop w:val="0"/>
      <w:marBottom w:val="0"/>
      <w:divBdr>
        <w:top w:val="none" w:sz="0" w:space="0" w:color="auto"/>
        <w:left w:val="none" w:sz="0" w:space="0" w:color="auto"/>
        <w:bottom w:val="none" w:sz="0" w:space="0" w:color="auto"/>
        <w:right w:val="none" w:sz="0" w:space="0" w:color="auto"/>
      </w:divBdr>
    </w:div>
    <w:div w:id="212777048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1347</Words>
  <Characters>7678</Characters>
  <Application>Microsoft Office Word</Application>
  <DocSecurity>4</DocSecurity>
  <Lines>63</Lines>
  <Paragraphs>18</Paragraphs>
  <ScaleCrop>false</ScaleCrop>
  <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2026-07-13T13:30:00Z</dcterms:created>
  <dcterms:modified xsi:type="dcterms:W3CDTF">2026-07-13T13:30:00Z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