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摩根均衡优选混合型证券投资基金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基金托管人：招商银行股份有限公司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摩根均衡优选混合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013091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27</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735,229,627.31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在严格的风险控制的前提下，采用定性与定量的分析，自上而下进行宏观分析和行业配置，自下而上精选个股，力争实现基金资产的长期增值。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B21E02" w:rsidRDefault="00B72B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B21E02" w:rsidRDefault="00B72B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本基金将根据各类证券的风险收益特征的相对变化，适度的调整确定基金资产在股票、债券及现金等类别资产间的分配比例，动态优化投资组合。在控制风险的前提下，本基金将优先配置股票资产，本基金股票资产占基金资产的投资比例为</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B21E02" w:rsidRDefault="00B72B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B21E02" w:rsidRDefault="00B72B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本基金依托基金管理人的研究平台，自上而下形成行业配置观点，选择</w:t>
            </w:r>
            <w:r>
              <w:rPr>
                <w:rFonts w:eastAsiaTheme="minorEastAsia"/>
                <w:color w:val="000000" w:themeColor="text1"/>
                <w:kern w:val="0"/>
                <w:szCs w:val="21"/>
              </w:rPr>
              <w:t>中长期有较大发展空间的优势行业进行重点配置；同时自下而上形成个股配置观点，挖掘并灵活投资于各行业中最具有投资价值的上市公司，对买入个股进行深度研究和跟踪；通过行业配置与个股选择，获取超越业绩比较基准的超额收益。</w:t>
            </w:r>
          </w:p>
          <w:p w:rsidR="00B21E02" w:rsidRDefault="00B72B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港股投资策略</w:t>
            </w:r>
            <w:r>
              <w:rPr>
                <w:rFonts w:eastAsiaTheme="minorEastAsia"/>
                <w:color w:val="000000" w:themeColor="text1"/>
                <w:kern w:val="0"/>
                <w:szCs w:val="21"/>
              </w:rPr>
              <w:t xml:space="preserve"> </w:t>
            </w:r>
          </w:p>
          <w:p w:rsidR="00B21E02" w:rsidRDefault="00B72B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w:t>
            </w:r>
            <w:r>
              <w:rPr>
                <w:rFonts w:eastAsiaTheme="minorEastAsia"/>
                <w:color w:val="000000" w:themeColor="text1"/>
                <w:kern w:val="0"/>
                <w:szCs w:val="21"/>
              </w:rPr>
              <w:t>的稀缺行业和标的，与</w:t>
            </w:r>
            <w:r>
              <w:rPr>
                <w:rFonts w:eastAsiaTheme="minorEastAsia"/>
                <w:color w:val="000000" w:themeColor="text1"/>
                <w:kern w:val="0"/>
                <w:szCs w:val="21"/>
              </w:rPr>
              <w:t xml:space="preserve"> A </w:t>
            </w:r>
            <w:r>
              <w:rPr>
                <w:rFonts w:eastAsiaTheme="minorEastAsia"/>
                <w:color w:val="000000" w:themeColor="text1"/>
                <w:kern w:val="0"/>
                <w:szCs w:val="21"/>
              </w:rPr>
              <w:t>股形成互补。本基金将通过自下而上方法挖掘优质个股，结合各项定量和定性指标挑选出最具上涨潜力的标的。</w:t>
            </w:r>
            <w:r>
              <w:rPr>
                <w:rFonts w:eastAsiaTheme="minorEastAsia"/>
                <w:color w:val="000000" w:themeColor="text1"/>
                <w:kern w:val="0"/>
                <w:szCs w:val="21"/>
              </w:rPr>
              <w:t xml:space="preserve"> </w:t>
            </w:r>
          </w:p>
          <w:p w:rsidR="00B21E02" w:rsidRDefault="00B72B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债券投资策略</w:t>
            </w:r>
            <w:r>
              <w:rPr>
                <w:rFonts w:eastAsiaTheme="minorEastAsia"/>
                <w:color w:val="000000" w:themeColor="text1"/>
                <w:kern w:val="0"/>
                <w:szCs w:val="21"/>
              </w:rPr>
              <w:t xml:space="preserve"> </w:t>
            </w:r>
          </w:p>
          <w:p w:rsidR="00B21E02" w:rsidRDefault="00B72B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w:t>
            </w:r>
            <w:r>
              <w:rPr>
                <w:rFonts w:eastAsiaTheme="minorEastAsia"/>
                <w:color w:val="000000" w:themeColor="text1"/>
                <w:kern w:val="0"/>
                <w:szCs w:val="21"/>
              </w:rPr>
              <w:lastRenderedPageBreak/>
              <w:t>管理，并根据对债券收益率曲线形态、息差变化的预测，对债券组合进行动态调整。其中对于可转换债券</w:t>
            </w:r>
            <w:r>
              <w:rPr>
                <w:rFonts w:eastAsiaTheme="minorEastAsia"/>
                <w:color w:val="000000" w:themeColor="text1"/>
                <w:kern w:val="0"/>
                <w:szCs w:val="21"/>
              </w:rPr>
              <w:t>(</w:t>
            </w:r>
            <w:r>
              <w:rPr>
                <w:rFonts w:eastAsiaTheme="minorEastAsia"/>
                <w:color w:val="000000" w:themeColor="text1"/>
                <w:kern w:val="0"/>
                <w:szCs w:val="21"/>
              </w:rPr>
              <w:t>含可分离交易可转债</w:t>
            </w:r>
            <w:r>
              <w:rPr>
                <w:rFonts w:eastAsiaTheme="minorEastAsia"/>
                <w:color w:val="000000" w:themeColor="text1"/>
                <w:kern w:val="0"/>
                <w:szCs w:val="21"/>
              </w:rPr>
              <w:t>)</w:t>
            </w:r>
            <w:r>
              <w:rPr>
                <w:rFonts w:eastAsiaTheme="minorEastAsia"/>
                <w:color w:val="000000" w:themeColor="text1"/>
                <w:kern w:val="0"/>
                <w:szCs w:val="21"/>
              </w:rPr>
              <w:t>，考虑到其兼具权益类证券与固定收益类证券的特性，具有抵御下行风险、分享股票价格上涨收益的特点。对于可转债的选择将结合其债性和股性特征，在对公司基本面和转债条款深入研究的基础上进行估值分析，投资于公司基本面优良、具有较高安全边际和良好流动性的可转换债券，获取稳健的投资回报。</w:t>
            </w:r>
          </w:p>
          <w:p w:rsidR="00B21E02" w:rsidRDefault="00B72B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其他投资策略</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中证港股通综合指数收益率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招商银行股份有限公司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013091</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013092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675,216,994.31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60,012,633.00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-5,811,128.49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-526,936.76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10,918,754.43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977,297.98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0.0158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0.0160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420,019,605.66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36,865,044.82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0.6221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0.6143</w:t>
            </w:r>
          </w:p>
        </w:tc>
      </w:tr>
    </w:tbl>
    <w:p w:rsidR="00B21E02" w:rsidRDefault="00B72BC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摩根均衡优选混合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21E02">
        <w:tc>
          <w:tcPr>
            <w:tcW w:w="1290" w:type="dxa"/>
            <w:vAlign w:val="center"/>
          </w:tcPr>
          <w:p w:rsidR="00B21E02" w:rsidRDefault="00B72BC6">
            <w:pPr>
              <w:jc w:val="left"/>
            </w:pPr>
            <w:r>
              <w:rPr>
                <w:rFonts w:eastAsiaTheme="minorEastAsia"/>
                <w:color w:val="000000" w:themeColor="text1"/>
                <w:szCs w:val="21"/>
              </w:rPr>
              <w:t>过去三个月</w:t>
            </w:r>
          </w:p>
        </w:tc>
        <w:tc>
          <w:tcPr>
            <w:tcW w:w="1291" w:type="dxa"/>
            <w:vAlign w:val="center"/>
          </w:tcPr>
          <w:p w:rsidR="00B21E02" w:rsidRDefault="00B72BC6">
            <w:pPr>
              <w:jc w:val="right"/>
            </w:pPr>
            <w:r>
              <w:rPr>
                <w:rFonts w:eastAsiaTheme="minorEastAsia"/>
                <w:color w:val="000000" w:themeColor="text1"/>
                <w:szCs w:val="21"/>
              </w:rPr>
              <w:t>2.83%</w:t>
            </w:r>
          </w:p>
        </w:tc>
        <w:tc>
          <w:tcPr>
            <w:tcW w:w="1291" w:type="dxa"/>
            <w:vAlign w:val="center"/>
          </w:tcPr>
          <w:p w:rsidR="00B21E02" w:rsidRDefault="00B72BC6">
            <w:pPr>
              <w:jc w:val="right"/>
            </w:pPr>
            <w:r>
              <w:rPr>
                <w:rFonts w:eastAsiaTheme="minorEastAsia"/>
                <w:color w:val="000000" w:themeColor="text1"/>
                <w:szCs w:val="21"/>
              </w:rPr>
              <w:t>1.32%</w:t>
            </w:r>
          </w:p>
        </w:tc>
        <w:tc>
          <w:tcPr>
            <w:tcW w:w="1291" w:type="dxa"/>
            <w:vAlign w:val="center"/>
          </w:tcPr>
          <w:p w:rsidR="00B21E02" w:rsidRDefault="00B72BC6">
            <w:pPr>
              <w:jc w:val="right"/>
            </w:pPr>
            <w:r>
              <w:rPr>
                <w:rFonts w:eastAsiaTheme="minorEastAsia"/>
                <w:color w:val="000000" w:themeColor="text1"/>
                <w:szCs w:val="21"/>
              </w:rPr>
              <w:t>1.01%</w:t>
            </w:r>
          </w:p>
        </w:tc>
        <w:tc>
          <w:tcPr>
            <w:tcW w:w="1291" w:type="dxa"/>
            <w:vAlign w:val="center"/>
          </w:tcPr>
          <w:p w:rsidR="00B21E02" w:rsidRDefault="00B72BC6">
            <w:pPr>
              <w:jc w:val="right"/>
            </w:pPr>
            <w:r>
              <w:rPr>
                <w:rFonts w:eastAsiaTheme="minorEastAsia"/>
                <w:color w:val="000000" w:themeColor="text1"/>
                <w:szCs w:val="21"/>
              </w:rPr>
              <w:t>1.00%</w:t>
            </w:r>
          </w:p>
        </w:tc>
        <w:tc>
          <w:tcPr>
            <w:tcW w:w="1291" w:type="dxa"/>
            <w:vAlign w:val="center"/>
          </w:tcPr>
          <w:p w:rsidR="00B21E02" w:rsidRDefault="00B72BC6">
            <w:pPr>
              <w:jc w:val="right"/>
            </w:pPr>
            <w:r>
              <w:rPr>
                <w:rFonts w:eastAsiaTheme="minorEastAsia"/>
                <w:color w:val="000000" w:themeColor="text1"/>
                <w:szCs w:val="21"/>
              </w:rPr>
              <w:t>1.82%</w:t>
            </w:r>
          </w:p>
        </w:tc>
        <w:tc>
          <w:tcPr>
            <w:tcW w:w="1291" w:type="dxa"/>
            <w:vAlign w:val="center"/>
          </w:tcPr>
          <w:p w:rsidR="00B21E02" w:rsidRDefault="00B72BC6">
            <w:pPr>
              <w:jc w:val="right"/>
            </w:pPr>
            <w:r>
              <w:rPr>
                <w:rFonts w:eastAsiaTheme="minorEastAsia"/>
                <w:color w:val="000000" w:themeColor="text1"/>
                <w:szCs w:val="21"/>
              </w:rPr>
              <w:t>0.32%</w:t>
            </w:r>
          </w:p>
        </w:tc>
      </w:tr>
      <w:tr w:rsidR="00B21E02">
        <w:tc>
          <w:tcPr>
            <w:tcW w:w="1290" w:type="dxa"/>
            <w:vAlign w:val="center"/>
          </w:tcPr>
          <w:p w:rsidR="00B21E02" w:rsidRDefault="00B72BC6">
            <w:pPr>
              <w:jc w:val="left"/>
            </w:pPr>
            <w:r>
              <w:rPr>
                <w:rFonts w:eastAsiaTheme="minorEastAsia"/>
                <w:color w:val="000000" w:themeColor="text1"/>
                <w:szCs w:val="21"/>
              </w:rPr>
              <w:t>过去六个月</w:t>
            </w:r>
          </w:p>
        </w:tc>
        <w:tc>
          <w:tcPr>
            <w:tcW w:w="1291" w:type="dxa"/>
            <w:vAlign w:val="center"/>
          </w:tcPr>
          <w:p w:rsidR="00B21E02" w:rsidRDefault="00B72BC6">
            <w:pPr>
              <w:jc w:val="right"/>
            </w:pPr>
            <w:r>
              <w:rPr>
                <w:rFonts w:eastAsiaTheme="minorEastAsia"/>
                <w:color w:val="000000" w:themeColor="text1"/>
                <w:szCs w:val="21"/>
              </w:rPr>
              <w:t>-0.37%</w:t>
            </w:r>
          </w:p>
        </w:tc>
        <w:tc>
          <w:tcPr>
            <w:tcW w:w="1291" w:type="dxa"/>
            <w:vAlign w:val="center"/>
          </w:tcPr>
          <w:p w:rsidR="00B21E02" w:rsidRDefault="00B72BC6">
            <w:pPr>
              <w:jc w:val="right"/>
            </w:pPr>
            <w:r>
              <w:rPr>
                <w:rFonts w:eastAsiaTheme="minorEastAsia"/>
                <w:color w:val="000000" w:themeColor="text1"/>
                <w:szCs w:val="21"/>
              </w:rPr>
              <w:t>1.09%</w:t>
            </w:r>
          </w:p>
        </w:tc>
        <w:tc>
          <w:tcPr>
            <w:tcW w:w="1291" w:type="dxa"/>
            <w:vAlign w:val="center"/>
          </w:tcPr>
          <w:p w:rsidR="00B21E02" w:rsidRDefault="00B72BC6">
            <w:pPr>
              <w:jc w:val="right"/>
            </w:pPr>
            <w:r>
              <w:rPr>
                <w:rFonts w:eastAsiaTheme="minorEastAsia"/>
                <w:color w:val="000000" w:themeColor="text1"/>
                <w:szCs w:val="21"/>
              </w:rPr>
              <w:t>-4.41%</w:t>
            </w:r>
          </w:p>
        </w:tc>
        <w:tc>
          <w:tcPr>
            <w:tcW w:w="1291" w:type="dxa"/>
            <w:vAlign w:val="center"/>
          </w:tcPr>
          <w:p w:rsidR="00B21E02" w:rsidRDefault="00B72BC6">
            <w:pPr>
              <w:jc w:val="right"/>
            </w:pPr>
            <w:r>
              <w:rPr>
                <w:rFonts w:eastAsiaTheme="minorEastAsia"/>
                <w:color w:val="000000" w:themeColor="text1"/>
                <w:szCs w:val="21"/>
              </w:rPr>
              <w:t>0.85%</w:t>
            </w:r>
          </w:p>
        </w:tc>
        <w:tc>
          <w:tcPr>
            <w:tcW w:w="1291" w:type="dxa"/>
            <w:vAlign w:val="center"/>
          </w:tcPr>
          <w:p w:rsidR="00B21E02" w:rsidRDefault="00B72BC6">
            <w:pPr>
              <w:jc w:val="right"/>
            </w:pPr>
            <w:r>
              <w:rPr>
                <w:rFonts w:eastAsiaTheme="minorEastAsia"/>
                <w:color w:val="000000" w:themeColor="text1"/>
                <w:szCs w:val="21"/>
              </w:rPr>
              <w:t>4.04%</w:t>
            </w:r>
          </w:p>
        </w:tc>
        <w:tc>
          <w:tcPr>
            <w:tcW w:w="1291" w:type="dxa"/>
            <w:vAlign w:val="center"/>
          </w:tcPr>
          <w:p w:rsidR="00B21E02" w:rsidRDefault="00B72BC6">
            <w:pPr>
              <w:jc w:val="right"/>
            </w:pPr>
            <w:r>
              <w:rPr>
                <w:rFonts w:eastAsiaTheme="minorEastAsia"/>
                <w:color w:val="000000" w:themeColor="text1"/>
                <w:szCs w:val="21"/>
              </w:rPr>
              <w:t>0.24%</w:t>
            </w:r>
          </w:p>
        </w:tc>
      </w:tr>
      <w:tr w:rsidR="00B21E02">
        <w:tc>
          <w:tcPr>
            <w:tcW w:w="1290" w:type="dxa"/>
            <w:vAlign w:val="center"/>
          </w:tcPr>
          <w:p w:rsidR="00B21E02" w:rsidRDefault="00B72BC6">
            <w:pPr>
              <w:jc w:val="left"/>
            </w:pPr>
            <w:r>
              <w:rPr>
                <w:rFonts w:eastAsiaTheme="minorEastAsia"/>
                <w:color w:val="000000" w:themeColor="text1"/>
                <w:szCs w:val="21"/>
              </w:rPr>
              <w:t>过去一年</w:t>
            </w:r>
          </w:p>
        </w:tc>
        <w:tc>
          <w:tcPr>
            <w:tcW w:w="1291" w:type="dxa"/>
            <w:vAlign w:val="center"/>
          </w:tcPr>
          <w:p w:rsidR="00B21E02" w:rsidRDefault="00B72BC6">
            <w:pPr>
              <w:jc w:val="right"/>
            </w:pPr>
            <w:r>
              <w:rPr>
                <w:rFonts w:eastAsiaTheme="minorEastAsia"/>
                <w:color w:val="000000" w:themeColor="text1"/>
                <w:szCs w:val="21"/>
              </w:rPr>
              <w:t>-16.40%</w:t>
            </w:r>
          </w:p>
        </w:tc>
        <w:tc>
          <w:tcPr>
            <w:tcW w:w="1291" w:type="dxa"/>
            <w:vAlign w:val="center"/>
          </w:tcPr>
          <w:p w:rsidR="00B21E02" w:rsidRDefault="00B72BC6">
            <w:pPr>
              <w:jc w:val="right"/>
            </w:pPr>
            <w:r>
              <w:rPr>
                <w:rFonts w:eastAsiaTheme="minorEastAsia"/>
                <w:color w:val="000000" w:themeColor="text1"/>
                <w:szCs w:val="21"/>
              </w:rPr>
              <w:t>1.04%</w:t>
            </w:r>
          </w:p>
        </w:tc>
        <w:tc>
          <w:tcPr>
            <w:tcW w:w="1291" w:type="dxa"/>
            <w:vAlign w:val="center"/>
          </w:tcPr>
          <w:p w:rsidR="00B21E02" w:rsidRDefault="00B72BC6">
            <w:pPr>
              <w:jc w:val="right"/>
            </w:pPr>
            <w:r>
              <w:rPr>
                <w:rFonts w:eastAsiaTheme="minorEastAsia"/>
                <w:color w:val="000000" w:themeColor="text1"/>
                <w:szCs w:val="21"/>
              </w:rPr>
              <w:t>-10.99%</w:t>
            </w:r>
          </w:p>
        </w:tc>
        <w:tc>
          <w:tcPr>
            <w:tcW w:w="1291" w:type="dxa"/>
            <w:vAlign w:val="center"/>
          </w:tcPr>
          <w:p w:rsidR="00B21E02" w:rsidRDefault="00B72BC6">
            <w:pPr>
              <w:jc w:val="right"/>
            </w:pPr>
            <w:r>
              <w:rPr>
                <w:rFonts w:eastAsiaTheme="minorEastAsia"/>
                <w:color w:val="000000" w:themeColor="text1"/>
                <w:szCs w:val="21"/>
              </w:rPr>
              <w:t>0.79%</w:t>
            </w:r>
          </w:p>
        </w:tc>
        <w:tc>
          <w:tcPr>
            <w:tcW w:w="1291" w:type="dxa"/>
            <w:vAlign w:val="center"/>
          </w:tcPr>
          <w:p w:rsidR="00B21E02" w:rsidRDefault="00B72BC6">
            <w:pPr>
              <w:jc w:val="right"/>
            </w:pPr>
            <w:r>
              <w:rPr>
                <w:rFonts w:eastAsiaTheme="minorEastAsia"/>
                <w:color w:val="000000" w:themeColor="text1"/>
                <w:szCs w:val="21"/>
              </w:rPr>
              <w:t>-5.41%</w:t>
            </w:r>
          </w:p>
        </w:tc>
        <w:tc>
          <w:tcPr>
            <w:tcW w:w="1291" w:type="dxa"/>
            <w:vAlign w:val="center"/>
          </w:tcPr>
          <w:p w:rsidR="00B21E02" w:rsidRDefault="00B72BC6">
            <w:pPr>
              <w:jc w:val="right"/>
            </w:pPr>
            <w:r>
              <w:rPr>
                <w:rFonts w:eastAsiaTheme="minorEastAsia"/>
                <w:color w:val="000000" w:themeColor="text1"/>
                <w:szCs w:val="21"/>
              </w:rPr>
              <w:t>0.25%</w:t>
            </w:r>
          </w:p>
        </w:tc>
      </w:tr>
      <w:tr w:rsidR="00B21E02">
        <w:tc>
          <w:tcPr>
            <w:tcW w:w="1290" w:type="dxa"/>
            <w:vAlign w:val="center"/>
          </w:tcPr>
          <w:p w:rsidR="00B21E02" w:rsidRDefault="00B72BC6">
            <w:pPr>
              <w:jc w:val="left"/>
            </w:pPr>
            <w:r>
              <w:rPr>
                <w:rFonts w:eastAsiaTheme="minorEastAsia"/>
                <w:color w:val="000000" w:themeColor="text1"/>
                <w:szCs w:val="21"/>
              </w:rPr>
              <w:t>过去三年</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r>
      <w:tr w:rsidR="00B21E02">
        <w:tc>
          <w:tcPr>
            <w:tcW w:w="1290" w:type="dxa"/>
            <w:vAlign w:val="center"/>
          </w:tcPr>
          <w:p w:rsidR="00B21E02" w:rsidRDefault="00B72BC6">
            <w:pPr>
              <w:jc w:val="left"/>
            </w:pPr>
            <w:r>
              <w:rPr>
                <w:rFonts w:eastAsiaTheme="minorEastAsia"/>
                <w:color w:val="000000" w:themeColor="text1"/>
                <w:szCs w:val="21"/>
              </w:rPr>
              <w:t>过去五年</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r>
      <w:tr w:rsidR="00B21E02">
        <w:tc>
          <w:tcPr>
            <w:tcW w:w="1290" w:type="dxa"/>
            <w:vAlign w:val="center"/>
          </w:tcPr>
          <w:p w:rsidR="00B21E02" w:rsidRDefault="00B72BC6">
            <w:pPr>
              <w:jc w:val="left"/>
            </w:pPr>
            <w:r>
              <w:rPr>
                <w:rFonts w:eastAsiaTheme="minorEastAsia"/>
                <w:color w:val="000000" w:themeColor="text1"/>
                <w:szCs w:val="21"/>
              </w:rPr>
              <w:t>自基金合同生效起至今</w:t>
            </w:r>
          </w:p>
        </w:tc>
        <w:tc>
          <w:tcPr>
            <w:tcW w:w="1291" w:type="dxa"/>
            <w:vAlign w:val="center"/>
          </w:tcPr>
          <w:p w:rsidR="00B21E02" w:rsidRDefault="00B72BC6">
            <w:pPr>
              <w:jc w:val="right"/>
            </w:pPr>
            <w:r>
              <w:rPr>
                <w:rFonts w:eastAsiaTheme="minorEastAsia"/>
                <w:color w:val="000000" w:themeColor="text1"/>
                <w:szCs w:val="21"/>
              </w:rPr>
              <w:t>-37.79%</w:t>
            </w:r>
          </w:p>
        </w:tc>
        <w:tc>
          <w:tcPr>
            <w:tcW w:w="1291" w:type="dxa"/>
            <w:vAlign w:val="center"/>
          </w:tcPr>
          <w:p w:rsidR="00B21E02" w:rsidRDefault="00B72BC6">
            <w:pPr>
              <w:jc w:val="right"/>
            </w:pPr>
            <w:r>
              <w:rPr>
                <w:rFonts w:eastAsiaTheme="minorEastAsia"/>
                <w:color w:val="000000" w:themeColor="text1"/>
                <w:szCs w:val="21"/>
              </w:rPr>
              <w:t>1.07%</w:t>
            </w:r>
          </w:p>
        </w:tc>
        <w:tc>
          <w:tcPr>
            <w:tcW w:w="1291" w:type="dxa"/>
            <w:vAlign w:val="center"/>
          </w:tcPr>
          <w:p w:rsidR="00B21E02" w:rsidRDefault="00B72BC6">
            <w:pPr>
              <w:jc w:val="right"/>
            </w:pPr>
            <w:r>
              <w:rPr>
                <w:rFonts w:eastAsiaTheme="minorEastAsia"/>
                <w:color w:val="000000" w:themeColor="text1"/>
                <w:szCs w:val="21"/>
              </w:rPr>
              <w:t>-21.67%</w:t>
            </w:r>
          </w:p>
        </w:tc>
        <w:tc>
          <w:tcPr>
            <w:tcW w:w="1291" w:type="dxa"/>
            <w:vAlign w:val="center"/>
          </w:tcPr>
          <w:p w:rsidR="00B21E02" w:rsidRDefault="00B72BC6">
            <w:pPr>
              <w:jc w:val="right"/>
            </w:pPr>
            <w:r>
              <w:rPr>
                <w:rFonts w:eastAsiaTheme="minorEastAsia"/>
                <w:color w:val="000000" w:themeColor="text1"/>
                <w:szCs w:val="21"/>
              </w:rPr>
              <w:t>0.91%</w:t>
            </w:r>
          </w:p>
        </w:tc>
        <w:tc>
          <w:tcPr>
            <w:tcW w:w="1291" w:type="dxa"/>
            <w:vAlign w:val="center"/>
          </w:tcPr>
          <w:p w:rsidR="00B21E02" w:rsidRDefault="00B72BC6">
            <w:pPr>
              <w:jc w:val="right"/>
            </w:pPr>
            <w:r>
              <w:rPr>
                <w:rFonts w:eastAsiaTheme="minorEastAsia"/>
                <w:color w:val="000000" w:themeColor="text1"/>
                <w:szCs w:val="21"/>
              </w:rPr>
              <w:t>-16.12%</w:t>
            </w:r>
          </w:p>
        </w:tc>
        <w:tc>
          <w:tcPr>
            <w:tcW w:w="1291" w:type="dxa"/>
            <w:vAlign w:val="center"/>
          </w:tcPr>
          <w:p w:rsidR="00B21E02" w:rsidRDefault="00B72BC6">
            <w:pPr>
              <w:jc w:val="right"/>
            </w:pPr>
            <w:r>
              <w:rPr>
                <w:rFonts w:eastAsiaTheme="minorEastAsia"/>
                <w:color w:val="000000" w:themeColor="text1"/>
                <w:szCs w:val="21"/>
              </w:rPr>
              <w:t>0.16%</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摩根均衡优选混合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21E02">
        <w:tc>
          <w:tcPr>
            <w:tcW w:w="1290" w:type="dxa"/>
            <w:vAlign w:val="center"/>
          </w:tcPr>
          <w:p w:rsidR="00B21E02" w:rsidRDefault="00B72BC6">
            <w:pPr>
              <w:jc w:val="left"/>
            </w:pPr>
            <w:r>
              <w:rPr>
                <w:rFonts w:eastAsiaTheme="minorEastAsia"/>
                <w:color w:val="000000" w:themeColor="text1"/>
                <w:szCs w:val="21"/>
              </w:rPr>
              <w:t>过去三个月</w:t>
            </w:r>
          </w:p>
        </w:tc>
        <w:tc>
          <w:tcPr>
            <w:tcW w:w="1291" w:type="dxa"/>
            <w:vAlign w:val="center"/>
          </w:tcPr>
          <w:p w:rsidR="00B21E02" w:rsidRDefault="00B72BC6">
            <w:pPr>
              <w:jc w:val="right"/>
            </w:pPr>
            <w:r>
              <w:rPr>
                <w:rFonts w:eastAsiaTheme="minorEastAsia"/>
                <w:color w:val="000000" w:themeColor="text1"/>
                <w:szCs w:val="21"/>
              </w:rPr>
              <w:t>2.69%</w:t>
            </w:r>
          </w:p>
        </w:tc>
        <w:tc>
          <w:tcPr>
            <w:tcW w:w="1291" w:type="dxa"/>
            <w:vAlign w:val="center"/>
          </w:tcPr>
          <w:p w:rsidR="00B21E02" w:rsidRDefault="00B72BC6">
            <w:pPr>
              <w:jc w:val="right"/>
            </w:pPr>
            <w:r>
              <w:rPr>
                <w:rFonts w:eastAsiaTheme="minorEastAsia"/>
                <w:color w:val="000000" w:themeColor="text1"/>
                <w:szCs w:val="21"/>
              </w:rPr>
              <w:t>1.32%</w:t>
            </w:r>
          </w:p>
        </w:tc>
        <w:tc>
          <w:tcPr>
            <w:tcW w:w="1291" w:type="dxa"/>
            <w:vAlign w:val="center"/>
          </w:tcPr>
          <w:p w:rsidR="00B21E02" w:rsidRDefault="00B72BC6">
            <w:pPr>
              <w:jc w:val="right"/>
            </w:pPr>
            <w:r>
              <w:rPr>
                <w:rFonts w:eastAsiaTheme="minorEastAsia"/>
                <w:color w:val="000000" w:themeColor="text1"/>
                <w:szCs w:val="21"/>
              </w:rPr>
              <w:t>1.01%</w:t>
            </w:r>
          </w:p>
        </w:tc>
        <w:tc>
          <w:tcPr>
            <w:tcW w:w="1291" w:type="dxa"/>
            <w:vAlign w:val="center"/>
          </w:tcPr>
          <w:p w:rsidR="00B21E02" w:rsidRDefault="00B72BC6">
            <w:pPr>
              <w:jc w:val="right"/>
            </w:pPr>
            <w:r>
              <w:rPr>
                <w:rFonts w:eastAsiaTheme="minorEastAsia"/>
                <w:color w:val="000000" w:themeColor="text1"/>
                <w:szCs w:val="21"/>
              </w:rPr>
              <w:t>1.00%</w:t>
            </w:r>
          </w:p>
        </w:tc>
        <w:tc>
          <w:tcPr>
            <w:tcW w:w="1291" w:type="dxa"/>
            <w:vAlign w:val="center"/>
          </w:tcPr>
          <w:p w:rsidR="00B21E02" w:rsidRDefault="00B72BC6">
            <w:pPr>
              <w:jc w:val="right"/>
            </w:pPr>
            <w:r>
              <w:rPr>
                <w:rFonts w:eastAsiaTheme="minorEastAsia"/>
                <w:color w:val="000000" w:themeColor="text1"/>
                <w:szCs w:val="21"/>
              </w:rPr>
              <w:t>1.68%</w:t>
            </w:r>
          </w:p>
        </w:tc>
        <w:tc>
          <w:tcPr>
            <w:tcW w:w="1291" w:type="dxa"/>
            <w:vAlign w:val="center"/>
          </w:tcPr>
          <w:p w:rsidR="00B21E02" w:rsidRDefault="00B72BC6">
            <w:pPr>
              <w:jc w:val="right"/>
            </w:pPr>
            <w:r>
              <w:rPr>
                <w:rFonts w:eastAsiaTheme="minorEastAsia"/>
                <w:color w:val="000000" w:themeColor="text1"/>
                <w:szCs w:val="21"/>
              </w:rPr>
              <w:t>0.32%</w:t>
            </w:r>
          </w:p>
        </w:tc>
      </w:tr>
      <w:tr w:rsidR="00B21E02">
        <w:tc>
          <w:tcPr>
            <w:tcW w:w="1290" w:type="dxa"/>
            <w:vAlign w:val="center"/>
          </w:tcPr>
          <w:p w:rsidR="00B21E02" w:rsidRDefault="00B72BC6">
            <w:pPr>
              <w:jc w:val="left"/>
            </w:pPr>
            <w:r>
              <w:rPr>
                <w:rFonts w:eastAsiaTheme="minorEastAsia"/>
                <w:color w:val="000000" w:themeColor="text1"/>
                <w:szCs w:val="21"/>
              </w:rPr>
              <w:t>过去六个月</w:t>
            </w:r>
          </w:p>
        </w:tc>
        <w:tc>
          <w:tcPr>
            <w:tcW w:w="1291" w:type="dxa"/>
            <w:vAlign w:val="center"/>
          </w:tcPr>
          <w:p w:rsidR="00B21E02" w:rsidRDefault="00B72BC6">
            <w:pPr>
              <w:jc w:val="right"/>
            </w:pPr>
            <w:r>
              <w:rPr>
                <w:rFonts w:eastAsiaTheme="minorEastAsia"/>
                <w:color w:val="000000" w:themeColor="text1"/>
                <w:szCs w:val="21"/>
              </w:rPr>
              <w:t>-0.61%</w:t>
            </w:r>
          </w:p>
        </w:tc>
        <w:tc>
          <w:tcPr>
            <w:tcW w:w="1291" w:type="dxa"/>
            <w:vAlign w:val="center"/>
          </w:tcPr>
          <w:p w:rsidR="00B21E02" w:rsidRDefault="00B72BC6">
            <w:pPr>
              <w:jc w:val="right"/>
            </w:pPr>
            <w:r>
              <w:rPr>
                <w:rFonts w:eastAsiaTheme="minorEastAsia"/>
                <w:color w:val="000000" w:themeColor="text1"/>
                <w:szCs w:val="21"/>
              </w:rPr>
              <w:t>1.09%</w:t>
            </w:r>
          </w:p>
        </w:tc>
        <w:tc>
          <w:tcPr>
            <w:tcW w:w="1291" w:type="dxa"/>
            <w:vAlign w:val="center"/>
          </w:tcPr>
          <w:p w:rsidR="00B21E02" w:rsidRDefault="00B72BC6">
            <w:pPr>
              <w:jc w:val="right"/>
            </w:pPr>
            <w:r>
              <w:rPr>
                <w:rFonts w:eastAsiaTheme="minorEastAsia"/>
                <w:color w:val="000000" w:themeColor="text1"/>
                <w:szCs w:val="21"/>
              </w:rPr>
              <w:t>-4.41%</w:t>
            </w:r>
          </w:p>
        </w:tc>
        <w:tc>
          <w:tcPr>
            <w:tcW w:w="1291" w:type="dxa"/>
            <w:vAlign w:val="center"/>
          </w:tcPr>
          <w:p w:rsidR="00B21E02" w:rsidRDefault="00B72BC6">
            <w:pPr>
              <w:jc w:val="right"/>
            </w:pPr>
            <w:r>
              <w:rPr>
                <w:rFonts w:eastAsiaTheme="minorEastAsia"/>
                <w:color w:val="000000" w:themeColor="text1"/>
                <w:szCs w:val="21"/>
              </w:rPr>
              <w:t>0.85%</w:t>
            </w:r>
          </w:p>
        </w:tc>
        <w:tc>
          <w:tcPr>
            <w:tcW w:w="1291" w:type="dxa"/>
            <w:vAlign w:val="center"/>
          </w:tcPr>
          <w:p w:rsidR="00B21E02" w:rsidRDefault="00B72BC6">
            <w:pPr>
              <w:jc w:val="right"/>
            </w:pPr>
            <w:r>
              <w:rPr>
                <w:rFonts w:eastAsiaTheme="minorEastAsia"/>
                <w:color w:val="000000" w:themeColor="text1"/>
                <w:szCs w:val="21"/>
              </w:rPr>
              <w:t>3.80%</w:t>
            </w:r>
          </w:p>
        </w:tc>
        <w:tc>
          <w:tcPr>
            <w:tcW w:w="1291" w:type="dxa"/>
            <w:vAlign w:val="center"/>
          </w:tcPr>
          <w:p w:rsidR="00B21E02" w:rsidRDefault="00B72BC6">
            <w:pPr>
              <w:jc w:val="right"/>
            </w:pPr>
            <w:r>
              <w:rPr>
                <w:rFonts w:eastAsiaTheme="minorEastAsia"/>
                <w:color w:val="000000" w:themeColor="text1"/>
                <w:szCs w:val="21"/>
              </w:rPr>
              <w:t>0.24%</w:t>
            </w:r>
          </w:p>
        </w:tc>
      </w:tr>
      <w:tr w:rsidR="00B21E02">
        <w:tc>
          <w:tcPr>
            <w:tcW w:w="1290" w:type="dxa"/>
            <w:vAlign w:val="center"/>
          </w:tcPr>
          <w:p w:rsidR="00B21E02" w:rsidRDefault="00B72BC6">
            <w:pPr>
              <w:jc w:val="left"/>
            </w:pPr>
            <w:r>
              <w:rPr>
                <w:rFonts w:eastAsiaTheme="minorEastAsia"/>
                <w:color w:val="000000" w:themeColor="text1"/>
                <w:szCs w:val="21"/>
              </w:rPr>
              <w:lastRenderedPageBreak/>
              <w:t>过去一年</w:t>
            </w:r>
          </w:p>
        </w:tc>
        <w:tc>
          <w:tcPr>
            <w:tcW w:w="1291" w:type="dxa"/>
            <w:vAlign w:val="center"/>
          </w:tcPr>
          <w:p w:rsidR="00B21E02" w:rsidRDefault="00B72BC6">
            <w:pPr>
              <w:jc w:val="right"/>
            </w:pPr>
            <w:r>
              <w:rPr>
                <w:rFonts w:eastAsiaTheme="minorEastAsia"/>
                <w:color w:val="000000" w:themeColor="text1"/>
                <w:szCs w:val="21"/>
              </w:rPr>
              <w:t>-16.82%</w:t>
            </w:r>
          </w:p>
        </w:tc>
        <w:tc>
          <w:tcPr>
            <w:tcW w:w="1291" w:type="dxa"/>
            <w:vAlign w:val="center"/>
          </w:tcPr>
          <w:p w:rsidR="00B21E02" w:rsidRDefault="00B72BC6">
            <w:pPr>
              <w:jc w:val="right"/>
            </w:pPr>
            <w:r>
              <w:rPr>
                <w:rFonts w:eastAsiaTheme="minorEastAsia"/>
                <w:color w:val="000000" w:themeColor="text1"/>
                <w:szCs w:val="21"/>
              </w:rPr>
              <w:t>1.04%</w:t>
            </w:r>
          </w:p>
        </w:tc>
        <w:tc>
          <w:tcPr>
            <w:tcW w:w="1291" w:type="dxa"/>
            <w:vAlign w:val="center"/>
          </w:tcPr>
          <w:p w:rsidR="00B21E02" w:rsidRDefault="00B72BC6">
            <w:pPr>
              <w:jc w:val="right"/>
            </w:pPr>
            <w:r>
              <w:rPr>
                <w:rFonts w:eastAsiaTheme="minorEastAsia"/>
                <w:color w:val="000000" w:themeColor="text1"/>
                <w:szCs w:val="21"/>
              </w:rPr>
              <w:t>-10.99%</w:t>
            </w:r>
          </w:p>
        </w:tc>
        <w:tc>
          <w:tcPr>
            <w:tcW w:w="1291" w:type="dxa"/>
            <w:vAlign w:val="center"/>
          </w:tcPr>
          <w:p w:rsidR="00B21E02" w:rsidRDefault="00B72BC6">
            <w:pPr>
              <w:jc w:val="right"/>
            </w:pPr>
            <w:r>
              <w:rPr>
                <w:rFonts w:eastAsiaTheme="minorEastAsia"/>
                <w:color w:val="000000" w:themeColor="text1"/>
                <w:szCs w:val="21"/>
              </w:rPr>
              <w:t>0.79%</w:t>
            </w:r>
          </w:p>
        </w:tc>
        <w:tc>
          <w:tcPr>
            <w:tcW w:w="1291" w:type="dxa"/>
            <w:vAlign w:val="center"/>
          </w:tcPr>
          <w:p w:rsidR="00B21E02" w:rsidRDefault="00B72BC6">
            <w:pPr>
              <w:jc w:val="right"/>
            </w:pPr>
            <w:r>
              <w:rPr>
                <w:rFonts w:eastAsiaTheme="minorEastAsia"/>
                <w:color w:val="000000" w:themeColor="text1"/>
                <w:szCs w:val="21"/>
              </w:rPr>
              <w:t>-5.83%</w:t>
            </w:r>
          </w:p>
        </w:tc>
        <w:tc>
          <w:tcPr>
            <w:tcW w:w="1291" w:type="dxa"/>
            <w:vAlign w:val="center"/>
          </w:tcPr>
          <w:p w:rsidR="00B21E02" w:rsidRDefault="00B72BC6">
            <w:pPr>
              <w:jc w:val="right"/>
            </w:pPr>
            <w:r>
              <w:rPr>
                <w:rFonts w:eastAsiaTheme="minorEastAsia"/>
                <w:color w:val="000000" w:themeColor="text1"/>
                <w:szCs w:val="21"/>
              </w:rPr>
              <w:t>0.25%</w:t>
            </w:r>
          </w:p>
        </w:tc>
      </w:tr>
      <w:tr w:rsidR="00B21E02">
        <w:tc>
          <w:tcPr>
            <w:tcW w:w="1290" w:type="dxa"/>
            <w:vAlign w:val="center"/>
          </w:tcPr>
          <w:p w:rsidR="00B21E02" w:rsidRDefault="00B72BC6">
            <w:pPr>
              <w:jc w:val="left"/>
            </w:pPr>
            <w:r>
              <w:rPr>
                <w:rFonts w:eastAsiaTheme="minorEastAsia"/>
                <w:color w:val="000000" w:themeColor="text1"/>
                <w:szCs w:val="21"/>
              </w:rPr>
              <w:t>过去三年</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r>
      <w:tr w:rsidR="00B21E02">
        <w:tc>
          <w:tcPr>
            <w:tcW w:w="1290" w:type="dxa"/>
            <w:vAlign w:val="center"/>
          </w:tcPr>
          <w:p w:rsidR="00B21E02" w:rsidRDefault="00B72BC6">
            <w:pPr>
              <w:jc w:val="left"/>
            </w:pPr>
            <w:r>
              <w:rPr>
                <w:rFonts w:eastAsiaTheme="minorEastAsia"/>
                <w:color w:val="000000" w:themeColor="text1"/>
                <w:szCs w:val="21"/>
              </w:rPr>
              <w:t>过去五年</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c>
          <w:tcPr>
            <w:tcW w:w="1291" w:type="dxa"/>
            <w:vAlign w:val="center"/>
          </w:tcPr>
          <w:p w:rsidR="00B21E02" w:rsidRDefault="00B72BC6">
            <w:pPr>
              <w:jc w:val="right"/>
            </w:pPr>
            <w:r>
              <w:rPr>
                <w:rFonts w:eastAsiaTheme="minorEastAsia"/>
                <w:color w:val="000000" w:themeColor="text1"/>
                <w:szCs w:val="21"/>
              </w:rPr>
              <w:t>-</w:t>
            </w:r>
          </w:p>
        </w:tc>
      </w:tr>
      <w:tr w:rsidR="00B21E02">
        <w:tc>
          <w:tcPr>
            <w:tcW w:w="1290" w:type="dxa"/>
            <w:vAlign w:val="center"/>
          </w:tcPr>
          <w:p w:rsidR="00B21E02" w:rsidRDefault="00B72BC6">
            <w:pPr>
              <w:jc w:val="left"/>
            </w:pPr>
            <w:r>
              <w:rPr>
                <w:rFonts w:eastAsiaTheme="minorEastAsia"/>
                <w:color w:val="000000" w:themeColor="text1"/>
                <w:szCs w:val="21"/>
              </w:rPr>
              <w:t>自基金合同生效起至今</w:t>
            </w:r>
          </w:p>
        </w:tc>
        <w:tc>
          <w:tcPr>
            <w:tcW w:w="1291" w:type="dxa"/>
            <w:vAlign w:val="center"/>
          </w:tcPr>
          <w:p w:rsidR="00B21E02" w:rsidRDefault="00B72BC6">
            <w:pPr>
              <w:jc w:val="right"/>
            </w:pPr>
            <w:r>
              <w:rPr>
                <w:rFonts w:eastAsiaTheme="minorEastAsia"/>
                <w:color w:val="000000" w:themeColor="text1"/>
                <w:szCs w:val="21"/>
              </w:rPr>
              <w:t>-38.57%</w:t>
            </w:r>
          </w:p>
        </w:tc>
        <w:tc>
          <w:tcPr>
            <w:tcW w:w="1291" w:type="dxa"/>
            <w:vAlign w:val="center"/>
          </w:tcPr>
          <w:p w:rsidR="00B21E02" w:rsidRDefault="00B72BC6">
            <w:pPr>
              <w:jc w:val="right"/>
            </w:pPr>
            <w:r>
              <w:rPr>
                <w:rFonts w:eastAsiaTheme="minorEastAsia"/>
                <w:color w:val="000000" w:themeColor="text1"/>
                <w:szCs w:val="21"/>
              </w:rPr>
              <w:t>1.07%</w:t>
            </w:r>
          </w:p>
        </w:tc>
        <w:tc>
          <w:tcPr>
            <w:tcW w:w="1291" w:type="dxa"/>
            <w:vAlign w:val="center"/>
          </w:tcPr>
          <w:p w:rsidR="00B21E02" w:rsidRDefault="00B72BC6">
            <w:pPr>
              <w:jc w:val="right"/>
            </w:pPr>
            <w:r>
              <w:rPr>
                <w:rFonts w:eastAsiaTheme="minorEastAsia"/>
                <w:color w:val="000000" w:themeColor="text1"/>
                <w:szCs w:val="21"/>
              </w:rPr>
              <w:t>-21.67%</w:t>
            </w:r>
          </w:p>
        </w:tc>
        <w:tc>
          <w:tcPr>
            <w:tcW w:w="1291" w:type="dxa"/>
            <w:vAlign w:val="center"/>
          </w:tcPr>
          <w:p w:rsidR="00B21E02" w:rsidRDefault="00B72BC6">
            <w:pPr>
              <w:jc w:val="right"/>
            </w:pPr>
            <w:r>
              <w:rPr>
                <w:rFonts w:eastAsiaTheme="minorEastAsia"/>
                <w:color w:val="000000" w:themeColor="text1"/>
                <w:szCs w:val="21"/>
              </w:rPr>
              <w:t>0.91%</w:t>
            </w:r>
          </w:p>
        </w:tc>
        <w:tc>
          <w:tcPr>
            <w:tcW w:w="1291" w:type="dxa"/>
            <w:vAlign w:val="center"/>
          </w:tcPr>
          <w:p w:rsidR="00B21E02" w:rsidRDefault="00B72BC6">
            <w:pPr>
              <w:jc w:val="right"/>
            </w:pPr>
            <w:r>
              <w:rPr>
                <w:rFonts w:eastAsiaTheme="minorEastAsia"/>
                <w:color w:val="000000" w:themeColor="text1"/>
                <w:szCs w:val="21"/>
              </w:rPr>
              <w:t>-16.90%</w:t>
            </w:r>
          </w:p>
        </w:tc>
        <w:tc>
          <w:tcPr>
            <w:tcW w:w="1291" w:type="dxa"/>
            <w:vAlign w:val="center"/>
          </w:tcPr>
          <w:p w:rsidR="00B21E02" w:rsidRDefault="00B72BC6">
            <w:pPr>
              <w:jc w:val="right"/>
            </w:pPr>
            <w:r>
              <w:rPr>
                <w:rFonts w:eastAsiaTheme="minorEastAsia"/>
                <w:color w:val="000000" w:themeColor="text1"/>
                <w:szCs w:val="21"/>
              </w:rPr>
              <w:t>0.16%</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摩根均衡优选混合型证券投资基金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27</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．摩根均衡优选混合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．摩根均衡优选混合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B21E02">
        <w:tc>
          <w:tcPr>
            <w:tcW w:w="952" w:type="dxa"/>
            <w:vAlign w:val="center"/>
          </w:tcPr>
          <w:p w:rsidR="00B21E02" w:rsidRDefault="00B72BC6">
            <w:pPr>
              <w:jc w:val="center"/>
            </w:pPr>
            <w:r>
              <w:rPr>
                <w:rFonts w:eastAsiaTheme="minorEastAsia"/>
                <w:color w:val="000000" w:themeColor="text1"/>
                <w:szCs w:val="21"/>
              </w:rPr>
              <w:t>倪权生</w:t>
            </w:r>
          </w:p>
        </w:tc>
        <w:tc>
          <w:tcPr>
            <w:tcW w:w="930" w:type="dxa"/>
            <w:vAlign w:val="center"/>
          </w:tcPr>
          <w:p w:rsidR="00B21E02" w:rsidRDefault="00B72BC6">
            <w:pPr>
              <w:jc w:val="center"/>
            </w:pPr>
            <w:r>
              <w:rPr>
                <w:rFonts w:eastAsiaTheme="minorEastAsia"/>
                <w:color w:val="000000" w:themeColor="text1"/>
                <w:szCs w:val="21"/>
              </w:rPr>
              <w:t>本基金基金经理</w:t>
            </w:r>
          </w:p>
        </w:tc>
        <w:tc>
          <w:tcPr>
            <w:tcW w:w="1210" w:type="dxa"/>
            <w:vAlign w:val="center"/>
          </w:tcPr>
          <w:p w:rsidR="00B21E02" w:rsidRDefault="00B72BC6">
            <w:pPr>
              <w:jc w:val="center"/>
            </w:pPr>
            <w:r>
              <w:rPr>
                <w:rFonts w:eastAsiaTheme="minorEastAsia"/>
                <w:color w:val="000000" w:themeColor="text1"/>
                <w:szCs w:val="21"/>
              </w:rPr>
              <w:t>2021-09-27</w:t>
            </w:r>
          </w:p>
        </w:tc>
        <w:tc>
          <w:tcPr>
            <w:tcW w:w="1309" w:type="dxa"/>
            <w:vAlign w:val="center"/>
          </w:tcPr>
          <w:p w:rsidR="00B21E02" w:rsidRDefault="00B72BC6">
            <w:pPr>
              <w:jc w:val="center"/>
            </w:pPr>
            <w:r>
              <w:rPr>
                <w:rFonts w:eastAsiaTheme="minorEastAsia"/>
                <w:color w:val="000000" w:themeColor="text1"/>
                <w:szCs w:val="21"/>
              </w:rPr>
              <w:t>-</w:t>
            </w:r>
          </w:p>
        </w:tc>
        <w:tc>
          <w:tcPr>
            <w:tcW w:w="1254" w:type="dxa"/>
            <w:vAlign w:val="center"/>
          </w:tcPr>
          <w:p w:rsidR="00B21E02" w:rsidRDefault="00B72BC6">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B21E02" w:rsidRDefault="00B72BC6">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B21E02" w:rsidRDefault="00B72BC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B21E02" w:rsidRDefault="00B72BC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倪权生先生为本基金首任基金经理，其任职日期指本基金基金合同生效之日。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w:t>
      </w:r>
      <w:r>
        <w:rPr>
          <w:rFonts w:eastAsiaTheme="minorEastAsia"/>
          <w:color w:val="000000" w:themeColor="text1"/>
          <w:szCs w:val="21"/>
        </w:rPr>
        <w:t>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w:t>
      </w:r>
      <w:r>
        <w:rPr>
          <w:rFonts w:eastAsiaTheme="minorEastAsia"/>
          <w:color w:val="000000" w:themeColor="text1"/>
          <w:szCs w:val="21"/>
        </w:rPr>
        <w:t>，根据事前独立申报的价格和数量对交易结果进行公平分配。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今年市场一季度先抑后扬，前期情绪较为悲观并充分在股价中反应，</w:t>
      </w:r>
      <w:r>
        <w:rPr>
          <w:rFonts w:eastAsiaTheme="minorEastAsia"/>
          <w:color w:val="000000" w:themeColor="text1"/>
          <w:szCs w:val="21"/>
        </w:rPr>
        <w:t>2</w:t>
      </w:r>
      <w:r>
        <w:rPr>
          <w:rFonts w:eastAsiaTheme="minorEastAsia"/>
          <w:color w:val="000000" w:themeColor="text1"/>
          <w:szCs w:val="21"/>
        </w:rPr>
        <w:t>月份市场迎来较为强</w:t>
      </w:r>
      <w:r>
        <w:rPr>
          <w:rFonts w:eastAsiaTheme="minorEastAsia"/>
          <w:color w:val="000000" w:themeColor="text1"/>
          <w:szCs w:val="21"/>
        </w:rPr>
        <w:lastRenderedPageBreak/>
        <w:t>劲的反弹。从行业来看，以资源为主的上游行业表现较好，这些行业多具备资源属性，同时行业资本开支有下降趋势，进而带来现金流的改善，其中相当一部分公司已经具有较高的股息率。而上游相关对应的大宗商品价格由于供给趋紧，同时需求由于海外库存触底以及中国制造业需求好于预期，因而表现也较好，这给上游资源类公司的盈利持续提供保障。医药、计算机、电子、国防军工等行业一季度相对较弱，主要与市场对短期业绩的不确定性担忧有</w:t>
      </w:r>
      <w:r>
        <w:rPr>
          <w:rFonts w:eastAsiaTheme="minorEastAsia"/>
          <w:color w:val="000000" w:themeColor="text1"/>
          <w:szCs w:val="21"/>
        </w:rPr>
        <w:t>关。</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组合操作层面，延续去年底的策略，即在假设总量增长有限的情况下，寻找确定性，这类盈利改善的确定性一部分来源于供给侧的格局改善，也有来源于需求仍有较好增长的细分领域。基于供给侧优化的逻辑，我们重点布局养殖、上游资源、化纤原料等，这些行业过去几年因盈利恶化或政策影响，资本开支受到约束，供给有望收紧，进而带来盈利反转。而在需求端，我们重点关注出口链和算力相关领域。近年来随着中国制造业企业在全球竞争力的提升，制造业出口结构由初级产品向复杂产品提升，如工程机械、电力设备等，在全球基建浪潮中具有提升市场份额的能力。</w:t>
      </w:r>
      <w:r>
        <w:rPr>
          <w:rFonts w:eastAsiaTheme="minorEastAsia"/>
          <w:color w:val="000000" w:themeColor="text1"/>
          <w:szCs w:val="21"/>
        </w:rPr>
        <w:t>算力方面，随着</w:t>
      </w:r>
      <w:r>
        <w:rPr>
          <w:rFonts w:eastAsiaTheme="minorEastAsia"/>
          <w:color w:val="000000" w:themeColor="text1"/>
          <w:szCs w:val="21"/>
        </w:rPr>
        <w:t>AI</w:t>
      </w:r>
      <w:r>
        <w:rPr>
          <w:rFonts w:eastAsiaTheme="minorEastAsia"/>
          <w:color w:val="000000" w:themeColor="text1"/>
          <w:szCs w:val="21"/>
        </w:rPr>
        <w:t>技术的进步，其模型训练和场景应用在国内和海外均处于快速发展中，前期我们认为算力基础设施的受益确定性仍然较强。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展望后市，我们认为前期悲观情绪得到一定修复，但市场也并未立刻转向非常乐观，估值仍处于相对低位。而</w:t>
      </w:r>
      <w:r w:rsidRPr="00B27A29">
        <w:rPr>
          <w:rFonts w:eastAsiaTheme="minorEastAsia"/>
          <w:color w:val="000000" w:themeColor="text1"/>
          <w:szCs w:val="21"/>
        </w:rPr>
        <w:t>3</w:t>
      </w:r>
      <w:r w:rsidRPr="00B27A29">
        <w:rPr>
          <w:rFonts w:eastAsiaTheme="minorEastAsia"/>
          <w:color w:val="000000" w:themeColor="text1"/>
          <w:szCs w:val="21"/>
        </w:rPr>
        <w:t>月份以来，我们正在看到一些边际的积极变化，如海外库存周期正在由去库存转向补库存，国内宏观指标如</w:t>
      </w:r>
      <w:r w:rsidRPr="00B27A29">
        <w:rPr>
          <w:rFonts w:eastAsiaTheme="minorEastAsia"/>
          <w:color w:val="000000" w:themeColor="text1"/>
          <w:szCs w:val="21"/>
        </w:rPr>
        <w:t>PMI</w:t>
      </w:r>
      <w:r w:rsidRPr="00B27A29">
        <w:rPr>
          <w:rFonts w:eastAsiaTheme="minorEastAsia"/>
          <w:color w:val="000000" w:themeColor="text1"/>
          <w:szCs w:val="21"/>
        </w:rPr>
        <w:t>边际也出现积极变化，这预示着经济有望好于此前预期，这可能会带来在顺经济周期行业以及上游资源品景气的改善。从这些角度来看，市场也有望随着企业盈利的边际改善而修复估值，并存在结构性投资机会。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本报告期摩根均衡优选</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:2.83%</w:t>
      </w:r>
      <w:r>
        <w:rPr>
          <w:rFonts w:eastAsiaTheme="minorEastAsia"/>
          <w:color w:val="000000" w:themeColor="text1"/>
          <w:szCs w:val="21"/>
        </w:rPr>
        <w:t>，同期业绩比较基准收益率为</w:t>
      </w:r>
      <w:r>
        <w:rPr>
          <w:rFonts w:eastAsiaTheme="minorEastAsia"/>
          <w:color w:val="000000" w:themeColor="text1"/>
          <w:szCs w:val="21"/>
        </w:rPr>
        <w:t>:1.01%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摩根均衡优选</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:2.69%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:1.01%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w:t>
            </w:r>
            <w:r w:rsidRPr="00B27A29">
              <w:rPr>
                <w:rFonts w:eastAsiaTheme="minorEastAsia"/>
                <w:color w:val="000000" w:themeColor="text1"/>
                <w:szCs w:val="21"/>
              </w:rPr>
              <w:lastRenderedPageBreak/>
              <w:t>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389,630,882.58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84.92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389,630,882.58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84.92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69,049,734.92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15.05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141,316.95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458,821,934.45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25,357,648.00</w:t>
      </w:r>
      <w:r w:rsidRPr="00B27A29">
        <w:rPr>
          <w:rFonts w:eastAsiaTheme="minorEastAsia"/>
          <w:color w:val="000000" w:themeColor="text1"/>
          <w:szCs w:val="21"/>
        </w:rPr>
        <w:t>元</w:t>
      </w:r>
      <w:r w:rsidRPr="00B27A29">
        <w:rPr>
          <w:rFonts w:eastAsiaTheme="minorEastAsia"/>
          <w:color w:val="000000" w:themeColor="text1"/>
          <w:szCs w:val="21"/>
        </w:rPr>
        <w:t>,</w:t>
      </w:r>
      <w:r w:rsidRPr="00B27A29">
        <w:rPr>
          <w:rFonts w:eastAsiaTheme="minorEastAsia"/>
          <w:color w:val="000000" w:themeColor="text1"/>
          <w:szCs w:val="21"/>
        </w:rPr>
        <w:t>占期末净值比例为</w:t>
      </w:r>
      <w:r w:rsidRPr="00B27A29">
        <w:rPr>
          <w:rFonts w:eastAsiaTheme="minorEastAsia"/>
          <w:color w:val="000000" w:themeColor="text1"/>
          <w:szCs w:val="21"/>
        </w:rPr>
        <w:t>5.55%</w:t>
      </w:r>
      <w:r w:rsidRPr="00B27A29">
        <w:rPr>
          <w:rFonts w:eastAsiaTheme="minorEastAsia"/>
          <w:color w:val="000000" w:themeColor="text1"/>
          <w:szCs w:val="21"/>
        </w:rPr>
        <w:t>。</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18,535,129.56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4.06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51,110,959.54</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11.19</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243,259,825.33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12,684,630.25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5,537,497.46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33,145,192.44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364,273,234.58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79.73</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B21E02">
        <w:trPr>
          <w:jc w:val="center"/>
        </w:trPr>
        <w:tc>
          <w:tcPr>
            <w:tcW w:w="2397" w:type="dxa"/>
            <w:vAlign w:val="center"/>
          </w:tcPr>
          <w:p w:rsidR="00B21E02" w:rsidRDefault="00B72BC6">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B21E02" w:rsidRDefault="00B72BC6">
            <w:pPr>
              <w:jc w:val="center"/>
            </w:pPr>
            <w:r>
              <w:rPr>
                <w:rFonts w:eastAsiaTheme="minorEastAsia"/>
                <w:color w:val="000000" w:themeColor="text1"/>
                <w:szCs w:val="21"/>
              </w:rPr>
              <w:t>-</w:t>
            </w:r>
          </w:p>
        </w:tc>
        <w:tc>
          <w:tcPr>
            <w:tcW w:w="3118" w:type="dxa"/>
            <w:vAlign w:val="center"/>
          </w:tcPr>
          <w:p w:rsidR="00B21E02" w:rsidRDefault="00B72BC6">
            <w:pPr>
              <w:jc w:val="center"/>
            </w:pPr>
            <w:r>
              <w:rPr>
                <w:rFonts w:eastAsiaTheme="minorEastAsia"/>
                <w:color w:val="000000" w:themeColor="text1"/>
                <w:szCs w:val="21"/>
              </w:rPr>
              <w:t>-</w:t>
            </w:r>
          </w:p>
        </w:tc>
      </w:tr>
      <w:tr w:rsidR="00B21E02">
        <w:trPr>
          <w:jc w:val="center"/>
        </w:trPr>
        <w:tc>
          <w:tcPr>
            <w:tcW w:w="2397" w:type="dxa"/>
            <w:vAlign w:val="center"/>
          </w:tcPr>
          <w:p w:rsidR="00B21E02" w:rsidRDefault="00B72BC6">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B21E02" w:rsidRDefault="00B72BC6">
            <w:pPr>
              <w:jc w:val="center"/>
            </w:pPr>
            <w:r>
              <w:rPr>
                <w:rFonts w:eastAsiaTheme="minorEastAsia"/>
                <w:color w:val="000000" w:themeColor="text1"/>
                <w:szCs w:val="21"/>
              </w:rPr>
              <w:t>-</w:t>
            </w:r>
          </w:p>
        </w:tc>
        <w:tc>
          <w:tcPr>
            <w:tcW w:w="3118" w:type="dxa"/>
            <w:vAlign w:val="center"/>
          </w:tcPr>
          <w:p w:rsidR="00B21E02" w:rsidRDefault="00B72BC6">
            <w:pPr>
              <w:jc w:val="center"/>
            </w:pPr>
            <w:r>
              <w:rPr>
                <w:rFonts w:eastAsiaTheme="minorEastAsia"/>
                <w:color w:val="000000" w:themeColor="text1"/>
                <w:szCs w:val="21"/>
              </w:rPr>
              <w:t>-</w:t>
            </w:r>
          </w:p>
        </w:tc>
      </w:tr>
      <w:tr w:rsidR="00B21E02">
        <w:trPr>
          <w:jc w:val="center"/>
        </w:trPr>
        <w:tc>
          <w:tcPr>
            <w:tcW w:w="2397" w:type="dxa"/>
            <w:vAlign w:val="center"/>
          </w:tcPr>
          <w:p w:rsidR="00B21E02" w:rsidRDefault="00B72BC6">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B21E02" w:rsidRDefault="00B72BC6">
            <w:pPr>
              <w:jc w:val="center"/>
            </w:pPr>
            <w:r>
              <w:rPr>
                <w:rFonts w:eastAsiaTheme="minorEastAsia"/>
                <w:color w:val="000000" w:themeColor="text1"/>
                <w:szCs w:val="21"/>
              </w:rPr>
              <w:t>-</w:t>
            </w:r>
          </w:p>
        </w:tc>
        <w:tc>
          <w:tcPr>
            <w:tcW w:w="3118" w:type="dxa"/>
            <w:vAlign w:val="center"/>
          </w:tcPr>
          <w:p w:rsidR="00B21E02" w:rsidRDefault="00B72BC6">
            <w:pPr>
              <w:jc w:val="center"/>
            </w:pPr>
            <w:r>
              <w:rPr>
                <w:rFonts w:eastAsiaTheme="minorEastAsia"/>
                <w:color w:val="000000" w:themeColor="text1"/>
                <w:szCs w:val="21"/>
              </w:rPr>
              <w:t>-</w:t>
            </w:r>
          </w:p>
        </w:tc>
      </w:tr>
      <w:tr w:rsidR="00B21E02">
        <w:trPr>
          <w:jc w:val="center"/>
        </w:trPr>
        <w:tc>
          <w:tcPr>
            <w:tcW w:w="2397" w:type="dxa"/>
            <w:vAlign w:val="center"/>
          </w:tcPr>
          <w:p w:rsidR="00B21E02" w:rsidRDefault="00B72BC6">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B21E02" w:rsidRDefault="00B72BC6">
            <w:pPr>
              <w:jc w:val="center"/>
            </w:pPr>
            <w:r>
              <w:rPr>
                <w:rFonts w:eastAsiaTheme="minorEastAsia"/>
                <w:color w:val="000000" w:themeColor="text1"/>
                <w:szCs w:val="21"/>
              </w:rPr>
              <w:t>10,157,520.00</w:t>
            </w:r>
          </w:p>
        </w:tc>
        <w:tc>
          <w:tcPr>
            <w:tcW w:w="3118" w:type="dxa"/>
            <w:vAlign w:val="center"/>
          </w:tcPr>
          <w:p w:rsidR="00B21E02" w:rsidRDefault="00B72BC6">
            <w:pPr>
              <w:jc w:val="center"/>
            </w:pPr>
            <w:r>
              <w:rPr>
                <w:rFonts w:eastAsiaTheme="minorEastAsia"/>
                <w:color w:val="000000" w:themeColor="text1"/>
                <w:szCs w:val="21"/>
              </w:rPr>
              <w:t>2.22</w:t>
            </w:r>
          </w:p>
        </w:tc>
      </w:tr>
      <w:tr w:rsidR="00B21E02">
        <w:trPr>
          <w:jc w:val="center"/>
        </w:trPr>
        <w:tc>
          <w:tcPr>
            <w:tcW w:w="2397" w:type="dxa"/>
            <w:vAlign w:val="center"/>
          </w:tcPr>
          <w:p w:rsidR="00B21E02" w:rsidRDefault="00B72BC6">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B21E02" w:rsidRDefault="00B72BC6">
            <w:pPr>
              <w:jc w:val="center"/>
            </w:pPr>
            <w:r>
              <w:rPr>
                <w:rFonts w:eastAsiaTheme="minorEastAsia"/>
                <w:color w:val="000000" w:themeColor="text1"/>
                <w:szCs w:val="21"/>
              </w:rPr>
              <w:t>-</w:t>
            </w:r>
          </w:p>
        </w:tc>
        <w:tc>
          <w:tcPr>
            <w:tcW w:w="3118" w:type="dxa"/>
            <w:vAlign w:val="center"/>
          </w:tcPr>
          <w:p w:rsidR="00B21E02" w:rsidRDefault="00B72BC6">
            <w:pPr>
              <w:jc w:val="center"/>
            </w:pPr>
            <w:r>
              <w:rPr>
                <w:rFonts w:eastAsiaTheme="minorEastAsia"/>
                <w:color w:val="000000" w:themeColor="text1"/>
                <w:szCs w:val="21"/>
              </w:rPr>
              <w:t>-</w:t>
            </w:r>
          </w:p>
        </w:tc>
      </w:tr>
      <w:tr w:rsidR="00B21E02">
        <w:trPr>
          <w:jc w:val="center"/>
        </w:trPr>
        <w:tc>
          <w:tcPr>
            <w:tcW w:w="2397" w:type="dxa"/>
            <w:vAlign w:val="center"/>
          </w:tcPr>
          <w:p w:rsidR="00B21E02" w:rsidRDefault="00B72BC6">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B21E02" w:rsidRDefault="00B72BC6">
            <w:pPr>
              <w:jc w:val="center"/>
            </w:pPr>
            <w:r>
              <w:rPr>
                <w:rFonts w:eastAsiaTheme="minorEastAsia"/>
                <w:color w:val="000000" w:themeColor="text1"/>
                <w:szCs w:val="21"/>
              </w:rPr>
              <w:t>1,311,888.00</w:t>
            </w:r>
          </w:p>
        </w:tc>
        <w:tc>
          <w:tcPr>
            <w:tcW w:w="3118" w:type="dxa"/>
            <w:vAlign w:val="center"/>
          </w:tcPr>
          <w:p w:rsidR="00B21E02" w:rsidRDefault="00B72BC6">
            <w:pPr>
              <w:jc w:val="center"/>
            </w:pPr>
            <w:r>
              <w:rPr>
                <w:rFonts w:eastAsiaTheme="minorEastAsia"/>
                <w:color w:val="000000" w:themeColor="text1"/>
                <w:szCs w:val="21"/>
              </w:rPr>
              <w:t>0.29</w:t>
            </w:r>
          </w:p>
        </w:tc>
      </w:tr>
      <w:tr w:rsidR="00B21E02">
        <w:trPr>
          <w:jc w:val="center"/>
        </w:trPr>
        <w:tc>
          <w:tcPr>
            <w:tcW w:w="2397" w:type="dxa"/>
            <w:vAlign w:val="center"/>
          </w:tcPr>
          <w:p w:rsidR="00B21E02" w:rsidRDefault="00B72BC6">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B21E02" w:rsidRDefault="00B72BC6">
            <w:pPr>
              <w:jc w:val="center"/>
            </w:pPr>
            <w:r>
              <w:rPr>
                <w:rFonts w:eastAsiaTheme="minorEastAsia"/>
                <w:color w:val="000000" w:themeColor="text1"/>
                <w:szCs w:val="21"/>
              </w:rPr>
              <w:t>-</w:t>
            </w:r>
          </w:p>
        </w:tc>
        <w:tc>
          <w:tcPr>
            <w:tcW w:w="3118" w:type="dxa"/>
            <w:vAlign w:val="center"/>
          </w:tcPr>
          <w:p w:rsidR="00B21E02" w:rsidRDefault="00B72BC6">
            <w:pPr>
              <w:jc w:val="center"/>
            </w:pPr>
            <w:r>
              <w:rPr>
                <w:rFonts w:eastAsiaTheme="minorEastAsia"/>
                <w:color w:val="000000" w:themeColor="text1"/>
                <w:szCs w:val="21"/>
              </w:rPr>
              <w:t>-</w:t>
            </w:r>
          </w:p>
        </w:tc>
      </w:tr>
      <w:tr w:rsidR="00B21E02">
        <w:trPr>
          <w:jc w:val="center"/>
        </w:trPr>
        <w:tc>
          <w:tcPr>
            <w:tcW w:w="2397" w:type="dxa"/>
            <w:vAlign w:val="center"/>
          </w:tcPr>
          <w:p w:rsidR="00B21E02" w:rsidRDefault="00B72BC6">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B21E02" w:rsidRDefault="00B72BC6">
            <w:pPr>
              <w:jc w:val="center"/>
            </w:pPr>
            <w:r>
              <w:rPr>
                <w:rFonts w:eastAsiaTheme="minorEastAsia"/>
                <w:color w:val="000000" w:themeColor="text1"/>
                <w:szCs w:val="21"/>
              </w:rPr>
              <w:t>-</w:t>
            </w:r>
          </w:p>
        </w:tc>
        <w:tc>
          <w:tcPr>
            <w:tcW w:w="3118" w:type="dxa"/>
            <w:vAlign w:val="center"/>
          </w:tcPr>
          <w:p w:rsidR="00B21E02" w:rsidRDefault="00B72BC6">
            <w:pPr>
              <w:jc w:val="center"/>
            </w:pPr>
            <w:r>
              <w:rPr>
                <w:rFonts w:eastAsiaTheme="minorEastAsia"/>
                <w:color w:val="000000" w:themeColor="text1"/>
                <w:szCs w:val="21"/>
              </w:rPr>
              <w:t>-</w:t>
            </w:r>
          </w:p>
        </w:tc>
      </w:tr>
      <w:tr w:rsidR="00B21E02">
        <w:trPr>
          <w:jc w:val="center"/>
        </w:trPr>
        <w:tc>
          <w:tcPr>
            <w:tcW w:w="2397" w:type="dxa"/>
            <w:vAlign w:val="center"/>
          </w:tcPr>
          <w:p w:rsidR="00B21E02" w:rsidRDefault="00B72BC6">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B21E02" w:rsidRDefault="00B72BC6">
            <w:pPr>
              <w:jc w:val="center"/>
            </w:pPr>
            <w:r>
              <w:rPr>
                <w:rFonts w:eastAsiaTheme="minorEastAsia"/>
                <w:color w:val="000000" w:themeColor="text1"/>
                <w:szCs w:val="21"/>
              </w:rPr>
              <w:t>13,888,240.00</w:t>
            </w:r>
          </w:p>
        </w:tc>
        <w:tc>
          <w:tcPr>
            <w:tcW w:w="3118" w:type="dxa"/>
            <w:vAlign w:val="center"/>
          </w:tcPr>
          <w:p w:rsidR="00B21E02" w:rsidRDefault="00B72BC6">
            <w:pPr>
              <w:jc w:val="center"/>
            </w:pPr>
            <w:r>
              <w:rPr>
                <w:rFonts w:eastAsiaTheme="minorEastAsia"/>
                <w:color w:val="000000" w:themeColor="text1"/>
                <w:szCs w:val="21"/>
              </w:rPr>
              <w:t>3.04</w:t>
            </w:r>
          </w:p>
        </w:tc>
      </w:tr>
      <w:tr w:rsidR="00B21E02">
        <w:trPr>
          <w:jc w:val="center"/>
        </w:trPr>
        <w:tc>
          <w:tcPr>
            <w:tcW w:w="2397" w:type="dxa"/>
            <w:vAlign w:val="center"/>
          </w:tcPr>
          <w:p w:rsidR="00B21E02" w:rsidRDefault="00B72BC6">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B21E02" w:rsidRDefault="00B72BC6">
            <w:pPr>
              <w:jc w:val="center"/>
            </w:pPr>
            <w:r>
              <w:rPr>
                <w:rFonts w:eastAsiaTheme="minorEastAsia"/>
                <w:color w:val="000000" w:themeColor="text1"/>
                <w:szCs w:val="21"/>
              </w:rPr>
              <w:t>-</w:t>
            </w:r>
          </w:p>
        </w:tc>
        <w:tc>
          <w:tcPr>
            <w:tcW w:w="3118" w:type="dxa"/>
            <w:vAlign w:val="center"/>
          </w:tcPr>
          <w:p w:rsidR="00B21E02" w:rsidRDefault="00B72BC6">
            <w:pPr>
              <w:jc w:val="center"/>
            </w:pPr>
            <w:r>
              <w:rPr>
                <w:rFonts w:eastAsiaTheme="minorEastAsia"/>
                <w:color w:val="000000" w:themeColor="text1"/>
                <w:szCs w:val="21"/>
              </w:rPr>
              <w:t>-</w:t>
            </w:r>
          </w:p>
        </w:tc>
      </w:tr>
      <w:tr w:rsidR="00B21E02">
        <w:trPr>
          <w:jc w:val="center"/>
        </w:trPr>
        <w:tc>
          <w:tcPr>
            <w:tcW w:w="2397" w:type="dxa"/>
            <w:vAlign w:val="center"/>
          </w:tcPr>
          <w:p w:rsidR="00B21E02" w:rsidRDefault="00B72BC6">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B21E02" w:rsidRDefault="00B72BC6">
            <w:pPr>
              <w:jc w:val="center"/>
            </w:pPr>
            <w:r>
              <w:rPr>
                <w:rFonts w:eastAsiaTheme="minorEastAsia"/>
                <w:color w:val="000000" w:themeColor="text1"/>
                <w:szCs w:val="21"/>
              </w:rPr>
              <w:t>-</w:t>
            </w:r>
          </w:p>
        </w:tc>
        <w:tc>
          <w:tcPr>
            <w:tcW w:w="3118" w:type="dxa"/>
            <w:vAlign w:val="center"/>
          </w:tcPr>
          <w:p w:rsidR="00B21E02" w:rsidRDefault="00B72BC6">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25,357,648.00</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5.55</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B21E02">
        <w:tc>
          <w:tcPr>
            <w:tcW w:w="817" w:type="dxa"/>
            <w:vAlign w:val="center"/>
          </w:tcPr>
          <w:p w:rsidR="00B21E02" w:rsidRDefault="00B72BC6">
            <w:pPr>
              <w:jc w:val="center"/>
            </w:pPr>
            <w:r>
              <w:rPr>
                <w:rFonts w:eastAsiaTheme="minorEastAsia"/>
                <w:kern w:val="0"/>
                <w:szCs w:val="21"/>
              </w:rPr>
              <w:t>1</w:t>
            </w:r>
          </w:p>
        </w:tc>
        <w:tc>
          <w:tcPr>
            <w:tcW w:w="1276" w:type="dxa"/>
            <w:vAlign w:val="center"/>
          </w:tcPr>
          <w:p w:rsidR="00B21E02" w:rsidRDefault="00B72BC6">
            <w:pPr>
              <w:jc w:val="center"/>
            </w:pPr>
            <w:r>
              <w:rPr>
                <w:rFonts w:eastAsiaTheme="minorEastAsia"/>
                <w:kern w:val="0"/>
                <w:szCs w:val="21"/>
              </w:rPr>
              <w:t>002236</w:t>
            </w:r>
          </w:p>
        </w:tc>
        <w:tc>
          <w:tcPr>
            <w:tcW w:w="1701" w:type="dxa"/>
            <w:vAlign w:val="center"/>
          </w:tcPr>
          <w:p w:rsidR="00B21E02" w:rsidRDefault="00B72BC6">
            <w:pPr>
              <w:jc w:val="center"/>
            </w:pPr>
            <w:r>
              <w:rPr>
                <w:rFonts w:eastAsiaTheme="minorEastAsia"/>
                <w:kern w:val="0"/>
                <w:szCs w:val="21"/>
              </w:rPr>
              <w:t>大华股份</w:t>
            </w:r>
          </w:p>
        </w:tc>
        <w:tc>
          <w:tcPr>
            <w:tcW w:w="1276" w:type="dxa"/>
            <w:vAlign w:val="center"/>
          </w:tcPr>
          <w:p w:rsidR="00B21E02" w:rsidRDefault="00B72BC6">
            <w:pPr>
              <w:jc w:val="right"/>
            </w:pPr>
            <w:r>
              <w:rPr>
                <w:rFonts w:eastAsiaTheme="minorEastAsia"/>
                <w:kern w:val="0"/>
                <w:szCs w:val="21"/>
              </w:rPr>
              <w:t>754,914.00</w:t>
            </w:r>
          </w:p>
        </w:tc>
        <w:tc>
          <w:tcPr>
            <w:tcW w:w="1842" w:type="dxa"/>
            <w:vAlign w:val="center"/>
          </w:tcPr>
          <w:p w:rsidR="00B21E02" w:rsidRDefault="00B72BC6">
            <w:pPr>
              <w:jc w:val="right"/>
            </w:pPr>
            <w:r>
              <w:rPr>
                <w:rFonts w:eastAsiaTheme="minorEastAsia"/>
                <w:kern w:val="0"/>
                <w:szCs w:val="21"/>
              </w:rPr>
              <w:t>14,267,874.60</w:t>
            </w:r>
          </w:p>
        </w:tc>
        <w:tc>
          <w:tcPr>
            <w:tcW w:w="1616" w:type="dxa"/>
            <w:vAlign w:val="center"/>
          </w:tcPr>
          <w:p w:rsidR="00B21E02" w:rsidRDefault="00B72BC6">
            <w:pPr>
              <w:jc w:val="right"/>
            </w:pPr>
            <w:r>
              <w:rPr>
                <w:rFonts w:eastAsiaTheme="minorEastAsia"/>
                <w:kern w:val="0"/>
                <w:szCs w:val="21"/>
              </w:rPr>
              <w:t>3.12</w:t>
            </w:r>
          </w:p>
        </w:tc>
      </w:tr>
      <w:tr w:rsidR="00B21E02">
        <w:tc>
          <w:tcPr>
            <w:tcW w:w="817" w:type="dxa"/>
            <w:vAlign w:val="center"/>
          </w:tcPr>
          <w:p w:rsidR="00B21E02" w:rsidRDefault="00B72BC6">
            <w:pPr>
              <w:jc w:val="center"/>
            </w:pPr>
            <w:r>
              <w:rPr>
                <w:rFonts w:eastAsiaTheme="minorEastAsia"/>
                <w:kern w:val="0"/>
                <w:szCs w:val="21"/>
              </w:rPr>
              <w:t>2</w:t>
            </w:r>
          </w:p>
        </w:tc>
        <w:tc>
          <w:tcPr>
            <w:tcW w:w="1276" w:type="dxa"/>
            <w:vAlign w:val="center"/>
          </w:tcPr>
          <w:p w:rsidR="00B21E02" w:rsidRDefault="00B72BC6">
            <w:pPr>
              <w:jc w:val="center"/>
            </w:pPr>
            <w:r>
              <w:rPr>
                <w:rFonts w:eastAsiaTheme="minorEastAsia"/>
                <w:kern w:val="0"/>
                <w:szCs w:val="21"/>
              </w:rPr>
              <w:t>601088</w:t>
            </w:r>
          </w:p>
        </w:tc>
        <w:tc>
          <w:tcPr>
            <w:tcW w:w="1701" w:type="dxa"/>
            <w:vAlign w:val="center"/>
          </w:tcPr>
          <w:p w:rsidR="00B21E02" w:rsidRDefault="00B72BC6">
            <w:pPr>
              <w:jc w:val="center"/>
            </w:pPr>
            <w:r>
              <w:rPr>
                <w:rFonts w:eastAsiaTheme="minorEastAsia"/>
                <w:kern w:val="0"/>
                <w:szCs w:val="21"/>
              </w:rPr>
              <w:t>中国神华</w:t>
            </w:r>
          </w:p>
        </w:tc>
        <w:tc>
          <w:tcPr>
            <w:tcW w:w="1276" w:type="dxa"/>
            <w:vAlign w:val="center"/>
          </w:tcPr>
          <w:p w:rsidR="00B21E02" w:rsidRDefault="00B72BC6">
            <w:pPr>
              <w:jc w:val="right"/>
            </w:pPr>
            <w:r>
              <w:rPr>
                <w:rFonts w:eastAsiaTheme="minorEastAsia"/>
                <w:kern w:val="0"/>
                <w:szCs w:val="21"/>
              </w:rPr>
              <w:t>244,562.00</w:t>
            </w:r>
          </w:p>
        </w:tc>
        <w:tc>
          <w:tcPr>
            <w:tcW w:w="1842" w:type="dxa"/>
            <w:vAlign w:val="center"/>
          </w:tcPr>
          <w:p w:rsidR="00B21E02" w:rsidRDefault="00B72BC6">
            <w:pPr>
              <w:jc w:val="right"/>
            </w:pPr>
            <w:r>
              <w:rPr>
                <w:rFonts w:eastAsiaTheme="minorEastAsia"/>
                <w:kern w:val="0"/>
                <w:szCs w:val="21"/>
              </w:rPr>
              <w:t>9,559,928.58</w:t>
            </w:r>
          </w:p>
        </w:tc>
        <w:tc>
          <w:tcPr>
            <w:tcW w:w="1616" w:type="dxa"/>
            <w:vAlign w:val="center"/>
          </w:tcPr>
          <w:p w:rsidR="00B21E02" w:rsidRDefault="00B72BC6">
            <w:pPr>
              <w:jc w:val="right"/>
            </w:pPr>
            <w:r>
              <w:rPr>
                <w:rFonts w:eastAsiaTheme="minorEastAsia"/>
                <w:kern w:val="0"/>
                <w:szCs w:val="21"/>
              </w:rPr>
              <w:t>2.09</w:t>
            </w:r>
          </w:p>
        </w:tc>
      </w:tr>
      <w:tr w:rsidR="00B21E02">
        <w:tc>
          <w:tcPr>
            <w:tcW w:w="817" w:type="dxa"/>
            <w:vAlign w:val="center"/>
          </w:tcPr>
          <w:p w:rsidR="00B21E02" w:rsidRDefault="00B72BC6">
            <w:pPr>
              <w:jc w:val="center"/>
            </w:pPr>
            <w:r>
              <w:rPr>
                <w:rFonts w:eastAsiaTheme="minorEastAsia"/>
                <w:kern w:val="0"/>
                <w:szCs w:val="21"/>
              </w:rPr>
              <w:t>2</w:t>
            </w:r>
          </w:p>
        </w:tc>
        <w:tc>
          <w:tcPr>
            <w:tcW w:w="1276" w:type="dxa"/>
            <w:vAlign w:val="center"/>
          </w:tcPr>
          <w:p w:rsidR="00B21E02" w:rsidRDefault="00B72BC6">
            <w:pPr>
              <w:jc w:val="center"/>
            </w:pPr>
            <w:r>
              <w:rPr>
                <w:rFonts w:eastAsiaTheme="minorEastAsia"/>
                <w:kern w:val="0"/>
                <w:szCs w:val="21"/>
              </w:rPr>
              <w:t>01088</w:t>
            </w:r>
          </w:p>
        </w:tc>
        <w:tc>
          <w:tcPr>
            <w:tcW w:w="1701" w:type="dxa"/>
            <w:vAlign w:val="center"/>
          </w:tcPr>
          <w:p w:rsidR="00B21E02" w:rsidRDefault="00B72BC6">
            <w:pPr>
              <w:jc w:val="center"/>
            </w:pPr>
            <w:r>
              <w:rPr>
                <w:rFonts w:eastAsiaTheme="minorEastAsia"/>
                <w:kern w:val="0"/>
                <w:szCs w:val="21"/>
              </w:rPr>
              <w:t>中国神华</w:t>
            </w:r>
          </w:p>
        </w:tc>
        <w:tc>
          <w:tcPr>
            <w:tcW w:w="1276" w:type="dxa"/>
            <w:vAlign w:val="center"/>
          </w:tcPr>
          <w:p w:rsidR="00B21E02" w:rsidRDefault="00B72BC6">
            <w:pPr>
              <w:jc w:val="right"/>
            </w:pPr>
            <w:r>
              <w:rPr>
                <w:rFonts w:eastAsiaTheme="minorEastAsia"/>
                <w:kern w:val="0"/>
                <w:szCs w:val="21"/>
              </w:rPr>
              <w:t>167,500.00</w:t>
            </w:r>
          </w:p>
        </w:tc>
        <w:tc>
          <w:tcPr>
            <w:tcW w:w="1842" w:type="dxa"/>
            <w:vAlign w:val="center"/>
          </w:tcPr>
          <w:p w:rsidR="00B21E02" w:rsidRDefault="00B72BC6">
            <w:pPr>
              <w:jc w:val="right"/>
            </w:pPr>
            <w:r>
              <w:rPr>
                <w:rFonts w:eastAsiaTheme="minorEastAsia"/>
                <w:kern w:val="0"/>
                <w:szCs w:val="21"/>
              </w:rPr>
              <w:t>4,669,900.00</w:t>
            </w:r>
          </w:p>
        </w:tc>
        <w:tc>
          <w:tcPr>
            <w:tcW w:w="1616" w:type="dxa"/>
            <w:vAlign w:val="center"/>
          </w:tcPr>
          <w:p w:rsidR="00B21E02" w:rsidRDefault="00B72BC6">
            <w:pPr>
              <w:jc w:val="right"/>
            </w:pPr>
            <w:r>
              <w:rPr>
                <w:rFonts w:eastAsiaTheme="minorEastAsia"/>
                <w:kern w:val="0"/>
                <w:szCs w:val="21"/>
              </w:rPr>
              <w:t>1.02</w:t>
            </w:r>
          </w:p>
        </w:tc>
      </w:tr>
      <w:tr w:rsidR="00B21E02">
        <w:tc>
          <w:tcPr>
            <w:tcW w:w="817" w:type="dxa"/>
            <w:vAlign w:val="center"/>
          </w:tcPr>
          <w:p w:rsidR="00B21E02" w:rsidRDefault="00B72BC6">
            <w:pPr>
              <w:jc w:val="center"/>
            </w:pPr>
            <w:r>
              <w:rPr>
                <w:rFonts w:eastAsiaTheme="minorEastAsia"/>
                <w:kern w:val="0"/>
                <w:szCs w:val="21"/>
              </w:rPr>
              <w:t>3</w:t>
            </w:r>
          </w:p>
        </w:tc>
        <w:tc>
          <w:tcPr>
            <w:tcW w:w="1276" w:type="dxa"/>
            <w:vAlign w:val="center"/>
          </w:tcPr>
          <w:p w:rsidR="00B21E02" w:rsidRDefault="00B72BC6">
            <w:pPr>
              <w:jc w:val="center"/>
            </w:pPr>
            <w:r>
              <w:rPr>
                <w:rFonts w:eastAsiaTheme="minorEastAsia"/>
                <w:kern w:val="0"/>
                <w:szCs w:val="21"/>
              </w:rPr>
              <w:t>600938</w:t>
            </w:r>
          </w:p>
        </w:tc>
        <w:tc>
          <w:tcPr>
            <w:tcW w:w="1701" w:type="dxa"/>
            <w:vAlign w:val="center"/>
          </w:tcPr>
          <w:p w:rsidR="00B21E02" w:rsidRDefault="00B72BC6">
            <w:pPr>
              <w:jc w:val="center"/>
            </w:pPr>
            <w:r>
              <w:rPr>
                <w:rFonts w:eastAsiaTheme="minorEastAsia"/>
                <w:kern w:val="0"/>
                <w:szCs w:val="21"/>
              </w:rPr>
              <w:t>中国海油</w:t>
            </w:r>
          </w:p>
        </w:tc>
        <w:tc>
          <w:tcPr>
            <w:tcW w:w="1276" w:type="dxa"/>
            <w:vAlign w:val="center"/>
          </w:tcPr>
          <w:p w:rsidR="00B21E02" w:rsidRDefault="00B72BC6">
            <w:pPr>
              <w:jc w:val="right"/>
            </w:pPr>
            <w:r>
              <w:rPr>
                <w:rFonts w:eastAsiaTheme="minorEastAsia"/>
                <w:kern w:val="0"/>
                <w:szCs w:val="21"/>
              </w:rPr>
              <w:t>263,200.00</w:t>
            </w:r>
          </w:p>
        </w:tc>
        <w:tc>
          <w:tcPr>
            <w:tcW w:w="1842" w:type="dxa"/>
            <w:vAlign w:val="center"/>
          </w:tcPr>
          <w:p w:rsidR="00B21E02" w:rsidRDefault="00B72BC6">
            <w:pPr>
              <w:jc w:val="right"/>
            </w:pPr>
            <w:r>
              <w:rPr>
                <w:rFonts w:eastAsiaTheme="minorEastAsia"/>
                <w:kern w:val="0"/>
                <w:szCs w:val="21"/>
              </w:rPr>
              <w:t>7,693,336.00</w:t>
            </w:r>
          </w:p>
        </w:tc>
        <w:tc>
          <w:tcPr>
            <w:tcW w:w="1616" w:type="dxa"/>
            <w:vAlign w:val="center"/>
          </w:tcPr>
          <w:p w:rsidR="00B21E02" w:rsidRDefault="00B72BC6">
            <w:pPr>
              <w:jc w:val="right"/>
            </w:pPr>
            <w:r>
              <w:rPr>
                <w:rFonts w:eastAsiaTheme="minorEastAsia"/>
                <w:kern w:val="0"/>
                <w:szCs w:val="21"/>
              </w:rPr>
              <w:t>1.68</w:t>
            </w:r>
          </w:p>
        </w:tc>
      </w:tr>
      <w:tr w:rsidR="00B21E02">
        <w:tc>
          <w:tcPr>
            <w:tcW w:w="817" w:type="dxa"/>
            <w:vAlign w:val="center"/>
          </w:tcPr>
          <w:p w:rsidR="00B21E02" w:rsidRDefault="00B72BC6">
            <w:pPr>
              <w:jc w:val="center"/>
            </w:pPr>
            <w:r>
              <w:rPr>
                <w:rFonts w:eastAsiaTheme="minorEastAsia"/>
                <w:kern w:val="0"/>
                <w:szCs w:val="21"/>
              </w:rPr>
              <w:t>3</w:t>
            </w:r>
          </w:p>
        </w:tc>
        <w:tc>
          <w:tcPr>
            <w:tcW w:w="1276" w:type="dxa"/>
            <w:vAlign w:val="center"/>
          </w:tcPr>
          <w:p w:rsidR="00B21E02" w:rsidRDefault="00B72BC6">
            <w:pPr>
              <w:jc w:val="center"/>
            </w:pPr>
            <w:r>
              <w:rPr>
                <w:rFonts w:eastAsiaTheme="minorEastAsia"/>
                <w:kern w:val="0"/>
                <w:szCs w:val="21"/>
              </w:rPr>
              <w:t>00883</w:t>
            </w:r>
          </w:p>
        </w:tc>
        <w:tc>
          <w:tcPr>
            <w:tcW w:w="1701" w:type="dxa"/>
            <w:vAlign w:val="center"/>
          </w:tcPr>
          <w:p w:rsidR="00B21E02" w:rsidRDefault="00B72BC6">
            <w:pPr>
              <w:jc w:val="center"/>
            </w:pPr>
            <w:r>
              <w:rPr>
                <w:rFonts w:eastAsiaTheme="minorEastAsia"/>
                <w:kern w:val="0"/>
                <w:szCs w:val="21"/>
              </w:rPr>
              <w:t>中国海洋石油</w:t>
            </w:r>
          </w:p>
        </w:tc>
        <w:tc>
          <w:tcPr>
            <w:tcW w:w="1276" w:type="dxa"/>
            <w:vAlign w:val="center"/>
          </w:tcPr>
          <w:p w:rsidR="00B21E02" w:rsidRDefault="00B72BC6">
            <w:pPr>
              <w:jc w:val="right"/>
            </w:pPr>
            <w:r>
              <w:rPr>
                <w:rFonts w:eastAsiaTheme="minorEastAsia"/>
                <w:kern w:val="0"/>
                <w:szCs w:val="21"/>
              </w:rPr>
              <w:t>334,000.00</w:t>
            </w:r>
          </w:p>
        </w:tc>
        <w:tc>
          <w:tcPr>
            <w:tcW w:w="1842" w:type="dxa"/>
            <w:vAlign w:val="center"/>
          </w:tcPr>
          <w:p w:rsidR="00B21E02" w:rsidRDefault="00B72BC6">
            <w:pPr>
              <w:jc w:val="right"/>
            </w:pPr>
            <w:r>
              <w:rPr>
                <w:rFonts w:eastAsiaTheme="minorEastAsia"/>
                <w:kern w:val="0"/>
                <w:szCs w:val="21"/>
              </w:rPr>
              <w:t>5,487,620.00</w:t>
            </w:r>
          </w:p>
        </w:tc>
        <w:tc>
          <w:tcPr>
            <w:tcW w:w="1616" w:type="dxa"/>
            <w:vAlign w:val="center"/>
          </w:tcPr>
          <w:p w:rsidR="00B21E02" w:rsidRDefault="00B72BC6">
            <w:pPr>
              <w:jc w:val="right"/>
            </w:pPr>
            <w:r>
              <w:rPr>
                <w:rFonts w:eastAsiaTheme="minorEastAsia"/>
                <w:kern w:val="0"/>
                <w:szCs w:val="21"/>
              </w:rPr>
              <w:t>1.20</w:t>
            </w:r>
          </w:p>
        </w:tc>
      </w:tr>
      <w:tr w:rsidR="00B21E02">
        <w:tc>
          <w:tcPr>
            <w:tcW w:w="817" w:type="dxa"/>
            <w:vAlign w:val="center"/>
          </w:tcPr>
          <w:p w:rsidR="00B21E02" w:rsidRDefault="00B72BC6">
            <w:pPr>
              <w:jc w:val="center"/>
            </w:pPr>
            <w:r>
              <w:rPr>
                <w:rFonts w:eastAsiaTheme="minorEastAsia"/>
                <w:kern w:val="0"/>
                <w:szCs w:val="21"/>
              </w:rPr>
              <w:t>4</w:t>
            </w:r>
          </w:p>
        </w:tc>
        <w:tc>
          <w:tcPr>
            <w:tcW w:w="1276" w:type="dxa"/>
            <w:vAlign w:val="center"/>
          </w:tcPr>
          <w:p w:rsidR="00B21E02" w:rsidRDefault="00B72BC6">
            <w:pPr>
              <w:jc w:val="center"/>
            </w:pPr>
            <w:r>
              <w:rPr>
                <w:rFonts w:eastAsiaTheme="minorEastAsia"/>
                <w:kern w:val="0"/>
                <w:szCs w:val="21"/>
              </w:rPr>
              <w:t>603477</w:t>
            </w:r>
          </w:p>
        </w:tc>
        <w:tc>
          <w:tcPr>
            <w:tcW w:w="1701" w:type="dxa"/>
            <w:vAlign w:val="center"/>
          </w:tcPr>
          <w:p w:rsidR="00B21E02" w:rsidRDefault="00B72BC6">
            <w:pPr>
              <w:jc w:val="center"/>
            </w:pPr>
            <w:r>
              <w:rPr>
                <w:rFonts w:eastAsiaTheme="minorEastAsia"/>
                <w:kern w:val="0"/>
                <w:szCs w:val="21"/>
              </w:rPr>
              <w:t>巨星农牧</w:t>
            </w:r>
          </w:p>
        </w:tc>
        <w:tc>
          <w:tcPr>
            <w:tcW w:w="1276" w:type="dxa"/>
            <w:vAlign w:val="center"/>
          </w:tcPr>
          <w:p w:rsidR="00B21E02" w:rsidRDefault="00B72BC6">
            <w:pPr>
              <w:jc w:val="right"/>
            </w:pPr>
            <w:r>
              <w:rPr>
                <w:rFonts w:eastAsiaTheme="minorEastAsia"/>
                <w:kern w:val="0"/>
                <w:szCs w:val="21"/>
              </w:rPr>
              <w:t>332,501.00</w:t>
            </w:r>
          </w:p>
        </w:tc>
        <w:tc>
          <w:tcPr>
            <w:tcW w:w="1842" w:type="dxa"/>
            <w:vAlign w:val="center"/>
          </w:tcPr>
          <w:p w:rsidR="00B21E02" w:rsidRDefault="00B72BC6">
            <w:pPr>
              <w:jc w:val="right"/>
            </w:pPr>
            <w:r>
              <w:rPr>
                <w:rFonts w:eastAsiaTheme="minorEastAsia"/>
                <w:kern w:val="0"/>
                <w:szCs w:val="21"/>
              </w:rPr>
              <w:t>12,156,236.56</w:t>
            </w:r>
          </w:p>
        </w:tc>
        <w:tc>
          <w:tcPr>
            <w:tcW w:w="1616" w:type="dxa"/>
            <w:vAlign w:val="center"/>
          </w:tcPr>
          <w:p w:rsidR="00B21E02" w:rsidRDefault="00B72BC6">
            <w:pPr>
              <w:jc w:val="right"/>
            </w:pPr>
            <w:r>
              <w:rPr>
                <w:rFonts w:eastAsiaTheme="minorEastAsia"/>
                <w:kern w:val="0"/>
                <w:szCs w:val="21"/>
              </w:rPr>
              <w:t>2.66</w:t>
            </w:r>
          </w:p>
        </w:tc>
      </w:tr>
      <w:tr w:rsidR="00B21E02">
        <w:tc>
          <w:tcPr>
            <w:tcW w:w="817" w:type="dxa"/>
            <w:vAlign w:val="center"/>
          </w:tcPr>
          <w:p w:rsidR="00B21E02" w:rsidRDefault="00B72BC6">
            <w:pPr>
              <w:jc w:val="center"/>
            </w:pPr>
            <w:r>
              <w:rPr>
                <w:rFonts w:eastAsiaTheme="minorEastAsia"/>
                <w:kern w:val="0"/>
                <w:szCs w:val="21"/>
              </w:rPr>
              <w:t>5</w:t>
            </w:r>
          </w:p>
        </w:tc>
        <w:tc>
          <w:tcPr>
            <w:tcW w:w="1276" w:type="dxa"/>
            <w:vAlign w:val="center"/>
          </w:tcPr>
          <w:p w:rsidR="00B21E02" w:rsidRDefault="00B72BC6">
            <w:pPr>
              <w:jc w:val="center"/>
            </w:pPr>
            <w:r>
              <w:rPr>
                <w:rFonts w:eastAsiaTheme="minorEastAsia"/>
                <w:kern w:val="0"/>
                <w:szCs w:val="21"/>
              </w:rPr>
              <w:t>00941</w:t>
            </w:r>
          </w:p>
        </w:tc>
        <w:tc>
          <w:tcPr>
            <w:tcW w:w="1701" w:type="dxa"/>
            <w:vAlign w:val="center"/>
          </w:tcPr>
          <w:p w:rsidR="00B21E02" w:rsidRDefault="00B72BC6">
            <w:pPr>
              <w:jc w:val="center"/>
            </w:pPr>
            <w:r>
              <w:rPr>
                <w:rFonts w:eastAsiaTheme="minorEastAsia"/>
                <w:kern w:val="0"/>
                <w:szCs w:val="21"/>
              </w:rPr>
              <w:t>中国移动</w:t>
            </w:r>
          </w:p>
        </w:tc>
        <w:tc>
          <w:tcPr>
            <w:tcW w:w="1276" w:type="dxa"/>
            <w:vAlign w:val="center"/>
          </w:tcPr>
          <w:p w:rsidR="00B21E02" w:rsidRDefault="00B72BC6">
            <w:pPr>
              <w:jc w:val="right"/>
            </w:pPr>
            <w:r>
              <w:rPr>
                <w:rFonts w:eastAsiaTheme="minorEastAsia"/>
                <w:kern w:val="0"/>
                <w:szCs w:val="21"/>
              </w:rPr>
              <w:t>140,000.00</w:t>
            </w:r>
          </w:p>
        </w:tc>
        <w:tc>
          <w:tcPr>
            <w:tcW w:w="1842" w:type="dxa"/>
            <w:vAlign w:val="center"/>
          </w:tcPr>
          <w:p w:rsidR="00B21E02" w:rsidRDefault="00B72BC6">
            <w:pPr>
              <w:jc w:val="right"/>
            </w:pPr>
            <w:r>
              <w:rPr>
                <w:rFonts w:eastAsiaTheme="minorEastAsia"/>
                <w:kern w:val="0"/>
                <w:szCs w:val="21"/>
              </w:rPr>
              <w:t>8,491,000.00</w:t>
            </w:r>
          </w:p>
        </w:tc>
        <w:tc>
          <w:tcPr>
            <w:tcW w:w="1616" w:type="dxa"/>
            <w:vAlign w:val="center"/>
          </w:tcPr>
          <w:p w:rsidR="00B21E02" w:rsidRDefault="00B72BC6">
            <w:pPr>
              <w:jc w:val="right"/>
            </w:pPr>
            <w:r>
              <w:rPr>
                <w:rFonts w:eastAsiaTheme="minorEastAsia"/>
                <w:kern w:val="0"/>
                <w:szCs w:val="21"/>
              </w:rPr>
              <w:t>1.86</w:t>
            </w:r>
          </w:p>
        </w:tc>
      </w:tr>
      <w:tr w:rsidR="00B21E02">
        <w:tc>
          <w:tcPr>
            <w:tcW w:w="817" w:type="dxa"/>
            <w:vAlign w:val="center"/>
          </w:tcPr>
          <w:p w:rsidR="00B21E02" w:rsidRDefault="00B72BC6">
            <w:pPr>
              <w:jc w:val="center"/>
            </w:pPr>
            <w:r>
              <w:rPr>
                <w:rFonts w:eastAsiaTheme="minorEastAsia"/>
                <w:kern w:val="0"/>
                <w:szCs w:val="21"/>
              </w:rPr>
              <w:lastRenderedPageBreak/>
              <w:t>5</w:t>
            </w:r>
          </w:p>
        </w:tc>
        <w:tc>
          <w:tcPr>
            <w:tcW w:w="1276" w:type="dxa"/>
            <w:vAlign w:val="center"/>
          </w:tcPr>
          <w:p w:rsidR="00B21E02" w:rsidRDefault="00B72BC6">
            <w:pPr>
              <w:jc w:val="center"/>
            </w:pPr>
            <w:r>
              <w:rPr>
                <w:rFonts w:eastAsiaTheme="minorEastAsia"/>
                <w:kern w:val="0"/>
                <w:szCs w:val="21"/>
              </w:rPr>
              <w:t>600941</w:t>
            </w:r>
          </w:p>
        </w:tc>
        <w:tc>
          <w:tcPr>
            <w:tcW w:w="1701" w:type="dxa"/>
            <w:vAlign w:val="center"/>
          </w:tcPr>
          <w:p w:rsidR="00B21E02" w:rsidRDefault="00B72BC6">
            <w:pPr>
              <w:jc w:val="center"/>
            </w:pPr>
            <w:r>
              <w:rPr>
                <w:rFonts w:eastAsiaTheme="minorEastAsia"/>
                <w:kern w:val="0"/>
                <w:szCs w:val="21"/>
              </w:rPr>
              <w:t>中国移动</w:t>
            </w:r>
          </w:p>
        </w:tc>
        <w:tc>
          <w:tcPr>
            <w:tcW w:w="1276" w:type="dxa"/>
            <w:vAlign w:val="center"/>
          </w:tcPr>
          <w:p w:rsidR="00B21E02" w:rsidRDefault="00B72BC6">
            <w:pPr>
              <w:jc w:val="right"/>
            </w:pPr>
            <w:r>
              <w:rPr>
                <w:rFonts w:eastAsiaTheme="minorEastAsia"/>
                <w:kern w:val="0"/>
                <w:szCs w:val="21"/>
              </w:rPr>
              <w:t>32,300.00</w:t>
            </w:r>
          </w:p>
        </w:tc>
        <w:tc>
          <w:tcPr>
            <w:tcW w:w="1842" w:type="dxa"/>
            <w:vAlign w:val="center"/>
          </w:tcPr>
          <w:p w:rsidR="00B21E02" w:rsidRDefault="00B72BC6">
            <w:pPr>
              <w:jc w:val="right"/>
            </w:pPr>
            <w:r>
              <w:rPr>
                <w:rFonts w:eastAsiaTheme="minorEastAsia"/>
                <w:kern w:val="0"/>
                <w:szCs w:val="21"/>
              </w:rPr>
              <w:t>3,416,048.00</w:t>
            </w:r>
          </w:p>
        </w:tc>
        <w:tc>
          <w:tcPr>
            <w:tcW w:w="1616" w:type="dxa"/>
            <w:vAlign w:val="center"/>
          </w:tcPr>
          <w:p w:rsidR="00B21E02" w:rsidRDefault="00B72BC6">
            <w:pPr>
              <w:jc w:val="right"/>
            </w:pPr>
            <w:r>
              <w:rPr>
                <w:rFonts w:eastAsiaTheme="minorEastAsia"/>
                <w:kern w:val="0"/>
                <w:szCs w:val="21"/>
              </w:rPr>
              <w:t>0.75</w:t>
            </w:r>
          </w:p>
        </w:tc>
      </w:tr>
      <w:tr w:rsidR="00B21E02">
        <w:tc>
          <w:tcPr>
            <w:tcW w:w="817" w:type="dxa"/>
            <w:vAlign w:val="center"/>
          </w:tcPr>
          <w:p w:rsidR="00B21E02" w:rsidRDefault="00B72BC6">
            <w:pPr>
              <w:jc w:val="center"/>
            </w:pPr>
            <w:r>
              <w:rPr>
                <w:rFonts w:eastAsiaTheme="minorEastAsia"/>
                <w:kern w:val="0"/>
                <w:szCs w:val="21"/>
              </w:rPr>
              <w:t>6</w:t>
            </w:r>
          </w:p>
        </w:tc>
        <w:tc>
          <w:tcPr>
            <w:tcW w:w="1276" w:type="dxa"/>
            <w:vAlign w:val="center"/>
          </w:tcPr>
          <w:p w:rsidR="00B21E02" w:rsidRDefault="00B72BC6">
            <w:pPr>
              <w:jc w:val="center"/>
            </w:pPr>
            <w:r>
              <w:rPr>
                <w:rFonts w:eastAsiaTheme="minorEastAsia"/>
                <w:kern w:val="0"/>
                <w:szCs w:val="21"/>
              </w:rPr>
              <w:t>002028</w:t>
            </w:r>
          </w:p>
        </w:tc>
        <w:tc>
          <w:tcPr>
            <w:tcW w:w="1701" w:type="dxa"/>
            <w:vAlign w:val="center"/>
          </w:tcPr>
          <w:p w:rsidR="00B21E02" w:rsidRDefault="00B72BC6">
            <w:pPr>
              <w:jc w:val="center"/>
            </w:pPr>
            <w:r>
              <w:rPr>
                <w:rFonts w:eastAsiaTheme="minorEastAsia"/>
                <w:kern w:val="0"/>
                <w:szCs w:val="21"/>
              </w:rPr>
              <w:t>思源电气</w:t>
            </w:r>
          </w:p>
        </w:tc>
        <w:tc>
          <w:tcPr>
            <w:tcW w:w="1276" w:type="dxa"/>
            <w:vAlign w:val="center"/>
          </w:tcPr>
          <w:p w:rsidR="00B21E02" w:rsidRDefault="00B72BC6">
            <w:pPr>
              <w:jc w:val="right"/>
            </w:pPr>
            <w:r>
              <w:rPr>
                <w:rFonts w:eastAsiaTheme="minorEastAsia"/>
                <w:kern w:val="0"/>
                <w:szCs w:val="21"/>
              </w:rPr>
              <w:t>193,512.00</w:t>
            </w:r>
          </w:p>
        </w:tc>
        <w:tc>
          <w:tcPr>
            <w:tcW w:w="1842" w:type="dxa"/>
            <w:vAlign w:val="center"/>
          </w:tcPr>
          <w:p w:rsidR="00B21E02" w:rsidRDefault="00B72BC6">
            <w:pPr>
              <w:jc w:val="right"/>
            </w:pPr>
            <w:r>
              <w:rPr>
                <w:rFonts w:eastAsiaTheme="minorEastAsia"/>
                <w:kern w:val="0"/>
                <w:szCs w:val="21"/>
              </w:rPr>
              <w:t>11,542,990.80</w:t>
            </w:r>
          </w:p>
        </w:tc>
        <w:tc>
          <w:tcPr>
            <w:tcW w:w="1616" w:type="dxa"/>
            <w:vAlign w:val="center"/>
          </w:tcPr>
          <w:p w:rsidR="00B21E02" w:rsidRDefault="00B72BC6">
            <w:pPr>
              <w:jc w:val="right"/>
            </w:pPr>
            <w:r>
              <w:rPr>
                <w:rFonts w:eastAsiaTheme="minorEastAsia"/>
                <w:kern w:val="0"/>
                <w:szCs w:val="21"/>
              </w:rPr>
              <w:t>2.53</w:t>
            </w:r>
          </w:p>
        </w:tc>
      </w:tr>
      <w:tr w:rsidR="00B21E02">
        <w:tc>
          <w:tcPr>
            <w:tcW w:w="817" w:type="dxa"/>
            <w:vAlign w:val="center"/>
          </w:tcPr>
          <w:p w:rsidR="00B21E02" w:rsidRDefault="00B72BC6">
            <w:pPr>
              <w:jc w:val="center"/>
            </w:pPr>
            <w:r>
              <w:rPr>
                <w:rFonts w:eastAsiaTheme="minorEastAsia"/>
                <w:kern w:val="0"/>
                <w:szCs w:val="21"/>
              </w:rPr>
              <w:t>7</w:t>
            </w:r>
          </w:p>
        </w:tc>
        <w:tc>
          <w:tcPr>
            <w:tcW w:w="1276" w:type="dxa"/>
            <w:vAlign w:val="center"/>
          </w:tcPr>
          <w:p w:rsidR="00B21E02" w:rsidRDefault="00B72BC6">
            <w:pPr>
              <w:jc w:val="center"/>
            </w:pPr>
            <w:r>
              <w:rPr>
                <w:rFonts w:eastAsiaTheme="minorEastAsia"/>
                <w:kern w:val="0"/>
                <w:szCs w:val="21"/>
              </w:rPr>
              <w:t>688100</w:t>
            </w:r>
          </w:p>
        </w:tc>
        <w:tc>
          <w:tcPr>
            <w:tcW w:w="1701" w:type="dxa"/>
            <w:vAlign w:val="center"/>
          </w:tcPr>
          <w:p w:rsidR="00B21E02" w:rsidRDefault="00B72BC6">
            <w:pPr>
              <w:jc w:val="center"/>
            </w:pPr>
            <w:r>
              <w:rPr>
                <w:rFonts w:eastAsiaTheme="minorEastAsia"/>
                <w:kern w:val="0"/>
                <w:szCs w:val="21"/>
              </w:rPr>
              <w:t>威胜信息</w:t>
            </w:r>
          </w:p>
        </w:tc>
        <w:tc>
          <w:tcPr>
            <w:tcW w:w="1276" w:type="dxa"/>
            <w:vAlign w:val="center"/>
          </w:tcPr>
          <w:p w:rsidR="00B21E02" w:rsidRDefault="00B72BC6">
            <w:pPr>
              <w:jc w:val="right"/>
            </w:pPr>
            <w:r>
              <w:rPr>
                <w:rFonts w:eastAsiaTheme="minorEastAsia"/>
                <w:kern w:val="0"/>
                <w:szCs w:val="21"/>
              </w:rPr>
              <w:t>323,740.00</w:t>
            </w:r>
          </w:p>
        </w:tc>
        <w:tc>
          <w:tcPr>
            <w:tcW w:w="1842" w:type="dxa"/>
            <w:vAlign w:val="center"/>
          </w:tcPr>
          <w:p w:rsidR="00B21E02" w:rsidRDefault="00B72BC6">
            <w:pPr>
              <w:jc w:val="right"/>
            </w:pPr>
            <w:r>
              <w:rPr>
                <w:rFonts w:eastAsiaTheme="minorEastAsia"/>
                <w:kern w:val="0"/>
                <w:szCs w:val="21"/>
              </w:rPr>
              <w:t>11,201,404.00</w:t>
            </w:r>
          </w:p>
        </w:tc>
        <w:tc>
          <w:tcPr>
            <w:tcW w:w="1616" w:type="dxa"/>
            <w:vAlign w:val="center"/>
          </w:tcPr>
          <w:p w:rsidR="00B21E02" w:rsidRDefault="00B72BC6">
            <w:pPr>
              <w:jc w:val="right"/>
            </w:pPr>
            <w:r>
              <w:rPr>
                <w:rFonts w:eastAsiaTheme="minorEastAsia"/>
                <w:kern w:val="0"/>
                <w:szCs w:val="21"/>
              </w:rPr>
              <w:t>2.45</w:t>
            </w:r>
          </w:p>
        </w:tc>
      </w:tr>
      <w:tr w:rsidR="00B21E02">
        <w:tc>
          <w:tcPr>
            <w:tcW w:w="817" w:type="dxa"/>
            <w:vAlign w:val="center"/>
          </w:tcPr>
          <w:p w:rsidR="00B21E02" w:rsidRDefault="00B72BC6">
            <w:pPr>
              <w:jc w:val="center"/>
            </w:pPr>
            <w:r>
              <w:rPr>
                <w:rFonts w:eastAsiaTheme="minorEastAsia"/>
                <w:kern w:val="0"/>
                <w:szCs w:val="21"/>
              </w:rPr>
              <w:t>8</w:t>
            </w:r>
          </w:p>
        </w:tc>
        <w:tc>
          <w:tcPr>
            <w:tcW w:w="1276" w:type="dxa"/>
            <w:vAlign w:val="center"/>
          </w:tcPr>
          <w:p w:rsidR="00B21E02" w:rsidRDefault="00B72BC6">
            <w:pPr>
              <w:jc w:val="center"/>
            </w:pPr>
            <w:r>
              <w:rPr>
                <w:rFonts w:eastAsiaTheme="minorEastAsia"/>
                <w:kern w:val="0"/>
                <w:szCs w:val="21"/>
              </w:rPr>
              <w:t>601899</w:t>
            </w:r>
          </w:p>
        </w:tc>
        <w:tc>
          <w:tcPr>
            <w:tcW w:w="1701" w:type="dxa"/>
            <w:vAlign w:val="center"/>
          </w:tcPr>
          <w:p w:rsidR="00B21E02" w:rsidRDefault="00B72BC6">
            <w:pPr>
              <w:jc w:val="center"/>
            </w:pPr>
            <w:r>
              <w:rPr>
                <w:rFonts w:eastAsiaTheme="minorEastAsia"/>
                <w:kern w:val="0"/>
                <w:szCs w:val="21"/>
              </w:rPr>
              <w:t>紫金矿业</w:t>
            </w:r>
          </w:p>
        </w:tc>
        <w:tc>
          <w:tcPr>
            <w:tcW w:w="1276" w:type="dxa"/>
            <w:vAlign w:val="center"/>
          </w:tcPr>
          <w:p w:rsidR="00B21E02" w:rsidRDefault="00B72BC6">
            <w:pPr>
              <w:jc w:val="right"/>
            </w:pPr>
            <w:r>
              <w:rPr>
                <w:rFonts w:eastAsiaTheme="minorEastAsia"/>
                <w:kern w:val="0"/>
                <w:szCs w:val="21"/>
              </w:rPr>
              <w:t>658,300.00</w:t>
            </w:r>
          </w:p>
        </w:tc>
        <w:tc>
          <w:tcPr>
            <w:tcW w:w="1842" w:type="dxa"/>
            <w:vAlign w:val="center"/>
          </w:tcPr>
          <w:p w:rsidR="00B21E02" w:rsidRDefault="00B72BC6">
            <w:pPr>
              <w:jc w:val="right"/>
            </w:pPr>
            <w:r>
              <w:rPr>
                <w:rFonts w:eastAsiaTheme="minorEastAsia"/>
                <w:kern w:val="0"/>
                <w:szCs w:val="21"/>
              </w:rPr>
              <w:t>11,072,606.00</w:t>
            </w:r>
          </w:p>
        </w:tc>
        <w:tc>
          <w:tcPr>
            <w:tcW w:w="1616" w:type="dxa"/>
            <w:vAlign w:val="center"/>
          </w:tcPr>
          <w:p w:rsidR="00B21E02" w:rsidRDefault="00B72BC6">
            <w:pPr>
              <w:jc w:val="right"/>
            </w:pPr>
            <w:r>
              <w:rPr>
                <w:rFonts w:eastAsiaTheme="minorEastAsia"/>
                <w:kern w:val="0"/>
                <w:szCs w:val="21"/>
              </w:rPr>
              <w:t>2.42</w:t>
            </w:r>
          </w:p>
        </w:tc>
      </w:tr>
      <w:tr w:rsidR="00B21E02">
        <w:tc>
          <w:tcPr>
            <w:tcW w:w="817" w:type="dxa"/>
            <w:vAlign w:val="center"/>
          </w:tcPr>
          <w:p w:rsidR="00B21E02" w:rsidRDefault="00B72BC6">
            <w:pPr>
              <w:jc w:val="center"/>
            </w:pPr>
            <w:r>
              <w:rPr>
                <w:rFonts w:eastAsiaTheme="minorEastAsia"/>
                <w:kern w:val="0"/>
                <w:szCs w:val="21"/>
              </w:rPr>
              <w:t>9</w:t>
            </w:r>
          </w:p>
        </w:tc>
        <w:tc>
          <w:tcPr>
            <w:tcW w:w="1276" w:type="dxa"/>
            <w:vAlign w:val="center"/>
          </w:tcPr>
          <w:p w:rsidR="00B21E02" w:rsidRDefault="00B72BC6">
            <w:pPr>
              <w:jc w:val="center"/>
            </w:pPr>
            <w:r>
              <w:rPr>
                <w:rFonts w:eastAsiaTheme="minorEastAsia"/>
                <w:kern w:val="0"/>
                <w:szCs w:val="21"/>
              </w:rPr>
              <w:t>300308</w:t>
            </w:r>
          </w:p>
        </w:tc>
        <w:tc>
          <w:tcPr>
            <w:tcW w:w="1701" w:type="dxa"/>
            <w:vAlign w:val="center"/>
          </w:tcPr>
          <w:p w:rsidR="00B21E02" w:rsidRDefault="00B72BC6">
            <w:pPr>
              <w:jc w:val="center"/>
            </w:pPr>
            <w:r>
              <w:rPr>
                <w:rFonts w:eastAsiaTheme="minorEastAsia"/>
                <w:kern w:val="0"/>
                <w:szCs w:val="21"/>
              </w:rPr>
              <w:t>中际旭创</w:t>
            </w:r>
          </w:p>
        </w:tc>
        <w:tc>
          <w:tcPr>
            <w:tcW w:w="1276" w:type="dxa"/>
            <w:vAlign w:val="center"/>
          </w:tcPr>
          <w:p w:rsidR="00B21E02" w:rsidRDefault="00B72BC6">
            <w:pPr>
              <w:jc w:val="right"/>
            </w:pPr>
            <w:r>
              <w:rPr>
                <w:rFonts w:eastAsiaTheme="minorEastAsia"/>
                <w:kern w:val="0"/>
                <w:szCs w:val="21"/>
              </w:rPr>
              <w:t>69,891.00</w:t>
            </w:r>
          </w:p>
        </w:tc>
        <w:tc>
          <w:tcPr>
            <w:tcW w:w="1842" w:type="dxa"/>
            <w:vAlign w:val="center"/>
          </w:tcPr>
          <w:p w:rsidR="00B21E02" w:rsidRDefault="00B72BC6">
            <w:pPr>
              <w:jc w:val="right"/>
            </w:pPr>
            <w:r>
              <w:rPr>
                <w:rFonts w:eastAsiaTheme="minorEastAsia"/>
                <w:kern w:val="0"/>
                <w:szCs w:val="21"/>
              </w:rPr>
              <w:t>10,942,134.96</w:t>
            </w:r>
          </w:p>
        </w:tc>
        <w:tc>
          <w:tcPr>
            <w:tcW w:w="1616" w:type="dxa"/>
            <w:vAlign w:val="center"/>
          </w:tcPr>
          <w:p w:rsidR="00B21E02" w:rsidRDefault="00B72BC6">
            <w:pPr>
              <w:jc w:val="right"/>
            </w:pPr>
            <w:r>
              <w:rPr>
                <w:rFonts w:eastAsiaTheme="minorEastAsia"/>
                <w:kern w:val="0"/>
                <w:szCs w:val="21"/>
              </w:rPr>
              <w:t>2.39</w:t>
            </w:r>
          </w:p>
        </w:tc>
      </w:tr>
      <w:tr w:rsidR="00B21E02">
        <w:tc>
          <w:tcPr>
            <w:tcW w:w="817" w:type="dxa"/>
            <w:vAlign w:val="center"/>
          </w:tcPr>
          <w:p w:rsidR="00B21E02" w:rsidRDefault="00B72BC6">
            <w:pPr>
              <w:jc w:val="center"/>
            </w:pPr>
            <w:r>
              <w:rPr>
                <w:rFonts w:eastAsiaTheme="minorEastAsia"/>
                <w:kern w:val="0"/>
                <w:szCs w:val="21"/>
              </w:rPr>
              <w:t>10</w:t>
            </w:r>
          </w:p>
        </w:tc>
        <w:tc>
          <w:tcPr>
            <w:tcW w:w="1276" w:type="dxa"/>
            <w:vAlign w:val="center"/>
          </w:tcPr>
          <w:p w:rsidR="00B21E02" w:rsidRDefault="00B72BC6">
            <w:pPr>
              <w:jc w:val="center"/>
            </w:pPr>
            <w:r>
              <w:rPr>
                <w:rFonts w:eastAsiaTheme="minorEastAsia"/>
                <w:kern w:val="0"/>
                <w:szCs w:val="21"/>
              </w:rPr>
              <w:t>603806</w:t>
            </w:r>
          </w:p>
        </w:tc>
        <w:tc>
          <w:tcPr>
            <w:tcW w:w="1701" w:type="dxa"/>
            <w:vAlign w:val="center"/>
          </w:tcPr>
          <w:p w:rsidR="00B21E02" w:rsidRDefault="00B72BC6">
            <w:pPr>
              <w:jc w:val="center"/>
            </w:pPr>
            <w:r>
              <w:rPr>
                <w:rFonts w:eastAsiaTheme="minorEastAsia"/>
                <w:kern w:val="0"/>
                <w:szCs w:val="21"/>
              </w:rPr>
              <w:t>福斯特</w:t>
            </w:r>
          </w:p>
        </w:tc>
        <w:tc>
          <w:tcPr>
            <w:tcW w:w="1276" w:type="dxa"/>
            <w:vAlign w:val="center"/>
          </w:tcPr>
          <w:p w:rsidR="00B21E02" w:rsidRDefault="00B72BC6">
            <w:pPr>
              <w:jc w:val="right"/>
            </w:pPr>
            <w:r>
              <w:rPr>
                <w:rFonts w:eastAsiaTheme="minorEastAsia"/>
                <w:kern w:val="0"/>
                <w:szCs w:val="21"/>
              </w:rPr>
              <w:t>371,261.00</w:t>
            </w:r>
          </w:p>
        </w:tc>
        <w:tc>
          <w:tcPr>
            <w:tcW w:w="1842" w:type="dxa"/>
            <w:vAlign w:val="center"/>
          </w:tcPr>
          <w:p w:rsidR="00B21E02" w:rsidRDefault="00B72BC6">
            <w:pPr>
              <w:jc w:val="right"/>
            </w:pPr>
            <w:r>
              <w:rPr>
                <w:rFonts w:eastAsiaTheme="minorEastAsia"/>
                <w:kern w:val="0"/>
                <w:szCs w:val="21"/>
              </w:rPr>
              <w:t>10,547,525.01</w:t>
            </w:r>
          </w:p>
        </w:tc>
        <w:tc>
          <w:tcPr>
            <w:tcW w:w="1616" w:type="dxa"/>
            <w:vAlign w:val="center"/>
          </w:tcPr>
          <w:p w:rsidR="00B21E02" w:rsidRDefault="00B72BC6">
            <w:pPr>
              <w:jc w:val="right"/>
            </w:pPr>
            <w:r>
              <w:rPr>
                <w:rFonts w:eastAsiaTheme="minorEastAsia"/>
                <w:kern w:val="0"/>
                <w:szCs w:val="21"/>
              </w:rPr>
              <w:t>2.31</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lastRenderedPageBreak/>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127,639.11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13,677.84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141,316.95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707,803,960.94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61,068,676.16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747,681.08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1,756,373.05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33,334,647.71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2,812,416.21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675,216,994.31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60,012,633.00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lastRenderedPageBreak/>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772,598.51</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772,598.51</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0.11</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摩根均衡优选混合型证券投资基金基金合同</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摩根均衡优选混合型证券投资基金托管协议</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B21E02" w:rsidRDefault="00B72B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72BC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72BC6">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72BC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摩根均衡优选混合型证券投资基金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1E02"/>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2BC6"/>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146DFB-C091-4C32-805B-9D63F507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26</TotalTime>
  <Pages>15</Pages>
  <Words>1283</Words>
  <Characters>7315</Characters>
  <Application>Microsoft Office Word</Application>
  <DocSecurity>0</DocSecurity>
  <Lines>60</Lines>
  <Paragraphs>17</Paragraphs>
  <ScaleCrop>false</ScaleCrop>
  <Company>TRT. Ltd. Co.</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Cynthia.Yu@FA</cp:lastModifiedBy>
  <cp:revision>220</cp:revision>
  <cp:lastPrinted>2007-07-19T00:46:00Z</cp:lastPrinted>
  <dcterms:created xsi:type="dcterms:W3CDTF">2013-06-21T06:56:00Z</dcterms:created>
  <dcterms:modified xsi:type="dcterms:W3CDTF">2024-04-19T06:50:00Z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