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摩根均衡优选混合型证券投资基金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摩根均衡优选混合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013091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735,229,627.31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w:t>
            </w:r>
            <w:r>
              <w:rPr>
                <w:rFonts w:eastAsiaTheme="minorEastAsia"/>
                <w:color w:val="000000" w:themeColor="text1"/>
                <w:kern w:val="0"/>
                <w:szCs w:val="21"/>
              </w:rPr>
              <w:t>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w:t>
            </w:r>
            <w:r>
              <w:rPr>
                <w:rFonts w:eastAsiaTheme="minorEastAsia"/>
                <w:color w:val="000000" w:themeColor="text1"/>
                <w:kern w:val="0"/>
                <w:szCs w:val="21"/>
              </w:rPr>
              <w:t>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股形成互补。本基金将通过自下而上方法挖掘优质个股，结合各项定量和定性指标挑选出最具上涨潜力的标的。</w:t>
            </w:r>
            <w:r>
              <w:rPr>
                <w:rFonts w:eastAsiaTheme="minorEastAsia"/>
                <w:color w:val="000000" w:themeColor="text1"/>
                <w:kern w:val="0"/>
                <w:szCs w:val="21"/>
              </w:rPr>
              <w:t xml:space="preserve"> </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债券投资策略</w:t>
            </w:r>
            <w:r>
              <w:rPr>
                <w:rFonts w:eastAsiaTheme="minorEastAsia"/>
                <w:color w:val="000000" w:themeColor="text1"/>
                <w:kern w:val="0"/>
                <w:szCs w:val="21"/>
              </w:rPr>
              <w:t xml:space="preserve"> </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w:t>
            </w:r>
            <w:r>
              <w:rPr>
                <w:rFonts w:eastAsiaTheme="minorEastAsia"/>
                <w:color w:val="000000" w:themeColor="text1"/>
                <w:kern w:val="0"/>
                <w:szCs w:val="21"/>
              </w:rPr>
              <w:lastRenderedPageBreak/>
              <w:t>管理，并根据对债券收益率曲线形态、息差变化的预测，对债券组合进行动态调整。其中对于可转换债券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B21E02" w:rsidRDefault="00B72B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675,216,994.31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60,012,633.00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-5,811,128.49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-526,936.76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10,918,754.43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977,297.98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420,019,605.66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36,865,044.82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0.6221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0.6143</w:t>
            </w:r>
          </w:p>
        </w:tc>
      </w:tr>
    </w:tbl>
    <w:p w:rsidR="00B21E02" w:rsidRDefault="00B72B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21E02">
        <w:tc>
          <w:tcPr>
            <w:tcW w:w="1290" w:type="dxa"/>
            <w:vAlign w:val="center"/>
          </w:tcPr>
          <w:p w:rsidR="00B21E02" w:rsidRDefault="00B72BC6">
            <w:pPr>
              <w:jc w:val="left"/>
            </w:pPr>
            <w:r>
              <w:rPr>
                <w:rFonts w:eastAsiaTheme="minorEastAsia"/>
                <w:color w:val="000000" w:themeColor="text1"/>
                <w:szCs w:val="21"/>
              </w:rPr>
              <w:t>过去三个月</w:t>
            </w:r>
          </w:p>
        </w:tc>
        <w:tc>
          <w:tcPr>
            <w:tcW w:w="1291" w:type="dxa"/>
            <w:vAlign w:val="center"/>
          </w:tcPr>
          <w:p w:rsidR="00B21E02" w:rsidRDefault="00B72BC6">
            <w:pPr>
              <w:jc w:val="right"/>
            </w:pPr>
            <w:r>
              <w:rPr>
                <w:rFonts w:eastAsiaTheme="minorEastAsia"/>
                <w:color w:val="000000" w:themeColor="text1"/>
                <w:szCs w:val="21"/>
              </w:rPr>
              <w:t>2.83%</w:t>
            </w:r>
          </w:p>
        </w:tc>
        <w:tc>
          <w:tcPr>
            <w:tcW w:w="1291" w:type="dxa"/>
            <w:vAlign w:val="center"/>
          </w:tcPr>
          <w:p w:rsidR="00B21E02" w:rsidRDefault="00B72BC6">
            <w:pPr>
              <w:jc w:val="right"/>
            </w:pPr>
            <w:r>
              <w:rPr>
                <w:rFonts w:eastAsiaTheme="minorEastAsia"/>
                <w:color w:val="000000" w:themeColor="text1"/>
                <w:szCs w:val="21"/>
              </w:rPr>
              <w:t>1.32%</w:t>
            </w:r>
          </w:p>
        </w:tc>
        <w:tc>
          <w:tcPr>
            <w:tcW w:w="1291" w:type="dxa"/>
            <w:vAlign w:val="center"/>
          </w:tcPr>
          <w:p w:rsidR="00B21E02" w:rsidRDefault="00B72BC6">
            <w:pPr>
              <w:jc w:val="right"/>
            </w:pPr>
            <w:r>
              <w:rPr>
                <w:rFonts w:eastAsiaTheme="minorEastAsia"/>
                <w:color w:val="000000" w:themeColor="text1"/>
                <w:szCs w:val="21"/>
              </w:rPr>
              <w:t>1.01%</w:t>
            </w:r>
          </w:p>
        </w:tc>
        <w:tc>
          <w:tcPr>
            <w:tcW w:w="1291" w:type="dxa"/>
            <w:vAlign w:val="center"/>
          </w:tcPr>
          <w:p w:rsidR="00B21E02" w:rsidRDefault="00B72BC6">
            <w:pPr>
              <w:jc w:val="right"/>
            </w:pPr>
            <w:r>
              <w:rPr>
                <w:rFonts w:eastAsiaTheme="minorEastAsia"/>
                <w:color w:val="000000" w:themeColor="text1"/>
                <w:szCs w:val="21"/>
              </w:rPr>
              <w:t>1.00%</w:t>
            </w:r>
          </w:p>
        </w:tc>
        <w:tc>
          <w:tcPr>
            <w:tcW w:w="1291" w:type="dxa"/>
            <w:vAlign w:val="center"/>
          </w:tcPr>
          <w:p w:rsidR="00B21E02" w:rsidRDefault="00B72BC6">
            <w:pPr>
              <w:jc w:val="right"/>
            </w:pPr>
            <w:r>
              <w:rPr>
                <w:rFonts w:eastAsiaTheme="minorEastAsia"/>
                <w:color w:val="000000" w:themeColor="text1"/>
                <w:szCs w:val="21"/>
              </w:rPr>
              <w:t>1.82%</w:t>
            </w:r>
          </w:p>
        </w:tc>
        <w:tc>
          <w:tcPr>
            <w:tcW w:w="1291" w:type="dxa"/>
            <w:vAlign w:val="center"/>
          </w:tcPr>
          <w:p w:rsidR="00B21E02" w:rsidRDefault="00B72BC6">
            <w:pPr>
              <w:jc w:val="right"/>
            </w:pPr>
            <w:r>
              <w:rPr>
                <w:rFonts w:eastAsiaTheme="minorEastAsia"/>
                <w:color w:val="000000" w:themeColor="text1"/>
                <w:szCs w:val="21"/>
              </w:rPr>
              <w:t>0.32%</w:t>
            </w:r>
          </w:p>
        </w:tc>
      </w:tr>
      <w:tr w:rsidR="00B21E02">
        <w:tc>
          <w:tcPr>
            <w:tcW w:w="1290" w:type="dxa"/>
            <w:vAlign w:val="center"/>
          </w:tcPr>
          <w:p w:rsidR="00B21E02" w:rsidRDefault="00B72BC6">
            <w:pPr>
              <w:jc w:val="left"/>
            </w:pPr>
            <w:r>
              <w:rPr>
                <w:rFonts w:eastAsiaTheme="minorEastAsia"/>
                <w:color w:val="000000" w:themeColor="text1"/>
                <w:szCs w:val="21"/>
              </w:rPr>
              <w:t>过去六个月</w:t>
            </w:r>
          </w:p>
        </w:tc>
        <w:tc>
          <w:tcPr>
            <w:tcW w:w="1291" w:type="dxa"/>
            <w:vAlign w:val="center"/>
          </w:tcPr>
          <w:p w:rsidR="00B21E02" w:rsidRDefault="00B72BC6">
            <w:pPr>
              <w:jc w:val="right"/>
            </w:pPr>
            <w:r>
              <w:rPr>
                <w:rFonts w:eastAsiaTheme="minorEastAsia"/>
                <w:color w:val="000000" w:themeColor="text1"/>
                <w:szCs w:val="21"/>
              </w:rPr>
              <w:t>-0.37%</w:t>
            </w:r>
          </w:p>
        </w:tc>
        <w:tc>
          <w:tcPr>
            <w:tcW w:w="1291" w:type="dxa"/>
            <w:vAlign w:val="center"/>
          </w:tcPr>
          <w:p w:rsidR="00B21E02" w:rsidRDefault="00B72BC6">
            <w:pPr>
              <w:jc w:val="right"/>
            </w:pPr>
            <w:r>
              <w:rPr>
                <w:rFonts w:eastAsiaTheme="minorEastAsia"/>
                <w:color w:val="000000" w:themeColor="text1"/>
                <w:szCs w:val="21"/>
              </w:rPr>
              <w:t>1.09%</w:t>
            </w:r>
          </w:p>
        </w:tc>
        <w:tc>
          <w:tcPr>
            <w:tcW w:w="1291" w:type="dxa"/>
            <w:vAlign w:val="center"/>
          </w:tcPr>
          <w:p w:rsidR="00B21E02" w:rsidRDefault="00B72BC6">
            <w:pPr>
              <w:jc w:val="right"/>
            </w:pPr>
            <w:r>
              <w:rPr>
                <w:rFonts w:eastAsiaTheme="minorEastAsia"/>
                <w:color w:val="000000" w:themeColor="text1"/>
                <w:szCs w:val="21"/>
              </w:rPr>
              <w:t>-4.41%</w:t>
            </w:r>
          </w:p>
        </w:tc>
        <w:tc>
          <w:tcPr>
            <w:tcW w:w="1291" w:type="dxa"/>
            <w:vAlign w:val="center"/>
          </w:tcPr>
          <w:p w:rsidR="00B21E02" w:rsidRDefault="00B72BC6">
            <w:pPr>
              <w:jc w:val="right"/>
            </w:pPr>
            <w:r>
              <w:rPr>
                <w:rFonts w:eastAsiaTheme="minorEastAsia"/>
                <w:color w:val="000000" w:themeColor="text1"/>
                <w:szCs w:val="21"/>
              </w:rPr>
              <w:t>0.85%</w:t>
            </w:r>
          </w:p>
        </w:tc>
        <w:tc>
          <w:tcPr>
            <w:tcW w:w="1291" w:type="dxa"/>
            <w:vAlign w:val="center"/>
          </w:tcPr>
          <w:p w:rsidR="00B21E02" w:rsidRDefault="00B72BC6">
            <w:pPr>
              <w:jc w:val="right"/>
            </w:pPr>
            <w:r>
              <w:rPr>
                <w:rFonts w:eastAsiaTheme="minorEastAsia"/>
                <w:color w:val="000000" w:themeColor="text1"/>
                <w:szCs w:val="21"/>
              </w:rPr>
              <w:t>4.04%</w:t>
            </w:r>
          </w:p>
        </w:tc>
        <w:tc>
          <w:tcPr>
            <w:tcW w:w="1291" w:type="dxa"/>
            <w:vAlign w:val="center"/>
          </w:tcPr>
          <w:p w:rsidR="00B21E02" w:rsidRDefault="00B72BC6">
            <w:pPr>
              <w:jc w:val="right"/>
            </w:pPr>
            <w:r>
              <w:rPr>
                <w:rFonts w:eastAsiaTheme="minorEastAsia"/>
                <w:color w:val="000000" w:themeColor="text1"/>
                <w:szCs w:val="21"/>
              </w:rPr>
              <w:t>0.24%</w:t>
            </w:r>
          </w:p>
        </w:tc>
      </w:tr>
      <w:tr w:rsidR="00B21E02">
        <w:tc>
          <w:tcPr>
            <w:tcW w:w="1290" w:type="dxa"/>
            <w:vAlign w:val="center"/>
          </w:tcPr>
          <w:p w:rsidR="00B21E02" w:rsidRDefault="00B72BC6">
            <w:pPr>
              <w:jc w:val="left"/>
            </w:pPr>
            <w:r>
              <w:rPr>
                <w:rFonts w:eastAsiaTheme="minorEastAsia"/>
                <w:color w:val="000000" w:themeColor="text1"/>
                <w:szCs w:val="21"/>
              </w:rPr>
              <w:t>过去一年</w:t>
            </w:r>
          </w:p>
        </w:tc>
        <w:tc>
          <w:tcPr>
            <w:tcW w:w="1291" w:type="dxa"/>
            <w:vAlign w:val="center"/>
          </w:tcPr>
          <w:p w:rsidR="00B21E02" w:rsidRDefault="00B72BC6">
            <w:pPr>
              <w:jc w:val="right"/>
            </w:pPr>
            <w:r>
              <w:rPr>
                <w:rFonts w:eastAsiaTheme="minorEastAsia"/>
                <w:color w:val="000000" w:themeColor="text1"/>
                <w:szCs w:val="21"/>
              </w:rPr>
              <w:t>-16.40%</w:t>
            </w:r>
          </w:p>
        </w:tc>
        <w:tc>
          <w:tcPr>
            <w:tcW w:w="1291" w:type="dxa"/>
            <w:vAlign w:val="center"/>
          </w:tcPr>
          <w:p w:rsidR="00B21E02" w:rsidRDefault="00B72BC6">
            <w:pPr>
              <w:jc w:val="right"/>
            </w:pPr>
            <w:r>
              <w:rPr>
                <w:rFonts w:eastAsiaTheme="minorEastAsia"/>
                <w:color w:val="000000" w:themeColor="text1"/>
                <w:szCs w:val="21"/>
              </w:rPr>
              <w:t>1.04%</w:t>
            </w:r>
          </w:p>
        </w:tc>
        <w:tc>
          <w:tcPr>
            <w:tcW w:w="1291" w:type="dxa"/>
            <w:vAlign w:val="center"/>
          </w:tcPr>
          <w:p w:rsidR="00B21E02" w:rsidRDefault="00B72BC6">
            <w:pPr>
              <w:jc w:val="right"/>
            </w:pPr>
            <w:r>
              <w:rPr>
                <w:rFonts w:eastAsiaTheme="minorEastAsia"/>
                <w:color w:val="000000" w:themeColor="text1"/>
                <w:szCs w:val="21"/>
              </w:rPr>
              <w:t>-10.99%</w:t>
            </w:r>
          </w:p>
        </w:tc>
        <w:tc>
          <w:tcPr>
            <w:tcW w:w="1291" w:type="dxa"/>
            <w:vAlign w:val="center"/>
          </w:tcPr>
          <w:p w:rsidR="00B21E02" w:rsidRDefault="00B72BC6">
            <w:pPr>
              <w:jc w:val="right"/>
            </w:pPr>
            <w:r>
              <w:rPr>
                <w:rFonts w:eastAsiaTheme="minorEastAsia"/>
                <w:color w:val="000000" w:themeColor="text1"/>
                <w:szCs w:val="21"/>
              </w:rPr>
              <w:t>0.79%</w:t>
            </w:r>
          </w:p>
        </w:tc>
        <w:tc>
          <w:tcPr>
            <w:tcW w:w="1291" w:type="dxa"/>
            <w:vAlign w:val="center"/>
          </w:tcPr>
          <w:p w:rsidR="00B21E02" w:rsidRDefault="00B72BC6">
            <w:pPr>
              <w:jc w:val="right"/>
            </w:pPr>
            <w:r>
              <w:rPr>
                <w:rFonts w:eastAsiaTheme="minorEastAsia"/>
                <w:color w:val="000000" w:themeColor="text1"/>
                <w:szCs w:val="21"/>
              </w:rPr>
              <w:t>-5.41%</w:t>
            </w:r>
          </w:p>
        </w:tc>
        <w:tc>
          <w:tcPr>
            <w:tcW w:w="1291" w:type="dxa"/>
            <w:vAlign w:val="center"/>
          </w:tcPr>
          <w:p w:rsidR="00B21E02" w:rsidRDefault="00B72BC6">
            <w:pPr>
              <w:jc w:val="right"/>
            </w:pPr>
            <w:r>
              <w:rPr>
                <w:rFonts w:eastAsiaTheme="minorEastAsia"/>
                <w:color w:val="000000" w:themeColor="text1"/>
                <w:szCs w:val="21"/>
              </w:rPr>
              <w:t>0.25%</w:t>
            </w:r>
          </w:p>
        </w:tc>
      </w:tr>
      <w:tr w:rsidR="00B21E02">
        <w:tc>
          <w:tcPr>
            <w:tcW w:w="1290" w:type="dxa"/>
            <w:vAlign w:val="center"/>
          </w:tcPr>
          <w:p w:rsidR="00B21E02" w:rsidRDefault="00B72BC6">
            <w:pPr>
              <w:jc w:val="left"/>
            </w:pPr>
            <w:r>
              <w:rPr>
                <w:rFonts w:eastAsiaTheme="minorEastAsia"/>
                <w:color w:val="000000" w:themeColor="text1"/>
                <w:szCs w:val="21"/>
              </w:rPr>
              <w:t>过去三年</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r>
      <w:tr w:rsidR="00B21E02">
        <w:tc>
          <w:tcPr>
            <w:tcW w:w="1290" w:type="dxa"/>
            <w:vAlign w:val="center"/>
          </w:tcPr>
          <w:p w:rsidR="00B21E02" w:rsidRDefault="00B72BC6">
            <w:pPr>
              <w:jc w:val="left"/>
            </w:pPr>
            <w:r>
              <w:rPr>
                <w:rFonts w:eastAsiaTheme="minorEastAsia"/>
                <w:color w:val="000000" w:themeColor="text1"/>
                <w:szCs w:val="21"/>
              </w:rPr>
              <w:t>过去五年</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r>
      <w:tr w:rsidR="00B21E02">
        <w:tc>
          <w:tcPr>
            <w:tcW w:w="1290" w:type="dxa"/>
            <w:vAlign w:val="center"/>
          </w:tcPr>
          <w:p w:rsidR="00B21E02" w:rsidRDefault="00B72BC6">
            <w:pPr>
              <w:jc w:val="left"/>
            </w:pPr>
            <w:r>
              <w:rPr>
                <w:rFonts w:eastAsiaTheme="minorEastAsia"/>
                <w:color w:val="000000" w:themeColor="text1"/>
                <w:szCs w:val="21"/>
              </w:rPr>
              <w:t>自基金合同生效起至今</w:t>
            </w:r>
          </w:p>
        </w:tc>
        <w:tc>
          <w:tcPr>
            <w:tcW w:w="1291" w:type="dxa"/>
            <w:vAlign w:val="center"/>
          </w:tcPr>
          <w:p w:rsidR="00B21E02" w:rsidRDefault="00B72BC6">
            <w:pPr>
              <w:jc w:val="right"/>
            </w:pPr>
            <w:r>
              <w:rPr>
                <w:rFonts w:eastAsiaTheme="minorEastAsia"/>
                <w:color w:val="000000" w:themeColor="text1"/>
                <w:szCs w:val="21"/>
              </w:rPr>
              <w:t>-37.79%</w:t>
            </w:r>
          </w:p>
        </w:tc>
        <w:tc>
          <w:tcPr>
            <w:tcW w:w="1291" w:type="dxa"/>
            <w:vAlign w:val="center"/>
          </w:tcPr>
          <w:p w:rsidR="00B21E02" w:rsidRDefault="00B72BC6">
            <w:pPr>
              <w:jc w:val="right"/>
            </w:pPr>
            <w:r>
              <w:rPr>
                <w:rFonts w:eastAsiaTheme="minorEastAsia"/>
                <w:color w:val="000000" w:themeColor="text1"/>
                <w:szCs w:val="21"/>
              </w:rPr>
              <w:t>1.07%</w:t>
            </w:r>
          </w:p>
        </w:tc>
        <w:tc>
          <w:tcPr>
            <w:tcW w:w="1291" w:type="dxa"/>
            <w:vAlign w:val="center"/>
          </w:tcPr>
          <w:p w:rsidR="00B21E02" w:rsidRDefault="00B72BC6">
            <w:pPr>
              <w:jc w:val="right"/>
            </w:pPr>
            <w:r>
              <w:rPr>
                <w:rFonts w:eastAsiaTheme="minorEastAsia"/>
                <w:color w:val="000000" w:themeColor="text1"/>
                <w:szCs w:val="21"/>
              </w:rPr>
              <w:t>-21.67%</w:t>
            </w:r>
          </w:p>
        </w:tc>
        <w:tc>
          <w:tcPr>
            <w:tcW w:w="1291" w:type="dxa"/>
            <w:vAlign w:val="center"/>
          </w:tcPr>
          <w:p w:rsidR="00B21E02" w:rsidRDefault="00B72BC6">
            <w:pPr>
              <w:jc w:val="right"/>
            </w:pPr>
            <w:r>
              <w:rPr>
                <w:rFonts w:eastAsiaTheme="minorEastAsia"/>
                <w:color w:val="000000" w:themeColor="text1"/>
                <w:szCs w:val="21"/>
              </w:rPr>
              <w:t>0.91%</w:t>
            </w:r>
          </w:p>
        </w:tc>
        <w:tc>
          <w:tcPr>
            <w:tcW w:w="1291" w:type="dxa"/>
            <w:vAlign w:val="center"/>
          </w:tcPr>
          <w:p w:rsidR="00B21E02" w:rsidRDefault="00B72BC6">
            <w:pPr>
              <w:jc w:val="right"/>
            </w:pPr>
            <w:r>
              <w:rPr>
                <w:rFonts w:eastAsiaTheme="minorEastAsia"/>
                <w:color w:val="000000" w:themeColor="text1"/>
                <w:szCs w:val="21"/>
              </w:rPr>
              <w:t>-16.12%</w:t>
            </w:r>
          </w:p>
        </w:tc>
        <w:tc>
          <w:tcPr>
            <w:tcW w:w="1291" w:type="dxa"/>
            <w:vAlign w:val="center"/>
          </w:tcPr>
          <w:p w:rsidR="00B21E02" w:rsidRDefault="00B72BC6">
            <w:pPr>
              <w:jc w:val="right"/>
            </w:pPr>
            <w:r>
              <w:rPr>
                <w:rFonts w:eastAsiaTheme="minorEastAsia"/>
                <w:color w:val="000000" w:themeColor="text1"/>
                <w:szCs w:val="21"/>
              </w:rPr>
              <w:t>0.16%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21E02">
        <w:tc>
          <w:tcPr>
            <w:tcW w:w="1290" w:type="dxa"/>
            <w:vAlign w:val="center"/>
          </w:tcPr>
          <w:p w:rsidR="00B21E02" w:rsidRDefault="00B72BC6">
            <w:pPr>
              <w:jc w:val="left"/>
            </w:pPr>
            <w:r>
              <w:rPr>
                <w:rFonts w:eastAsiaTheme="minorEastAsia"/>
                <w:color w:val="000000" w:themeColor="text1"/>
                <w:szCs w:val="21"/>
              </w:rPr>
              <w:t>过去三个月</w:t>
            </w:r>
          </w:p>
        </w:tc>
        <w:tc>
          <w:tcPr>
            <w:tcW w:w="1291" w:type="dxa"/>
            <w:vAlign w:val="center"/>
          </w:tcPr>
          <w:p w:rsidR="00B21E02" w:rsidRDefault="00B72BC6">
            <w:pPr>
              <w:jc w:val="right"/>
            </w:pPr>
            <w:r>
              <w:rPr>
                <w:rFonts w:eastAsiaTheme="minorEastAsia"/>
                <w:color w:val="000000" w:themeColor="text1"/>
                <w:szCs w:val="21"/>
              </w:rPr>
              <w:t>2.69%</w:t>
            </w:r>
          </w:p>
        </w:tc>
        <w:tc>
          <w:tcPr>
            <w:tcW w:w="1291" w:type="dxa"/>
            <w:vAlign w:val="center"/>
          </w:tcPr>
          <w:p w:rsidR="00B21E02" w:rsidRDefault="00B72BC6">
            <w:pPr>
              <w:jc w:val="right"/>
            </w:pPr>
            <w:r>
              <w:rPr>
                <w:rFonts w:eastAsiaTheme="minorEastAsia"/>
                <w:color w:val="000000" w:themeColor="text1"/>
                <w:szCs w:val="21"/>
              </w:rPr>
              <w:t>1.32%</w:t>
            </w:r>
          </w:p>
        </w:tc>
        <w:tc>
          <w:tcPr>
            <w:tcW w:w="1291" w:type="dxa"/>
            <w:vAlign w:val="center"/>
          </w:tcPr>
          <w:p w:rsidR="00B21E02" w:rsidRDefault="00B72BC6">
            <w:pPr>
              <w:jc w:val="right"/>
            </w:pPr>
            <w:r>
              <w:rPr>
                <w:rFonts w:eastAsiaTheme="minorEastAsia"/>
                <w:color w:val="000000" w:themeColor="text1"/>
                <w:szCs w:val="21"/>
              </w:rPr>
              <w:t>1.01%</w:t>
            </w:r>
          </w:p>
        </w:tc>
        <w:tc>
          <w:tcPr>
            <w:tcW w:w="1291" w:type="dxa"/>
            <w:vAlign w:val="center"/>
          </w:tcPr>
          <w:p w:rsidR="00B21E02" w:rsidRDefault="00B72BC6">
            <w:pPr>
              <w:jc w:val="right"/>
            </w:pPr>
            <w:r>
              <w:rPr>
                <w:rFonts w:eastAsiaTheme="minorEastAsia"/>
                <w:color w:val="000000" w:themeColor="text1"/>
                <w:szCs w:val="21"/>
              </w:rPr>
              <w:t>1.00%</w:t>
            </w:r>
          </w:p>
        </w:tc>
        <w:tc>
          <w:tcPr>
            <w:tcW w:w="1291" w:type="dxa"/>
            <w:vAlign w:val="center"/>
          </w:tcPr>
          <w:p w:rsidR="00B21E02" w:rsidRDefault="00B72BC6">
            <w:pPr>
              <w:jc w:val="right"/>
            </w:pPr>
            <w:r>
              <w:rPr>
                <w:rFonts w:eastAsiaTheme="minorEastAsia"/>
                <w:color w:val="000000" w:themeColor="text1"/>
                <w:szCs w:val="21"/>
              </w:rPr>
              <w:t>1.68%</w:t>
            </w:r>
          </w:p>
        </w:tc>
        <w:tc>
          <w:tcPr>
            <w:tcW w:w="1291" w:type="dxa"/>
            <w:vAlign w:val="center"/>
          </w:tcPr>
          <w:p w:rsidR="00B21E02" w:rsidRDefault="00B72BC6">
            <w:pPr>
              <w:jc w:val="right"/>
            </w:pPr>
            <w:r>
              <w:rPr>
                <w:rFonts w:eastAsiaTheme="minorEastAsia"/>
                <w:color w:val="000000" w:themeColor="text1"/>
                <w:szCs w:val="21"/>
              </w:rPr>
              <w:t>0.32%</w:t>
            </w:r>
          </w:p>
        </w:tc>
      </w:tr>
      <w:tr w:rsidR="00B21E02">
        <w:tc>
          <w:tcPr>
            <w:tcW w:w="1290" w:type="dxa"/>
            <w:vAlign w:val="center"/>
          </w:tcPr>
          <w:p w:rsidR="00B21E02" w:rsidRDefault="00B72BC6">
            <w:pPr>
              <w:jc w:val="left"/>
            </w:pPr>
            <w:r>
              <w:rPr>
                <w:rFonts w:eastAsiaTheme="minorEastAsia"/>
                <w:color w:val="000000" w:themeColor="text1"/>
                <w:szCs w:val="21"/>
              </w:rPr>
              <w:t>过去六个月</w:t>
            </w:r>
          </w:p>
        </w:tc>
        <w:tc>
          <w:tcPr>
            <w:tcW w:w="1291" w:type="dxa"/>
            <w:vAlign w:val="center"/>
          </w:tcPr>
          <w:p w:rsidR="00B21E02" w:rsidRDefault="00B72BC6">
            <w:pPr>
              <w:jc w:val="right"/>
            </w:pPr>
            <w:r>
              <w:rPr>
                <w:rFonts w:eastAsiaTheme="minorEastAsia"/>
                <w:color w:val="000000" w:themeColor="text1"/>
                <w:szCs w:val="21"/>
              </w:rPr>
              <w:t>-0.61%</w:t>
            </w:r>
          </w:p>
        </w:tc>
        <w:tc>
          <w:tcPr>
            <w:tcW w:w="1291" w:type="dxa"/>
            <w:vAlign w:val="center"/>
          </w:tcPr>
          <w:p w:rsidR="00B21E02" w:rsidRDefault="00B72BC6">
            <w:pPr>
              <w:jc w:val="right"/>
            </w:pPr>
            <w:r>
              <w:rPr>
                <w:rFonts w:eastAsiaTheme="minorEastAsia"/>
                <w:color w:val="000000" w:themeColor="text1"/>
                <w:szCs w:val="21"/>
              </w:rPr>
              <w:t>1.09%</w:t>
            </w:r>
          </w:p>
        </w:tc>
        <w:tc>
          <w:tcPr>
            <w:tcW w:w="1291" w:type="dxa"/>
            <w:vAlign w:val="center"/>
          </w:tcPr>
          <w:p w:rsidR="00B21E02" w:rsidRDefault="00B72BC6">
            <w:pPr>
              <w:jc w:val="right"/>
            </w:pPr>
            <w:r>
              <w:rPr>
                <w:rFonts w:eastAsiaTheme="minorEastAsia"/>
                <w:color w:val="000000" w:themeColor="text1"/>
                <w:szCs w:val="21"/>
              </w:rPr>
              <w:t>-4.41%</w:t>
            </w:r>
          </w:p>
        </w:tc>
        <w:tc>
          <w:tcPr>
            <w:tcW w:w="1291" w:type="dxa"/>
            <w:vAlign w:val="center"/>
          </w:tcPr>
          <w:p w:rsidR="00B21E02" w:rsidRDefault="00B72BC6">
            <w:pPr>
              <w:jc w:val="right"/>
            </w:pPr>
            <w:r>
              <w:rPr>
                <w:rFonts w:eastAsiaTheme="minorEastAsia"/>
                <w:color w:val="000000" w:themeColor="text1"/>
                <w:szCs w:val="21"/>
              </w:rPr>
              <w:t>0.85%</w:t>
            </w:r>
          </w:p>
        </w:tc>
        <w:tc>
          <w:tcPr>
            <w:tcW w:w="1291" w:type="dxa"/>
            <w:vAlign w:val="center"/>
          </w:tcPr>
          <w:p w:rsidR="00B21E02" w:rsidRDefault="00B72BC6">
            <w:pPr>
              <w:jc w:val="right"/>
            </w:pPr>
            <w:r>
              <w:rPr>
                <w:rFonts w:eastAsiaTheme="minorEastAsia"/>
                <w:color w:val="000000" w:themeColor="text1"/>
                <w:szCs w:val="21"/>
              </w:rPr>
              <w:t>3.80%</w:t>
            </w:r>
          </w:p>
        </w:tc>
        <w:tc>
          <w:tcPr>
            <w:tcW w:w="1291" w:type="dxa"/>
            <w:vAlign w:val="center"/>
          </w:tcPr>
          <w:p w:rsidR="00B21E02" w:rsidRDefault="00B72BC6">
            <w:pPr>
              <w:jc w:val="right"/>
            </w:pPr>
            <w:r>
              <w:rPr>
                <w:rFonts w:eastAsiaTheme="minorEastAsia"/>
                <w:color w:val="000000" w:themeColor="text1"/>
                <w:szCs w:val="21"/>
              </w:rPr>
              <w:t>0.24%</w:t>
            </w:r>
          </w:p>
        </w:tc>
      </w:tr>
      <w:tr w:rsidR="00B21E02">
        <w:tc>
          <w:tcPr>
            <w:tcW w:w="1290" w:type="dxa"/>
            <w:vAlign w:val="center"/>
          </w:tcPr>
          <w:p w:rsidR="00B21E02" w:rsidRDefault="00B72BC6">
            <w:pPr>
              <w:jc w:val="left"/>
            </w:pPr>
            <w:r>
              <w:rPr>
                <w:rFonts w:eastAsiaTheme="minorEastAsia"/>
                <w:color w:val="000000" w:themeColor="text1"/>
                <w:szCs w:val="21"/>
              </w:rPr>
              <w:lastRenderedPageBreak/>
              <w:t>过去一年</w:t>
            </w:r>
          </w:p>
        </w:tc>
        <w:tc>
          <w:tcPr>
            <w:tcW w:w="1291" w:type="dxa"/>
            <w:vAlign w:val="center"/>
          </w:tcPr>
          <w:p w:rsidR="00B21E02" w:rsidRDefault="00B72BC6">
            <w:pPr>
              <w:jc w:val="right"/>
            </w:pPr>
            <w:r>
              <w:rPr>
                <w:rFonts w:eastAsiaTheme="minorEastAsia"/>
                <w:color w:val="000000" w:themeColor="text1"/>
                <w:szCs w:val="21"/>
              </w:rPr>
              <w:t>-16.82%</w:t>
            </w:r>
          </w:p>
        </w:tc>
        <w:tc>
          <w:tcPr>
            <w:tcW w:w="1291" w:type="dxa"/>
            <w:vAlign w:val="center"/>
          </w:tcPr>
          <w:p w:rsidR="00B21E02" w:rsidRDefault="00B72BC6">
            <w:pPr>
              <w:jc w:val="right"/>
            </w:pPr>
            <w:r>
              <w:rPr>
                <w:rFonts w:eastAsiaTheme="minorEastAsia"/>
                <w:color w:val="000000" w:themeColor="text1"/>
                <w:szCs w:val="21"/>
              </w:rPr>
              <w:t>1.04%</w:t>
            </w:r>
          </w:p>
        </w:tc>
        <w:tc>
          <w:tcPr>
            <w:tcW w:w="1291" w:type="dxa"/>
            <w:vAlign w:val="center"/>
          </w:tcPr>
          <w:p w:rsidR="00B21E02" w:rsidRDefault="00B72BC6">
            <w:pPr>
              <w:jc w:val="right"/>
            </w:pPr>
            <w:r>
              <w:rPr>
                <w:rFonts w:eastAsiaTheme="minorEastAsia"/>
                <w:color w:val="000000" w:themeColor="text1"/>
                <w:szCs w:val="21"/>
              </w:rPr>
              <w:t>-10.99%</w:t>
            </w:r>
          </w:p>
        </w:tc>
        <w:tc>
          <w:tcPr>
            <w:tcW w:w="1291" w:type="dxa"/>
            <w:vAlign w:val="center"/>
          </w:tcPr>
          <w:p w:rsidR="00B21E02" w:rsidRDefault="00B72BC6">
            <w:pPr>
              <w:jc w:val="right"/>
            </w:pPr>
            <w:r>
              <w:rPr>
                <w:rFonts w:eastAsiaTheme="minorEastAsia"/>
                <w:color w:val="000000" w:themeColor="text1"/>
                <w:szCs w:val="21"/>
              </w:rPr>
              <w:t>0.79%</w:t>
            </w:r>
          </w:p>
        </w:tc>
        <w:tc>
          <w:tcPr>
            <w:tcW w:w="1291" w:type="dxa"/>
            <w:vAlign w:val="center"/>
          </w:tcPr>
          <w:p w:rsidR="00B21E02" w:rsidRDefault="00B72BC6">
            <w:pPr>
              <w:jc w:val="right"/>
            </w:pPr>
            <w:r>
              <w:rPr>
                <w:rFonts w:eastAsiaTheme="minorEastAsia"/>
                <w:color w:val="000000" w:themeColor="text1"/>
                <w:szCs w:val="21"/>
              </w:rPr>
              <w:t>-5.83%</w:t>
            </w:r>
          </w:p>
        </w:tc>
        <w:tc>
          <w:tcPr>
            <w:tcW w:w="1291" w:type="dxa"/>
            <w:vAlign w:val="center"/>
          </w:tcPr>
          <w:p w:rsidR="00B21E02" w:rsidRDefault="00B72BC6">
            <w:pPr>
              <w:jc w:val="right"/>
            </w:pPr>
            <w:r>
              <w:rPr>
                <w:rFonts w:eastAsiaTheme="minorEastAsia"/>
                <w:color w:val="000000" w:themeColor="text1"/>
                <w:szCs w:val="21"/>
              </w:rPr>
              <w:t>0.25%</w:t>
            </w:r>
          </w:p>
        </w:tc>
      </w:tr>
      <w:tr w:rsidR="00B21E02">
        <w:tc>
          <w:tcPr>
            <w:tcW w:w="1290" w:type="dxa"/>
            <w:vAlign w:val="center"/>
          </w:tcPr>
          <w:p w:rsidR="00B21E02" w:rsidRDefault="00B72BC6">
            <w:pPr>
              <w:jc w:val="left"/>
            </w:pPr>
            <w:r>
              <w:rPr>
                <w:rFonts w:eastAsiaTheme="minorEastAsia"/>
                <w:color w:val="000000" w:themeColor="text1"/>
                <w:szCs w:val="21"/>
              </w:rPr>
              <w:t>过去三年</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r>
      <w:tr w:rsidR="00B21E02">
        <w:tc>
          <w:tcPr>
            <w:tcW w:w="1290" w:type="dxa"/>
            <w:vAlign w:val="center"/>
          </w:tcPr>
          <w:p w:rsidR="00B21E02" w:rsidRDefault="00B72BC6">
            <w:pPr>
              <w:jc w:val="left"/>
            </w:pPr>
            <w:r>
              <w:rPr>
                <w:rFonts w:eastAsiaTheme="minorEastAsia"/>
                <w:color w:val="000000" w:themeColor="text1"/>
                <w:szCs w:val="21"/>
              </w:rPr>
              <w:t>过去五年</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c>
          <w:tcPr>
            <w:tcW w:w="1291" w:type="dxa"/>
            <w:vAlign w:val="center"/>
          </w:tcPr>
          <w:p w:rsidR="00B21E02" w:rsidRDefault="00B72BC6">
            <w:pPr>
              <w:jc w:val="right"/>
            </w:pPr>
            <w:r>
              <w:rPr>
                <w:rFonts w:eastAsiaTheme="minorEastAsia"/>
                <w:color w:val="000000" w:themeColor="text1"/>
                <w:szCs w:val="21"/>
              </w:rPr>
              <w:t>-</w:t>
            </w:r>
          </w:p>
        </w:tc>
      </w:tr>
      <w:tr w:rsidR="00B21E02">
        <w:tc>
          <w:tcPr>
            <w:tcW w:w="1290" w:type="dxa"/>
            <w:vAlign w:val="center"/>
          </w:tcPr>
          <w:p w:rsidR="00B21E02" w:rsidRDefault="00B72BC6">
            <w:pPr>
              <w:jc w:val="left"/>
            </w:pPr>
            <w:r>
              <w:rPr>
                <w:rFonts w:eastAsiaTheme="minorEastAsia"/>
                <w:color w:val="000000" w:themeColor="text1"/>
                <w:szCs w:val="21"/>
              </w:rPr>
              <w:t>自基金合同生效起至今</w:t>
            </w:r>
          </w:p>
        </w:tc>
        <w:tc>
          <w:tcPr>
            <w:tcW w:w="1291" w:type="dxa"/>
            <w:vAlign w:val="center"/>
          </w:tcPr>
          <w:p w:rsidR="00B21E02" w:rsidRDefault="00B72BC6">
            <w:pPr>
              <w:jc w:val="right"/>
            </w:pPr>
            <w:r>
              <w:rPr>
                <w:rFonts w:eastAsiaTheme="minorEastAsia"/>
                <w:color w:val="000000" w:themeColor="text1"/>
                <w:szCs w:val="21"/>
              </w:rPr>
              <w:t>-38.57%</w:t>
            </w:r>
          </w:p>
        </w:tc>
        <w:tc>
          <w:tcPr>
            <w:tcW w:w="1291" w:type="dxa"/>
            <w:vAlign w:val="center"/>
          </w:tcPr>
          <w:p w:rsidR="00B21E02" w:rsidRDefault="00B72BC6">
            <w:pPr>
              <w:jc w:val="right"/>
            </w:pPr>
            <w:r>
              <w:rPr>
                <w:rFonts w:eastAsiaTheme="minorEastAsia"/>
                <w:color w:val="000000" w:themeColor="text1"/>
                <w:szCs w:val="21"/>
              </w:rPr>
              <w:t>1.07%</w:t>
            </w:r>
          </w:p>
        </w:tc>
        <w:tc>
          <w:tcPr>
            <w:tcW w:w="1291" w:type="dxa"/>
            <w:vAlign w:val="center"/>
          </w:tcPr>
          <w:p w:rsidR="00B21E02" w:rsidRDefault="00B72BC6">
            <w:pPr>
              <w:jc w:val="right"/>
            </w:pPr>
            <w:r>
              <w:rPr>
                <w:rFonts w:eastAsiaTheme="minorEastAsia"/>
                <w:color w:val="000000" w:themeColor="text1"/>
                <w:szCs w:val="21"/>
              </w:rPr>
              <w:t>-21.67%</w:t>
            </w:r>
          </w:p>
        </w:tc>
        <w:tc>
          <w:tcPr>
            <w:tcW w:w="1291" w:type="dxa"/>
            <w:vAlign w:val="center"/>
          </w:tcPr>
          <w:p w:rsidR="00B21E02" w:rsidRDefault="00B72BC6">
            <w:pPr>
              <w:jc w:val="right"/>
            </w:pPr>
            <w:r>
              <w:rPr>
                <w:rFonts w:eastAsiaTheme="minorEastAsia"/>
                <w:color w:val="000000" w:themeColor="text1"/>
                <w:szCs w:val="21"/>
              </w:rPr>
              <w:t>0.91%</w:t>
            </w:r>
          </w:p>
        </w:tc>
        <w:tc>
          <w:tcPr>
            <w:tcW w:w="1291" w:type="dxa"/>
            <w:vAlign w:val="center"/>
          </w:tcPr>
          <w:p w:rsidR="00B21E02" w:rsidRDefault="00B72BC6">
            <w:pPr>
              <w:jc w:val="right"/>
            </w:pPr>
            <w:r>
              <w:rPr>
                <w:rFonts w:eastAsiaTheme="minorEastAsia"/>
                <w:color w:val="000000" w:themeColor="text1"/>
                <w:szCs w:val="21"/>
              </w:rPr>
              <w:t>-16.90%</w:t>
            </w:r>
          </w:p>
        </w:tc>
        <w:tc>
          <w:tcPr>
            <w:tcW w:w="1291" w:type="dxa"/>
            <w:vAlign w:val="center"/>
          </w:tcPr>
          <w:p w:rsidR="00B21E02" w:rsidRDefault="00B72BC6">
            <w:pPr>
              <w:jc w:val="right"/>
            </w:pPr>
            <w:r>
              <w:rPr>
                <w:rFonts w:eastAsiaTheme="minorEastAsia"/>
                <w:color w:val="000000" w:themeColor="text1"/>
                <w:szCs w:val="21"/>
              </w:rPr>
              <w:t>0.16%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摩根均衡优选混合型证券投资基金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．摩根均衡优选混合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．摩根均衡优选混合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21E02">
        <w:tc>
          <w:tcPr>
            <w:tcW w:w="952" w:type="dxa"/>
            <w:vAlign w:val="center"/>
          </w:tcPr>
          <w:p w:rsidR="00B21E02" w:rsidRDefault="00B72BC6">
            <w:pPr>
              <w:jc w:val="center"/>
            </w:pPr>
            <w:r>
              <w:rPr>
                <w:rFonts w:eastAsiaTheme="minorEastAsia"/>
                <w:color w:val="000000" w:themeColor="text1"/>
                <w:szCs w:val="21"/>
              </w:rPr>
              <w:t>倪权生</w:t>
            </w:r>
          </w:p>
        </w:tc>
        <w:tc>
          <w:tcPr>
            <w:tcW w:w="930" w:type="dxa"/>
            <w:vAlign w:val="center"/>
          </w:tcPr>
          <w:p w:rsidR="00B21E02" w:rsidRDefault="00B72BC6">
            <w:pPr>
              <w:jc w:val="center"/>
            </w:pPr>
            <w:r>
              <w:rPr>
                <w:rFonts w:eastAsiaTheme="minorEastAsia"/>
                <w:color w:val="000000" w:themeColor="text1"/>
                <w:szCs w:val="21"/>
              </w:rPr>
              <w:t>本基金基金经理</w:t>
            </w:r>
          </w:p>
        </w:tc>
        <w:tc>
          <w:tcPr>
            <w:tcW w:w="1210" w:type="dxa"/>
            <w:vAlign w:val="center"/>
          </w:tcPr>
          <w:p w:rsidR="00B21E02" w:rsidRDefault="00B72BC6">
            <w:pPr>
              <w:jc w:val="center"/>
            </w:pPr>
            <w:r>
              <w:rPr>
                <w:rFonts w:eastAsiaTheme="minorEastAsia"/>
                <w:color w:val="000000" w:themeColor="text1"/>
                <w:szCs w:val="21"/>
              </w:rPr>
              <w:t>2021-09-27</w:t>
            </w:r>
          </w:p>
        </w:tc>
        <w:tc>
          <w:tcPr>
            <w:tcW w:w="1309" w:type="dxa"/>
            <w:vAlign w:val="center"/>
          </w:tcPr>
          <w:p w:rsidR="00B21E02" w:rsidRDefault="00B72BC6">
            <w:pPr>
              <w:jc w:val="center"/>
            </w:pPr>
            <w:r>
              <w:rPr>
                <w:rFonts w:eastAsiaTheme="minorEastAsia"/>
                <w:color w:val="000000" w:themeColor="text1"/>
                <w:szCs w:val="21"/>
              </w:rPr>
              <w:t>-</w:t>
            </w:r>
          </w:p>
        </w:tc>
        <w:tc>
          <w:tcPr>
            <w:tcW w:w="1254" w:type="dxa"/>
            <w:vAlign w:val="center"/>
          </w:tcPr>
          <w:p w:rsidR="00B21E02" w:rsidRDefault="00B72BC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B21E02" w:rsidRDefault="00B72BC6">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B21E02" w:rsidRDefault="00B72B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B21E02" w:rsidRDefault="00B72B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今年市场一季度先抑后扬，前期情绪较为悲观并充分在股价中反应，</w:t>
      </w:r>
      <w:r>
        <w:rPr>
          <w:rFonts w:eastAsiaTheme="minorEastAsia"/>
          <w:color w:val="000000" w:themeColor="text1"/>
          <w:szCs w:val="21"/>
        </w:rPr>
        <w:t>2</w:t>
      </w:r>
      <w:r>
        <w:rPr>
          <w:rFonts w:eastAsiaTheme="minorEastAsia"/>
          <w:color w:val="000000" w:themeColor="text1"/>
          <w:szCs w:val="21"/>
        </w:rPr>
        <w:t>月份市场迎来较为强</w:t>
      </w:r>
      <w:r>
        <w:rPr>
          <w:rFonts w:eastAsiaTheme="minorEastAsia"/>
          <w:color w:val="000000" w:themeColor="text1"/>
          <w:szCs w:val="21"/>
        </w:rPr>
        <w:lastRenderedPageBreak/>
        <w:t>劲的反弹。从行业来看，以资源为主的上游行业表现较好，这些行业多具备资源属性，同时行业资本开支有下降趋势，进而带来现金流的改善，其中相当一部分公司已经具有较高的股息率。而上游相关对应的大宗商品价格由于供给趋紧，同时需求由于海外库存触底以及中国制造业需求好于预期，因而表现也较好，这给上游资源类公司的盈利持续提供保障。医药、计算机、电子、国防军工等行业一季度相对较弱，主要与市场对短期业绩的不确定性担忧有</w:t>
      </w:r>
      <w:r>
        <w:rPr>
          <w:rFonts w:eastAsiaTheme="minorEastAsia"/>
          <w:color w:val="000000" w:themeColor="text1"/>
          <w:szCs w:val="21"/>
        </w:rPr>
        <w:t>关。</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延续去年底的策略，即在假设总量增长有限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w:t>
      </w:r>
      <w:r>
        <w:rPr>
          <w:rFonts w:eastAsiaTheme="minorEastAsia"/>
          <w:color w:val="000000" w:themeColor="text1"/>
          <w:szCs w:val="21"/>
        </w:rPr>
        <w:t>算力方面，随着</w:t>
      </w:r>
      <w:r>
        <w:rPr>
          <w:rFonts w:eastAsiaTheme="minorEastAsia"/>
          <w:color w:val="000000" w:themeColor="text1"/>
          <w:szCs w:val="21"/>
        </w:rPr>
        <w:t>AI</w:t>
      </w:r>
      <w:r>
        <w:rPr>
          <w:rFonts w:eastAsiaTheme="minorEastAsia"/>
          <w:color w:val="000000" w:themeColor="text1"/>
          <w:szCs w:val="21"/>
        </w:rPr>
        <w:t>技术的进步，其模型训练和场景应用在国内和海外均处于快速发展中，前期我们认为算力基础设施的受益确定性仍然较强。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展望后市，我们认为前期悲观情绪得到一定修复，但市场也并未立刻转向非常乐观，估值仍处于相对低位。而</w:t>
      </w:r>
      <w:r w:rsidRPr="00B27A29">
        <w:rPr>
          <w:rFonts w:eastAsiaTheme="minorEastAsia"/>
          <w:color w:val="000000" w:themeColor="text1"/>
          <w:szCs w:val="21"/>
        </w:rPr>
        <w:t>3</w:t>
      </w:r>
      <w:r w:rsidRPr="00B27A29">
        <w:rPr>
          <w:rFonts w:eastAsiaTheme="minorEastAsia"/>
          <w:color w:val="000000" w:themeColor="text1"/>
          <w:szCs w:val="21"/>
        </w:rPr>
        <w:t>月份以来，我们正在看到一些边际的积极变化，如海外库存周期正在由去库存转向补库存，国内宏观指标如</w:t>
      </w:r>
      <w:r w:rsidRPr="00B27A29">
        <w:rPr>
          <w:rFonts w:eastAsiaTheme="minorEastAsia"/>
          <w:color w:val="000000" w:themeColor="text1"/>
          <w:szCs w:val="21"/>
        </w:rPr>
        <w:t>PMI</w:t>
      </w:r>
      <w:r w:rsidRPr="00B27A29">
        <w:rPr>
          <w:rFonts w:eastAsiaTheme="minorEastAsia"/>
          <w:color w:val="000000" w:themeColor="text1"/>
          <w:szCs w:val="21"/>
        </w:rPr>
        <w:t>边际也出现积极变化，这预示着经济有望好于此前预期，这可能会带来在顺经济周期行业以及上游资源品景气的改善。从这些角度来看，市场也有望随着企业盈利的边际改善而修复估值，并存在结构性投资机会。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本报告期摩根均衡优选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:2.83%</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摩根均衡优选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:2.69%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389,630,882.58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389,630,882.58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69,049,734.92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141,316.95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458,821,934.45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25,357,648.00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5.55%</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18,535,129.56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51,110,959.54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243,259,825.33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12,684,630.25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5,537,497.46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33,145,192.44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364,273,234.58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79.73</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B21E02" w:rsidRDefault="00B72BC6">
            <w:pPr>
              <w:jc w:val="center"/>
            </w:pPr>
            <w:r>
              <w:rPr>
                <w:rFonts w:eastAsiaTheme="minorEastAsia"/>
                <w:color w:val="000000" w:themeColor="text1"/>
                <w:szCs w:val="21"/>
              </w:rPr>
              <w:t>10,157,520.00</w:t>
            </w:r>
          </w:p>
        </w:tc>
        <w:tc>
          <w:tcPr>
            <w:tcW w:w="3118" w:type="dxa"/>
            <w:vAlign w:val="center"/>
          </w:tcPr>
          <w:p w:rsidR="00B21E02" w:rsidRDefault="00B72BC6">
            <w:pPr>
              <w:jc w:val="center"/>
            </w:pPr>
            <w:r>
              <w:rPr>
                <w:rFonts w:eastAsiaTheme="minorEastAsia"/>
                <w:color w:val="000000" w:themeColor="text1"/>
                <w:szCs w:val="21"/>
              </w:rPr>
              <w:t>2.22</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B21E02" w:rsidRDefault="00B72BC6">
            <w:pPr>
              <w:jc w:val="center"/>
            </w:pPr>
            <w:r>
              <w:rPr>
                <w:rFonts w:eastAsiaTheme="minorEastAsia"/>
                <w:color w:val="000000" w:themeColor="text1"/>
                <w:szCs w:val="21"/>
              </w:rPr>
              <w:t>1,311,888.00</w:t>
            </w:r>
          </w:p>
        </w:tc>
        <w:tc>
          <w:tcPr>
            <w:tcW w:w="3118" w:type="dxa"/>
            <w:vAlign w:val="center"/>
          </w:tcPr>
          <w:p w:rsidR="00B21E02" w:rsidRDefault="00B72BC6">
            <w:pPr>
              <w:jc w:val="center"/>
            </w:pPr>
            <w:r>
              <w:rPr>
                <w:rFonts w:eastAsiaTheme="minorEastAsia"/>
                <w:color w:val="000000" w:themeColor="text1"/>
                <w:szCs w:val="21"/>
              </w:rPr>
              <w:t>0.29</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B21E02" w:rsidRDefault="00B72BC6">
            <w:pPr>
              <w:jc w:val="center"/>
            </w:pPr>
            <w:r>
              <w:rPr>
                <w:rFonts w:eastAsiaTheme="minorEastAsia"/>
                <w:color w:val="000000" w:themeColor="text1"/>
                <w:szCs w:val="21"/>
              </w:rPr>
              <w:t>13,888,240.00</w:t>
            </w:r>
          </w:p>
        </w:tc>
        <w:tc>
          <w:tcPr>
            <w:tcW w:w="3118" w:type="dxa"/>
            <w:vAlign w:val="center"/>
          </w:tcPr>
          <w:p w:rsidR="00B21E02" w:rsidRDefault="00B72BC6">
            <w:pPr>
              <w:jc w:val="center"/>
            </w:pPr>
            <w:r>
              <w:rPr>
                <w:rFonts w:eastAsiaTheme="minorEastAsia"/>
                <w:color w:val="000000" w:themeColor="text1"/>
                <w:szCs w:val="21"/>
              </w:rPr>
              <w:t>3.04</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B21E02">
        <w:trPr>
          <w:jc w:val="center"/>
        </w:trPr>
        <w:tc>
          <w:tcPr>
            <w:tcW w:w="2397" w:type="dxa"/>
            <w:vAlign w:val="center"/>
          </w:tcPr>
          <w:p w:rsidR="00B21E02" w:rsidRDefault="00B72BC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B21E02" w:rsidRDefault="00B72BC6">
            <w:pPr>
              <w:jc w:val="center"/>
            </w:pPr>
            <w:r>
              <w:rPr>
                <w:rFonts w:eastAsiaTheme="minorEastAsia"/>
                <w:color w:val="000000" w:themeColor="text1"/>
                <w:szCs w:val="21"/>
              </w:rPr>
              <w:t>-</w:t>
            </w:r>
          </w:p>
        </w:tc>
        <w:tc>
          <w:tcPr>
            <w:tcW w:w="3118" w:type="dxa"/>
            <w:vAlign w:val="center"/>
          </w:tcPr>
          <w:p w:rsidR="00B21E02" w:rsidRDefault="00B72BC6">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25,357,648.00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5.55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21E02">
        <w:tc>
          <w:tcPr>
            <w:tcW w:w="817" w:type="dxa"/>
            <w:vAlign w:val="center"/>
          </w:tcPr>
          <w:p w:rsidR="00B21E02" w:rsidRDefault="00B72BC6">
            <w:pPr>
              <w:jc w:val="center"/>
            </w:pPr>
            <w:r>
              <w:rPr>
                <w:rFonts w:eastAsiaTheme="minorEastAsia"/>
                <w:kern w:val="0"/>
                <w:szCs w:val="21"/>
              </w:rPr>
              <w:t>1</w:t>
            </w:r>
          </w:p>
        </w:tc>
        <w:tc>
          <w:tcPr>
            <w:tcW w:w="1276" w:type="dxa"/>
            <w:vAlign w:val="center"/>
          </w:tcPr>
          <w:p w:rsidR="00B21E02" w:rsidRDefault="00B72BC6">
            <w:pPr>
              <w:jc w:val="center"/>
            </w:pPr>
            <w:r>
              <w:rPr>
                <w:rFonts w:eastAsiaTheme="minorEastAsia"/>
                <w:kern w:val="0"/>
                <w:szCs w:val="21"/>
              </w:rPr>
              <w:t>002236</w:t>
            </w:r>
          </w:p>
        </w:tc>
        <w:tc>
          <w:tcPr>
            <w:tcW w:w="1701" w:type="dxa"/>
            <w:vAlign w:val="center"/>
          </w:tcPr>
          <w:p w:rsidR="00B21E02" w:rsidRDefault="00B72BC6">
            <w:pPr>
              <w:jc w:val="center"/>
            </w:pPr>
            <w:r>
              <w:rPr>
                <w:rFonts w:eastAsiaTheme="minorEastAsia"/>
                <w:kern w:val="0"/>
                <w:szCs w:val="21"/>
              </w:rPr>
              <w:t>大华股份</w:t>
            </w:r>
          </w:p>
        </w:tc>
        <w:tc>
          <w:tcPr>
            <w:tcW w:w="1276" w:type="dxa"/>
            <w:vAlign w:val="center"/>
          </w:tcPr>
          <w:p w:rsidR="00B21E02" w:rsidRDefault="00B72BC6">
            <w:pPr>
              <w:jc w:val="right"/>
            </w:pPr>
            <w:r>
              <w:rPr>
                <w:rFonts w:eastAsiaTheme="minorEastAsia"/>
                <w:kern w:val="0"/>
                <w:szCs w:val="21"/>
              </w:rPr>
              <w:t>754,914.00</w:t>
            </w:r>
          </w:p>
        </w:tc>
        <w:tc>
          <w:tcPr>
            <w:tcW w:w="1842" w:type="dxa"/>
            <w:vAlign w:val="center"/>
          </w:tcPr>
          <w:p w:rsidR="00B21E02" w:rsidRDefault="00B72BC6">
            <w:pPr>
              <w:jc w:val="right"/>
            </w:pPr>
            <w:r>
              <w:rPr>
                <w:rFonts w:eastAsiaTheme="minorEastAsia"/>
                <w:kern w:val="0"/>
                <w:szCs w:val="21"/>
              </w:rPr>
              <w:t>14,267,874.60</w:t>
            </w:r>
          </w:p>
        </w:tc>
        <w:tc>
          <w:tcPr>
            <w:tcW w:w="1616" w:type="dxa"/>
            <w:vAlign w:val="center"/>
          </w:tcPr>
          <w:p w:rsidR="00B21E02" w:rsidRDefault="00B72BC6">
            <w:pPr>
              <w:jc w:val="right"/>
            </w:pPr>
            <w:r>
              <w:rPr>
                <w:rFonts w:eastAsiaTheme="minorEastAsia"/>
                <w:kern w:val="0"/>
                <w:szCs w:val="21"/>
              </w:rPr>
              <w:t>3.12</w:t>
            </w:r>
          </w:p>
        </w:tc>
      </w:tr>
      <w:tr w:rsidR="00B21E02">
        <w:tc>
          <w:tcPr>
            <w:tcW w:w="817" w:type="dxa"/>
            <w:vAlign w:val="center"/>
          </w:tcPr>
          <w:p w:rsidR="00B21E02" w:rsidRDefault="00B72BC6">
            <w:pPr>
              <w:jc w:val="center"/>
            </w:pPr>
            <w:r>
              <w:rPr>
                <w:rFonts w:eastAsiaTheme="minorEastAsia"/>
                <w:kern w:val="0"/>
                <w:szCs w:val="21"/>
              </w:rPr>
              <w:t>2</w:t>
            </w:r>
          </w:p>
        </w:tc>
        <w:tc>
          <w:tcPr>
            <w:tcW w:w="1276" w:type="dxa"/>
            <w:vAlign w:val="center"/>
          </w:tcPr>
          <w:p w:rsidR="00B21E02" w:rsidRDefault="00B72BC6">
            <w:pPr>
              <w:jc w:val="center"/>
            </w:pPr>
            <w:r>
              <w:rPr>
                <w:rFonts w:eastAsiaTheme="minorEastAsia"/>
                <w:kern w:val="0"/>
                <w:szCs w:val="21"/>
              </w:rPr>
              <w:t>601088</w:t>
            </w:r>
          </w:p>
        </w:tc>
        <w:tc>
          <w:tcPr>
            <w:tcW w:w="1701" w:type="dxa"/>
            <w:vAlign w:val="center"/>
          </w:tcPr>
          <w:p w:rsidR="00B21E02" w:rsidRDefault="00B72BC6">
            <w:pPr>
              <w:jc w:val="center"/>
            </w:pPr>
            <w:r>
              <w:rPr>
                <w:rFonts w:eastAsiaTheme="minorEastAsia"/>
                <w:kern w:val="0"/>
                <w:szCs w:val="21"/>
              </w:rPr>
              <w:t>中国神华</w:t>
            </w:r>
          </w:p>
        </w:tc>
        <w:tc>
          <w:tcPr>
            <w:tcW w:w="1276" w:type="dxa"/>
            <w:vAlign w:val="center"/>
          </w:tcPr>
          <w:p w:rsidR="00B21E02" w:rsidRDefault="00B72BC6">
            <w:pPr>
              <w:jc w:val="right"/>
            </w:pPr>
            <w:r>
              <w:rPr>
                <w:rFonts w:eastAsiaTheme="minorEastAsia"/>
                <w:kern w:val="0"/>
                <w:szCs w:val="21"/>
              </w:rPr>
              <w:t>244,562.00</w:t>
            </w:r>
          </w:p>
        </w:tc>
        <w:tc>
          <w:tcPr>
            <w:tcW w:w="1842" w:type="dxa"/>
            <w:vAlign w:val="center"/>
          </w:tcPr>
          <w:p w:rsidR="00B21E02" w:rsidRDefault="00B72BC6">
            <w:pPr>
              <w:jc w:val="right"/>
            </w:pPr>
            <w:r>
              <w:rPr>
                <w:rFonts w:eastAsiaTheme="minorEastAsia"/>
                <w:kern w:val="0"/>
                <w:szCs w:val="21"/>
              </w:rPr>
              <w:t>9,559,928.58</w:t>
            </w:r>
          </w:p>
        </w:tc>
        <w:tc>
          <w:tcPr>
            <w:tcW w:w="1616" w:type="dxa"/>
            <w:vAlign w:val="center"/>
          </w:tcPr>
          <w:p w:rsidR="00B21E02" w:rsidRDefault="00B72BC6">
            <w:pPr>
              <w:jc w:val="right"/>
            </w:pPr>
            <w:r>
              <w:rPr>
                <w:rFonts w:eastAsiaTheme="minorEastAsia"/>
                <w:kern w:val="0"/>
                <w:szCs w:val="21"/>
              </w:rPr>
              <w:t>2.09</w:t>
            </w:r>
          </w:p>
        </w:tc>
      </w:tr>
      <w:tr w:rsidR="00B21E02">
        <w:tc>
          <w:tcPr>
            <w:tcW w:w="817" w:type="dxa"/>
            <w:vAlign w:val="center"/>
          </w:tcPr>
          <w:p w:rsidR="00B21E02" w:rsidRDefault="00B72BC6">
            <w:pPr>
              <w:jc w:val="center"/>
            </w:pPr>
            <w:r>
              <w:rPr>
                <w:rFonts w:eastAsiaTheme="minorEastAsia"/>
                <w:kern w:val="0"/>
                <w:szCs w:val="21"/>
              </w:rPr>
              <w:t>2</w:t>
            </w:r>
          </w:p>
        </w:tc>
        <w:tc>
          <w:tcPr>
            <w:tcW w:w="1276" w:type="dxa"/>
            <w:vAlign w:val="center"/>
          </w:tcPr>
          <w:p w:rsidR="00B21E02" w:rsidRDefault="00B72BC6">
            <w:pPr>
              <w:jc w:val="center"/>
            </w:pPr>
            <w:r>
              <w:rPr>
                <w:rFonts w:eastAsiaTheme="minorEastAsia"/>
                <w:kern w:val="0"/>
                <w:szCs w:val="21"/>
              </w:rPr>
              <w:t>01088</w:t>
            </w:r>
          </w:p>
        </w:tc>
        <w:tc>
          <w:tcPr>
            <w:tcW w:w="1701" w:type="dxa"/>
            <w:vAlign w:val="center"/>
          </w:tcPr>
          <w:p w:rsidR="00B21E02" w:rsidRDefault="00B72BC6">
            <w:pPr>
              <w:jc w:val="center"/>
            </w:pPr>
            <w:r>
              <w:rPr>
                <w:rFonts w:eastAsiaTheme="minorEastAsia"/>
                <w:kern w:val="0"/>
                <w:szCs w:val="21"/>
              </w:rPr>
              <w:t>中国神华</w:t>
            </w:r>
          </w:p>
        </w:tc>
        <w:tc>
          <w:tcPr>
            <w:tcW w:w="1276" w:type="dxa"/>
            <w:vAlign w:val="center"/>
          </w:tcPr>
          <w:p w:rsidR="00B21E02" w:rsidRDefault="00B72BC6">
            <w:pPr>
              <w:jc w:val="right"/>
            </w:pPr>
            <w:r>
              <w:rPr>
                <w:rFonts w:eastAsiaTheme="minorEastAsia"/>
                <w:kern w:val="0"/>
                <w:szCs w:val="21"/>
              </w:rPr>
              <w:t>167,500.00</w:t>
            </w:r>
          </w:p>
        </w:tc>
        <w:tc>
          <w:tcPr>
            <w:tcW w:w="1842" w:type="dxa"/>
            <w:vAlign w:val="center"/>
          </w:tcPr>
          <w:p w:rsidR="00B21E02" w:rsidRDefault="00B72BC6">
            <w:pPr>
              <w:jc w:val="right"/>
            </w:pPr>
            <w:r>
              <w:rPr>
                <w:rFonts w:eastAsiaTheme="minorEastAsia"/>
                <w:kern w:val="0"/>
                <w:szCs w:val="21"/>
              </w:rPr>
              <w:t>4,669,900.00</w:t>
            </w:r>
          </w:p>
        </w:tc>
        <w:tc>
          <w:tcPr>
            <w:tcW w:w="1616" w:type="dxa"/>
            <w:vAlign w:val="center"/>
          </w:tcPr>
          <w:p w:rsidR="00B21E02" w:rsidRDefault="00B72BC6">
            <w:pPr>
              <w:jc w:val="right"/>
            </w:pPr>
            <w:r>
              <w:rPr>
                <w:rFonts w:eastAsiaTheme="minorEastAsia"/>
                <w:kern w:val="0"/>
                <w:szCs w:val="21"/>
              </w:rPr>
              <w:t>1.02</w:t>
            </w:r>
          </w:p>
        </w:tc>
      </w:tr>
      <w:tr w:rsidR="00B21E02">
        <w:tc>
          <w:tcPr>
            <w:tcW w:w="817" w:type="dxa"/>
            <w:vAlign w:val="center"/>
          </w:tcPr>
          <w:p w:rsidR="00B21E02" w:rsidRDefault="00B72BC6">
            <w:pPr>
              <w:jc w:val="center"/>
            </w:pPr>
            <w:r>
              <w:rPr>
                <w:rFonts w:eastAsiaTheme="minorEastAsia"/>
                <w:kern w:val="0"/>
                <w:szCs w:val="21"/>
              </w:rPr>
              <w:t>3</w:t>
            </w:r>
          </w:p>
        </w:tc>
        <w:tc>
          <w:tcPr>
            <w:tcW w:w="1276" w:type="dxa"/>
            <w:vAlign w:val="center"/>
          </w:tcPr>
          <w:p w:rsidR="00B21E02" w:rsidRDefault="00B72BC6">
            <w:pPr>
              <w:jc w:val="center"/>
            </w:pPr>
            <w:r>
              <w:rPr>
                <w:rFonts w:eastAsiaTheme="minorEastAsia"/>
                <w:kern w:val="0"/>
                <w:szCs w:val="21"/>
              </w:rPr>
              <w:t>600938</w:t>
            </w:r>
          </w:p>
        </w:tc>
        <w:tc>
          <w:tcPr>
            <w:tcW w:w="1701" w:type="dxa"/>
            <w:vAlign w:val="center"/>
          </w:tcPr>
          <w:p w:rsidR="00B21E02" w:rsidRDefault="00B72BC6">
            <w:pPr>
              <w:jc w:val="center"/>
            </w:pPr>
            <w:r>
              <w:rPr>
                <w:rFonts w:eastAsiaTheme="minorEastAsia"/>
                <w:kern w:val="0"/>
                <w:szCs w:val="21"/>
              </w:rPr>
              <w:t>中国海油</w:t>
            </w:r>
          </w:p>
        </w:tc>
        <w:tc>
          <w:tcPr>
            <w:tcW w:w="1276" w:type="dxa"/>
            <w:vAlign w:val="center"/>
          </w:tcPr>
          <w:p w:rsidR="00B21E02" w:rsidRDefault="00B72BC6">
            <w:pPr>
              <w:jc w:val="right"/>
            </w:pPr>
            <w:r>
              <w:rPr>
                <w:rFonts w:eastAsiaTheme="minorEastAsia"/>
                <w:kern w:val="0"/>
                <w:szCs w:val="21"/>
              </w:rPr>
              <w:t>263,200.00</w:t>
            </w:r>
          </w:p>
        </w:tc>
        <w:tc>
          <w:tcPr>
            <w:tcW w:w="1842" w:type="dxa"/>
            <w:vAlign w:val="center"/>
          </w:tcPr>
          <w:p w:rsidR="00B21E02" w:rsidRDefault="00B72BC6">
            <w:pPr>
              <w:jc w:val="right"/>
            </w:pPr>
            <w:r>
              <w:rPr>
                <w:rFonts w:eastAsiaTheme="minorEastAsia"/>
                <w:kern w:val="0"/>
                <w:szCs w:val="21"/>
              </w:rPr>
              <w:t>7,693,336.00</w:t>
            </w:r>
          </w:p>
        </w:tc>
        <w:tc>
          <w:tcPr>
            <w:tcW w:w="1616" w:type="dxa"/>
            <w:vAlign w:val="center"/>
          </w:tcPr>
          <w:p w:rsidR="00B21E02" w:rsidRDefault="00B72BC6">
            <w:pPr>
              <w:jc w:val="right"/>
            </w:pPr>
            <w:r>
              <w:rPr>
                <w:rFonts w:eastAsiaTheme="minorEastAsia"/>
                <w:kern w:val="0"/>
                <w:szCs w:val="21"/>
              </w:rPr>
              <w:t>1.68</w:t>
            </w:r>
          </w:p>
        </w:tc>
      </w:tr>
      <w:tr w:rsidR="00B21E02">
        <w:tc>
          <w:tcPr>
            <w:tcW w:w="817" w:type="dxa"/>
            <w:vAlign w:val="center"/>
          </w:tcPr>
          <w:p w:rsidR="00B21E02" w:rsidRDefault="00B72BC6">
            <w:pPr>
              <w:jc w:val="center"/>
            </w:pPr>
            <w:r>
              <w:rPr>
                <w:rFonts w:eastAsiaTheme="minorEastAsia"/>
                <w:kern w:val="0"/>
                <w:szCs w:val="21"/>
              </w:rPr>
              <w:t>3</w:t>
            </w:r>
          </w:p>
        </w:tc>
        <w:tc>
          <w:tcPr>
            <w:tcW w:w="1276" w:type="dxa"/>
            <w:vAlign w:val="center"/>
          </w:tcPr>
          <w:p w:rsidR="00B21E02" w:rsidRDefault="00B72BC6">
            <w:pPr>
              <w:jc w:val="center"/>
            </w:pPr>
            <w:r>
              <w:rPr>
                <w:rFonts w:eastAsiaTheme="minorEastAsia"/>
                <w:kern w:val="0"/>
                <w:szCs w:val="21"/>
              </w:rPr>
              <w:t>00883</w:t>
            </w:r>
          </w:p>
        </w:tc>
        <w:tc>
          <w:tcPr>
            <w:tcW w:w="1701" w:type="dxa"/>
            <w:vAlign w:val="center"/>
          </w:tcPr>
          <w:p w:rsidR="00B21E02" w:rsidRDefault="00B72BC6">
            <w:pPr>
              <w:jc w:val="center"/>
            </w:pPr>
            <w:r>
              <w:rPr>
                <w:rFonts w:eastAsiaTheme="minorEastAsia"/>
                <w:kern w:val="0"/>
                <w:szCs w:val="21"/>
              </w:rPr>
              <w:t>中国海洋石油</w:t>
            </w:r>
          </w:p>
        </w:tc>
        <w:tc>
          <w:tcPr>
            <w:tcW w:w="1276" w:type="dxa"/>
            <w:vAlign w:val="center"/>
          </w:tcPr>
          <w:p w:rsidR="00B21E02" w:rsidRDefault="00B72BC6">
            <w:pPr>
              <w:jc w:val="right"/>
            </w:pPr>
            <w:r>
              <w:rPr>
                <w:rFonts w:eastAsiaTheme="minorEastAsia"/>
                <w:kern w:val="0"/>
                <w:szCs w:val="21"/>
              </w:rPr>
              <w:t>334,000.00</w:t>
            </w:r>
          </w:p>
        </w:tc>
        <w:tc>
          <w:tcPr>
            <w:tcW w:w="1842" w:type="dxa"/>
            <w:vAlign w:val="center"/>
          </w:tcPr>
          <w:p w:rsidR="00B21E02" w:rsidRDefault="00B72BC6">
            <w:pPr>
              <w:jc w:val="right"/>
            </w:pPr>
            <w:r>
              <w:rPr>
                <w:rFonts w:eastAsiaTheme="minorEastAsia"/>
                <w:kern w:val="0"/>
                <w:szCs w:val="21"/>
              </w:rPr>
              <w:t>5,487,620.00</w:t>
            </w:r>
          </w:p>
        </w:tc>
        <w:tc>
          <w:tcPr>
            <w:tcW w:w="1616" w:type="dxa"/>
            <w:vAlign w:val="center"/>
          </w:tcPr>
          <w:p w:rsidR="00B21E02" w:rsidRDefault="00B72BC6">
            <w:pPr>
              <w:jc w:val="right"/>
            </w:pPr>
            <w:r>
              <w:rPr>
                <w:rFonts w:eastAsiaTheme="minorEastAsia"/>
                <w:kern w:val="0"/>
                <w:szCs w:val="21"/>
              </w:rPr>
              <w:t>1.20</w:t>
            </w:r>
          </w:p>
        </w:tc>
      </w:tr>
      <w:tr w:rsidR="00B21E02">
        <w:tc>
          <w:tcPr>
            <w:tcW w:w="817" w:type="dxa"/>
            <w:vAlign w:val="center"/>
          </w:tcPr>
          <w:p w:rsidR="00B21E02" w:rsidRDefault="00B72BC6">
            <w:pPr>
              <w:jc w:val="center"/>
            </w:pPr>
            <w:r>
              <w:rPr>
                <w:rFonts w:eastAsiaTheme="minorEastAsia"/>
                <w:kern w:val="0"/>
                <w:szCs w:val="21"/>
              </w:rPr>
              <w:t>4</w:t>
            </w:r>
          </w:p>
        </w:tc>
        <w:tc>
          <w:tcPr>
            <w:tcW w:w="1276" w:type="dxa"/>
            <w:vAlign w:val="center"/>
          </w:tcPr>
          <w:p w:rsidR="00B21E02" w:rsidRDefault="00B72BC6">
            <w:pPr>
              <w:jc w:val="center"/>
            </w:pPr>
            <w:r>
              <w:rPr>
                <w:rFonts w:eastAsiaTheme="minorEastAsia"/>
                <w:kern w:val="0"/>
                <w:szCs w:val="21"/>
              </w:rPr>
              <w:t>603477</w:t>
            </w:r>
          </w:p>
        </w:tc>
        <w:tc>
          <w:tcPr>
            <w:tcW w:w="1701" w:type="dxa"/>
            <w:vAlign w:val="center"/>
          </w:tcPr>
          <w:p w:rsidR="00B21E02" w:rsidRDefault="00B72BC6">
            <w:pPr>
              <w:jc w:val="center"/>
            </w:pPr>
            <w:r>
              <w:rPr>
                <w:rFonts w:eastAsiaTheme="minorEastAsia"/>
                <w:kern w:val="0"/>
                <w:szCs w:val="21"/>
              </w:rPr>
              <w:t>巨星农牧</w:t>
            </w:r>
          </w:p>
        </w:tc>
        <w:tc>
          <w:tcPr>
            <w:tcW w:w="1276" w:type="dxa"/>
            <w:vAlign w:val="center"/>
          </w:tcPr>
          <w:p w:rsidR="00B21E02" w:rsidRDefault="00B72BC6">
            <w:pPr>
              <w:jc w:val="right"/>
            </w:pPr>
            <w:r>
              <w:rPr>
                <w:rFonts w:eastAsiaTheme="minorEastAsia"/>
                <w:kern w:val="0"/>
                <w:szCs w:val="21"/>
              </w:rPr>
              <w:t>332,501.00</w:t>
            </w:r>
          </w:p>
        </w:tc>
        <w:tc>
          <w:tcPr>
            <w:tcW w:w="1842" w:type="dxa"/>
            <w:vAlign w:val="center"/>
          </w:tcPr>
          <w:p w:rsidR="00B21E02" w:rsidRDefault="00B72BC6">
            <w:pPr>
              <w:jc w:val="right"/>
            </w:pPr>
            <w:r>
              <w:rPr>
                <w:rFonts w:eastAsiaTheme="minorEastAsia"/>
                <w:kern w:val="0"/>
                <w:szCs w:val="21"/>
              </w:rPr>
              <w:t>12,156,236.56</w:t>
            </w:r>
          </w:p>
        </w:tc>
        <w:tc>
          <w:tcPr>
            <w:tcW w:w="1616" w:type="dxa"/>
            <w:vAlign w:val="center"/>
          </w:tcPr>
          <w:p w:rsidR="00B21E02" w:rsidRDefault="00B72BC6">
            <w:pPr>
              <w:jc w:val="right"/>
            </w:pPr>
            <w:r>
              <w:rPr>
                <w:rFonts w:eastAsiaTheme="minorEastAsia"/>
                <w:kern w:val="0"/>
                <w:szCs w:val="21"/>
              </w:rPr>
              <w:t>2.66</w:t>
            </w:r>
          </w:p>
        </w:tc>
      </w:tr>
      <w:tr w:rsidR="00B21E02">
        <w:tc>
          <w:tcPr>
            <w:tcW w:w="817" w:type="dxa"/>
            <w:vAlign w:val="center"/>
          </w:tcPr>
          <w:p w:rsidR="00B21E02" w:rsidRDefault="00B72BC6">
            <w:pPr>
              <w:jc w:val="center"/>
            </w:pPr>
            <w:r>
              <w:rPr>
                <w:rFonts w:eastAsiaTheme="minorEastAsia"/>
                <w:kern w:val="0"/>
                <w:szCs w:val="21"/>
              </w:rPr>
              <w:t>5</w:t>
            </w:r>
          </w:p>
        </w:tc>
        <w:tc>
          <w:tcPr>
            <w:tcW w:w="1276" w:type="dxa"/>
            <w:vAlign w:val="center"/>
          </w:tcPr>
          <w:p w:rsidR="00B21E02" w:rsidRDefault="00B72BC6">
            <w:pPr>
              <w:jc w:val="center"/>
            </w:pPr>
            <w:r>
              <w:rPr>
                <w:rFonts w:eastAsiaTheme="minorEastAsia"/>
                <w:kern w:val="0"/>
                <w:szCs w:val="21"/>
              </w:rPr>
              <w:t>00941</w:t>
            </w:r>
          </w:p>
        </w:tc>
        <w:tc>
          <w:tcPr>
            <w:tcW w:w="1701" w:type="dxa"/>
            <w:vAlign w:val="center"/>
          </w:tcPr>
          <w:p w:rsidR="00B21E02" w:rsidRDefault="00B72BC6">
            <w:pPr>
              <w:jc w:val="center"/>
            </w:pPr>
            <w:r>
              <w:rPr>
                <w:rFonts w:eastAsiaTheme="minorEastAsia"/>
                <w:kern w:val="0"/>
                <w:szCs w:val="21"/>
              </w:rPr>
              <w:t>中国移动</w:t>
            </w:r>
          </w:p>
        </w:tc>
        <w:tc>
          <w:tcPr>
            <w:tcW w:w="1276" w:type="dxa"/>
            <w:vAlign w:val="center"/>
          </w:tcPr>
          <w:p w:rsidR="00B21E02" w:rsidRDefault="00B72BC6">
            <w:pPr>
              <w:jc w:val="right"/>
            </w:pPr>
            <w:r>
              <w:rPr>
                <w:rFonts w:eastAsiaTheme="minorEastAsia"/>
                <w:kern w:val="0"/>
                <w:szCs w:val="21"/>
              </w:rPr>
              <w:t>140,000.00</w:t>
            </w:r>
          </w:p>
        </w:tc>
        <w:tc>
          <w:tcPr>
            <w:tcW w:w="1842" w:type="dxa"/>
            <w:vAlign w:val="center"/>
          </w:tcPr>
          <w:p w:rsidR="00B21E02" w:rsidRDefault="00B72BC6">
            <w:pPr>
              <w:jc w:val="right"/>
            </w:pPr>
            <w:r>
              <w:rPr>
                <w:rFonts w:eastAsiaTheme="minorEastAsia"/>
                <w:kern w:val="0"/>
                <w:szCs w:val="21"/>
              </w:rPr>
              <w:t>8,491,000.00</w:t>
            </w:r>
          </w:p>
        </w:tc>
        <w:tc>
          <w:tcPr>
            <w:tcW w:w="1616" w:type="dxa"/>
            <w:vAlign w:val="center"/>
          </w:tcPr>
          <w:p w:rsidR="00B21E02" w:rsidRDefault="00B72BC6">
            <w:pPr>
              <w:jc w:val="right"/>
            </w:pPr>
            <w:r>
              <w:rPr>
                <w:rFonts w:eastAsiaTheme="minorEastAsia"/>
                <w:kern w:val="0"/>
                <w:szCs w:val="21"/>
              </w:rPr>
              <w:t>1.86</w:t>
            </w:r>
          </w:p>
        </w:tc>
      </w:tr>
      <w:tr w:rsidR="00B21E02">
        <w:tc>
          <w:tcPr>
            <w:tcW w:w="817" w:type="dxa"/>
            <w:vAlign w:val="center"/>
          </w:tcPr>
          <w:p w:rsidR="00B21E02" w:rsidRDefault="00B72BC6">
            <w:pPr>
              <w:jc w:val="center"/>
            </w:pPr>
            <w:r>
              <w:rPr>
                <w:rFonts w:eastAsiaTheme="minorEastAsia"/>
                <w:kern w:val="0"/>
                <w:szCs w:val="21"/>
              </w:rPr>
              <w:lastRenderedPageBreak/>
              <w:t>5</w:t>
            </w:r>
          </w:p>
        </w:tc>
        <w:tc>
          <w:tcPr>
            <w:tcW w:w="1276" w:type="dxa"/>
            <w:vAlign w:val="center"/>
          </w:tcPr>
          <w:p w:rsidR="00B21E02" w:rsidRDefault="00B72BC6">
            <w:pPr>
              <w:jc w:val="center"/>
            </w:pPr>
            <w:r>
              <w:rPr>
                <w:rFonts w:eastAsiaTheme="minorEastAsia"/>
                <w:kern w:val="0"/>
                <w:szCs w:val="21"/>
              </w:rPr>
              <w:t>600941</w:t>
            </w:r>
          </w:p>
        </w:tc>
        <w:tc>
          <w:tcPr>
            <w:tcW w:w="1701" w:type="dxa"/>
            <w:vAlign w:val="center"/>
          </w:tcPr>
          <w:p w:rsidR="00B21E02" w:rsidRDefault="00B72BC6">
            <w:pPr>
              <w:jc w:val="center"/>
            </w:pPr>
            <w:r>
              <w:rPr>
                <w:rFonts w:eastAsiaTheme="minorEastAsia"/>
                <w:kern w:val="0"/>
                <w:szCs w:val="21"/>
              </w:rPr>
              <w:t>中国移动</w:t>
            </w:r>
          </w:p>
        </w:tc>
        <w:tc>
          <w:tcPr>
            <w:tcW w:w="1276" w:type="dxa"/>
            <w:vAlign w:val="center"/>
          </w:tcPr>
          <w:p w:rsidR="00B21E02" w:rsidRDefault="00B72BC6">
            <w:pPr>
              <w:jc w:val="right"/>
            </w:pPr>
            <w:r>
              <w:rPr>
                <w:rFonts w:eastAsiaTheme="minorEastAsia"/>
                <w:kern w:val="0"/>
                <w:szCs w:val="21"/>
              </w:rPr>
              <w:t>32,300.00</w:t>
            </w:r>
          </w:p>
        </w:tc>
        <w:tc>
          <w:tcPr>
            <w:tcW w:w="1842" w:type="dxa"/>
            <w:vAlign w:val="center"/>
          </w:tcPr>
          <w:p w:rsidR="00B21E02" w:rsidRDefault="00B72BC6">
            <w:pPr>
              <w:jc w:val="right"/>
            </w:pPr>
            <w:r>
              <w:rPr>
                <w:rFonts w:eastAsiaTheme="minorEastAsia"/>
                <w:kern w:val="0"/>
                <w:szCs w:val="21"/>
              </w:rPr>
              <w:t>3,416,048.00</w:t>
            </w:r>
          </w:p>
        </w:tc>
        <w:tc>
          <w:tcPr>
            <w:tcW w:w="1616" w:type="dxa"/>
            <w:vAlign w:val="center"/>
          </w:tcPr>
          <w:p w:rsidR="00B21E02" w:rsidRDefault="00B72BC6">
            <w:pPr>
              <w:jc w:val="right"/>
            </w:pPr>
            <w:r>
              <w:rPr>
                <w:rFonts w:eastAsiaTheme="minorEastAsia"/>
                <w:kern w:val="0"/>
                <w:szCs w:val="21"/>
              </w:rPr>
              <w:t>0.75</w:t>
            </w:r>
          </w:p>
        </w:tc>
      </w:tr>
      <w:tr w:rsidR="00B21E02">
        <w:tc>
          <w:tcPr>
            <w:tcW w:w="817" w:type="dxa"/>
            <w:vAlign w:val="center"/>
          </w:tcPr>
          <w:p w:rsidR="00B21E02" w:rsidRDefault="00B72BC6">
            <w:pPr>
              <w:jc w:val="center"/>
            </w:pPr>
            <w:r>
              <w:rPr>
                <w:rFonts w:eastAsiaTheme="minorEastAsia"/>
                <w:kern w:val="0"/>
                <w:szCs w:val="21"/>
              </w:rPr>
              <w:t>6</w:t>
            </w:r>
          </w:p>
        </w:tc>
        <w:tc>
          <w:tcPr>
            <w:tcW w:w="1276" w:type="dxa"/>
            <w:vAlign w:val="center"/>
          </w:tcPr>
          <w:p w:rsidR="00B21E02" w:rsidRDefault="00B72BC6">
            <w:pPr>
              <w:jc w:val="center"/>
            </w:pPr>
            <w:r>
              <w:rPr>
                <w:rFonts w:eastAsiaTheme="minorEastAsia"/>
                <w:kern w:val="0"/>
                <w:szCs w:val="21"/>
              </w:rPr>
              <w:t>002028</w:t>
            </w:r>
          </w:p>
        </w:tc>
        <w:tc>
          <w:tcPr>
            <w:tcW w:w="1701" w:type="dxa"/>
            <w:vAlign w:val="center"/>
          </w:tcPr>
          <w:p w:rsidR="00B21E02" w:rsidRDefault="00B72BC6">
            <w:pPr>
              <w:jc w:val="center"/>
            </w:pPr>
            <w:r>
              <w:rPr>
                <w:rFonts w:eastAsiaTheme="minorEastAsia"/>
                <w:kern w:val="0"/>
                <w:szCs w:val="21"/>
              </w:rPr>
              <w:t>思源电气</w:t>
            </w:r>
          </w:p>
        </w:tc>
        <w:tc>
          <w:tcPr>
            <w:tcW w:w="1276" w:type="dxa"/>
            <w:vAlign w:val="center"/>
          </w:tcPr>
          <w:p w:rsidR="00B21E02" w:rsidRDefault="00B72BC6">
            <w:pPr>
              <w:jc w:val="right"/>
            </w:pPr>
            <w:r>
              <w:rPr>
                <w:rFonts w:eastAsiaTheme="minorEastAsia"/>
                <w:kern w:val="0"/>
                <w:szCs w:val="21"/>
              </w:rPr>
              <w:t>193,512.00</w:t>
            </w:r>
          </w:p>
        </w:tc>
        <w:tc>
          <w:tcPr>
            <w:tcW w:w="1842" w:type="dxa"/>
            <w:vAlign w:val="center"/>
          </w:tcPr>
          <w:p w:rsidR="00B21E02" w:rsidRDefault="00B72BC6">
            <w:pPr>
              <w:jc w:val="right"/>
            </w:pPr>
            <w:r>
              <w:rPr>
                <w:rFonts w:eastAsiaTheme="minorEastAsia"/>
                <w:kern w:val="0"/>
                <w:szCs w:val="21"/>
              </w:rPr>
              <w:t>11,542,990.80</w:t>
            </w:r>
          </w:p>
        </w:tc>
        <w:tc>
          <w:tcPr>
            <w:tcW w:w="1616" w:type="dxa"/>
            <w:vAlign w:val="center"/>
          </w:tcPr>
          <w:p w:rsidR="00B21E02" w:rsidRDefault="00B72BC6">
            <w:pPr>
              <w:jc w:val="right"/>
            </w:pPr>
            <w:r>
              <w:rPr>
                <w:rFonts w:eastAsiaTheme="minorEastAsia"/>
                <w:kern w:val="0"/>
                <w:szCs w:val="21"/>
              </w:rPr>
              <w:t>2.53</w:t>
            </w:r>
          </w:p>
        </w:tc>
      </w:tr>
      <w:tr w:rsidR="00B21E02">
        <w:tc>
          <w:tcPr>
            <w:tcW w:w="817" w:type="dxa"/>
            <w:vAlign w:val="center"/>
          </w:tcPr>
          <w:p w:rsidR="00B21E02" w:rsidRDefault="00B72BC6">
            <w:pPr>
              <w:jc w:val="center"/>
            </w:pPr>
            <w:r>
              <w:rPr>
                <w:rFonts w:eastAsiaTheme="minorEastAsia"/>
                <w:kern w:val="0"/>
                <w:szCs w:val="21"/>
              </w:rPr>
              <w:t>7</w:t>
            </w:r>
          </w:p>
        </w:tc>
        <w:tc>
          <w:tcPr>
            <w:tcW w:w="1276" w:type="dxa"/>
            <w:vAlign w:val="center"/>
          </w:tcPr>
          <w:p w:rsidR="00B21E02" w:rsidRDefault="00B72BC6">
            <w:pPr>
              <w:jc w:val="center"/>
            </w:pPr>
            <w:r>
              <w:rPr>
                <w:rFonts w:eastAsiaTheme="minorEastAsia"/>
                <w:kern w:val="0"/>
                <w:szCs w:val="21"/>
              </w:rPr>
              <w:t>688100</w:t>
            </w:r>
          </w:p>
        </w:tc>
        <w:tc>
          <w:tcPr>
            <w:tcW w:w="1701" w:type="dxa"/>
            <w:vAlign w:val="center"/>
          </w:tcPr>
          <w:p w:rsidR="00B21E02" w:rsidRDefault="00B72BC6">
            <w:pPr>
              <w:jc w:val="center"/>
            </w:pPr>
            <w:r>
              <w:rPr>
                <w:rFonts w:eastAsiaTheme="minorEastAsia"/>
                <w:kern w:val="0"/>
                <w:szCs w:val="21"/>
              </w:rPr>
              <w:t>威胜信息</w:t>
            </w:r>
          </w:p>
        </w:tc>
        <w:tc>
          <w:tcPr>
            <w:tcW w:w="1276" w:type="dxa"/>
            <w:vAlign w:val="center"/>
          </w:tcPr>
          <w:p w:rsidR="00B21E02" w:rsidRDefault="00B72BC6">
            <w:pPr>
              <w:jc w:val="right"/>
            </w:pPr>
            <w:r>
              <w:rPr>
                <w:rFonts w:eastAsiaTheme="minorEastAsia"/>
                <w:kern w:val="0"/>
                <w:szCs w:val="21"/>
              </w:rPr>
              <w:t>323,740.00</w:t>
            </w:r>
          </w:p>
        </w:tc>
        <w:tc>
          <w:tcPr>
            <w:tcW w:w="1842" w:type="dxa"/>
            <w:vAlign w:val="center"/>
          </w:tcPr>
          <w:p w:rsidR="00B21E02" w:rsidRDefault="00B72BC6">
            <w:pPr>
              <w:jc w:val="right"/>
            </w:pPr>
            <w:r>
              <w:rPr>
                <w:rFonts w:eastAsiaTheme="minorEastAsia"/>
                <w:kern w:val="0"/>
                <w:szCs w:val="21"/>
              </w:rPr>
              <w:t>11,201,404.00</w:t>
            </w:r>
          </w:p>
        </w:tc>
        <w:tc>
          <w:tcPr>
            <w:tcW w:w="1616" w:type="dxa"/>
            <w:vAlign w:val="center"/>
          </w:tcPr>
          <w:p w:rsidR="00B21E02" w:rsidRDefault="00B72BC6">
            <w:pPr>
              <w:jc w:val="right"/>
            </w:pPr>
            <w:r>
              <w:rPr>
                <w:rFonts w:eastAsiaTheme="minorEastAsia"/>
                <w:kern w:val="0"/>
                <w:szCs w:val="21"/>
              </w:rPr>
              <w:t>2.45</w:t>
            </w:r>
          </w:p>
        </w:tc>
      </w:tr>
      <w:tr w:rsidR="00B21E02">
        <w:tc>
          <w:tcPr>
            <w:tcW w:w="817" w:type="dxa"/>
            <w:vAlign w:val="center"/>
          </w:tcPr>
          <w:p w:rsidR="00B21E02" w:rsidRDefault="00B72BC6">
            <w:pPr>
              <w:jc w:val="center"/>
            </w:pPr>
            <w:r>
              <w:rPr>
                <w:rFonts w:eastAsiaTheme="minorEastAsia"/>
                <w:kern w:val="0"/>
                <w:szCs w:val="21"/>
              </w:rPr>
              <w:t>8</w:t>
            </w:r>
          </w:p>
        </w:tc>
        <w:tc>
          <w:tcPr>
            <w:tcW w:w="1276" w:type="dxa"/>
            <w:vAlign w:val="center"/>
          </w:tcPr>
          <w:p w:rsidR="00B21E02" w:rsidRDefault="00B72BC6">
            <w:pPr>
              <w:jc w:val="center"/>
            </w:pPr>
            <w:r>
              <w:rPr>
                <w:rFonts w:eastAsiaTheme="minorEastAsia"/>
                <w:kern w:val="0"/>
                <w:szCs w:val="21"/>
              </w:rPr>
              <w:t>601899</w:t>
            </w:r>
          </w:p>
        </w:tc>
        <w:tc>
          <w:tcPr>
            <w:tcW w:w="1701" w:type="dxa"/>
            <w:vAlign w:val="center"/>
          </w:tcPr>
          <w:p w:rsidR="00B21E02" w:rsidRDefault="00B72BC6">
            <w:pPr>
              <w:jc w:val="center"/>
            </w:pPr>
            <w:r>
              <w:rPr>
                <w:rFonts w:eastAsiaTheme="minorEastAsia"/>
                <w:kern w:val="0"/>
                <w:szCs w:val="21"/>
              </w:rPr>
              <w:t>紫金矿业</w:t>
            </w:r>
          </w:p>
        </w:tc>
        <w:tc>
          <w:tcPr>
            <w:tcW w:w="1276" w:type="dxa"/>
            <w:vAlign w:val="center"/>
          </w:tcPr>
          <w:p w:rsidR="00B21E02" w:rsidRDefault="00B72BC6">
            <w:pPr>
              <w:jc w:val="right"/>
            </w:pPr>
            <w:r>
              <w:rPr>
                <w:rFonts w:eastAsiaTheme="minorEastAsia"/>
                <w:kern w:val="0"/>
                <w:szCs w:val="21"/>
              </w:rPr>
              <w:t>658,300.00</w:t>
            </w:r>
          </w:p>
        </w:tc>
        <w:tc>
          <w:tcPr>
            <w:tcW w:w="1842" w:type="dxa"/>
            <w:vAlign w:val="center"/>
          </w:tcPr>
          <w:p w:rsidR="00B21E02" w:rsidRDefault="00B72BC6">
            <w:pPr>
              <w:jc w:val="right"/>
            </w:pPr>
            <w:r>
              <w:rPr>
                <w:rFonts w:eastAsiaTheme="minorEastAsia"/>
                <w:kern w:val="0"/>
                <w:szCs w:val="21"/>
              </w:rPr>
              <w:t>11,072,606.00</w:t>
            </w:r>
          </w:p>
        </w:tc>
        <w:tc>
          <w:tcPr>
            <w:tcW w:w="1616" w:type="dxa"/>
            <w:vAlign w:val="center"/>
          </w:tcPr>
          <w:p w:rsidR="00B21E02" w:rsidRDefault="00B72BC6">
            <w:pPr>
              <w:jc w:val="right"/>
            </w:pPr>
            <w:r>
              <w:rPr>
                <w:rFonts w:eastAsiaTheme="minorEastAsia"/>
                <w:kern w:val="0"/>
                <w:szCs w:val="21"/>
              </w:rPr>
              <w:t>2.42</w:t>
            </w:r>
          </w:p>
        </w:tc>
      </w:tr>
      <w:tr w:rsidR="00B21E02">
        <w:tc>
          <w:tcPr>
            <w:tcW w:w="817" w:type="dxa"/>
            <w:vAlign w:val="center"/>
          </w:tcPr>
          <w:p w:rsidR="00B21E02" w:rsidRDefault="00B72BC6">
            <w:pPr>
              <w:jc w:val="center"/>
            </w:pPr>
            <w:r>
              <w:rPr>
                <w:rFonts w:eastAsiaTheme="minorEastAsia"/>
                <w:kern w:val="0"/>
                <w:szCs w:val="21"/>
              </w:rPr>
              <w:t>9</w:t>
            </w:r>
          </w:p>
        </w:tc>
        <w:tc>
          <w:tcPr>
            <w:tcW w:w="1276" w:type="dxa"/>
            <w:vAlign w:val="center"/>
          </w:tcPr>
          <w:p w:rsidR="00B21E02" w:rsidRDefault="00B72BC6">
            <w:pPr>
              <w:jc w:val="center"/>
            </w:pPr>
            <w:r>
              <w:rPr>
                <w:rFonts w:eastAsiaTheme="minorEastAsia"/>
                <w:kern w:val="0"/>
                <w:szCs w:val="21"/>
              </w:rPr>
              <w:t>300308</w:t>
            </w:r>
          </w:p>
        </w:tc>
        <w:tc>
          <w:tcPr>
            <w:tcW w:w="1701" w:type="dxa"/>
            <w:vAlign w:val="center"/>
          </w:tcPr>
          <w:p w:rsidR="00B21E02" w:rsidRDefault="00B72BC6">
            <w:pPr>
              <w:jc w:val="center"/>
            </w:pPr>
            <w:r>
              <w:rPr>
                <w:rFonts w:eastAsiaTheme="minorEastAsia"/>
                <w:kern w:val="0"/>
                <w:szCs w:val="21"/>
              </w:rPr>
              <w:t>中际旭创</w:t>
            </w:r>
          </w:p>
        </w:tc>
        <w:tc>
          <w:tcPr>
            <w:tcW w:w="1276" w:type="dxa"/>
            <w:vAlign w:val="center"/>
          </w:tcPr>
          <w:p w:rsidR="00B21E02" w:rsidRDefault="00B72BC6">
            <w:pPr>
              <w:jc w:val="right"/>
            </w:pPr>
            <w:r>
              <w:rPr>
                <w:rFonts w:eastAsiaTheme="minorEastAsia"/>
                <w:kern w:val="0"/>
                <w:szCs w:val="21"/>
              </w:rPr>
              <w:t>69,891.00</w:t>
            </w:r>
          </w:p>
        </w:tc>
        <w:tc>
          <w:tcPr>
            <w:tcW w:w="1842" w:type="dxa"/>
            <w:vAlign w:val="center"/>
          </w:tcPr>
          <w:p w:rsidR="00B21E02" w:rsidRDefault="00B72BC6">
            <w:pPr>
              <w:jc w:val="right"/>
            </w:pPr>
            <w:r>
              <w:rPr>
                <w:rFonts w:eastAsiaTheme="minorEastAsia"/>
                <w:kern w:val="0"/>
                <w:szCs w:val="21"/>
              </w:rPr>
              <w:t>10,942,134.96</w:t>
            </w:r>
          </w:p>
        </w:tc>
        <w:tc>
          <w:tcPr>
            <w:tcW w:w="1616" w:type="dxa"/>
            <w:vAlign w:val="center"/>
          </w:tcPr>
          <w:p w:rsidR="00B21E02" w:rsidRDefault="00B72BC6">
            <w:pPr>
              <w:jc w:val="right"/>
            </w:pPr>
            <w:r>
              <w:rPr>
                <w:rFonts w:eastAsiaTheme="minorEastAsia"/>
                <w:kern w:val="0"/>
                <w:szCs w:val="21"/>
              </w:rPr>
              <w:t>2.39</w:t>
            </w:r>
          </w:p>
        </w:tc>
      </w:tr>
      <w:tr w:rsidR="00B21E02">
        <w:tc>
          <w:tcPr>
            <w:tcW w:w="817" w:type="dxa"/>
            <w:vAlign w:val="center"/>
          </w:tcPr>
          <w:p w:rsidR="00B21E02" w:rsidRDefault="00B72BC6">
            <w:pPr>
              <w:jc w:val="center"/>
            </w:pPr>
            <w:r>
              <w:rPr>
                <w:rFonts w:eastAsiaTheme="minorEastAsia"/>
                <w:kern w:val="0"/>
                <w:szCs w:val="21"/>
              </w:rPr>
              <w:t>10</w:t>
            </w:r>
          </w:p>
        </w:tc>
        <w:tc>
          <w:tcPr>
            <w:tcW w:w="1276" w:type="dxa"/>
            <w:vAlign w:val="center"/>
          </w:tcPr>
          <w:p w:rsidR="00B21E02" w:rsidRDefault="00B72BC6">
            <w:pPr>
              <w:jc w:val="center"/>
            </w:pPr>
            <w:r>
              <w:rPr>
                <w:rFonts w:eastAsiaTheme="minorEastAsia"/>
                <w:kern w:val="0"/>
                <w:szCs w:val="21"/>
              </w:rPr>
              <w:t>603806</w:t>
            </w:r>
          </w:p>
        </w:tc>
        <w:tc>
          <w:tcPr>
            <w:tcW w:w="1701" w:type="dxa"/>
            <w:vAlign w:val="center"/>
          </w:tcPr>
          <w:p w:rsidR="00B21E02" w:rsidRDefault="00B72BC6">
            <w:pPr>
              <w:jc w:val="center"/>
            </w:pPr>
            <w:r>
              <w:rPr>
                <w:rFonts w:eastAsiaTheme="minorEastAsia"/>
                <w:kern w:val="0"/>
                <w:szCs w:val="21"/>
              </w:rPr>
              <w:t>福斯特</w:t>
            </w:r>
          </w:p>
        </w:tc>
        <w:tc>
          <w:tcPr>
            <w:tcW w:w="1276" w:type="dxa"/>
            <w:vAlign w:val="center"/>
          </w:tcPr>
          <w:p w:rsidR="00B21E02" w:rsidRDefault="00B72BC6">
            <w:pPr>
              <w:jc w:val="right"/>
            </w:pPr>
            <w:r>
              <w:rPr>
                <w:rFonts w:eastAsiaTheme="minorEastAsia"/>
                <w:kern w:val="0"/>
                <w:szCs w:val="21"/>
              </w:rPr>
              <w:t>371,261.00</w:t>
            </w:r>
          </w:p>
        </w:tc>
        <w:tc>
          <w:tcPr>
            <w:tcW w:w="1842" w:type="dxa"/>
            <w:vAlign w:val="center"/>
          </w:tcPr>
          <w:p w:rsidR="00B21E02" w:rsidRDefault="00B72BC6">
            <w:pPr>
              <w:jc w:val="right"/>
            </w:pPr>
            <w:r>
              <w:rPr>
                <w:rFonts w:eastAsiaTheme="minorEastAsia"/>
                <w:kern w:val="0"/>
                <w:szCs w:val="21"/>
              </w:rPr>
              <w:t>10,547,525.01</w:t>
            </w:r>
          </w:p>
        </w:tc>
        <w:tc>
          <w:tcPr>
            <w:tcW w:w="1616" w:type="dxa"/>
            <w:vAlign w:val="center"/>
          </w:tcPr>
          <w:p w:rsidR="00B21E02" w:rsidRDefault="00B72BC6">
            <w:pPr>
              <w:jc w:val="right"/>
            </w:pPr>
            <w:r>
              <w:rPr>
                <w:rFonts w:eastAsiaTheme="minorEastAsia"/>
                <w:kern w:val="0"/>
                <w:szCs w:val="21"/>
              </w:rPr>
              <w:t>2.31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127,639.11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13,677.84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141,316.95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707,803,960.94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61,068,676.16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747,681.08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1,756,373.05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33,334,647.71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2,812,416.21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675,216,994.31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60,012,633.00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772,598.51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772,598.51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摩根均衡优选混合型证券投资基金基金合同</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摩根均衡优选混合型证券投资基金托管协议</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21E02" w:rsidRDefault="00B72B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2BC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72BC6">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72BC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摩根均衡优选混合型证券投资基金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1E02"/>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2BC6"/>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46DFB-C091-4C32-805B-9D63F507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15</Pages>
  <Words>1283</Words>
  <Characters>7315</Characters>
  <Application>Microsoft Office Word</Application>
  <DocSecurity>0</DocSecurity>
  <Lines>60</Lines>
  <Paragraphs>17</Paragraphs>
  <ScaleCrop>false</ScaleCrop>
  <Company>TRT. Ltd. Co.</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2024-04-19T06:50:00Z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