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C22EFD" w14:textId="77777777" w:rsidR="00D31620" w:rsidRDefault="00D31620">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55915209" w14:textId="77777777" w:rsidR="00D31620" w:rsidRDefault="00D31620">
      <w:pPr>
        <w:spacing w:line="360" w:lineRule="auto"/>
        <w:rPr>
          <w:rFonts w:ascii="宋体" w:hAnsi="宋体" w:hint="eastAsia"/>
          <w:sz w:val="48"/>
        </w:rPr>
      </w:pPr>
      <w:r>
        <w:rPr>
          <w:rFonts w:ascii="宋体" w:hAnsi="宋体" w:hint="eastAsia"/>
          <w:sz w:val="48"/>
        </w:rPr>
        <w:t xml:space="preserve">　 </w:t>
      </w:r>
    </w:p>
    <w:p w14:paraId="430510F7" w14:textId="77777777" w:rsidR="00D31620" w:rsidRDefault="00D31620">
      <w:pPr>
        <w:spacing w:line="360" w:lineRule="auto"/>
        <w:jc w:val="center"/>
      </w:pPr>
      <w:r>
        <w:rPr>
          <w:rFonts w:ascii="宋体" w:hAnsi="宋体" w:hint="eastAsia"/>
          <w:b/>
          <w:bCs/>
          <w:color w:val="000000" w:themeColor="text1"/>
          <w:sz w:val="48"/>
          <w:szCs w:val="30"/>
        </w:rPr>
        <w:t>摩根鑫睿优选一年持有期混合型证券投资基金</w:t>
      </w:r>
      <w:r>
        <w:rPr>
          <w:rFonts w:ascii="宋体" w:hAnsi="宋体" w:hint="eastAsia"/>
          <w:b/>
          <w:bCs/>
          <w:color w:val="000000" w:themeColor="text1"/>
          <w:sz w:val="48"/>
          <w:szCs w:val="30"/>
        </w:rPr>
        <w:br/>
        <w:t>2026年第1季度报告</w:t>
      </w:r>
    </w:p>
    <w:p w14:paraId="3468AA93" w14:textId="77777777" w:rsidR="00D31620" w:rsidRDefault="00D31620">
      <w:pPr>
        <w:spacing w:line="360" w:lineRule="auto"/>
        <w:jc w:val="center"/>
        <w:rPr>
          <w:rFonts w:ascii="宋体" w:hAnsi="宋体" w:hint="eastAsia"/>
          <w:sz w:val="28"/>
          <w:szCs w:val="30"/>
        </w:rPr>
      </w:pPr>
      <w:r>
        <w:rPr>
          <w:rFonts w:ascii="宋体" w:hAnsi="宋体" w:hint="eastAsia"/>
          <w:sz w:val="28"/>
          <w:szCs w:val="30"/>
        </w:rPr>
        <w:t xml:space="preserve">　 </w:t>
      </w:r>
    </w:p>
    <w:p w14:paraId="2E6490E3" w14:textId="77777777" w:rsidR="00D31620" w:rsidRDefault="00D31620">
      <w:pPr>
        <w:spacing w:line="360" w:lineRule="auto"/>
        <w:jc w:val="center"/>
      </w:pPr>
      <w:r>
        <w:rPr>
          <w:rFonts w:ascii="宋体" w:hAnsi="宋体" w:hint="eastAsia"/>
          <w:b/>
          <w:bCs/>
          <w:sz w:val="28"/>
          <w:szCs w:val="30"/>
        </w:rPr>
        <w:t>2026年3月31日</w:t>
      </w:r>
    </w:p>
    <w:p w14:paraId="631712E1" w14:textId="77777777" w:rsidR="00D31620" w:rsidRDefault="00D31620">
      <w:pPr>
        <w:spacing w:line="360" w:lineRule="auto"/>
        <w:jc w:val="center"/>
        <w:rPr>
          <w:rFonts w:ascii="宋体" w:hAnsi="宋体" w:hint="eastAsia"/>
          <w:sz w:val="28"/>
          <w:szCs w:val="30"/>
        </w:rPr>
      </w:pPr>
      <w:r>
        <w:rPr>
          <w:rFonts w:ascii="宋体" w:hAnsi="宋体" w:hint="eastAsia"/>
          <w:sz w:val="28"/>
          <w:szCs w:val="30"/>
        </w:rPr>
        <w:t xml:space="preserve">　 </w:t>
      </w:r>
    </w:p>
    <w:p w14:paraId="073C2758" w14:textId="77777777" w:rsidR="00D31620" w:rsidRDefault="00D31620">
      <w:pPr>
        <w:spacing w:line="360" w:lineRule="auto"/>
        <w:jc w:val="center"/>
        <w:rPr>
          <w:rFonts w:ascii="宋体" w:hAnsi="宋体" w:hint="eastAsia"/>
          <w:sz w:val="28"/>
          <w:szCs w:val="30"/>
        </w:rPr>
      </w:pPr>
      <w:r>
        <w:rPr>
          <w:rFonts w:ascii="宋体" w:hAnsi="宋体" w:hint="eastAsia"/>
          <w:sz w:val="28"/>
          <w:szCs w:val="30"/>
        </w:rPr>
        <w:t xml:space="preserve">　 </w:t>
      </w:r>
    </w:p>
    <w:p w14:paraId="29BE1A23" w14:textId="77777777" w:rsidR="00D31620" w:rsidRDefault="00D31620">
      <w:pPr>
        <w:spacing w:line="360" w:lineRule="auto"/>
        <w:jc w:val="center"/>
        <w:rPr>
          <w:rFonts w:ascii="宋体" w:hAnsi="宋体" w:hint="eastAsia"/>
          <w:sz w:val="28"/>
          <w:szCs w:val="30"/>
        </w:rPr>
      </w:pPr>
      <w:r>
        <w:rPr>
          <w:rFonts w:ascii="宋体" w:hAnsi="宋体" w:hint="eastAsia"/>
          <w:sz w:val="28"/>
          <w:szCs w:val="30"/>
        </w:rPr>
        <w:t xml:space="preserve">　 </w:t>
      </w:r>
    </w:p>
    <w:p w14:paraId="0B2A76A2" w14:textId="77777777" w:rsidR="008C624A" w:rsidRDefault="00D31620" w:rsidP="008C624A">
      <w:pPr>
        <w:spacing w:line="360" w:lineRule="auto"/>
        <w:ind w:rightChars="-230" w:right="-483"/>
        <w:jc w:val="center"/>
        <w:rPr>
          <w:rFonts w:ascii="宋体" w:hAnsi="宋体"/>
          <w:sz w:val="28"/>
          <w:szCs w:val="30"/>
        </w:rPr>
      </w:pPr>
      <w:r>
        <w:rPr>
          <w:rFonts w:ascii="宋体" w:hAnsi="宋体" w:hint="eastAsia"/>
          <w:sz w:val="28"/>
          <w:szCs w:val="30"/>
        </w:rPr>
        <w:t xml:space="preserve">　 </w:t>
      </w:r>
    </w:p>
    <w:p w14:paraId="20AE9554" w14:textId="60467CB1" w:rsidR="00D31620" w:rsidRDefault="00D31620" w:rsidP="008C624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4A37388" w14:textId="77777777" w:rsidR="00D31620" w:rsidRDefault="00D31620">
      <w:pPr>
        <w:spacing w:line="360" w:lineRule="auto"/>
        <w:jc w:val="center"/>
        <w:rPr>
          <w:rFonts w:ascii="宋体" w:hAnsi="宋体" w:hint="eastAsia"/>
          <w:sz w:val="28"/>
          <w:szCs w:val="30"/>
        </w:rPr>
      </w:pPr>
      <w:r>
        <w:rPr>
          <w:rFonts w:ascii="宋体" w:hAnsi="宋体" w:hint="eastAsia"/>
          <w:sz w:val="28"/>
          <w:szCs w:val="30"/>
        </w:rPr>
        <w:t xml:space="preserve">　 </w:t>
      </w:r>
    </w:p>
    <w:p w14:paraId="6D941533" w14:textId="77777777" w:rsidR="00D31620" w:rsidRDefault="00D31620">
      <w:pPr>
        <w:spacing w:line="360" w:lineRule="auto"/>
        <w:jc w:val="center"/>
        <w:rPr>
          <w:rFonts w:ascii="宋体" w:hAnsi="宋体" w:hint="eastAsia"/>
          <w:sz w:val="28"/>
          <w:szCs w:val="30"/>
        </w:rPr>
      </w:pPr>
      <w:r>
        <w:rPr>
          <w:rFonts w:ascii="宋体" w:hAnsi="宋体" w:hint="eastAsia"/>
          <w:sz w:val="28"/>
          <w:szCs w:val="30"/>
        </w:rPr>
        <w:t xml:space="preserve">　 </w:t>
      </w:r>
    </w:p>
    <w:p w14:paraId="64FE3BD6" w14:textId="77777777" w:rsidR="00D31620" w:rsidRDefault="00D31620">
      <w:pPr>
        <w:spacing w:line="360" w:lineRule="auto"/>
        <w:jc w:val="center"/>
        <w:rPr>
          <w:rFonts w:ascii="宋体" w:hAnsi="宋体" w:hint="eastAsia"/>
          <w:sz w:val="28"/>
          <w:szCs w:val="30"/>
        </w:rPr>
      </w:pPr>
      <w:r>
        <w:rPr>
          <w:rFonts w:ascii="宋体" w:hAnsi="宋体" w:hint="eastAsia"/>
          <w:sz w:val="28"/>
          <w:szCs w:val="30"/>
        </w:rPr>
        <w:t xml:space="preserve">　 </w:t>
      </w:r>
    </w:p>
    <w:p w14:paraId="084A79C1" w14:textId="77777777" w:rsidR="00D31620" w:rsidRDefault="00D31620">
      <w:pPr>
        <w:spacing w:line="360" w:lineRule="auto"/>
        <w:jc w:val="center"/>
        <w:rPr>
          <w:rFonts w:ascii="宋体" w:hAnsi="宋体" w:hint="eastAsia"/>
          <w:sz w:val="28"/>
          <w:szCs w:val="30"/>
        </w:rPr>
      </w:pPr>
      <w:r>
        <w:rPr>
          <w:rFonts w:ascii="宋体" w:hAnsi="宋体" w:hint="eastAsia"/>
          <w:sz w:val="28"/>
          <w:szCs w:val="30"/>
        </w:rPr>
        <w:t xml:space="preserve">　 </w:t>
      </w:r>
    </w:p>
    <w:p w14:paraId="2C2DA201" w14:textId="77777777" w:rsidR="00D31620" w:rsidRDefault="00D31620">
      <w:pPr>
        <w:spacing w:line="360" w:lineRule="auto"/>
        <w:jc w:val="center"/>
        <w:rPr>
          <w:rFonts w:ascii="宋体" w:hAnsi="宋体" w:hint="eastAsia"/>
          <w:sz w:val="28"/>
          <w:szCs w:val="30"/>
        </w:rPr>
      </w:pPr>
      <w:r>
        <w:rPr>
          <w:rFonts w:ascii="宋体" w:hAnsi="宋体" w:hint="eastAsia"/>
          <w:sz w:val="28"/>
          <w:szCs w:val="30"/>
        </w:rPr>
        <w:t xml:space="preserve">　 </w:t>
      </w:r>
    </w:p>
    <w:p w14:paraId="6DACBF60" w14:textId="77777777" w:rsidR="00D31620" w:rsidRDefault="00D31620">
      <w:pPr>
        <w:spacing w:line="360" w:lineRule="auto"/>
        <w:jc w:val="center"/>
        <w:rPr>
          <w:rFonts w:ascii="宋体" w:hAnsi="宋体" w:hint="eastAsia"/>
          <w:sz w:val="28"/>
          <w:szCs w:val="30"/>
        </w:rPr>
      </w:pPr>
      <w:r>
        <w:rPr>
          <w:rFonts w:ascii="宋体" w:hAnsi="宋体" w:hint="eastAsia"/>
          <w:sz w:val="28"/>
          <w:szCs w:val="30"/>
        </w:rPr>
        <w:t xml:space="preserve">　 </w:t>
      </w:r>
    </w:p>
    <w:p w14:paraId="1736BCDD" w14:textId="77777777" w:rsidR="00D31620" w:rsidRDefault="00D31620">
      <w:pPr>
        <w:spacing w:line="360" w:lineRule="auto"/>
        <w:ind w:firstLineChars="800" w:firstLine="2249"/>
        <w:jc w:val="left"/>
      </w:pPr>
      <w:r>
        <w:rPr>
          <w:rFonts w:ascii="宋体" w:hAnsi="宋体" w:hint="eastAsia"/>
          <w:b/>
          <w:bCs/>
          <w:sz w:val="28"/>
          <w:szCs w:val="30"/>
        </w:rPr>
        <w:t>基金管理人：摩根基金管理（中国）有限公司</w:t>
      </w:r>
    </w:p>
    <w:p w14:paraId="29F82ED9" w14:textId="77777777" w:rsidR="00D31620" w:rsidRDefault="00D31620">
      <w:pPr>
        <w:spacing w:line="360" w:lineRule="auto"/>
        <w:ind w:firstLineChars="800" w:firstLine="2249"/>
        <w:jc w:val="left"/>
      </w:pPr>
      <w:r>
        <w:rPr>
          <w:rFonts w:ascii="宋体" w:hAnsi="宋体" w:hint="eastAsia"/>
          <w:b/>
          <w:bCs/>
          <w:sz w:val="28"/>
          <w:szCs w:val="30"/>
        </w:rPr>
        <w:t>基金托管人：兴业银行股份有限公司</w:t>
      </w:r>
    </w:p>
    <w:p w14:paraId="3129F607" w14:textId="77777777" w:rsidR="00D31620" w:rsidRDefault="00D31620">
      <w:pPr>
        <w:spacing w:line="360" w:lineRule="auto"/>
        <w:ind w:firstLineChars="800" w:firstLine="2249"/>
        <w:jc w:val="left"/>
      </w:pPr>
      <w:r>
        <w:rPr>
          <w:rFonts w:ascii="宋体" w:hAnsi="宋体" w:hint="eastAsia"/>
          <w:b/>
          <w:bCs/>
          <w:sz w:val="28"/>
          <w:szCs w:val="30"/>
        </w:rPr>
        <w:t>报告送出日期：2026年4月22日</w:t>
      </w:r>
    </w:p>
    <w:p w14:paraId="31D0310D" w14:textId="77777777" w:rsidR="00D31620" w:rsidRDefault="00D31620">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重要提示</w:t>
      </w:r>
      <w:bookmarkEnd w:id="7"/>
      <w:bookmarkEnd w:id="8"/>
      <w:bookmarkEnd w:id="9"/>
      <w:bookmarkEnd w:id="10"/>
      <w:bookmarkEnd w:id="11"/>
      <w:bookmarkEnd w:id="12"/>
      <w:bookmarkEnd w:id="13"/>
      <w:bookmarkEnd w:id="14"/>
      <w:r>
        <w:rPr>
          <w:rFonts w:hAnsi="宋体" w:hint="eastAsia"/>
        </w:rPr>
        <w:t xml:space="preserve"> </w:t>
      </w:r>
    </w:p>
    <w:p w14:paraId="1AF696A4" w14:textId="77777777" w:rsidR="00D31620" w:rsidRDefault="00D31620">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基金托管人兴业银行股份有限公司根据本基金合同规定，于2026年4月21日复核了本报告中的财务指标、净值表现和投资组合报告等内容，保证复核内容不存在虚假记载、误导性陈述或者重大遗漏。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00FDE008" w14:textId="77777777" w:rsidR="00D31620" w:rsidRDefault="00D31620">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基金产品概况</w:t>
      </w:r>
      <w:bookmarkEnd w:id="24"/>
      <w:bookmarkEnd w:id="25"/>
      <w:bookmarkEnd w:id="26"/>
      <w:bookmarkEnd w:id="27"/>
      <w:bookmarkEnd w:id="28"/>
      <w:bookmarkEnd w:id="29"/>
      <w:bookmarkEnd w:id="30"/>
      <w:bookmarkEnd w:id="31"/>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7D01C3" w14:paraId="52EFD95F" w14:textId="77777777">
        <w:trPr>
          <w:divId w:val="239489789"/>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84D34" w14:textId="77777777" w:rsidR="00D31620" w:rsidRDefault="00D31620">
            <w:pPr>
              <w:widowControl/>
              <w:spacing w:line="315" w:lineRule="atLeast"/>
              <w:jc w:val="left"/>
            </w:pPr>
            <w:bookmarkStart w:id="32" w:name="OLE_LINK1"/>
            <w:bookmarkEnd w:id="15"/>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56068381" w14:textId="77777777" w:rsidR="00D31620" w:rsidRDefault="00D31620">
            <w:pPr>
              <w:widowControl/>
              <w:spacing w:line="315" w:lineRule="atLeast"/>
              <w:jc w:val="left"/>
            </w:pPr>
            <w:r>
              <w:rPr>
                <w:rFonts w:asciiTheme="minorEastAsia" w:eastAsiaTheme="minorEastAsia" w:hAnsiTheme="minorEastAsia" w:hint="eastAsia"/>
              </w:rPr>
              <w:t>摩根鑫睿优选一年持有期混合</w:t>
            </w:r>
          </w:p>
        </w:tc>
      </w:tr>
      <w:tr w:rsidR="007D01C3" w14:paraId="1549C066" w14:textId="77777777">
        <w:trPr>
          <w:divId w:val="23948978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672EA13" w14:textId="77777777" w:rsidR="00D31620" w:rsidRDefault="00D31620">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18ACF92" w14:textId="77777777" w:rsidR="00D31620" w:rsidRDefault="00D31620">
            <w:pPr>
              <w:widowControl/>
              <w:spacing w:line="315" w:lineRule="atLeast"/>
              <w:jc w:val="left"/>
            </w:pPr>
            <w:r>
              <w:rPr>
                <w:rFonts w:asciiTheme="minorEastAsia" w:eastAsiaTheme="minorEastAsia" w:hAnsiTheme="minorEastAsia" w:hint="eastAsia"/>
              </w:rPr>
              <w:t>012904</w:t>
            </w:r>
          </w:p>
        </w:tc>
      </w:tr>
      <w:tr w:rsidR="007D01C3" w14:paraId="4CF77DEA" w14:textId="77777777">
        <w:trPr>
          <w:divId w:val="23948978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966D0E9" w14:textId="77777777" w:rsidR="00D31620" w:rsidRDefault="00D31620">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8695BE8" w14:textId="77777777" w:rsidR="00D31620" w:rsidRDefault="00D31620">
            <w:pPr>
              <w:widowControl/>
              <w:spacing w:line="315" w:lineRule="atLeast"/>
              <w:jc w:val="left"/>
            </w:pPr>
            <w:r>
              <w:rPr>
                <w:rFonts w:asciiTheme="minorEastAsia" w:eastAsiaTheme="minorEastAsia" w:hAnsiTheme="minorEastAsia" w:hint="eastAsia"/>
              </w:rPr>
              <w:t>契约型开放式</w:t>
            </w:r>
          </w:p>
        </w:tc>
      </w:tr>
      <w:tr w:rsidR="007D01C3" w14:paraId="5D037576" w14:textId="77777777">
        <w:trPr>
          <w:divId w:val="23948978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DA66169" w14:textId="77777777" w:rsidR="00D31620" w:rsidRDefault="00D31620">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2F3C61A" w14:textId="77777777" w:rsidR="00D31620" w:rsidRDefault="00D31620">
            <w:pPr>
              <w:widowControl/>
              <w:spacing w:line="315" w:lineRule="atLeast"/>
              <w:jc w:val="left"/>
            </w:pPr>
            <w:r>
              <w:rPr>
                <w:rFonts w:asciiTheme="minorEastAsia" w:eastAsiaTheme="minorEastAsia" w:hAnsiTheme="minorEastAsia" w:hint="eastAsia"/>
              </w:rPr>
              <w:t>2022年3月1日</w:t>
            </w:r>
          </w:p>
        </w:tc>
      </w:tr>
      <w:tr w:rsidR="007D01C3" w14:paraId="3028B743" w14:textId="77777777">
        <w:trPr>
          <w:divId w:val="239489789"/>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8BE1B8A" w14:textId="77777777" w:rsidR="00D31620" w:rsidRDefault="00D31620">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0336EA6" w14:textId="77777777" w:rsidR="00D31620" w:rsidRDefault="00D31620">
            <w:pPr>
              <w:widowControl/>
              <w:spacing w:line="315" w:lineRule="atLeast"/>
              <w:jc w:val="left"/>
            </w:pPr>
            <w:r>
              <w:rPr>
                <w:rFonts w:asciiTheme="minorEastAsia" w:eastAsiaTheme="minorEastAsia" w:hAnsiTheme="minorEastAsia" w:hint="eastAsia"/>
              </w:rPr>
              <w:t xml:space="preserve">28,537,935.10份 </w:t>
            </w:r>
          </w:p>
        </w:tc>
      </w:tr>
      <w:tr w:rsidR="007D01C3" w14:paraId="34665796" w14:textId="77777777">
        <w:trPr>
          <w:divId w:val="239489789"/>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50B60D4" w14:textId="77777777" w:rsidR="00D31620" w:rsidRDefault="00D31620">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08E768A" w14:textId="77777777" w:rsidR="00D31620" w:rsidRDefault="00D31620">
            <w:pPr>
              <w:widowControl/>
              <w:spacing w:line="315" w:lineRule="atLeast"/>
              <w:jc w:val="left"/>
            </w:pPr>
            <w:r>
              <w:rPr>
                <w:rFonts w:asciiTheme="minorEastAsia" w:eastAsiaTheme="minorEastAsia" w:hAnsiTheme="minorEastAsia" w:hint="eastAsia"/>
              </w:rPr>
              <w:t>在严格的风险控制的前提下，采用定性与定量的分析，自上而下进行宏观分析和行业配置，自下而上精选个股，力争实现基金资产的长期增值。</w:t>
            </w:r>
          </w:p>
        </w:tc>
      </w:tr>
      <w:tr w:rsidR="007D01C3" w14:paraId="1AD69A89" w14:textId="77777777">
        <w:trPr>
          <w:divId w:val="239489789"/>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53AEBF5" w14:textId="77777777" w:rsidR="00D31620" w:rsidRDefault="00D31620">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07B075F" w14:textId="77777777" w:rsidR="00D31620" w:rsidRDefault="00D31620">
            <w:pPr>
              <w:widowControl/>
              <w:spacing w:line="315" w:lineRule="atLeast"/>
              <w:jc w:val="left"/>
            </w:pPr>
            <w:r>
              <w:rPr>
                <w:rFonts w:asciiTheme="minorEastAsia" w:eastAsiaTheme="minorEastAsia" w:hAnsiTheme="minorEastAsia" w:hint="eastAsia"/>
              </w:rPr>
              <w:t>1、资产配置策略</w:t>
            </w:r>
            <w:r>
              <w:rPr>
                <w:rFonts w:asciiTheme="minorEastAsia" w:eastAsiaTheme="minorEastAsia" w:hAnsiTheme="minorEastAsia" w:hint="eastAsia"/>
              </w:rPr>
              <w:br/>
              <w:t>本基金将综合分析和持续跟踪基本面、政策面、市场面等多方面因素，对宏观经济、国家政策、资金面和市场情绪等影响证券市场的重要因素进行深入分析，重点关注包括　GDP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Theme="minorEastAsia" w:eastAsiaTheme="minorEastAsia" w:hAnsiTheme="minorEastAsia" w:hint="eastAsia"/>
              </w:rPr>
              <w:br/>
              <w:t>在控制风险的前提下，本基金将优先配置股票资产，本基金股票资产占基金资产的投资比例为60%-95%，其中港股通标的股票的投资比例不超过股票资产的50%。</w:t>
            </w:r>
            <w:r>
              <w:rPr>
                <w:rFonts w:asciiTheme="minorEastAsia" w:eastAsiaTheme="minorEastAsia" w:hAnsiTheme="minorEastAsia" w:hint="eastAsia"/>
              </w:rPr>
              <w:br/>
              <w:t>2、股票投资策略</w:t>
            </w:r>
            <w:r>
              <w:rPr>
                <w:rFonts w:asciiTheme="minorEastAsia" w:eastAsiaTheme="minorEastAsia" w:hAnsiTheme="minorEastAsia" w:hint="eastAsia"/>
              </w:rPr>
              <w:br/>
              <w:t>本基金依托基金管理人的研究平台，自上而下形成行业配置观点，选择中长期有较大发展空间的优势行业进行重点配置；同时自下而上形成个股配置观点，挖掘并灵活投资于各行业中最具有</w:t>
            </w:r>
            <w:r>
              <w:rPr>
                <w:rFonts w:asciiTheme="minorEastAsia" w:eastAsiaTheme="minorEastAsia" w:hAnsiTheme="minorEastAsia" w:hint="eastAsia"/>
              </w:rPr>
              <w:lastRenderedPageBreak/>
              <w:t>投资价值的上市公司，对买入个股进行深度研究和跟踪；通过行业配置与个股选择，获取超越业绩比较基准的超额收益。</w:t>
            </w:r>
            <w:r>
              <w:rPr>
                <w:rFonts w:asciiTheme="minorEastAsia" w:eastAsiaTheme="minorEastAsia" w:hAnsiTheme="minorEastAsia" w:hint="eastAsia"/>
              </w:rPr>
              <w:br/>
              <w:t>3、港股投资策略</w:t>
            </w:r>
            <w:r>
              <w:rPr>
                <w:rFonts w:asciiTheme="minorEastAsia" w:eastAsiaTheme="minorEastAsia" w:hAnsiTheme="minorEastAsia" w:hint="eastAsia"/>
              </w:rPr>
              <w:br/>
              <w:t>本基金可通过港股通机制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同时，关注港股中的稀缺行业和标的，与A股形成互补。</w:t>
            </w:r>
            <w:r>
              <w:rPr>
                <w:rFonts w:asciiTheme="minorEastAsia" w:eastAsiaTheme="minorEastAsia" w:hAnsiTheme="minorEastAsia" w:hint="eastAsia"/>
              </w:rPr>
              <w:br/>
              <w:t>本基金将通过自下而上方法挖掘优质个股，结合各项定量和定性指标挑选出最具上涨潜力的标的。</w:t>
            </w:r>
            <w:r>
              <w:rPr>
                <w:rFonts w:asciiTheme="minorEastAsia" w:eastAsiaTheme="minorEastAsia" w:hAnsiTheme="minorEastAsia" w:hint="eastAsia"/>
              </w:rPr>
              <w:br/>
              <w:t>4、债券投资策略</w:t>
            </w:r>
            <w:r>
              <w:rPr>
                <w:rFonts w:asciiTheme="minorEastAsia" w:eastAsiaTheme="minorEastAsia" w:hAnsiTheme="minorEastAsia" w:hint="eastAsia"/>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Theme="minorEastAsia" w:eastAsiaTheme="minorEastAsia" w:hAnsiTheme="minorEastAsia" w:hint="eastAsia"/>
              </w:rPr>
              <w:br/>
              <w:t>5、其他投资策略：包括股指期货投资策略、资产支持证券投资策略、股票期权投资策略、证券公司短期公司债券投资策略、存托凭证投资策略</w:t>
            </w:r>
          </w:p>
        </w:tc>
      </w:tr>
      <w:tr w:rsidR="007D01C3" w14:paraId="137A2FE9" w14:textId="77777777">
        <w:trPr>
          <w:divId w:val="23948978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5F33723" w14:textId="77777777" w:rsidR="00D31620" w:rsidRDefault="00D31620">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E970A7D" w14:textId="77777777" w:rsidR="00D31620" w:rsidRDefault="00D31620">
            <w:pPr>
              <w:widowControl/>
              <w:spacing w:line="315" w:lineRule="atLeast"/>
              <w:jc w:val="left"/>
            </w:pPr>
            <w:r>
              <w:rPr>
                <w:rFonts w:asciiTheme="minorEastAsia" w:eastAsiaTheme="minorEastAsia" w:hAnsiTheme="minorEastAsia" w:hint="eastAsia"/>
              </w:rPr>
              <w:t>中证800指数收益率*65%+中证港股通指数收益率*20%+上证国债指数收益率*15%</w:t>
            </w:r>
          </w:p>
        </w:tc>
      </w:tr>
      <w:tr w:rsidR="007D01C3" w14:paraId="79439BFA" w14:textId="77777777">
        <w:trPr>
          <w:divId w:val="23948978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18CB098" w14:textId="77777777" w:rsidR="00D31620" w:rsidRDefault="00D31620">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D5FA4D7" w14:textId="77777777" w:rsidR="00D31620" w:rsidRDefault="00D31620">
            <w:pPr>
              <w:widowControl/>
              <w:spacing w:line="315" w:lineRule="atLeast"/>
              <w:jc w:val="left"/>
            </w:pPr>
            <w:r>
              <w:rPr>
                <w:rFonts w:asciiTheme="minorEastAsia" w:eastAsiaTheme="minorEastAsia" w:hAnsiTheme="minorEastAsia" w:hint="eastAsia"/>
              </w:rPr>
              <w:t>本基金属于混合型基金产品，预期风险和收益水平高于债券型基金和货币市场基金，低于股票型基金。</w:t>
            </w:r>
          </w:p>
        </w:tc>
      </w:tr>
      <w:tr w:rsidR="007D01C3" w14:paraId="75F7BE3A" w14:textId="77777777">
        <w:trPr>
          <w:divId w:val="23948978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1C3B7CA" w14:textId="77777777" w:rsidR="00D31620" w:rsidRDefault="00D31620">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C6E7E80" w14:textId="77777777" w:rsidR="00D31620" w:rsidRDefault="00D31620">
            <w:pPr>
              <w:widowControl/>
              <w:spacing w:line="315" w:lineRule="atLeast"/>
              <w:jc w:val="left"/>
            </w:pPr>
            <w:r>
              <w:rPr>
                <w:rFonts w:asciiTheme="minorEastAsia" w:eastAsiaTheme="minorEastAsia" w:hAnsiTheme="minorEastAsia" w:hint="eastAsia"/>
              </w:rPr>
              <w:t>摩根基金管理（中国）有限公司</w:t>
            </w:r>
          </w:p>
        </w:tc>
      </w:tr>
      <w:tr w:rsidR="007D01C3" w14:paraId="1DD8BF94" w14:textId="77777777">
        <w:trPr>
          <w:divId w:val="23948978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C49AD15" w14:textId="77777777" w:rsidR="00D31620" w:rsidRDefault="00D31620">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181DBC3" w14:textId="77777777" w:rsidR="00D31620" w:rsidRDefault="00D31620">
            <w:pPr>
              <w:widowControl/>
              <w:spacing w:line="315" w:lineRule="atLeast"/>
              <w:jc w:val="left"/>
            </w:pPr>
            <w:r>
              <w:rPr>
                <w:rFonts w:asciiTheme="minorEastAsia" w:eastAsiaTheme="minorEastAsia" w:hAnsiTheme="minorEastAsia" w:hint="eastAsia"/>
              </w:rPr>
              <w:t>兴业银行股份有限公司</w:t>
            </w:r>
          </w:p>
        </w:tc>
      </w:tr>
    </w:tbl>
    <w:p w14:paraId="1F3A4E6F" w14:textId="77777777" w:rsidR="00D31620" w:rsidRDefault="00D31620">
      <w:pPr>
        <w:pStyle w:val="XBRLTitle1"/>
        <w:spacing w:before="156" w:line="360" w:lineRule="auto"/>
        <w:ind w:left="425"/>
      </w:pPr>
      <w:bookmarkStart w:id="33" w:name="_Toc17898180"/>
      <w:bookmarkStart w:id="34" w:name="_Toc17897938"/>
      <w:bookmarkStart w:id="35" w:name="_Toc512519482"/>
      <w:bookmarkStart w:id="36" w:name="_Toc481075049"/>
      <w:bookmarkStart w:id="37" w:name="_Toc438646455"/>
      <w:bookmarkStart w:id="38" w:name="_Toc490050003"/>
      <w:bookmarkStart w:id="39" w:name="_Toc513295848"/>
      <w:bookmarkStart w:id="40" w:name="_Toc513295894"/>
      <w:bookmarkStart w:id="41" w:name="m401_tab"/>
      <w:bookmarkStart w:id="42" w:name="m401"/>
      <w:bookmarkEnd w:id="32"/>
      <w:r>
        <w:rPr>
          <w:rFonts w:hAnsi="宋体" w:hint="eastAsia"/>
        </w:rPr>
        <w:t>主要财务指标和基金净值表现</w:t>
      </w:r>
      <w:bookmarkEnd w:id="33"/>
      <w:bookmarkEnd w:id="34"/>
      <w:bookmarkEnd w:id="35"/>
      <w:bookmarkEnd w:id="36"/>
      <w:bookmarkEnd w:id="37"/>
      <w:bookmarkEnd w:id="38"/>
      <w:bookmarkEnd w:id="39"/>
      <w:bookmarkEnd w:id="40"/>
      <w:r>
        <w:rPr>
          <w:rFonts w:hAnsi="宋体" w:hint="eastAsia"/>
        </w:rPr>
        <w:t xml:space="preserve"> </w:t>
      </w:r>
    </w:p>
    <w:p w14:paraId="1ADFBE9C" w14:textId="77777777" w:rsidR="00D31620" w:rsidRDefault="00D31620">
      <w:pPr>
        <w:pStyle w:val="XBRLTitle2"/>
        <w:spacing w:before="156" w:line="360" w:lineRule="auto"/>
        <w:ind w:left="454"/>
      </w:pPr>
      <w:bookmarkStart w:id="43" w:name="_Toc17898181"/>
      <w:bookmarkStart w:id="44" w:name="_Toc17897939"/>
      <w:bookmarkStart w:id="45" w:name="_Toc512519483"/>
      <w:bookmarkStart w:id="46" w:name="_Toc481075050"/>
      <w:bookmarkStart w:id="47" w:name="_Toc438646456"/>
      <w:bookmarkStart w:id="48" w:name="_Toc490050004"/>
      <w:bookmarkStart w:id="49" w:name="_Toc513295849"/>
      <w:bookmarkStart w:id="50" w:name="_Toc513295895"/>
      <w:r>
        <w:rPr>
          <w:rFonts w:hAnsi="宋体" w:hint="eastAsia"/>
        </w:rPr>
        <w:t>主要财务指标</w:t>
      </w:r>
      <w:bookmarkEnd w:id="43"/>
      <w:bookmarkEnd w:id="44"/>
      <w:bookmarkEnd w:id="45"/>
      <w:bookmarkEnd w:id="46"/>
      <w:bookmarkEnd w:id="47"/>
      <w:bookmarkEnd w:id="48"/>
      <w:bookmarkEnd w:id="49"/>
      <w:bookmarkEnd w:id="50"/>
      <w:r>
        <w:rPr>
          <w:rFonts w:hAnsi="宋体" w:hint="eastAsia"/>
        </w:rPr>
        <w:t xml:space="preserve"> </w:t>
      </w:r>
    </w:p>
    <w:p w14:paraId="14A028B0" w14:textId="77777777" w:rsidR="00D31620" w:rsidRDefault="00D31620">
      <w:pPr>
        <w:jc w:val="right"/>
        <w:divId w:val="15318624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7D01C3" w14:paraId="26E235AE" w14:textId="77777777">
        <w:trPr>
          <w:divId w:val="153186249"/>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F459C63" w14:textId="77777777" w:rsidR="00D31620" w:rsidRDefault="00D31620">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C8D6180" w14:textId="77777777" w:rsidR="00D31620" w:rsidRDefault="00D31620">
            <w:pPr>
              <w:pStyle w:val="a5"/>
              <w:jc w:val="center"/>
              <w:rPr>
                <w:rFonts w:hint="eastAsia"/>
              </w:rPr>
            </w:pPr>
            <w:r>
              <w:rPr>
                <w:rFonts w:hint="eastAsia"/>
                <w:kern w:val="2"/>
                <w:sz w:val="21"/>
                <w:szCs w:val="24"/>
                <w:lang w:eastAsia="zh-Hans"/>
              </w:rPr>
              <w:t>报告期（2026年1月1日-2026年3月31日）</w:t>
            </w:r>
          </w:p>
        </w:tc>
      </w:tr>
      <w:tr w:rsidR="007D01C3" w14:paraId="682C13EB" w14:textId="77777777">
        <w:trPr>
          <w:divId w:val="15318624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32274E" w14:textId="77777777" w:rsidR="00D31620" w:rsidRDefault="00D31620">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1AC608" w14:textId="77777777" w:rsidR="00D31620" w:rsidRDefault="00D31620">
            <w:pPr>
              <w:jc w:val="right"/>
            </w:pPr>
            <w:r>
              <w:rPr>
                <w:rFonts w:ascii="宋体" w:hAnsi="宋体" w:hint="eastAsia"/>
                <w:szCs w:val="24"/>
                <w:lang w:eastAsia="zh-Hans"/>
              </w:rPr>
              <w:t>5,200,022.09</w:t>
            </w:r>
          </w:p>
        </w:tc>
      </w:tr>
      <w:tr w:rsidR="007D01C3" w14:paraId="2E849D89" w14:textId="77777777">
        <w:trPr>
          <w:divId w:val="15318624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05179A" w14:textId="77777777" w:rsidR="00D31620" w:rsidRDefault="00D31620">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676B1A" w14:textId="77777777" w:rsidR="00D31620" w:rsidRDefault="00D31620">
            <w:pPr>
              <w:jc w:val="right"/>
            </w:pPr>
            <w:r>
              <w:rPr>
                <w:rFonts w:ascii="宋体" w:hAnsi="宋体" w:hint="eastAsia"/>
                <w:szCs w:val="24"/>
                <w:lang w:eastAsia="zh-Hans"/>
              </w:rPr>
              <w:t>884,437.39</w:t>
            </w:r>
          </w:p>
        </w:tc>
      </w:tr>
      <w:tr w:rsidR="007D01C3" w14:paraId="1B9D3900" w14:textId="77777777">
        <w:trPr>
          <w:divId w:val="15318624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9C697C" w14:textId="77777777" w:rsidR="00D31620" w:rsidRDefault="00D31620">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879648" w14:textId="77777777" w:rsidR="00D31620" w:rsidRDefault="00D31620">
            <w:pPr>
              <w:jc w:val="right"/>
            </w:pPr>
            <w:r>
              <w:rPr>
                <w:rFonts w:ascii="宋体" w:hAnsi="宋体" w:hint="eastAsia"/>
                <w:szCs w:val="24"/>
                <w:lang w:eastAsia="zh-Hans"/>
              </w:rPr>
              <w:t>0.0279</w:t>
            </w:r>
          </w:p>
        </w:tc>
      </w:tr>
      <w:tr w:rsidR="007D01C3" w14:paraId="6D0C1FC2" w14:textId="77777777">
        <w:trPr>
          <w:divId w:val="15318624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A07DC1" w14:textId="77777777" w:rsidR="00D31620" w:rsidRDefault="00D31620">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053D44" w14:textId="77777777" w:rsidR="00D31620" w:rsidRDefault="00D31620">
            <w:pPr>
              <w:jc w:val="right"/>
            </w:pPr>
            <w:r>
              <w:rPr>
                <w:rFonts w:ascii="宋体" w:hAnsi="宋体" w:hint="eastAsia"/>
                <w:szCs w:val="24"/>
                <w:lang w:eastAsia="zh-Hans"/>
              </w:rPr>
              <w:t>31,050,659.38</w:t>
            </w:r>
          </w:p>
        </w:tc>
      </w:tr>
      <w:tr w:rsidR="007D01C3" w14:paraId="1892DF87" w14:textId="77777777">
        <w:trPr>
          <w:divId w:val="15318624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2B4F50" w14:textId="77777777" w:rsidR="00D31620" w:rsidRDefault="00D31620">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8E7106" w14:textId="77777777" w:rsidR="00D31620" w:rsidRDefault="00D31620">
            <w:pPr>
              <w:jc w:val="right"/>
            </w:pPr>
            <w:r>
              <w:rPr>
                <w:rFonts w:ascii="宋体" w:hAnsi="宋体" w:hint="eastAsia"/>
                <w:szCs w:val="24"/>
                <w:lang w:eastAsia="zh-Hans"/>
              </w:rPr>
              <w:t>1.0880</w:t>
            </w:r>
          </w:p>
        </w:tc>
      </w:tr>
    </w:tbl>
    <w:p w14:paraId="55960A8B" w14:textId="77777777" w:rsidR="00D31620" w:rsidRDefault="00D31620">
      <w:pPr>
        <w:spacing w:line="360" w:lineRule="auto"/>
        <w:divId w:val="347946429"/>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781F61CA" w14:textId="77777777" w:rsidR="00D31620" w:rsidRDefault="00D31620">
      <w:pPr>
        <w:pStyle w:val="XBRLTitle2"/>
        <w:spacing w:before="156" w:line="360" w:lineRule="auto"/>
        <w:ind w:left="454"/>
      </w:pPr>
      <w:bookmarkStart w:id="51" w:name="_Toc17898182"/>
      <w:bookmarkStart w:id="52" w:name="_Toc17897940"/>
      <w:bookmarkStart w:id="53" w:name="_Toc512519484"/>
      <w:bookmarkStart w:id="54" w:name="_Toc481075051"/>
      <w:bookmarkStart w:id="55" w:name="_Toc438646457"/>
      <w:bookmarkStart w:id="56" w:name="_Toc490050005"/>
      <w:bookmarkStart w:id="57" w:name="_Toc513295850"/>
      <w:bookmarkStart w:id="58" w:name="_Toc513295896"/>
      <w:r>
        <w:rPr>
          <w:rFonts w:hAnsi="宋体" w:hint="eastAsia"/>
        </w:rPr>
        <w:lastRenderedPageBreak/>
        <w:t>基金净值表现</w:t>
      </w:r>
      <w:bookmarkEnd w:id="51"/>
      <w:bookmarkEnd w:id="52"/>
      <w:bookmarkEnd w:id="53"/>
      <w:bookmarkEnd w:id="54"/>
      <w:bookmarkEnd w:id="55"/>
      <w:bookmarkEnd w:id="56"/>
      <w:bookmarkEnd w:id="57"/>
      <w:bookmarkEnd w:id="58"/>
      <w:r>
        <w:rPr>
          <w:rFonts w:hAnsi="宋体" w:hint="eastAsia"/>
        </w:rPr>
        <w:t xml:space="preserve"> </w:t>
      </w:r>
    </w:p>
    <w:p w14:paraId="66F786C7" w14:textId="77777777" w:rsidR="00D31620" w:rsidRDefault="00D31620">
      <w:pPr>
        <w:pStyle w:val="XBRLTitle3"/>
        <w:spacing w:before="156"/>
        <w:ind w:left="0"/>
      </w:pPr>
      <w:bookmarkStart w:id="59" w:name="_Toc17898183"/>
      <w:bookmarkStart w:id="60" w:name="_Toc512519485"/>
      <w:bookmarkStart w:id="61" w:name="_Toc481075052"/>
      <w:bookmarkStart w:id="62" w:name="_Toc490050006"/>
      <w:bookmarkStart w:id="63" w:name="_Toc513295897"/>
      <w:r>
        <w:rPr>
          <w:rFonts w:hint="eastAsia"/>
        </w:rPr>
        <w:t>基金份额净值增长率及其与同期业绩比较基准收益率的比较</w:t>
      </w:r>
      <w:bookmarkEnd w:id="59"/>
      <w:bookmarkEnd w:id="60"/>
      <w:bookmarkEnd w:id="61"/>
      <w:bookmarkEnd w:id="62"/>
      <w:bookmarkEnd w:id="63"/>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7D01C3" w14:paraId="356A665D" w14:textId="77777777">
        <w:trPr>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FA7EFF" w14:textId="77777777" w:rsidR="00D31620" w:rsidRDefault="00D31620">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E6DC65" w14:textId="77777777" w:rsidR="00D31620" w:rsidRDefault="00D31620">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A1EDC7" w14:textId="77777777" w:rsidR="00D31620" w:rsidRDefault="00D31620">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2BB206" w14:textId="77777777" w:rsidR="00D31620" w:rsidRDefault="00D31620">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597C01" w14:textId="77777777" w:rsidR="00D31620" w:rsidRDefault="00D31620">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F6F473" w14:textId="77777777" w:rsidR="00D31620" w:rsidRDefault="00D31620">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0CC18F" w14:textId="77777777" w:rsidR="00D31620" w:rsidRDefault="00D31620">
            <w:pPr>
              <w:spacing w:line="360" w:lineRule="auto"/>
              <w:jc w:val="center"/>
            </w:pPr>
            <w:r>
              <w:rPr>
                <w:rFonts w:ascii="宋体" w:hAnsi="宋体" w:hint="eastAsia"/>
              </w:rPr>
              <w:t xml:space="preserve">②－④ </w:t>
            </w:r>
          </w:p>
        </w:tc>
      </w:tr>
      <w:tr w:rsidR="007D01C3" w14:paraId="3F5B9F78"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DE5C857" w14:textId="77777777" w:rsidR="00D31620" w:rsidRDefault="00D31620">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0343812F" w14:textId="77777777" w:rsidR="00D31620" w:rsidRDefault="00D31620">
            <w:pPr>
              <w:spacing w:line="360" w:lineRule="auto"/>
              <w:jc w:val="right"/>
            </w:pPr>
            <w:r>
              <w:rPr>
                <w:rFonts w:ascii="宋体" w:hAnsi="宋体" w:hint="eastAsia"/>
              </w:rPr>
              <w:t>0.84%</w:t>
            </w:r>
          </w:p>
        </w:tc>
        <w:tc>
          <w:tcPr>
            <w:tcW w:w="714" w:type="pct"/>
            <w:tcBorders>
              <w:top w:val="single" w:sz="4" w:space="0" w:color="auto"/>
              <w:left w:val="single" w:sz="4" w:space="0" w:color="auto"/>
              <w:bottom w:val="single" w:sz="4" w:space="0" w:color="auto"/>
              <w:right w:val="single" w:sz="4" w:space="0" w:color="auto"/>
            </w:tcBorders>
            <w:vAlign w:val="center"/>
            <w:hideMark/>
          </w:tcPr>
          <w:p w14:paraId="4FBF97CE" w14:textId="77777777" w:rsidR="00D31620" w:rsidRDefault="00D31620">
            <w:pPr>
              <w:spacing w:line="360" w:lineRule="auto"/>
              <w:jc w:val="right"/>
            </w:pPr>
            <w:r>
              <w:rPr>
                <w:rFonts w:ascii="宋体" w:hAnsi="宋体" w:hint="eastAsia"/>
              </w:rPr>
              <w:t>1.61%</w:t>
            </w:r>
          </w:p>
        </w:tc>
        <w:tc>
          <w:tcPr>
            <w:tcW w:w="714" w:type="pct"/>
            <w:tcBorders>
              <w:top w:val="single" w:sz="4" w:space="0" w:color="auto"/>
              <w:left w:val="single" w:sz="4" w:space="0" w:color="auto"/>
              <w:bottom w:val="single" w:sz="4" w:space="0" w:color="auto"/>
              <w:right w:val="single" w:sz="4" w:space="0" w:color="auto"/>
            </w:tcBorders>
            <w:vAlign w:val="center"/>
            <w:hideMark/>
          </w:tcPr>
          <w:p w14:paraId="042F885E" w14:textId="77777777" w:rsidR="00D31620" w:rsidRDefault="00D31620">
            <w:pPr>
              <w:spacing w:line="360" w:lineRule="auto"/>
              <w:jc w:val="right"/>
            </w:pPr>
            <w:r>
              <w:rPr>
                <w:rFonts w:ascii="宋体" w:hAnsi="宋体" w:hint="eastAsia"/>
              </w:rPr>
              <w:t xml:space="preserve">-2.64%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2E8F300D" w14:textId="77777777" w:rsidR="00D31620" w:rsidRDefault="00D31620">
            <w:pPr>
              <w:spacing w:line="360" w:lineRule="auto"/>
              <w:jc w:val="right"/>
            </w:pPr>
            <w:r>
              <w:rPr>
                <w:rFonts w:ascii="宋体" w:hAnsi="宋体" w:hint="eastAsia"/>
              </w:rPr>
              <w:t>0.94%</w:t>
            </w:r>
          </w:p>
        </w:tc>
        <w:tc>
          <w:tcPr>
            <w:tcW w:w="714" w:type="pct"/>
            <w:tcBorders>
              <w:top w:val="single" w:sz="4" w:space="0" w:color="auto"/>
              <w:left w:val="single" w:sz="4" w:space="0" w:color="auto"/>
              <w:bottom w:val="single" w:sz="4" w:space="0" w:color="auto"/>
              <w:right w:val="single" w:sz="4" w:space="0" w:color="auto"/>
            </w:tcBorders>
            <w:vAlign w:val="center"/>
            <w:hideMark/>
          </w:tcPr>
          <w:p w14:paraId="46333B83" w14:textId="77777777" w:rsidR="00D31620" w:rsidRDefault="00D31620">
            <w:pPr>
              <w:spacing w:line="360" w:lineRule="auto"/>
              <w:jc w:val="right"/>
            </w:pPr>
            <w:r>
              <w:rPr>
                <w:rFonts w:ascii="宋体" w:hAnsi="宋体" w:hint="eastAsia"/>
              </w:rPr>
              <w:t>3.48%</w:t>
            </w:r>
          </w:p>
        </w:tc>
        <w:tc>
          <w:tcPr>
            <w:tcW w:w="714" w:type="pct"/>
            <w:tcBorders>
              <w:top w:val="single" w:sz="4" w:space="0" w:color="auto"/>
              <w:left w:val="single" w:sz="4" w:space="0" w:color="auto"/>
              <w:bottom w:val="single" w:sz="4" w:space="0" w:color="auto"/>
              <w:right w:val="single" w:sz="4" w:space="0" w:color="auto"/>
            </w:tcBorders>
            <w:vAlign w:val="center"/>
            <w:hideMark/>
          </w:tcPr>
          <w:p w14:paraId="367EF3CC" w14:textId="77777777" w:rsidR="00D31620" w:rsidRDefault="00D31620">
            <w:pPr>
              <w:spacing w:line="360" w:lineRule="auto"/>
              <w:jc w:val="right"/>
            </w:pPr>
            <w:r>
              <w:rPr>
                <w:rFonts w:ascii="宋体" w:hAnsi="宋体" w:hint="eastAsia"/>
              </w:rPr>
              <w:t>0.67%</w:t>
            </w:r>
          </w:p>
        </w:tc>
      </w:tr>
      <w:tr w:rsidR="007D01C3" w14:paraId="0AD4F3D1"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9018793" w14:textId="77777777" w:rsidR="00D31620" w:rsidRDefault="00D31620">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0ABAE919" w14:textId="77777777" w:rsidR="00D31620" w:rsidRDefault="00D31620">
            <w:pPr>
              <w:spacing w:line="360" w:lineRule="auto"/>
              <w:jc w:val="right"/>
            </w:pPr>
            <w:r>
              <w:rPr>
                <w:rFonts w:ascii="宋体" w:hAnsi="宋体" w:hint="eastAsia"/>
              </w:rPr>
              <w:t>6.05%</w:t>
            </w:r>
          </w:p>
        </w:tc>
        <w:tc>
          <w:tcPr>
            <w:tcW w:w="714" w:type="pct"/>
            <w:tcBorders>
              <w:top w:val="single" w:sz="4" w:space="0" w:color="auto"/>
              <w:left w:val="single" w:sz="4" w:space="0" w:color="auto"/>
              <w:bottom w:val="single" w:sz="4" w:space="0" w:color="auto"/>
              <w:right w:val="single" w:sz="4" w:space="0" w:color="auto"/>
            </w:tcBorders>
            <w:vAlign w:val="center"/>
            <w:hideMark/>
          </w:tcPr>
          <w:p w14:paraId="3F8D1DA1" w14:textId="77777777" w:rsidR="00D31620" w:rsidRDefault="00D31620">
            <w:pPr>
              <w:spacing w:line="360" w:lineRule="auto"/>
              <w:jc w:val="right"/>
            </w:pPr>
            <w:r>
              <w:rPr>
                <w:rFonts w:ascii="宋体" w:hAnsi="宋体" w:hint="eastAsia"/>
              </w:rPr>
              <w:t>1.62%</w:t>
            </w:r>
          </w:p>
        </w:tc>
        <w:tc>
          <w:tcPr>
            <w:tcW w:w="714" w:type="pct"/>
            <w:tcBorders>
              <w:top w:val="single" w:sz="4" w:space="0" w:color="auto"/>
              <w:left w:val="single" w:sz="4" w:space="0" w:color="auto"/>
              <w:bottom w:val="single" w:sz="4" w:space="0" w:color="auto"/>
              <w:right w:val="single" w:sz="4" w:space="0" w:color="auto"/>
            </w:tcBorders>
            <w:vAlign w:val="center"/>
            <w:hideMark/>
          </w:tcPr>
          <w:p w14:paraId="23B67026" w14:textId="77777777" w:rsidR="00D31620" w:rsidRDefault="00D31620">
            <w:pPr>
              <w:spacing w:line="360" w:lineRule="auto"/>
              <w:jc w:val="right"/>
            </w:pPr>
            <w:r>
              <w:rPr>
                <w:rFonts w:ascii="宋体" w:hAnsi="宋体" w:hint="eastAsia"/>
              </w:rPr>
              <w:t xml:space="preserve">-3.95% </w:t>
            </w:r>
          </w:p>
        </w:tc>
        <w:tc>
          <w:tcPr>
            <w:tcW w:w="714" w:type="pct"/>
            <w:tcBorders>
              <w:top w:val="single" w:sz="4" w:space="0" w:color="auto"/>
              <w:left w:val="single" w:sz="4" w:space="0" w:color="auto"/>
              <w:bottom w:val="single" w:sz="4" w:space="0" w:color="auto"/>
              <w:right w:val="single" w:sz="4" w:space="0" w:color="auto"/>
            </w:tcBorders>
            <w:vAlign w:val="center"/>
            <w:hideMark/>
          </w:tcPr>
          <w:p w14:paraId="28F9204C" w14:textId="77777777" w:rsidR="00D31620" w:rsidRDefault="00D31620">
            <w:pPr>
              <w:spacing w:line="360" w:lineRule="auto"/>
              <w:jc w:val="right"/>
            </w:pPr>
            <w:r>
              <w:rPr>
                <w:rFonts w:ascii="宋体" w:hAnsi="宋体" w:hint="eastAsia"/>
              </w:rPr>
              <w:t>0.89%</w:t>
            </w:r>
          </w:p>
        </w:tc>
        <w:tc>
          <w:tcPr>
            <w:tcW w:w="714" w:type="pct"/>
            <w:tcBorders>
              <w:top w:val="single" w:sz="4" w:space="0" w:color="auto"/>
              <w:left w:val="single" w:sz="4" w:space="0" w:color="auto"/>
              <w:bottom w:val="single" w:sz="4" w:space="0" w:color="auto"/>
              <w:right w:val="single" w:sz="4" w:space="0" w:color="auto"/>
            </w:tcBorders>
            <w:vAlign w:val="center"/>
            <w:hideMark/>
          </w:tcPr>
          <w:p w14:paraId="7858C9D0" w14:textId="77777777" w:rsidR="00D31620" w:rsidRDefault="00D31620">
            <w:pPr>
              <w:spacing w:line="360" w:lineRule="auto"/>
              <w:jc w:val="right"/>
            </w:pPr>
            <w:r>
              <w:rPr>
                <w:rFonts w:ascii="宋体" w:hAnsi="宋体" w:hint="eastAsia"/>
              </w:rPr>
              <w:t>10.00%</w:t>
            </w:r>
          </w:p>
        </w:tc>
        <w:tc>
          <w:tcPr>
            <w:tcW w:w="714" w:type="pct"/>
            <w:tcBorders>
              <w:top w:val="single" w:sz="4" w:space="0" w:color="auto"/>
              <w:left w:val="single" w:sz="4" w:space="0" w:color="auto"/>
              <w:bottom w:val="single" w:sz="4" w:space="0" w:color="auto"/>
              <w:right w:val="single" w:sz="4" w:space="0" w:color="auto"/>
            </w:tcBorders>
            <w:vAlign w:val="center"/>
            <w:hideMark/>
          </w:tcPr>
          <w:p w14:paraId="01433856" w14:textId="77777777" w:rsidR="00D31620" w:rsidRDefault="00D31620">
            <w:pPr>
              <w:spacing w:line="360" w:lineRule="auto"/>
              <w:jc w:val="right"/>
            </w:pPr>
            <w:r>
              <w:rPr>
                <w:rFonts w:ascii="宋体" w:hAnsi="宋体" w:hint="eastAsia"/>
              </w:rPr>
              <w:t>0.73%</w:t>
            </w:r>
          </w:p>
        </w:tc>
      </w:tr>
      <w:tr w:rsidR="007D01C3" w14:paraId="2A199D0D"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269A51B9" w14:textId="77777777" w:rsidR="00D31620" w:rsidRDefault="00D31620">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093DFF6A" w14:textId="77777777" w:rsidR="00D31620" w:rsidRDefault="00D31620">
            <w:pPr>
              <w:spacing w:line="360" w:lineRule="auto"/>
              <w:jc w:val="right"/>
            </w:pPr>
            <w:r>
              <w:rPr>
                <w:rFonts w:ascii="宋体" w:hAnsi="宋体" w:hint="eastAsia"/>
              </w:rPr>
              <w:t>35.02%</w:t>
            </w:r>
          </w:p>
        </w:tc>
        <w:tc>
          <w:tcPr>
            <w:tcW w:w="714" w:type="pct"/>
            <w:tcBorders>
              <w:top w:val="single" w:sz="4" w:space="0" w:color="auto"/>
              <w:left w:val="single" w:sz="4" w:space="0" w:color="auto"/>
              <w:bottom w:val="single" w:sz="4" w:space="0" w:color="auto"/>
              <w:right w:val="single" w:sz="4" w:space="0" w:color="auto"/>
            </w:tcBorders>
            <w:vAlign w:val="center"/>
            <w:hideMark/>
          </w:tcPr>
          <w:p w14:paraId="2A7C2F22" w14:textId="77777777" w:rsidR="00D31620" w:rsidRDefault="00D31620">
            <w:pPr>
              <w:spacing w:line="360" w:lineRule="auto"/>
              <w:jc w:val="right"/>
            </w:pPr>
            <w:r>
              <w:rPr>
                <w:rFonts w:ascii="宋体" w:hAnsi="宋体" w:hint="eastAsia"/>
              </w:rPr>
              <w:t>1.49%</w:t>
            </w:r>
          </w:p>
        </w:tc>
        <w:tc>
          <w:tcPr>
            <w:tcW w:w="714" w:type="pct"/>
            <w:tcBorders>
              <w:top w:val="single" w:sz="4" w:space="0" w:color="auto"/>
              <w:left w:val="single" w:sz="4" w:space="0" w:color="auto"/>
              <w:bottom w:val="single" w:sz="4" w:space="0" w:color="auto"/>
              <w:right w:val="single" w:sz="4" w:space="0" w:color="auto"/>
            </w:tcBorders>
            <w:vAlign w:val="center"/>
            <w:hideMark/>
          </w:tcPr>
          <w:p w14:paraId="7928EE39" w14:textId="77777777" w:rsidR="00D31620" w:rsidRDefault="00D31620">
            <w:pPr>
              <w:spacing w:line="360" w:lineRule="auto"/>
              <w:jc w:val="right"/>
            </w:pPr>
            <w:r>
              <w:rPr>
                <w:rFonts w:ascii="宋体" w:hAnsi="宋体" w:hint="eastAsia"/>
              </w:rPr>
              <w:t xml:space="preserve">13.03%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247F21D" w14:textId="77777777" w:rsidR="00D31620" w:rsidRDefault="00D31620">
            <w:pPr>
              <w:spacing w:line="360" w:lineRule="auto"/>
              <w:jc w:val="right"/>
            </w:pPr>
            <w:r>
              <w:rPr>
                <w:rFonts w:ascii="宋体" w:hAnsi="宋体" w:hint="eastAsia"/>
              </w:rPr>
              <w:t>0.92%</w:t>
            </w:r>
          </w:p>
        </w:tc>
        <w:tc>
          <w:tcPr>
            <w:tcW w:w="714" w:type="pct"/>
            <w:tcBorders>
              <w:top w:val="single" w:sz="4" w:space="0" w:color="auto"/>
              <w:left w:val="single" w:sz="4" w:space="0" w:color="auto"/>
              <w:bottom w:val="single" w:sz="4" w:space="0" w:color="auto"/>
              <w:right w:val="single" w:sz="4" w:space="0" w:color="auto"/>
            </w:tcBorders>
            <w:vAlign w:val="center"/>
            <w:hideMark/>
          </w:tcPr>
          <w:p w14:paraId="0D2005E6" w14:textId="77777777" w:rsidR="00D31620" w:rsidRDefault="00D31620">
            <w:pPr>
              <w:spacing w:line="360" w:lineRule="auto"/>
              <w:jc w:val="right"/>
            </w:pPr>
            <w:r>
              <w:rPr>
                <w:rFonts w:ascii="宋体" w:hAnsi="宋体" w:hint="eastAsia"/>
              </w:rPr>
              <w:t>21.99%</w:t>
            </w:r>
          </w:p>
        </w:tc>
        <w:tc>
          <w:tcPr>
            <w:tcW w:w="714" w:type="pct"/>
            <w:tcBorders>
              <w:top w:val="single" w:sz="4" w:space="0" w:color="auto"/>
              <w:left w:val="single" w:sz="4" w:space="0" w:color="auto"/>
              <w:bottom w:val="single" w:sz="4" w:space="0" w:color="auto"/>
              <w:right w:val="single" w:sz="4" w:space="0" w:color="auto"/>
            </w:tcBorders>
            <w:vAlign w:val="center"/>
            <w:hideMark/>
          </w:tcPr>
          <w:p w14:paraId="208F0759" w14:textId="77777777" w:rsidR="00D31620" w:rsidRDefault="00D31620">
            <w:pPr>
              <w:spacing w:line="360" w:lineRule="auto"/>
              <w:jc w:val="right"/>
            </w:pPr>
            <w:r>
              <w:rPr>
                <w:rFonts w:ascii="宋体" w:hAnsi="宋体" w:hint="eastAsia"/>
              </w:rPr>
              <w:t>0.57%</w:t>
            </w:r>
          </w:p>
        </w:tc>
      </w:tr>
      <w:tr w:rsidR="007D01C3" w14:paraId="4294A03D"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3AACCA5" w14:textId="77777777" w:rsidR="00D31620" w:rsidRDefault="00D31620">
            <w:pPr>
              <w:spacing w:line="360" w:lineRule="auto"/>
              <w:jc w:val="center"/>
            </w:pPr>
            <w:r>
              <w:rPr>
                <w:rFonts w:ascii="宋体" w:hAnsi="宋体" w:hint="eastAsia"/>
              </w:rPr>
              <w:t>过去三年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3A79B660" w14:textId="77777777" w:rsidR="00D31620" w:rsidRDefault="00D31620">
            <w:pPr>
              <w:spacing w:line="360" w:lineRule="auto"/>
              <w:jc w:val="right"/>
            </w:pPr>
            <w:r>
              <w:rPr>
                <w:rFonts w:ascii="宋体" w:hAnsi="宋体" w:hint="eastAsia"/>
              </w:rPr>
              <w:t>26.07%</w:t>
            </w:r>
          </w:p>
        </w:tc>
        <w:tc>
          <w:tcPr>
            <w:tcW w:w="714" w:type="pct"/>
            <w:tcBorders>
              <w:top w:val="single" w:sz="4" w:space="0" w:color="auto"/>
              <w:left w:val="single" w:sz="4" w:space="0" w:color="auto"/>
              <w:bottom w:val="single" w:sz="4" w:space="0" w:color="auto"/>
              <w:right w:val="single" w:sz="4" w:space="0" w:color="auto"/>
            </w:tcBorders>
            <w:vAlign w:val="center"/>
            <w:hideMark/>
          </w:tcPr>
          <w:p w14:paraId="6A5651F2" w14:textId="77777777" w:rsidR="00D31620" w:rsidRDefault="00D31620">
            <w:pPr>
              <w:spacing w:line="360" w:lineRule="auto"/>
              <w:jc w:val="right"/>
            </w:pPr>
            <w:r>
              <w:rPr>
                <w:rFonts w:ascii="宋体" w:hAnsi="宋体" w:hint="eastAsia"/>
              </w:rPr>
              <w:t>1.28%</w:t>
            </w:r>
          </w:p>
        </w:tc>
        <w:tc>
          <w:tcPr>
            <w:tcW w:w="714" w:type="pct"/>
            <w:tcBorders>
              <w:top w:val="single" w:sz="4" w:space="0" w:color="auto"/>
              <w:left w:val="single" w:sz="4" w:space="0" w:color="auto"/>
              <w:bottom w:val="single" w:sz="4" w:space="0" w:color="auto"/>
              <w:right w:val="single" w:sz="4" w:space="0" w:color="auto"/>
            </w:tcBorders>
            <w:vAlign w:val="center"/>
            <w:hideMark/>
          </w:tcPr>
          <w:p w14:paraId="0C929F49" w14:textId="77777777" w:rsidR="00D31620" w:rsidRDefault="00D31620">
            <w:pPr>
              <w:spacing w:line="360" w:lineRule="auto"/>
              <w:jc w:val="right"/>
            </w:pPr>
            <w:r>
              <w:rPr>
                <w:rFonts w:ascii="宋体" w:hAnsi="宋体" w:hint="eastAsia"/>
              </w:rPr>
              <w:t xml:space="preserve">14.68%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FF57C59" w14:textId="77777777" w:rsidR="00D31620" w:rsidRDefault="00D31620">
            <w:pPr>
              <w:spacing w:line="360" w:lineRule="auto"/>
              <w:jc w:val="right"/>
            </w:pPr>
            <w:r>
              <w:rPr>
                <w:rFonts w:ascii="宋体" w:hAnsi="宋体" w:hint="eastAsia"/>
              </w:rPr>
              <w:t>0.94%</w:t>
            </w:r>
          </w:p>
        </w:tc>
        <w:tc>
          <w:tcPr>
            <w:tcW w:w="714" w:type="pct"/>
            <w:tcBorders>
              <w:top w:val="single" w:sz="4" w:space="0" w:color="auto"/>
              <w:left w:val="single" w:sz="4" w:space="0" w:color="auto"/>
              <w:bottom w:val="single" w:sz="4" w:space="0" w:color="auto"/>
              <w:right w:val="single" w:sz="4" w:space="0" w:color="auto"/>
            </w:tcBorders>
            <w:vAlign w:val="center"/>
            <w:hideMark/>
          </w:tcPr>
          <w:p w14:paraId="37B05174" w14:textId="77777777" w:rsidR="00D31620" w:rsidRDefault="00D31620">
            <w:pPr>
              <w:spacing w:line="360" w:lineRule="auto"/>
              <w:jc w:val="right"/>
            </w:pPr>
            <w:r>
              <w:rPr>
                <w:rFonts w:ascii="宋体" w:hAnsi="宋体" w:hint="eastAsia"/>
              </w:rPr>
              <w:t>11.39%</w:t>
            </w:r>
          </w:p>
        </w:tc>
        <w:tc>
          <w:tcPr>
            <w:tcW w:w="714" w:type="pct"/>
            <w:tcBorders>
              <w:top w:val="single" w:sz="4" w:space="0" w:color="auto"/>
              <w:left w:val="single" w:sz="4" w:space="0" w:color="auto"/>
              <w:bottom w:val="single" w:sz="4" w:space="0" w:color="auto"/>
              <w:right w:val="single" w:sz="4" w:space="0" w:color="auto"/>
            </w:tcBorders>
            <w:vAlign w:val="center"/>
            <w:hideMark/>
          </w:tcPr>
          <w:p w14:paraId="02319102" w14:textId="77777777" w:rsidR="00D31620" w:rsidRDefault="00D31620">
            <w:pPr>
              <w:spacing w:line="360" w:lineRule="auto"/>
              <w:jc w:val="right"/>
            </w:pPr>
            <w:r>
              <w:rPr>
                <w:rFonts w:ascii="宋体" w:hAnsi="宋体" w:hint="eastAsia"/>
              </w:rPr>
              <w:t>0.34%</w:t>
            </w:r>
          </w:p>
        </w:tc>
      </w:tr>
      <w:tr w:rsidR="007D01C3" w14:paraId="65DEB685"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5AD42BF0" w14:textId="77777777" w:rsidR="00D31620" w:rsidRDefault="00D31620">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18A6769F" w14:textId="77777777" w:rsidR="00D31620" w:rsidRDefault="00D31620">
            <w:pPr>
              <w:spacing w:line="360" w:lineRule="auto"/>
              <w:jc w:val="right"/>
            </w:pPr>
            <w:r>
              <w:rPr>
                <w:rFonts w:ascii="宋体" w:hAnsi="宋体" w:hint="eastAsia"/>
              </w:rPr>
              <w:t>8.80%</w:t>
            </w:r>
          </w:p>
        </w:tc>
        <w:tc>
          <w:tcPr>
            <w:tcW w:w="714" w:type="pct"/>
            <w:tcBorders>
              <w:top w:val="single" w:sz="4" w:space="0" w:color="auto"/>
              <w:left w:val="single" w:sz="4" w:space="0" w:color="auto"/>
              <w:bottom w:val="single" w:sz="4" w:space="0" w:color="auto"/>
              <w:right w:val="single" w:sz="4" w:space="0" w:color="auto"/>
            </w:tcBorders>
            <w:vAlign w:val="center"/>
            <w:hideMark/>
          </w:tcPr>
          <w:p w14:paraId="452182D6" w14:textId="77777777" w:rsidR="00D31620" w:rsidRDefault="00D31620">
            <w:pPr>
              <w:spacing w:line="360" w:lineRule="auto"/>
              <w:jc w:val="right"/>
            </w:pPr>
            <w:r>
              <w:rPr>
                <w:rFonts w:ascii="宋体" w:hAnsi="宋体" w:hint="eastAsia"/>
              </w:rPr>
              <w:t>1.22%</w:t>
            </w:r>
          </w:p>
        </w:tc>
        <w:tc>
          <w:tcPr>
            <w:tcW w:w="714" w:type="pct"/>
            <w:tcBorders>
              <w:top w:val="single" w:sz="4" w:space="0" w:color="auto"/>
              <w:left w:val="single" w:sz="4" w:space="0" w:color="auto"/>
              <w:bottom w:val="single" w:sz="4" w:space="0" w:color="auto"/>
              <w:right w:val="single" w:sz="4" w:space="0" w:color="auto"/>
            </w:tcBorders>
            <w:vAlign w:val="center"/>
            <w:hideMark/>
          </w:tcPr>
          <w:p w14:paraId="31A513C0" w14:textId="77777777" w:rsidR="00D31620" w:rsidRDefault="00D31620">
            <w:pPr>
              <w:spacing w:line="360" w:lineRule="auto"/>
              <w:jc w:val="right"/>
            </w:pPr>
            <w:r>
              <w:rPr>
                <w:rFonts w:ascii="宋体" w:hAnsi="宋体" w:hint="eastAsia"/>
              </w:rPr>
              <w:t xml:space="preserve">6.16% </w:t>
            </w:r>
          </w:p>
        </w:tc>
        <w:tc>
          <w:tcPr>
            <w:tcW w:w="714" w:type="pct"/>
            <w:tcBorders>
              <w:top w:val="single" w:sz="4" w:space="0" w:color="auto"/>
              <w:left w:val="single" w:sz="4" w:space="0" w:color="auto"/>
              <w:bottom w:val="single" w:sz="4" w:space="0" w:color="auto"/>
              <w:right w:val="single" w:sz="4" w:space="0" w:color="auto"/>
            </w:tcBorders>
            <w:vAlign w:val="center"/>
            <w:hideMark/>
          </w:tcPr>
          <w:p w14:paraId="24F37595" w14:textId="77777777" w:rsidR="00D31620" w:rsidRDefault="00D31620">
            <w:pPr>
              <w:spacing w:line="360" w:lineRule="auto"/>
              <w:jc w:val="right"/>
            </w:pPr>
            <w:r>
              <w:rPr>
                <w:rFonts w:ascii="宋体" w:hAnsi="宋体" w:hint="eastAsia"/>
              </w:rPr>
              <w:t>0.97%</w:t>
            </w:r>
          </w:p>
        </w:tc>
        <w:tc>
          <w:tcPr>
            <w:tcW w:w="714" w:type="pct"/>
            <w:tcBorders>
              <w:top w:val="single" w:sz="4" w:space="0" w:color="auto"/>
              <w:left w:val="single" w:sz="4" w:space="0" w:color="auto"/>
              <w:bottom w:val="single" w:sz="4" w:space="0" w:color="auto"/>
              <w:right w:val="single" w:sz="4" w:space="0" w:color="auto"/>
            </w:tcBorders>
            <w:vAlign w:val="center"/>
            <w:hideMark/>
          </w:tcPr>
          <w:p w14:paraId="2AF29DE3" w14:textId="77777777" w:rsidR="00D31620" w:rsidRDefault="00D31620">
            <w:pPr>
              <w:spacing w:line="360" w:lineRule="auto"/>
              <w:jc w:val="right"/>
            </w:pPr>
            <w:r>
              <w:rPr>
                <w:rFonts w:ascii="宋体" w:hAnsi="宋体" w:hint="eastAsia"/>
              </w:rPr>
              <w:t>2.64%</w:t>
            </w:r>
          </w:p>
        </w:tc>
        <w:tc>
          <w:tcPr>
            <w:tcW w:w="714" w:type="pct"/>
            <w:tcBorders>
              <w:top w:val="single" w:sz="4" w:space="0" w:color="auto"/>
              <w:left w:val="single" w:sz="4" w:space="0" w:color="auto"/>
              <w:bottom w:val="single" w:sz="4" w:space="0" w:color="auto"/>
              <w:right w:val="single" w:sz="4" w:space="0" w:color="auto"/>
            </w:tcBorders>
            <w:vAlign w:val="center"/>
            <w:hideMark/>
          </w:tcPr>
          <w:p w14:paraId="389FCF41" w14:textId="77777777" w:rsidR="00D31620" w:rsidRDefault="00D31620">
            <w:pPr>
              <w:spacing w:line="360" w:lineRule="auto"/>
              <w:jc w:val="right"/>
            </w:pPr>
            <w:r>
              <w:rPr>
                <w:rFonts w:ascii="宋体" w:hAnsi="宋体" w:hint="eastAsia"/>
              </w:rPr>
              <w:t>0.25%</w:t>
            </w:r>
          </w:p>
        </w:tc>
      </w:tr>
    </w:tbl>
    <w:p w14:paraId="2C0CF837" w14:textId="77777777" w:rsidR="00D31620" w:rsidRDefault="00D31620">
      <w:pPr>
        <w:pStyle w:val="XBRLTitle3"/>
        <w:spacing w:before="156"/>
        <w:ind w:left="0"/>
      </w:pPr>
      <w:bookmarkStart w:id="64" w:name="_Toc17898184"/>
      <w:bookmarkStart w:id="65" w:name="_Toc512519486"/>
      <w:bookmarkStart w:id="66" w:name="_Toc481075053"/>
      <w:bookmarkStart w:id="67" w:name="_Toc490050007"/>
      <w:bookmarkStart w:id="68" w:name="_Toc513295898"/>
      <w:r>
        <w:rPr>
          <w:rFonts w:hint="eastAsia"/>
        </w:rPr>
        <w:t>自基金合同生效以来基金累计净值增长率变动及其与同期业绩比较基准收益率变动的比较</w:t>
      </w:r>
      <w:bookmarkEnd w:id="64"/>
      <w:bookmarkEnd w:id="65"/>
      <w:bookmarkEnd w:id="66"/>
      <w:bookmarkEnd w:id="67"/>
      <w:bookmarkEnd w:id="68"/>
    </w:p>
    <w:p w14:paraId="089B1F0A" w14:textId="08A383D7" w:rsidR="00D31620" w:rsidRDefault="00D76FC0">
      <w:pPr>
        <w:spacing w:line="360" w:lineRule="auto"/>
        <w:jc w:val="left"/>
      </w:pPr>
      <w:bookmarkStart w:id="69" w:name="m07_04_07_09"/>
      <w:bookmarkStart w:id="70" w:name="m07_04_07_09_tab"/>
      <w:r>
        <w:rPr>
          <w:rFonts w:ascii="宋体" w:hAnsi="宋体" w:hint="eastAsia"/>
          <w:noProof/>
        </w:rPr>
        <w:drawing>
          <wp:inline distT="0" distB="0" distL="0" distR="0" wp14:anchorId="04057D7D" wp14:editId="61ABE898">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20279EE" w14:textId="77777777" w:rsidR="00D31620" w:rsidRDefault="00D31620">
      <w:pPr>
        <w:spacing w:line="360" w:lineRule="auto"/>
      </w:pPr>
      <w:r>
        <w:rPr>
          <w:rFonts w:ascii="宋体" w:hAnsi="宋体" w:hint="eastAsia"/>
        </w:rPr>
        <w:t>注：</w:t>
      </w:r>
      <w:r>
        <w:rPr>
          <w:rFonts w:ascii="宋体" w:hAnsi="宋体" w:hint="eastAsia"/>
          <w:lang w:eastAsia="zh-Hans"/>
        </w:rPr>
        <w:t>本基金合同生效日为2022年3月1日，图示的时间段为合同生效日至本报告期末。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740C7B3F" w14:textId="77777777" w:rsidR="00D31620" w:rsidRDefault="00D31620">
      <w:pPr>
        <w:pStyle w:val="XBRLTitle1"/>
        <w:spacing w:before="156" w:line="360" w:lineRule="auto"/>
        <w:ind w:left="425"/>
      </w:pPr>
      <w:bookmarkStart w:id="71" w:name="_Toc17898186"/>
      <w:bookmarkStart w:id="72" w:name="_Toc17897942"/>
      <w:bookmarkStart w:id="73" w:name="_Toc481075054"/>
      <w:bookmarkStart w:id="74" w:name="_Toc438646458"/>
      <w:bookmarkStart w:id="75" w:name="_Toc490050008"/>
      <w:bookmarkStart w:id="76" w:name="_Toc512519487"/>
      <w:bookmarkStart w:id="77" w:name="_Toc513295851"/>
      <w:bookmarkStart w:id="78" w:name="_Toc513295899"/>
      <w:r>
        <w:rPr>
          <w:rFonts w:hAnsi="宋体" w:hint="eastAsia"/>
        </w:rPr>
        <w:t>管理人报告</w:t>
      </w:r>
      <w:bookmarkEnd w:id="71"/>
      <w:bookmarkEnd w:id="72"/>
      <w:bookmarkEnd w:id="73"/>
      <w:bookmarkEnd w:id="74"/>
      <w:bookmarkEnd w:id="75"/>
      <w:bookmarkEnd w:id="76"/>
      <w:bookmarkEnd w:id="77"/>
      <w:bookmarkEnd w:id="78"/>
      <w:r>
        <w:rPr>
          <w:rFonts w:hAnsi="宋体" w:hint="eastAsia"/>
        </w:rPr>
        <w:t xml:space="preserve"> </w:t>
      </w:r>
    </w:p>
    <w:p w14:paraId="1DE10D49" w14:textId="77777777" w:rsidR="00D31620" w:rsidRDefault="00D31620">
      <w:pPr>
        <w:pStyle w:val="XBRLTitle2"/>
        <w:spacing w:before="156" w:line="360" w:lineRule="auto"/>
        <w:ind w:left="454"/>
      </w:pPr>
      <w:bookmarkStart w:id="79" w:name="_Toc17898187"/>
      <w:bookmarkStart w:id="80" w:name="_Toc17897943"/>
      <w:bookmarkStart w:id="81" w:name="_Toc513295852"/>
      <w:bookmarkStart w:id="82" w:name="_Toc513295900"/>
      <w:bookmarkStart w:id="83" w:name="_Toc512519488"/>
      <w:bookmarkStart w:id="84" w:name="_Toc490050009"/>
      <w:bookmarkStart w:id="85" w:name="_Toc438646459"/>
      <w:bookmarkStart w:id="86" w:name="_Toc481075055"/>
      <w:r>
        <w:rPr>
          <w:rFonts w:hAnsi="宋体" w:hint="eastAsia"/>
        </w:rPr>
        <w:lastRenderedPageBreak/>
        <w:t>基金经理（或基金经理小组）简介</w:t>
      </w:r>
      <w:bookmarkEnd w:id="79"/>
      <w:bookmarkEnd w:id="80"/>
      <w:bookmarkEnd w:id="81"/>
      <w:bookmarkEnd w:id="82"/>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7D01C3" w14:paraId="537C73B9" w14:textId="77777777">
        <w:trPr>
          <w:divId w:val="191145315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C7647D" w14:textId="77777777" w:rsidR="00D31620" w:rsidRDefault="00D31620">
            <w:pPr>
              <w:snapToGrid w:val="0"/>
              <w:jc w:val="center"/>
            </w:pPr>
            <w:bookmarkStart w:id="87" w:name="m04_02"/>
            <w:bookmarkEnd w:id="87"/>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66E760" w14:textId="77777777" w:rsidR="00D31620" w:rsidRDefault="00D3162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C73128" w14:textId="77777777" w:rsidR="00D31620" w:rsidRDefault="00D31620">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B598DB" w14:textId="77777777" w:rsidR="00D31620" w:rsidRDefault="00D31620">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B5F4C9" w14:textId="77777777" w:rsidR="00D31620" w:rsidRDefault="00D31620">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7D01C3" w14:paraId="58F318AB" w14:textId="77777777">
        <w:trPr>
          <w:divId w:val="191145315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705C97" w14:textId="77777777" w:rsidR="00D31620" w:rsidRDefault="00D3162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9D0BA3" w14:textId="77777777" w:rsidR="00D31620" w:rsidRDefault="00D3162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42C94" w14:textId="77777777" w:rsidR="00D31620" w:rsidRDefault="00D3162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BF04BA" w14:textId="77777777" w:rsidR="00D31620" w:rsidRDefault="00D3162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5410A" w14:textId="77777777" w:rsidR="00D31620" w:rsidRDefault="00D3162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3D04EE" w14:textId="77777777" w:rsidR="00D31620" w:rsidRDefault="00D31620">
            <w:pPr>
              <w:widowControl/>
              <w:jc w:val="left"/>
            </w:pPr>
          </w:p>
        </w:tc>
      </w:tr>
      <w:tr w:rsidR="007D01C3" w14:paraId="3A22CCAE" w14:textId="77777777">
        <w:trPr>
          <w:divId w:val="191145315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063BDB" w14:textId="77777777" w:rsidR="00D31620" w:rsidRDefault="00D31620">
            <w:pPr>
              <w:jc w:val="center"/>
            </w:pPr>
            <w:r>
              <w:rPr>
                <w:rFonts w:ascii="宋体" w:hAnsi="宋体" w:hint="eastAsia"/>
                <w:szCs w:val="24"/>
                <w:lang w:eastAsia="zh-Hans"/>
              </w:rPr>
              <w:t>倪权生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32EAF7" w14:textId="77777777" w:rsidR="00D31620" w:rsidRDefault="00D31620">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6CFE98" w14:textId="77777777" w:rsidR="00D31620" w:rsidRDefault="00D31620">
            <w:pPr>
              <w:jc w:val="center"/>
            </w:pPr>
            <w:r>
              <w:rPr>
                <w:rFonts w:ascii="宋体" w:hAnsi="宋体" w:hint="eastAsia"/>
                <w:szCs w:val="24"/>
                <w:lang w:eastAsia="zh-Hans"/>
              </w:rPr>
              <w:t>2022年3月1日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6FCBA3" w14:textId="77777777" w:rsidR="00D31620" w:rsidRDefault="00D3162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E3EB75" w14:textId="77777777" w:rsidR="00D31620" w:rsidRDefault="00D31620">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CCA6AC" w14:textId="77777777" w:rsidR="00D31620" w:rsidRDefault="00D31620">
            <w:pPr>
              <w:jc w:val="left"/>
            </w:pPr>
            <w:r>
              <w:rPr>
                <w:rFonts w:ascii="宋体" w:hAnsi="宋体" w:hint="eastAsia"/>
                <w:szCs w:val="24"/>
                <w:lang w:eastAsia="zh-Hans"/>
              </w:rPr>
              <w:t>倪权生先生曾任博时基金管理有限公司高级研究员，浙商基金管理有限公司投资经理助理、基金经理/股票投资部副总经理。2019年8月起加入摩根基金管理（中国）有限公司（原上投摩根基金管理有限公司），历任领先组副组长兼资深基金经理，现任国内权益投资部均衡与价值组组长兼资深基金经理。</w:t>
            </w:r>
          </w:p>
        </w:tc>
      </w:tr>
    </w:tbl>
    <w:p w14:paraId="641311E4" w14:textId="77777777" w:rsidR="00D31620" w:rsidRDefault="00D31620">
      <w:pPr>
        <w:wordWrap w:val="0"/>
        <w:spacing w:line="360" w:lineRule="auto"/>
        <w:jc w:val="left"/>
        <w:divId w:val="1699500640"/>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AA23A22" w14:textId="77777777" w:rsidR="00D31620" w:rsidRDefault="00D31620">
      <w:pPr>
        <w:pStyle w:val="XBRLTitle3"/>
        <w:spacing w:before="156"/>
        <w:ind w:left="0"/>
        <w:divId w:val="1049185565"/>
      </w:pPr>
      <w:bookmarkStart w:id="88" w:name="_Toc5134656621"/>
      <w:r>
        <w:rPr>
          <w:rFonts w:hAnsi="宋体" w:hint="eastAsia"/>
        </w:rPr>
        <w:t>期末兼任私募资产管理计划投资经理的基金经理同时管理的产品情况</w:t>
      </w:r>
      <w:bookmarkEnd w:id="83"/>
      <w:bookmarkEnd w:id="84"/>
      <w:bookmarkEnd w:id="85"/>
      <w:bookmarkEnd w:id="86"/>
      <w:bookmarkEnd w:id="88"/>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7D01C3" w14:paraId="2404A367" w14:textId="77777777">
        <w:trPr>
          <w:divId w:val="375543995"/>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C9D102E" w14:textId="77777777" w:rsidR="00D31620" w:rsidRDefault="00D31620">
            <w:pPr>
              <w:snapToGrid w:val="0"/>
              <w:jc w:val="center"/>
            </w:pPr>
            <w:bookmarkStart w:id="89"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08288C8" w14:textId="77777777" w:rsidR="00D31620" w:rsidRDefault="00D31620">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AC632DA" w14:textId="77777777" w:rsidR="00D31620" w:rsidRDefault="00D31620">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099B900" w14:textId="77777777" w:rsidR="00D31620" w:rsidRDefault="00D31620">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45B0CBE" w14:textId="77777777" w:rsidR="00D31620" w:rsidRDefault="00D31620">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7D01C3" w14:paraId="520C3E3C" w14:textId="77777777">
        <w:trPr>
          <w:divId w:val="375543995"/>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FD59BE" w14:textId="77777777" w:rsidR="00D31620" w:rsidRDefault="00D31620">
            <w:pPr>
              <w:jc w:val="center"/>
            </w:pPr>
            <w:r>
              <w:rPr>
                <w:rFonts w:ascii="宋体" w:hAnsi="宋体" w:hint="eastAsia"/>
                <w:szCs w:val="24"/>
              </w:rPr>
              <w:t>倪权生</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68B81F" w14:textId="77777777" w:rsidR="00D31620" w:rsidRDefault="00D31620">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6C5EE5" w14:textId="77777777" w:rsidR="00D31620" w:rsidRDefault="00D31620">
            <w:pPr>
              <w:jc w:val="right"/>
            </w:pPr>
            <w:r>
              <w:rPr>
                <w:rFonts w:ascii="宋体" w:hAnsi="宋体" w:hint="eastAsia"/>
                <w:szCs w:val="24"/>
              </w:rPr>
              <w:t>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8144BD" w14:textId="77777777" w:rsidR="00D31620" w:rsidRDefault="00D31620">
            <w:pPr>
              <w:jc w:val="right"/>
            </w:pPr>
            <w:r>
              <w:rPr>
                <w:rFonts w:ascii="宋体" w:hAnsi="宋体" w:hint="eastAsia"/>
                <w:szCs w:val="24"/>
              </w:rPr>
              <w:t>1,868,921,268.92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3706C9" w14:textId="77777777" w:rsidR="00D31620" w:rsidRDefault="00D31620">
            <w:pPr>
              <w:jc w:val="center"/>
            </w:pPr>
            <w:r>
              <w:rPr>
                <w:rFonts w:ascii="宋体" w:hAnsi="宋体" w:hint="eastAsia"/>
                <w:szCs w:val="24"/>
              </w:rPr>
              <w:t>2015-03-30</w:t>
            </w:r>
          </w:p>
        </w:tc>
      </w:tr>
      <w:tr w:rsidR="007D01C3" w14:paraId="102BC413" w14:textId="77777777">
        <w:trPr>
          <w:divId w:val="375543995"/>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ABC6F3F" w14:textId="77777777" w:rsidR="00D31620" w:rsidRDefault="00D3162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04897E" w14:textId="77777777" w:rsidR="00D31620" w:rsidRDefault="00D31620">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1B9D29" w14:textId="77777777" w:rsidR="00D31620" w:rsidRDefault="00D31620">
            <w:pPr>
              <w:jc w:val="right"/>
            </w:pPr>
            <w:r>
              <w:rPr>
                <w:rFonts w:ascii="宋体" w:hAnsi="宋体" w:hint="eastAsia"/>
                <w:szCs w:val="24"/>
              </w:rPr>
              <w:t>2</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69076E" w14:textId="77777777" w:rsidR="00D31620" w:rsidRDefault="00D31620">
            <w:pPr>
              <w:jc w:val="right"/>
            </w:pPr>
            <w:r>
              <w:rPr>
                <w:rFonts w:ascii="宋体" w:hAnsi="宋体" w:hint="eastAsia"/>
                <w:szCs w:val="24"/>
              </w:rPr>
              <w:t>335,732,094.57</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4F097C" w14:textId="77777777" w:rsidR="00D31620" w:rsidRDefault="00D31620">
            <w:pPr>
              <w:jc w:val="center"/>
            </w:pPr>
            <w:r>
              <w:rPr>
                <w:rFonts w:ascii="宋体" w:hAnsi="宋体" w:hint="eastAsia"/>
                <w:szCs w:val="24"/>
              </w:rPr>
              <w:t>2021-04-12</w:t>
            </w:r>
          </w:p>
        </w:tc>
      </w:tr>
      <w:tr w:rsidR="007D01C3" w14:paraId="6646C4BD" w14:textId="77777777">
        <w:trPr>
          <w:divId w:val="375543995"/>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A0DC133" w14:textId="77777777" w:rsidR="00D31620" w:rsidRDefault="00D3162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B9B97C" w14:textId="77777777" w:rsidR="00D31620" w:rsidRDefault="00D31620">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0DC2E7" w14:textId="77777777" w:rsidR="00D31620" w:rsidRDefault="00D31620">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FB17AC" w14:textId="77777777" w:rsidR="00D31620" w:rsidRDefault="00D31620">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C7EFC8" w14:textId="77777777" w:rsidR="00D31620" w:rsidRDefault="00D31620">
            <w:pPr>
              <w:jc w:val="center"/>
            </w:pPr>
            <w:r>
              <w:rPr>
                <w:rFonts w:ascii="宋体" w:hAnsi="宋体" w:hint="eastAsia"/>
                <w:szCs w:val="24"/>
              </w:rPr>
              <w:t>-</w:t>
            </w:r>
          </w:p>
        </w:tc>
      </w:tr>
      <w:tr w:rsidR="007D01C3" w14:paraId="3AF8620F" w14:textId="77777777">
        <w:trPr>
          <w:divId w:val="375543995"/>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3F674E1" w14:textId="77777777" w:rsidR="00D31620" w:rsidRDefault="00D3162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EEBCFE" w14:textId="77777777" w:rsidR="00D31620" w:rsidRDefault="00D31620">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D553A2" w14:textId="77777777" w:rsidR="00D31620" w:rsidRDefault="00D31620">
            <w:pPr>
              <w:jc w:val="right"/>
            </w:pPr>
            <w:r>
              <w:rPr>
                <w:rFonts w:ascii="宋体" w:hAnsi="宋体" w:hint="eastAsia"/>
                <w:szCs w:val="24"/>
              </w:rPr>
              <w:t>7</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F65541" w14:textId="77777777" w:rsidR="00D31620" w:rsidRDefault="00D31620">
            <w:pPr>
              <w:jc w:val="right"/>
            </w:pPr>
            <w:r>
              <w:rPr>
                <w:rFonts w:ascii="宋体" w:hAnsi="宋体" w:hint="eastAsia"/>
                <w:szCs w:val="24"/>
              </w:rPr>
              <w:t>2,204,653,363.49</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316B91" w14:textId="77777777" w:rsidR="00D31620" w:rsidRDefault="00D31620">
            <w:pPr>
              <w:jc w:val="center"/>
            </w:pPr>
            <w:r>
              <w:rPr>
                <w:rFonts w:ascii="宋体" w:hAnsi="宋体" w:hint="eastAsia"/>
                <w:szCs w:val="24"/>
              </w:rPr>
              <w:t xml:space="preserve">- </w:t>
            </w:r>
          </w:p>
        </w:tc>
      </w:tr>
    </w:tbl>
    <w:p w14:paraId="65D69EC2" w14:textId="77777777" w:rsidR="00D31620" w:rsidRDefault="00D31620">
      <w:pPr>
        <w:pStyle w:val="XBRLTitle2"/>
        <w:spacing w:before="156" w:line="360" w:lineRule="auto"/>
        <w:ind w:left="454"/>
      </w:pPr>
      <w:bookmarkStart w:id="90" w:name="_Toc17898188"/>
      <w:bookmarkStart w:id="91" w:name="_Toc17897944"/>
      <w:bookmarkStart w:id="92" w:name="_Toc481075056"/>
      <w:bookmarkStart w:id="93" w:name="_Toc438646460"/>
      <w:bookmarkStart w:id="94" w:name="_Toc490050010"/>
      <w:bookmarkStart w:id="95" w:name="_Toc512519489"/>
      <w:bookmarkStart w:id="96" w:name="_Toc513295853"/>
      <w:bookmarkStart w:id="97" w:name="_Toc513295901"/>
      <w:bookmarkStart w:id="98" w:name="m402"/>
      <w:bookmarkEnd w:id="89"/>
      <w:r>
        <w:rPr>
          <w:rFonts w:hAnsi="宋体" w:hint="eastAsia"/>
        </w:rPr>
        <w:t>管理人对报告期内本基金运作遵规守信情况的说明</w:t>
      </w:r>
      <w:bookmarkEnd w:id="90"/>
      <w:bookmarkEnd w:id="91"/>
      <w:bookmarkEnd w:id="92"/>
      <w:bookmarkEnd w:id="93"/>
      <w:bookmarkEnd w:id="94"/>
      <w:bookmarkEnd w:id="95"/>
      <w:bookmarkEnd w:id="96"/>
      <w:bookmarkEnd w:id="97"/>
      <w:r>
        <w:rPr>
          <w:rFonts w:hAnsi="宋体" w:hint="eastAsia"/>
        </w:rPr>
        <w:t xml:space="preserve"> </w:t>
      </w:r>
    </w:p>
    <w:p w14:paraId="759552FD" w14:textId="77777777" w:rsidR="00D31620" w:rsidRDefault="00D31620">
      <w:pPr>
        <w:spacing w:line="360" w:lineRule="auto"/>
        <w:ind w:firstLineChars="200" w:firstLine="420"/>
        <w:jc w:val="left"/>
      </w:pPr>
      <w:bookmarkStart w:id="99" w:name="m403"/>
      <w:bookmarkEnd w:id="98"/>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7C9D9DEE" w14:textId="77777777" w:rsidR="00D31620" w:rsidRDefault="00D31620">
      <w:pPr>
        <w:pStyle w:val="XBRLTitle2"/>
        <w:spacing w:before="156" w:line="360" w:lineRule="auto"/>
        <w:ind w:left="454"/>
      </w:pPr>
      <w:bookmarkStart w:id="100" w:name="_Toc17898189"/>
      <w:bookmarkStart w:id="101" w:name="_Toc17897945"/>
      <w:bookmarkStart w:id="102" w:name="_Toc481075057"/>
      <w:bookmarkStart w:id="103" w:name="_Toc438646462"/>
      <w:bookmarkStart w:id="104" w:name="_Toc490050011"/>
      <w:bookmarkStart w:id="105" w:name="_Toc512519490"/>
      <w:bookmarkStart w:id="106" w:name="_Toc513295854"/>
      <w:bookmarkStart w:id="107" w:name="_Toc513295902"/>
      <w:bookmarkEnd w:id="99"/>
      <w:r>
        <w:rPr>
          <w:rFonts w:hAnsi="宋体" w:hint="eastAsia"/>
        </w:rPr>
        <w:t>公平交易专项说明</w:t>
      </w:r>
      <w:bookmarkEnd w:id="100"/>
      <w:bookmarkEnd w:id="101"/>
      <w:bookmarkEnd w:id="102"/>
      <w:bookmarkEnd w:id="103"/>
      <w:bookmarkEnd w:id="104"/>
      <w:bookmarkEnd w:id="105"/>
      <w:bookmarkEnd w:id="106"/>
      <w:bookmarkEnd w:id="107"/>
      <w:r>
        <w:rPr>
          <w:rFonts w:hAnsi="宋体" w:hint="eastAsia"/>
        </w:rPr>
        <w:t xml:space="preserve"> </w:t>
      </w:r>
    </w:p>
    <w:p w14:paraId="45C0B490" w14:textId="77777777" w:rsidR="00D31620" w:rsidRDefault="00D31620">
      <w:pPr>
        <w:pStyle w:val="XBRLTitle3"/>
        <w:spacing w:before="156"/>
        <w:ind w:left="0"/>
      </w:pPr>
      <w:bookmarkStart w:id="108" w:name="_Toc17898190"/>
      <w:bookmarkStart w:id="109" w:name="_Toc481075058"/>
      <w:bookmarkStart w:id="110" w:name="_Toc490050012"/>
      <w:bookmarkStart w:id="111" w:name="_Toc512519491"/>
      <w:bookmarkStart w:id="112" w:name="_Toc513295903"/>
      <w:bookmarkStart w:id="113" w:name="m404_01_0570"/>
      <w:r>
        <w:rPr>
          <w:rFonts w:hint="eastAsia"/>
        </w:rPr>
        <w:t>公平交易制度的执行情况</w:t>
      </w:r>
      <w:bookmarkEnd w:id="108"/>
      <w:bookmarkEnd w:id="109"/>
      <w:bookmarkEnd w:id="110"/>
      <w:bookmarkEnd w:id="111"/>
      <w:bookmarkEnd w:id="112"/>
    </w:p>
    <w:p w14:paraId="0CDBD0F5" w14:textId="77777777" w:rsidR="00D31620" w:rsidRDefault="00D31620">
      <w:pPr>
        <w:spacing w:line="360" w:lineRule="auto"/>
        <w:ind w:firstLineChars="200" w:firstLine="420"/>
        <w:jc w:val="left"/>
      </w:pPr>
      <w:r>
        <w:rPr>
          <w:rFonts w:ascii="宋体" w:hAnsi="宋体" w:cs="宋体" w:hint="eastAsia"/>
          <w:color w:val="000000"/>
          <w:kern w:val="0"/>
        </w:rPr>
        <w:t>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w:t>
      </w:r>
      <w:r>
        <w:rPr>
          <w:rFonts w:ascii="宋体" w:hAnsi="宋体" w:cs="宋体" w:hint="eastAsia"/>
          <w:color w:val="000000"/>
          <w:kern w:val="0"/>
        </w:rPr>
        <w:lastRenderedPageBreak/>
        <w:t xml:space="preserve">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7EBF5E8" w14:textId="77777777" w:rsidR="00D31620" w:rsidRDefault="00D31620">
      <w:pPr>
        <w:pStyle w:val="XBRLTitle3"/>
        <w:spacing w:before="156"/>
        <w:ind w:left="0"/>
      </w:pPr>
      <w:bookmarkStart w:id="114" w:name="_Toc17898191"/>
      <w:bookmarkStart w:id="115" w:name="_Toc481075059"/>
      <w:bookmarkStart w:id="116" w:name="_Toc490050013"/>
      <w:bookmarkStart w:id="117" w:name="_Toc512519492"/>
      <w:bookmarkStart w:id="118" w:name="_Toc513295904"/>
      <w:bookmarkStart w:id="119" w:name="m404_01_0578"/>
      <w:bookmarkEnd w:id="113"/>
      <w:r>
        <w:rPr>
          <w:rFonts w:hint="eastAsia"/>
        </w:rPr>
        <w:t>异常交易行为的专项说明</w:t>
      </w:r>
      <w:bookmarkEnd w:id="114"/>
      <w:bookmarkEnd w:id="115"/>
      <w:bookmarkEnd w:id="116"/>
      <w:bookmarkEnd w:id="117"/>
      <w:bookmarkEnd w:id="118"/>
    </w:p>
    <w:p w14:paraId="6245BA3E" w14:textId="77777777" w:rsidR="00D31620" w:rsidRDefault="00D31620">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806CB1F" w14:textId="77777777" w:rsidR="00D31620" w:rsidRDefault="00D31620">
      <w:pPr>
        <w:pStyle w:val="XBRLTitle2"/>
        <w:spacing w:before="156" w:line="360" w:lineRule="auto"/>
        <w:ind w:left="454"/>
      </w:pPr>
      <w:bookmarkStart w:id="120" w:name="_Toc17898192"/>
      <w:bookmarkStart w:id="121" w:name="_Toc17897946"/>
      <w:bookmarkStart w:id="122" w:name="_Toc481075061"/>
      <w:bookmarkStart w:id="123" w:name="_Toc490050014"/>
      <w:bookmarkStart w:id="124" w:name="_Toc512519493"/>
      <w:bookmarkStart w:id="125" w:name="_Toc513295855"/>
      <w:bookmarkStart w:id="126" w:name="_Toc513295905"/>
      <w:bookmarkStart w:id="127" w:name="m405_01_2550"/>
      <w:bookmarkEnd w:id="119"/>
      <w:r>
        <w:rPr>
          <w:rFonts w:hAnsi="宋体" w:hint="eastAsia"/>
        </w:rPr>
        <w:t>报告期内基金的投资策略和运作分析</w:t>
      </w:r>
      <w:bookmarkEnd w:id="120"/>
      <w:bookmarkEnd w:id="121"/>
      <w:bookmarkEnd w:id="122"/>
      <w:bookmarkEnd w:id="123"/>
      <w:bookmarkEnd w:id="124"/>
      <w:bookmarkEnd w:id="125"/>
      <w:bookmarkEnd w:id="126"/>
      <w:r>
        <w:rPr>
          <w:rFonts w:hAnsi="宋体" w:hint="eastAsia"/>
        </w:rPr>
        <w:t xml:space="preserve"> </w:t>
      </w:r>
    </w:p>
    <w:p w14:paraId="27AB1BA3" w14:textId="77777777" w:rsidR="00D31620" w:rsidRDefault="00D31620">
      <w:pPr>
        <w:spacing w:line="360" w:lineRule="auto"/>
        <w:ind w:firstLineChars="200" w:firstLine="420"/>
        <w:jc w:val="left"/>
      </w:pPr>
      <w:r>
        <w:rPr>
          <w:rFonts w:ascii="宋体" w:hAnsi="宋体" w:cs="宋体" w:hint="eastAsia"/>
          <w:color w:val="000000"/>
          <w:kern w:val="0"/>
        </w:rPr>
        <w:t>2026年一季度大盘相对平稳，1-2月细分行业不乏机会，如上游的有色、化工，中游的出口链制造业等。但进入3月份，由于中东战事的影响，原油价格大幅上涨，导致市场对宏观经济预期变得悲观，大部分行业录得较为显著的回撤。</w:t>
      </w:r>
      <w:r>
        <w:rPr>
          <w:rFonts w:ascii="宋体" w:hAnsi="宋体" w:cs="宋体" w:hint="eastAsia"/>
          <w:color w:val="000000"/>
          <w:kern w:val="0"/>
        </w:rPr>
        <w:br/>
        <w:t xml:space="preserve">　　组合操作层面，整体上仍保持均衡配置的策略，单个行业超配幅度有限，超配行业延续了四季度以来所配置的有色、机械、锂电产业链，泛科技领域仍维持算力的一定配置。我们认为现在A股的投资视野更侧重于关注全球机会，当下组合构思的几个维度主要是出海带来的中高端制造业及上游资产机会，以及AI技术革命带来的算力和相关基建需求的投资机会。在出海端，我们看到全球资本品需求的增长，以及中国中高端制造业在全球份额的提升，表现在机械、电力设备、汽车等领域；同时，制造业的繁荣又带动上游原材料的需求增长，而其中的一些品类如工业金属、部分小金属及化工品，受制于全球矿产供给的约束，或者受制于国内产能扩张的约束，其供给弹性较小，从而由原来的供需宽松格局转为供需偏紧，带动盈利和现金流的持续改善；AI方面，继续配置光模块和PCB相关资产，目前国内外算力需求仍处于高速增长期，相关行业和公司盈利继续兑现，且估值具备优势；此外，一季度我们开始提高对医药的关注。一方面板块自去年以来调整较多，另一方面目前看创新药BD的数据仍然较好，CXO行业的财报也显示出复苏迹象，整体股价位置和估值都比较低，具有配置价值。</w:t>
      </w:r>
      <w:r>
        <w:rPr>
          <w:rFonts w:ascii="宋体" w:hAnsi="宋体" w:cs="宋体" w:hint="eastAsia"/>
          <w:color w:val="000000"/>
          <w:kern w:val="0"/>
        </w:rPr>
        <w:br/>
      </w:r>
      <w:r>
        <w:rPr>
          <w:rFonts w:ascii="宋体" w:hAnsi="宋体" w:cs="宋体" w:hint="eastAsia"/>
          <w:color w:val="000000"/>
          <w:kern w:val="0"/>
        </w:rPr>
        <w:lastRenderedPageBreak/>
        <w:t xml:space="preserve">　　展望后市，尽管3月份受海外战事影响，全球股票市场回调明显，但我们对中国资产仍保持乐观态度，其供应链的稳定性相比其他工业国家在这一轮冲击中显得更有优势。AH上市公司整体盈利改善的逻辑仍然有望保持，我们仍重点关注上述相关方向的投资机会。</w:t>
      </w:r>
    </w:p>
    <w:p w14:paraId="6A4FF89B" w14:textId="77777777" w:rsidR="00D31620" w:rsidRDefault="00D31620">
      <w:pPr>
        <w:pStyle w:val="XBRLTitle2"/>
        <w:spacing w:before="156" w:line="360" w:lineRule="auto"/>
        <w:ind w:left="454"/>
      </w:pPr>
      <w:bookmarkStart w:id="128" w:name="_Toc17898193"/>
      <w:bookmarkStart w:id="129" w:name="_Toc17897947"/>
      <w:bookmarkStart w:id="130" w:name="_Toc490050015"/>
      <w:bookmarkStart w:id="131" w:name="_Toc481075062"/>
      <w:bookmarkStart w:id="132" w:name="_Toc512519494"/>
      <w:bookmarkStart w:id="133" w:name="_Toc513295856"/>
      <w:bookmarkStart w:id="134" w:name="_Toc513295906"/>
      <w:bookmarkStart w:id="135" w:name="m405_01_2549"/>
      <w:bookmarkEnd w:id="127"/>
      <w:r>
        <w:rPr>
          <w:rFonts w:hAnsi="宋体" w:hint="eastAsia"/>
        </w:rPr>
        <w:t>报告期内基金的业绩表现</w:t>
      </w:r>
      <w:bookmarkEnd w:id="128"/>
      <w:bookmarkEnd w:id="129"/>
      <w:bookmarkEnd w:id="130"/>
      <w:bookmarkEnd w:id="131"/>
      <w:bookmarkEnd w:id="132"/>
      <w:bookmarkEnd w:id="133"/>
      <w:bookmarkEnd w:id="134"/>
      <w:r>
        <w:rPr>
          <w:rFonts w:hAnsi="宋体" w:hint="eastAsia"/>
        </w:rPr>
        <w:t xml:space="preserve"> </w:t>
      </w:r>
      <w:bookmarkEnd w:id="135"/>
    </w:p>
    <w:p w14:paraId="19013B96" w14:textId="77777777" w:rsidR="00D31620" w:rsidRDefault="00D31620">
      <w:pPr>
        <w:spacing w:line="360" w:lineRule="auto"/>
        <w:ind w:firstLineChars="200" w:firstLine="420"/>
      </w:pPr>
      <w:r>
        <w:rPr>
          <w:rFonts w:ascii="宋体" w:hAnsi="宋体" w:hint="eastAsia"/>
        </w:rPr>
        <w:t>本报告期摩根鑫睿优选一年持有期混合份额净值增长率为:0.84%，同期业绩比较基准收益率为:-2.64%。</w:t>
      </w:r>
    </w:p>
    <w:p w14:paraId="5F57A4D5" w14:textId="77777777" w:rsidR="00D31620" w:rsidRDefault="00D31620">
      <w:pPr>
        <w:pStyle w:val="XBRLTitle2"/>
        <w:spacing w:before="156" w:line="360" w:lineRule="auto"/>
        <w:ind w:left="454"/>
      </w:pPr>
      <w:bookmarkStart w:id="136" w:name="m406"/>
      <w:bookmarkStart w:id="137" w:name="_Toc17898194"/>
      <w:bookmarkStart w:id="138" w:name="_Toc17897948"/>
      <w:bookmarkStart w:id="139" w:name="_Toc490050016"/>
      <w:bookmarkStart w:id="140" w:name="_Toc481075063"/>
      <w:bookmarkStart w:id="141" w:name="_Toc438646465"/>
      <w:bookmarkStart w:id="142" w:name="_Toc512519495"/>
      <w:bookmarkStart w:id="143" w:name="_Toc513295857"/>
      <w:bookmarkStart w:id="144" w:name="_Toc513295907"/>
      <w:bookmarkStart w:id="145" w:name="m407"/>
      <w:bookmarkEnd w:id="136"/>
      <w:r>
        <w:rPr>
          <w:rFonts w:hAnsi="宋体" w:hint="eastAsia"/>
        </w:rPr>
        <w:t>报告期内基金持有人数或基金资产净值预警说明</w:t>
      </w:r>
      <w:bookmarkEnd w:id="137"/>
      <w:bookmarkEnd w:id="138"/>
      <w:bookmarkEnd w:id="139"/>
      <w:bookmarkEnd w:id="140"/>
      <w:bookmarkEnd w:id="141"/>
      <w:bookmarkEnd w:id="142"/>
      <w:bookmarkEnd w:id="143"/>
      <w:bookmarkEnd w:id="144"/>
      <w:r>
        <w:rPr>
          <w:rFonts w:hAnsi="宋体" w:hint="eastAsia"/>
        </w:rPr>
        <w:t xml:space="preserve"> </w:t>
      </w:r>
    </w:p>
    <w:p w14:paraId="405B7A30" w14:textId="77777777" w:rsidR="00D31620" w:rsidRDefault="00D31620">
      <w:pPr>
        <w:spacing w:line="360" w:lineRule="auto"/>
        <w:ind w:firstLineChars="200" w:firstLine="420"/>
        <w:jc w:val="left"/>
      </w:pPr>
      <w:r>
        <w:rPr>
          <w:rFonts w:ascii="宋体" w:hAnsi="宋体" w:hint="eastAsia"/>
        </w:rPr>
        <w:t xml:space="preserve">截至本报告期末,本基金有连续超过二十个工作日出现基金资产净值低于五千万元的情形，相应解决方案已报送中国证监会。 </w:t>
      </w:r>
    </w:p>
    <w:p w14:paraId="106B521E" w14:textId="77777777" w:rsidR="00D31620" w:rsidRDefault="00D31620">
      <w:pPr>
        <w:pStyle w:val="XBRLTitle1"/>
        <w:spacing w:before="156" w:line="360" w:lineRule="auto"/>
        <w:ind w:left="425"/>
      </w:pPr>
      <w:bookmarkStart w:id="146" w:name="_Toc17898195"/>
      <w:bookmarkStart w:id="147" w:name="_Toc17897949"/>
      <w:bookmarkStart w:id="148" w:name="_Toc512519496"/>
      <w:bookmarkStart w:id="149" w:name="_Toc481075064"/>
      <w:bookmarkStart w:id="150" w:name="_Toc438646466"/>
      <w:bookmarkStart w:id="151" w:name="_Toc490050017"/>
      <w:bookmarkStart w:id="152" w:name="_Toc513295858"/>
      <w:bookmarkStart w:id="153" w:name="_Toc513295908"/>
      <w:bookmarkEnd w:id="145"/>
      <w:r>
        <w:rPr>
          <w:rFonts w:hAnsi="宋体" w:hint="eastAsia"/>
        </w:rPr>
        <w:t>投资组合报告</w:t>
      </w:r>
      <w:bookmarkEnd w:id="146"/>
      <w:bookmarkEnd w:id="147"/>
      <w:bookmarkEnd w:id="148"/>
      <w:bookmarkEnd w:id="149"/>
      <w:bookmarkEnd w:id="150"/>
      <w:bookmarkEnd w:id="151"/>
      <w:bookmarkEnd w:id="152"/>
      <w:bookmarkEnd w:id="153"/>
      <w:r>
        <w:rPr>
          <w:rFonts w:hAnsi="宋体" w:hint="eastAsia"/>
        </w:rPr>
        <w:t xml:space="preserve"> </w:t>
      </w:r>
    </w:p>
    <w:p w14:paraId="0039F1BD" w14:textId="77777777" w:rsidR="00D31620" w:rsidRDefault="00D31620">
      <w:pPr>
        <w:pStyle w:val="XBRLTitle2"/>
        <w:spacing w:before="156" w:line="360" w:lineRule="auto"/>
        <w:ind w:left="454"/>
      </w:pPr>
      <w:bookmarkStart w:id="154" w:name="_Toc17898196"/>
      <w:bookmarkStart w:id="155" w:name="_Toc17897950"/>
      <w:bookmarkStart w:id="156" w:name="_Toc481075065"/>
      <w:bookmarkStart w:id="157" w:name="_Toc438646467"/>
      <w:bookmarkStart w:id="158" w:name="_Toc490050018"/>
      <w:bookmarkStart w:id="159" w:name="_Toc512519497"/>
      <w:bookmarkStart w:id="160" w:name="_Toc513295859"/>
      <w:bookmarkStart w:id="161" w:name="_Toc513295909"/>
      <w:bookmarkStart w:id="162" w:name="m501"/>
      <w:r>
        <w:rPr>
          <w:rFonts w:hAnsi="宋体" w:hint="eastAsia"/>
        </w:rPr>
        <w:t>报告期末基金资产组合情况</w:t>
      </w:r>
      <w:bookmarkEnd w:id="154"/>
      <w:bookmarkEnd w:id="155"/>
      <w:bookmarkEnd w:id="156"/>
      <w:bookmarkEnd w:id="157"/>
      <w:bookmarkEnd w:id="158"/>
      <w:bookmarkEnd w:id="159"/>
      <w:bookmarkEnd w:id="160"/>
      <w:bookmarkEnd w:id="161"/>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7D01C3" w14:paraId="1DB7682D" w14:textId="77777777">
        <w:trPr>
          <w:divId w:val="771165718"/>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FB92E9" w14:textId="77777777" w:rsidR="00D31620" w:rsidRDefault="00D31620">
            <w:pPr>
              <w:jc w:val="center"/>
            </w:pPr>
            <w:bookmarkStart w:id="163" w:name="m08QD_01_tab"/>
            <w:bookmarkEnd w:id="163"/>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33FD7C6" w14:textId="77777777" w:rsidR="00D31620" w:rsidRDefault="00D31620">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345BB11" w14:textId="77777777" w:rsidR="00D31620" w:rsidRDefault="00D31620">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352669D9" w14:textId="77777777" w:rsidR="00D31620" w:rsidRDefault="00D31620">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7D01C3" w14:paraId="05414094" w14:textId="77777777">
        <w:trPr>
          <w:divId w:val="7711657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0243E9F" w14:textId="77777777" w:rsidR="00D31620" w:rsidRDefault="00D31620">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9831D0D" w14:textId="77777777" w:rsidR="00D31620" w:rsidRDefault="00D31620">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FE338C" w14:textId="77777777" w:rsidR="00D31620" w:rsidRDefault="00D31620">
            <w:pPr>
              <w:jc w:val="right"/>
            </w:pPr>
            <w:r>
              <w:rPr>
                <w:rFonts w:ascii="宋体" w:hAnsi="宋体" w:hint="eastAsia"/>
                <w:szCs w:val="24"/>
                <w:lang w:eastAsia="zh-Hans"/>
              </w:rPr>
              <w:t>26,778,953.18</w:t>
            </w:r>
          </w:p>
        </w:tc>
        <w:tc>
          <w:tcPr>
            <w:tcW w:w="1333" w:type="pct"/>
            <w:tcBorders>
              <w:top w:val="single" w:sz="4" w:space="0" w:color="auto"/>
              <w:left w:val="nil"/>
              <w:bottom w:val="single" w:sz="4" w:space="0" w:color="auto"/>
              <w:right w:val="single" w:sz="4" w:space="0" w:color="auto"/>
            </w:tcBorders>
            <w:vAlign w:val="center"/>
            <w:hideMark/>
          </w:tcPr>
          <w:p w14:paraId="240C41B3" w14:textId="77777777" w:rsidR="00D31620" w:rsidRDefault="00D31620">
            <w:pPr>
              <w:jc w:val="right"/>
            </w:pPr>
            <w:r>
              <w:rPr>
                <w:rFonts w:ascii="宋体" w:hAnsi="宋体" w:hint="eastAsia"/>
                <w:szCs w:val="24"/>
                <w:lang w:eastAsia="zh-Hans"/>
              </w:rPr>
              <w:t>85.01</w:t>
            </w:r>
          </w:p>
        </w:tc>
      </w:tr>
      <w:tr w:rsidR="007D01C3" w14:paraId="2E67F721" w14:textId="77777777">
        <w:trPr>
          <w:divId w:val="7711657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3572B5C" w14:textId="77777777" w:rsidR="00D31620" w:rsidRDefault="00D3162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22727BD" w14:textId="77777777" w:rsidR="00D31620" w:rsidRDefault="00D31620">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2C43CC" w14:textId="77777777" w:rsidR="00D31620" w:rsidRDefault="00D31620">
            <w:pPr>
              <w:jc w:val="right"/>
            </w:pPr>
            <w:r>
              <w:rPr>
                <w:rFonts w:ascii="宋体" w:hAnsi="宋体" w:hint="eastAsia"/>
                <w:szCs w:val="24"/>
                <w:lang w:eastAsia="zh-Hans"/>
              </w:rPr>
              <w:t>26,778,953.18</w:t>
            </w:r>
          </w:p>
        </w:tc>
        <w:tc>
          <w:tcPr>
            <w:tcW w:w="1333" w:type="pct"/>
            <w:tcBorders>
              <w:top w:val="single" w:sz="4" w:space="0" w:color="auto"/>
              <w:left w:val="nil"/>
              <w:bottom w:val="single" w:sz="4" w:space="0" w:color="auto"/>
              <w:right w:val="single" w:sz="4" w:space="0" w:color="auto"/>
            </w:tcBorders>
            <w:vAlign w:val="center"/>
            <w:hideMark/>
          </w:tcPr>
          <w:p w14:paraId="74319D2F" w14:textId="77777777" w:rsidR="00D31620" w:rsidRDefault="00D31620">
            <w:pPr>
              <w:jc w:val="right"/>
            </w:pPr>
            <w:r>
              <w:rPr>
                <w:rFonts w:ascii="宋体" w:hAnsi="宋体" w:hint="eastAsia"/>
                <w:szCs w:val="24"/>
                <w:lang w:eastAsia="zh-Hans"/>
              </w:rPr>
              <w:t>85.01</w:t>
            </w:r>
          </w:p>
        </w:tc>
      </w:tr>
      <w:tr w:rsidR="007D01C3" w14:paraId="1BBAE2DF" w14:textId="77777777">
        <w:trPr>
          <w:divId w:val="7711657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5808BEC" w14:textId="77777777" w:rsidR="00D31620" w:rsidRDefault="00D31620">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F84BBE6" w14:textId="77777777" w:rsidR="00D31620" w:rsidRDefault="00D31620">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2290DE4" w14:textId="77777777" w:rsidR="00D31620" w:rsidRDefault="00D3162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C06CB88" w14:textId="77777777" w:rsidR="00D31620" w:rsidRDefault="00D31620">
            <w:pPr>
              <w:jc w:val="right"/>
            </w:pPr>
            <w:r>
              <w:rPr>
                <w:rFonts w:ascii="宋体" w:hAnsi="宋体" w:hint="eastAsia"/>
                <w:szCs w:val="24"/>
                <w:lang w:eastAsia="zh-Hans"/>
              </w:rPr>
              <w:t>-</w:t>
            </w:r>
          </w:p>
        </w:tc>
      </w:tr>
      <w:tr w:rsidR="007D01C3" w14:paraId="20B2C46A" w14:textId="77777777">
        <w:trPr>
          <w:divId w:val="7711657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B9E3CE8" w14:textId="77777777" w:rsidR="00D31620" w:rsidRDefault="00D31620">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0937D74" w14:textId="77777777" w:rsidR="00D31620" w:rsidRDefault="00D31620">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4097A5" w14:textId="77777777" w:rsidR="00D31620" w:rsidRDefault="00D3162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A0659E0" w14:textId="77777777" w:rsidR="00D31620" w:rsidRDefault="00D31620">
            <w:pPr>
              <w:jc w:val="right"/>
            </w:pPr>
            <w:r>
              <w:rPr>
                <w:rFonts w:ascii="宋体" w:hAnsi="宋体" w:hint="eastAsia"/>
                <w:szCs w:val="24"/>
                <w:lang w:eastAsia="zh-Hans"/>
              </w:rPr>
              <w:t>-</w:t>
            </w:r>
          </w:p>
        </w:tc>
      </w:tr>
      <w:tr w:rsidR="007D01C3" w14:paraId="5AC0EEAF" w14:textId="77777777">
        <w:trPr>
          <w:divId w:val="7711657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525C86A" w14:textId="77777777" w:rsidR="00D31620" w:rsidRDefault="00D3162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5863CF0" w14:textId="77777777" w:rsidR="00D31620" w:rsidRDefault="00D31620">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9DC8007" w14:textId="77777777" w:rsidR="00D31620" w:rsidRDefault="00D3162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B287943" w14:textId="77777777" w:rsidR="00D31620" w:rsidRDefault="00D31620">
            <w:pPr>
              <w:jc w:val="right"/>
            </w:pPr>
            <w:r>
              <w:rPr>
                <w:rFonts w:ascii="宋体" w:hAnsi="宋体" w:hint="eastAsia"/>
                <w:szCs w:val="24"/>
                <w:lang w:eastAsia="zh-Hans"/>
              </w:rPr>
              <w:t>-</w:t>
            </w:r>
          </w:p>
        </w:tc>
      </w:tr>
      <w:tr w:rsidR="007D01C3" w14:paraId="048D7D7B" w14:textId="77777777">
        <w:trPr>
          <w:divId w:val="7711657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691866B" w14:textId="77777777" w:rsidR="00D31620" w:rsidRDefault="00D3162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7DE7E5B" w14:textId="77777777" w:rsidR="00D31620" w:rsidRDefault="00D31620">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DA22778" w14:textId="77777777" w:rsidR="00D31620" w:rsidRDefault="00D3162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0D1328F" w14:textId="77777777" w:rsidR="00D31620" w:rsidRDefault="00D31620">
            <w:pPr>
              <w:jc w:val="right"/>
            </w:pPr>
            <w:r>
              <w:rPr>
                <w:rFonts w:ascii="宋体" w:hAnsi="宋体" w:hint="eastAsia"/>
                <w:szCs w:val="24"/>
                <w:lang w:eastAsia="zh-Hans"/>
              </w:rPr>
              <w:t>-</w:t>
            </w:r>
          </w:p>
        </w:tc>
      </w:tr>
      <w:tr w:rsidR="007D01C3" w14:paraId="337B6A6B" w14:textId="77777777">
        <w:trPr>
          <w:divId w:val="7711657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138FE1" w14:textId="77777777" w:rsidR="00D31620" w:rsidRDefault="00D31620">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0838D6B" w14:textId="77777777" w:rsidR="00D31620" w:rsidRDefault="00D31620">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D5242E" w14:textId="77777777" w:rsidR="00D31620" w:rsidRDefault="00D3162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8D9B82D" w14:textId="77777777" w:rsidR="00D31620" w:rsidRDefault="00D31620">
            <w:pPr>
              <w:jc w:val="right"/>
            </w:pPr>
            <w:r>
              <w:rPr>
                <w:rFonts w:ascii="宋体" w:hAnsi="宋体" w:hint="eastAsia"/>
                <w:szCs w:val="24"/>
                <w:lang w:eastAsia="zh-Hans"/>
              </w:rPr>
              <w:t>-</w:t>
            </w:r>
          </w:p>
        </w:tc>
      </w:tr>
      <w:tr w:rsidR="007D01C3" w14:paraId="56E3F1A5" w14:textId="77777777">
        <w:trPr>
          <w:divId w:val="7711657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0AE5D12" w14:textId="77777777" w:rsidR="00D31620" w:rsidRDefault="00D31620">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5C3538FB" w14:textId="77777777" w:rsidR="00D31620" w:rsidRDefault="00D31620">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0D7CCEE" w14:textId="77777777" w:rsidR="00D31620" w:rsidRDefault="00D3162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1DD6E78" w14:textId="77777777" w:rsidR="00D31620" w:rsidRDefault="00D31620">
            <w:pPr>
              <w:jc w:val="right"/>
            </w:pPr>
            <w:r>
              <w:rPr>
                <w:rFonts w:ascii="宋体" w:hAnsi="宋体" w:hint="eastAsia"/>
                <w:szCs w:val="24"/>
                <w:lang w:eastAsia="zh-Hans"/>
              </w:rPr>
              <w:t>-</w:t>
            </w:r>
          </w:p>
        </w:tc>
      </w:tr>
      <w:tr w:rsidR="007D01C3" w14:paraId="4EA4F78B" w14:textId="77777777">
        <w:trPr>
          <w:divId w:val="7711657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1BA3CA8" w14:textId="77777777" w:rsidR="00D31620" w:rsidRDefault="00D31620">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0B5BA38" w14:textId="77777777" w:rsidR="00D31620" w:rsidRDefault="00D31620">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6B5D13C" w14:textId="77777777" w:rsidR="00D31620" w:rsidRDefault="00D3162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828C1EF" w14:textId="77777777" w:rsidR="00D31620" w:rsidRDefault="00D31620">
            <w:pPr>
              <w:jc w:val="right"/>
            </w:pPr>
            <w:r>
              <w:rPr>
                <w:rFonts w:ascii="宋体" w:hAnsi="宋体" w:hint="eastAsia"/>
                <w:szCs w:val="24"/>
                <w:lang w:eastAsia="zh-Hans"/>
              </w:rPr>
              <w:t>-</w:t>
            </w:r>
          </w:p>
        </w:tc>
      </w:tr>
      <w:tr w:rsidR="007D01C3" w14:paraId="52985557" w14:textId="77777777">
        <w:trPr>
          <w:divId w:val="7711657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9B963F1" w14:textId="77777777" w:rsidR="00D31620" w:rsidRDefault="00D3162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83BE33A" w14:textId="77777777" w:rsidR="00D31620" w:rsidRDefault="00D31620">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C88F745" w14:textId="77777777" w:rsidR="00D31620" w:rsidRDefault="00D3162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D82EBAE" w14:textId="77777777" w:rsidR="00D31620" w:rsidRDefault="00D31620">
            <w:pPr>
              <w:jc w:val="right"/>
            </w:pPr>
            <w:r>
              <w:rPr>
                <w:rFonts w:ascii="宋体" w:hAnsi="宋体" w:hint="eastAsia"/>
                <w:szCs w:val="24"/>
                <w:lang w:eastAsia="zh-Hans"/>
              </w:rPr>
              <w:t>-</w:t>
            </w:r>
          </w:p>
        </w:tc>
      </w:tr>
      <w:tr w:rsidR="007D01C3" w14:paraId="423328CF" w14:textId="77777777">
        <w:trPr>
          <w:divId w:val="7711657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90ED06F" w14:textId="77777777" w:rsidR="00D31620" w:rsidRDefault="00D31620">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085F0666" w14:textId="77777777" w:rsidR="00D31620" w:rsidRDefault="00D31620">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08522E3" w14:textId="77777777" w:rsidR="00D31620" w:rsidRDefault="00D31620">
            <w:pPr>
              <w:jc w:val="right"/>
            </w:pPr>
            <w:r>
              <w:rPr>
                <w:rFonts w:ascii="宋体" w:hAnsi="宋体" w:hint="eastAsia"/>
                <w:szCs w:val="24"/>
                <w:lang w:eastAsia="zh-Hans"/>
              </w:rPr>
              <w:t>4,103,055.37</w:t>
            </w:r>
          </w:p>
        </w:tc>
        <w:tc>
          <w:tcPr>
            <w:tcW w:w="1333" w:type="pct"/>
            <w:tcBorders>
              <w:top w:val="single" w:sz="4" w:space="0" w:color="auto"/>
              <w:left w:val="nil"/>
              <w:bottom w:val="single" w:sz="4" w:space="0" w:color="auto"/>
              <w:right w:val="single" w:sz="4" w:space="0" w:color="auto"/>
            </w:tcBorders>
            <w:vAlign w:val="center"/>
            <w:hideMark/>
          </w:tcPr>
          <w:p w14:paraId="4E984245" w14:textId="77777777" w:rsidR="00D31620" w:rsidRDefault="00D31620">
            <w:pPr>
              <w:jc w:val="right"/>
            </w:pPr>
            <w:r>
              <w:rPr>
                <w:rFonts w:ascii="宋体" w:hAnsi="宋体" w:hint="eastAsia"/>
                <w:szCs w:val="24"/>
                <w:lang w:eastAsia="zh-Hans"/>
              </w:rPr>
              <w:t>13.02</w:t>
            </w:r>
          </w:p>
        </w:tc>
      </w:tr>
      <w:tr w:rsidR="007D01C3" w14:paraId="60BDBC7B" w14:textId="77777777">
        <w:trPr>
          <w:divId w:val="7711657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FB15B93" w14:textId="77777777" w:rsidR="00D31620" w:rsidRDefault="00D31620">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212F018" w14:textId="77777777" w:rsidR="00D31620" w:rsidRDefault="00D31620">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918C73" w14:textId="77777777" w:rsidR="00D31620" w:rsidRDefault="00D31620">
            <w:pPr>
              <w:jc w:val="right"/>
            </w:pPr>
            <w:r>
              <w:rPr>
                <w:rFonts w:ascii="宋体" w:hAnsi="宋体" w:hint="eastAsia"/>
                <w:szCs w:val="24"/>
                <w:lang w:eastAsia="zh-Hans"/>
              </w:rPr>
              <w:t>619,943.18</w:t>
            </w:r>
          </w:p>
        </w:tc>
        <w:tc>
          <w:tcPr>
            <w:tcW w:w="1333" w:type="pct"/>
            <w:tcBorders>
              <w:top w:val="single" w:sz="4" w:space="0" w:color="auto"/>
              <w:left w:val="nil"/>
              <w:bottom w:val="single" w:sz="4" w:space="0" w:color="auto"/>
              <w:right w:val="single" w:sz="4" w:space="0" w:color="auto"/>
            </w:tcBorders>
            <w:vAlign w:val="center"/>
            <w:hideMark/>
          </w:tcPr>
          <w:p w14:paraId="19C61FC6" w14:textId="77777777" w:rsidR="00D31620" w:rsidRDefault="00D31620">
            <w:pPr>
              <w:jc w:val="right"/>
            </w:pPr>
            <w:r>
              <w:rPr>
                <w:rFonts w:ascii="宋体" w:hAnsi="宋体" w:hint="eastAsia"/>
                <w:szCs w:val="24"/>
                <w:lang w:eastAsia="zh-Hans"/>
              </w:rPr>
              <w:t>1.97</w:t>
            </w:r>
          </w:p>
        </w:tc>
      </w:tr>
      <w:tr w:rsidR="007D01C3" w14:paraId="65E2A2BA" w14:textId="77777777">
        <w:trPr>
          <w:divId w:val="7711657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9F49472" w14:textId="77777777" w:rsidR="00D31620" w:rsidRDefault="00D31620">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6EFCA7B" w14:textId="77777777" w:rsidR="00D31620" w:rsidRDefault="00D31620">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837AE32" w14:textId="77777777" w:rsidR="00D31620" w:rsidRDefault="00D31620">
            <w:pPr>
              <w:jc w:val="right"/>
            </w:pPr>
            <w:r>
              <w:rPr>
                <w:rFonts w:ascii="宋体" w:hAnsi="宋体" w:hint="eastAsia"/>
                <w:szCs w:val="24"/>
                <w:lang w:eastAsia="zh-Hans"/>
              </w:rPr>
              <w:t>31,501,951.73</w:t>
            </w:r>
          </w:p>
        </w:tc>
        <w:tc>
          <w:tcPr>
            <w:tcW w:w="1333" w:type="pct"/>
            <w:tcBorders>
              <w:top w:val="single" w:sz="4" w:space="0" w:color="auto"/>
              <w:left w:val="nil"/>
              <w:bottom w:val="single" w:sz="4" w:space="0" w:color="auto"/>
              <w:right w:val="single" w:sz="4" w:space="0" w:color="auto"/>
            </w:tcBorders>
            <w:vAlign w:val="center"/>
            <w:hideMark/>
          </w:tcPr>
          <w:p w14:paraId="2B228204" w14:textId="77777777" w:rsidR="00D31620" w:rsidRDefault="00D31620">
            <w:pPr>
              <w:jc w:val="right"/>
            </w:pPr>
            <w:r>
              <w:rPr>
                <w:rFonts w:ascii="宋体" w:hAnsi="宋体" w:hint="eastAsia"/>
                <w:szCs w:val="24"/>
                <w:lang w:eastAsia="zh-Hans"/>
              </w:rPr>
              <w:t>100.00</w:t>
            </w:r>
          </w:p>
        </w:tc>
      </w:tr>
    </w:tbl>
    <w:p w14:paraId="42899A27" w14:textId="77777777" w:rsidR="00D31620" w:rsidRDefault="00D31620">
      <w:pPr>
        <w:spacing w:line="360" w:lineRule="auto"/>
        <w:jc w:val="left"/>
        <w:divId w:val="1924221558"/>
      </w:pPr>
      <w:r>
        <w:rPr>
          <w:rFonts w:ascii="宋体" w:hAnsi="宋体" w:hint="eastAsia"/>
          <w:szCs w:val="21"/>
        </w:rPr>
        <w:t>注：</w:t>
      </w:r>
      <w:r>
        <w:rPr>
          <w:rFonts w:ascii="宋体" w:hAnsi="宋体" w:hint="eastAsia"/>
        </w:rPr>
        <w:t>本基金本报告期末通过港股通交易机制投资的港股公允价值为人民币2,636,938.71元,占期末净值比例为8.49%。</w:t>
      </w:r>
    </w:p>
    <w:p w14:paraId="33EBA92E" w14:textId="77777777" w:rsidR="00D31620" w:rsidRDefault="00D31620">
      <w:pPr>
        <w:pStyle w:val="XBRLTitle2"/>
        <w:spacing w:before="156" w:line="360" w:lineRule="auto"/>
        <w:ind w:left="454"/>
      </w:pPr>
      <w:bookmarkStart w:id="164" w:name="_Toc17898197"/>
      <w:bookmarkStart w:id="165" w:name="_Toc17897951"/>
      <w:bookmarkStart w:id="166" w:name="_Toc512519498"/>
      <w:bookmarkStart w:id="167" w:name="_Toc481075066"/>
      <w:bookmarkStart w:id="168" w:name="_Toc438646468"/>
      <w:bookmarkStart w:id="169" w:name="_Toc490050019"/>
      <w:bookmarkStart w:id="170" w:name="_Toc513295860"/>
      <w:bookmarkStart w:id="171" w:name="_Toc513295910"/>
      <w:bookmarkEnd w:id="162"/>
      <w:r>
        <w:rPr>
          <w:rFonts w:hAnsi="宋体" w:hint="eastAsia"/>
        </w:rPr>
        <w:t>报告期末按行业分类的股票投资组合</w:t>
      </w:r>
      <w:bookmarkEnd w:id="164"/>
      <w:bookmarkEnd w:id="165"/>
      <w:bookmarkEnd w:id="166"/>
      <w:bookmarkEnd w:id="167"/>
      <w:bookmarkEnd w:id="168"/>
      <w:bookmarkEnd w:id="169"/>
      <w:bookmarkEnd w:id="170"/>
      <w:bookmarkEnd w:id="171"/>
      <w:r>
        <w:rPr>
          <w:rFonts w:hAnsi="宋体" w:hint="eastAsia"/>
          <w:lang w:eastAsia="zh-CN"/>
        </w:rPr>
        <w:t xml:space="preserve"> </w:t>
      </w:r>
    </w:p>
    <w:p w14:paraId="72C60979" w14:textId="77777777" w:rsidR="00D31620" w:rsidRDefault="00D31620">
      <w:pPr>
        <w:pStyle w:val="XBRLTitle3"/>
        <w:spacing w:before="156"/>
        <w:ind w:left="0"/>
      </w:pPr>
      <w:bookmarkStart w:id="172" w:name="_Toc17898198"/>
      <w:bookmarkStart w:id="173" w:name="_Toc481075067"/>
      <w:bookmarkStart w:id="174" w:name="_Toc490050020"/>
      <w:bookmarkStart w:id="175" w:name="_Toc512519499"/>
      <w:bookmarkStart w:id="176" w:name="_Toc513295911"/>
      <w:r>
        <w:rPr>
          <w:rFonts w:hint="eastAsia"/>
        </w:rPr>
        <w:t>报告期末按行业分类的境内股票投资组合</w:t>
      </w:r>
      <w:bookmarkEnd w:id="172"/>
      <w:bookmarkEnd w:id="173"/>
      <w:bookmarkEnd w:id="174"/>
      <w:bookmarkEnd w:id="175"/>
      <w:bookmarkEnd w:id="176"/>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7D01C3" w14:paraId="33521781" w14:textId="77777777">
        <w:trPr>
          <w:divId w:val="320624793"/>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26656E7" w14:textId="77777777" w:rsidR="00D31620" w:rsidRDefault="00D31620">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1B209DC8" w14:textId="77777777" w:rsidR="00D31620" w:rsidRDefault="00D31620">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4D51CE88" w14:textId="77777777" w:rsidR="00D31620" w:rsidRDefault="00D31620">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566D1F2E" w14:textId="77777777" w:rsidR="00D31620" w:rsidRDefault="00D31620">
            <w:pPr>
              <w:jc w:val="center"/>
            </w:pPr>
            <w:r>
              <w:rPr>
                <w:rFonts w:ascii="宋体" w:hAnsi="宋体" w:hint="eastAsia"/>
                <w:color w:val="000000"/>
              </w:rPr>
              <w:t xml:space="preserve">占基金资产净值比例（%） </w:t>
            </w:r>
          </w:p>
        </w:tc>
      </w:tr>
      <w:tr w:rsidR="007D01C3" w14:paraId="2DD857E9" w14:textId="77777777">
        <w:trPr>
          <w:divId w:val="3206247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F5C8A00" w14:textId="77777777" w:rsidR="00D31620" w:rsidRDefault="00D31620">
            <w:pPr>
              <w:jc w:val="center"/>
            </w:pPr>
            <w:r>
              <w:rPr>
                <w:rFonts w:ascii="宋体" w:hAnsi="宋体" w:hint="eastAsia"/>
                <w:color w:val="000000"/>
              </w:rPr>
              <w:lastRenderedPageBreak/>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C270F8B" w14:textId="77777777" w:rsidR="00D31620" w:rsidRDefault="00D31620">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18C36EB" w14:textId="77777777" w:rsidR="00D31620" w:rsidRDefault="00D316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238CAB" w14:textId="77777777" w:rsidR="00D31620" w:rsidRDefault="00D31620">
            <w:pPr>
              <w:jc w:val="right"/>
            </w:pPr>
            <w:r>
              <w:rPr>
                <w:rFonts w:ascii="宋体" w:hAnsi="宋体" w:hint="eastAsia"/>
                <w:szCs w:val="24"/>
                <w:lang w:eastAsia="zh-Hans"/>
              </w:rPr>
              <w:t>-</w:t>
            </w:r>
          </w:p>
        </w:tc>
      </w:tr>
      <w:tr w:rsidR="007D01C3" w14:paraId="6B5AFD63" w14:textId="77777777">
        <w:trPr>
          <w:divId w:val="3206247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FB14CAD" w14:textId="77777777" w:rsidR="00D31620" w:rsidRDefault="00D31620">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FD76A2E" w14:textId="77777777" w:rsidR="00D31620" w:rsidRDefault="00D31620">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6113EAC" w14:textId="77777777" w:rsidR="00D31620" w:rsidRDefault="00D31620">
            <w:pPr>
              <w:jc w:val="right"/>
            </w:pPr>
            <w:r>
              <w:rPr>
                <w:rFonts w:ascii="宋体" w:hAnsi="宋体" w:hint="eastAsia"/>
                <w:szCs w:val="24"/>
                <w:lang w:eastAsia="zh-Hans"/>
              </w:rPr>
              <w:t>1,048,488.00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E9E5622" w14:textId="77777777" w:rsidR="00D31620" w:rsidRDefault="00D31620">
            <w:pPr>
              <w:jc w:val="right"/>
            </w:pPr>
            <w:r>
              <w:rPr>
                <w:rFonts w:ascii="宋体" w:hAnsi="宋体" w:hint="eastAsia"/>
                <w:szCs w:val="24"/>
                <w:lang w:eastAsia="zh-Hans"/>
              </w:rPr>
              <w:t>3.38</w:t>
            </w:r>
          </w:p>
        </w:tc>
      </w:tr>
      <w:tr w:rsidR="007D01C3" w14:paraId="2BA45BE1" w14:textId="77777777">
        <w:trPr>
          <w:divId w:val="3206247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CB7B128" w14:textId="77777777" w:rsidR="00D31620" w:rsidRDefault="00D31620">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141E7A" w14:textId="77777777" w:rsidR="00D31620" w:rsidRDefault="00D31620">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4E20B14" w14:textId="77777777" w:rsidR="00D31620" w:rsidRDefault="00D31620">
            <w:pPr>
              <w:jc w:val="right"/>
            </w:pPr>
            <w:r>
              <w:rPr>
                <w:rFonts w:ascii="宋体" w:hAnsi="宋体" w:hint="eastAsia"/>
                <w:szCs w:val="24"/>
                <w:lang w:eastAsia="zh-Hans"/>
              </w:rPr>
              <w:t>21,582,058.47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ECFF986" w14:textId="77777777" w:rsidR="00D31620" w:rsidRDefault="00D31620">
            <w:pPr>
              <w:jc w:val="right"/>
            </w:pPr>
            <w:r>
              <w:rPr>
                <w:rFonts w:ascii="宋体" w:hAnsi="宋体" w:hint="eastAsia"/>
                <w:szCs w:val="24"/>
                <w:lang w:eastAsia="zh-Hans"/>
              </w:rPr>
              <w:t>69.51</w:t>
            </w:r>
          </w:p>
        </w:tc>
      </w:tr>
      <w:tr w:rsidR="007D01C3" w14:paraId="0E491AAE" w14:textId="77777777">
        <w:trPr>
          <w:divId w:val="3206247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B65842E" w14:textId="77777777" w:rsidR="00D31620" w:rsidRDefault="00D31620">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08CB073" w14:textId="77777777" w:rsidR="00D31620" w:rsidRDefault="00D31620">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05A2085" w14:textId="77777777" w:rsidR="00D31620" w:rsidRDefault="00D316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C9E41A4" w14:textId="77777777" w:rsidR="00D31620" w:rsidRDefault="00D31620">
            <w:pPr>
              <w:jc w:val="right"/>
            </w:pPr>
            <w:r>
              <w:rPr>
                <w:rFonts w:ascii="宋体" w:hAnsi="宋体" w:hint="eastAsia"/>
                <w:szCs w:val="24"/>
                <w:lang w:eastAsia="zh-Hans"/>
              </w:rPr>
              <w:t>-</w:t>
            </w:r>
          </w:p>
        </w:tc>
      </w:tr>
      <w:tr w:rsidR="007D01C3" w14:paraId="5909E4C2" w14:textId="77777777">
        <w:trPr>
          <w:divId w:val="3206247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91407B" w14:textId="77777777" w:rsidR="00D31620" w:rsidRDefault="00D31620">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0637C29" w14:textId="77777777" w:rsidR="00D31620" w:rsidRDefault="00D31620">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39F03B1" w14:textId="77777777" w:rsidR="00D31620" w:rsidRDefault="00D316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65D6C20" w14:textId="77777777" w:rsidR="00D31620" w:rsidRDefault="00D31620">
            <w:pPr>
              <w:jc w:val="right"/>
            </w:pPr>
            <w:r>
              <w:rPr>
                <w:rFonts w:ascii="宋体" w:hAnsi="宋体" w:hint="eastAsia"/>
                <w:szCs w:val="24"/>
                <w:lang w:eastAsia="zh-Hans"/>
              </w:rPr>
              <w:t>-</w:t>
            </w:r>
          </w:p>
        </w:tc>
      </w:tr>
      <w:tr w:rsidR="007D01C3" w14:paraId="62D0FDF2" w14:textId="77777777">
        <w:trPr>
          <w:divId w:val="3206247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B99DE36" w14:textId="77777777" w:rsidR="00D31620" w:rsidRDefault="00D31620">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8EEA180" w14:textId="77777777" w:rsidR="00D31620" w:rsidRDefault="00D31620">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5B663EC" w14:textId="77777777" w:rsidR="00D31620" w:rsidRDefault="00D31620">
            <w:pPr>
              <w:jc w:val="right"/>
            </w:pPr>
            <w:r>
              <w:rPr>
                <w:rFonts w:ascii="宋体" w:hAnsi="宋体" w:hint="eastAsia"/>
                <w:szCs w:val="24"/>
                <w:lang w:eastAsia="zh-Hans"/>
              </w:rPr>
              <w:t>300,834.00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2425F6" w14:textId="77777777" w:rsidR="00D31620" w:rsidRDefault="00D31620">
            <w:pPr>
              <w:jc w:val="right"/>
            </w:pPr>
            <w:r>
              <w:rPr>
                <w:rFonts w:ascii="宋体" w:hAnsi="宋体" w:hint="eastAsia"/>
                <w:szCs w:val="24"/>
                <w:lang w:eastAsia="zh-Hans"/>
              </w:rPr>
              <w:t>0.97</w:t>
            </w:r>
          </w:p>
        </w:tc>
      </w:tr>
      <w:tr w:rsidR="007D01C3" w14:paraId="32DE81BC" w14:textId="77777777">
        <w:trPr>
          <w:divId w:val="3206247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6AB13DF" w14:textId="77777777" w:rsidR="00D31620" w:rsidRDefault="00D31620">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C26009D" w14:textId="77777777" w:rsidR="00D31620" w:rsidRDefault="00D31620">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8F2867E" w14:textId="77777777" w:rsidR="00D31620" w:rsidRDefault="00D31620">
            <w:pPr>
              <w:jc w:val="right"/>
            </w:pPr>
            <w:r>
              <w:rPr>
                <w:rFonts w:ascii="宋体" w:hAnsi="宋体" w:hint="eastAsia"/>
                <w:szCs w:val="24"/>
                <w:lang w:eastAsia="zh-Hans"/>
              </w:rPr>
              <w:t>348,812.00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B1E4233" w14:textId="77777777" w:rsidR="00D31620" w:rsidRDefault="00D31620">
            <w:pPr>
              <w:jc w:val="right"/>
            </w:pPr>
            <w:r>
              <w:rPr>
                <w:rFonts w:ascii="宋体" w:hAnsi="宋体" w:hint="eastAsia"/>
                <w:szCs w:val="24"/>
                <w:lang w:eastAsia="zh-Hans"/>
              </w:rPr>
              <w:t>1.12</w:t>
            </w:r>
          </w:p>
        </w:tc>
      </w:tr>
      <w:tr w:rsidR="007D01C3" w14:paraId="5D892E56" w14:textId="77777777">
        <w:trPr>
          <w:divId w:val="3206247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23CFA8" w14:textId="77777777" w:rsidR="00D31620" w:rsidRDefault="00D31620">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1E22904" w14:textId="77777777" w:rsidR="00D31620" w:rsidRDefault="00D31620">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C4C2EC8" w14:textId="77777777" w:rsidR="00D31620" w:rsidRDefault="00D316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1AB8E90" w14:textId="77777777" w:rsidR="00D31620" w:rsidRDefault="00D31620">
            <w:pPr>
              <w:jc w:val="right"/>
            </w:pPr>
            <w:r>
              <w:rPr>
                <w:rFonts w:ascii="宋体" w:hAnsi="宋体" w:hint="eastAsia"/>
                <w:szCs w:val="24"/>
                <w:lang w:eastAsia="zh-Hans"/>
              </w:rPr>
              <w:t>-</w:t>
            </w:r>
          </w:p>
        </w:tc>
      </w:tr>
      <w:tr w:rsidR="007D01C3" w14:paraId="707717F4" w14:textId="77777777">
        <w:trPr>
          <w:divId w:val="3206247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2C3752D" w14:textId="77777777" w:rsidR="00D31620" w:rsidRDefault="00D31620">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F733AAE" w14:textId="77777777" w:rsidR="00D31620" w:rsidRDefault="00D31620">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29EFE74" w14:textId="77777777" w:rsidR="00D31620" w:rsidRDefault="00D316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894686D" w14:textId="77777777" w:rsidR="00D31620" w:rsidRDefault="00D31620">
            <w:pPr>
              <w:jc w:val="right"/>
            </w:pPr>
            <w:r>
              <w:rPr>
                <w:rFonts w:ascii="宋体" w:hAnsi="宋体" w:hint="eastAsia"/>
                <w:szCs w:val="24"/>
                <w:lang w:eastAsia="zh-Hans"/>
              </w:rPr>
              <w:t>-</w:t>
            </w:r>
          </w:p>
        </w:tc>
      </w:tr>
      <w:tr w:rsidR="007D01C3" w14:paraId="3E9FDCA9" w14:textId="77777777">
        <w:trPr>
          <w:divId w:val="3206247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3DEDD4F" w14:textId="77777777" w:rsidR="00D31620" w:rsidRDefault="00D31620">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DCE84E" w14:textId="77777777" w:rsidR="00D31620" w:rsidRDefault="00D31620">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0C8D28D" w14:textId="77777777" w:rsidR="00D31620" w:rsidRDefault="00D31620">
            <w:pPr>
              <w:jc w:val="right"/>
            </w:pPr>
            <w:r>
              <w:rPr>
                <w:rFonts w:ascii="宋体" w:hAnsi="宋体" w:hint="eastAsia"/>
                <w:szCs w:val="24"/>
                <w:lang w:eastAsia="zh-Hans"/>
              </w:rPr>
              <w:t>165,312.00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423960" w14:textId="77777777" w:rsidR="00D31620" w:rsidRDefault="00D31620">
            <w:pPr>
              <w:jc w:val="right"/>
            </w:pPr>
            <w:r>
              <w:rPr>
                <w:rFonts w:ascii="宋体" w:hAnsi="宋体" w:hint="eastAsia"/>
                <w:szCs w:val="24"/>
                <w:lang w:eastAsia="zh-Hans"/>
              </w:rPr>
              <w:t>0.53</w:t>
            </w:r>
          </w:p>
        </w:tc>
      </w:tr>
      <w:tr w:rsidR="007D01C3" w14:paraId="16168E96" w14:textId="77777777">
        <w:trPr>
          <w:divId w:val="3206247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E10F7F" w14:textId="77777777" w:rsidR="00D31620" w:rsidRDefault="00D31620">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1C3547" w14:textId="77777777" w:rsidR="00D31620" w:rsidRDefault="00D31620">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334E333" w14:textId="77777777" w:rsidR="00D31620" w:rsidRDefault="00D316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EFCDF7E" w14:textId="77777777" w:rsidR="00D31620" w:rsidRDefault="00D31620">
            <w:pPr>
              <w:jc w:val="right"/>
            </w:pPr>
            <w:r>
              <w:rPr>
                <w:rFonts w:ascii="宋体" w:hAnsi="宋体" w:hint="eastAsia"/>
                <w:szCs w:val="24"/>
                <w:lang w:eastAsia="zh-Hans"/>
              </w:rPr>
              <w:t>-</w:t>
            </w:r>
          </w:p>
        </w:tc>
      </w:tr>
      <w:tr w:rsidR="007D01C3" w14:paraId="280E3153" w14:textId="77777777">
        <w:trPr>
          <w:divId w:val="3206247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A68D19A" w14:textId="77777777" w:rsidR="00D31620" w:rsidRDefault="00D31620">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23DFB3B" w14:textId="77777777" w:rsidR="00D31620" w:rsidRDefault="00D31620">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EDBCAB2" w14:textId="77777777" w:rsidR="00D31620" w:rsidRDefault="00D316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0FBD45A" w14:textId="77777777" w:rsidR="00D31620" w:rsidRDefault="00D31620">
            <w:pPr>
              <w:jc w:val="right"/>
            </w:pPr>
            <w:r>
              <w:rPr>
                <w:rFonts w:ascii="宋体" w:hAnsi="宋体" w:hint="eastAsia"/>
                <w:szCs w:val="24"/>
                <w:lang w:eastAsia="zh-Hans"/>
              </w:rPr>
              <w:t>-</w:t>
            </w:r>
          </w:p>
        </w:tc>
      </w:tr>
      <w:tr w:rsidR="007D01C3" w14:paraId="438CA34B" w14:textId="77777777">
        <w:trPr>
          <w:divId w:val="3206247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3871292" w14:textId="77777777" w:rsidR="00D31620" w:rsidRDefault="00D31620">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FE04794" w14:textId="77777777" w:rsidR="00D31620" w:rsidRDefault="00D31620">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A26B8C1" w14:textId="77777777" w:rsidR="00D31620" w:rsidRDefault="00D31620">
            <w:pPr>
              <w:jc w:val="right"/>
            </w:pPr>
            <w:r>
              <w:rPr>
                <w:rFonts w:ascii="宋体" w:hAnsi="宋体" w:hint="eastAsia"/>
                <w:szCs w:val="24"/>
                <w:lang w:eastAsia="zh-Hans"/>
              </w:rPr>
              <w:t>696,510.00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8AA299" w14:textId="77777777" w:rsidR="00D31620" w:rsidRDefault="00D31620">
            <w:pPr>
              <w:jc w:val="right"/>
            </w:pPr>
            <w:r>
              <w:rPr>
                <w:rFonts w:ascii="宋体" w:hAnsi="宋体" w:hint="eastAsia"/>
                <w:szCs w:val="24"/>
                <w:lang w:eastAsia="zh-Hans"/>
              </w:rPr>
              <w:t>2.24</w:t>
            </w:r>
          </w:p>
        </w:tc>
      </w:tr>
      <w:tr w:rsidR="007D01C3" w14:paraId="627D55BA" w14:textId="77777777">
        <w:trPr>
          <w:divId w:val="3206247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5615AAD" w14:textId="77777777" w:rsidR="00D31620" w:rsidRDefault="00D31620">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2E05DF1" w14:textId="77777777" w:rsidR="00D31620" w:rsidRDefault="00D31620">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48097C7" w14:textId="77777777" w:rsidR="00D31620" w:rsidRDefault="00D316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44B941A" w14:textId="77777777" w:rsidR="00D31620" w:rsidRDefault="00D31620">
            <w:pPr>
              <w:jc w:val="right"/>
            </w:pPr>
            <w:r>
              <w:rPr>
                <w:rFonts w:ascii="宋体" w:hAnsi="宋体" w:hint="eastAsia"/>
                <w:szCs w:val="24"/>
                <w:lang w:eastAsia="zh-Hans"/>
              </w:rPr>
              <w:t>-</w:t>
            </w:r>
          </w:p>
        </w:tc>
      </w:tr>
      <w:tr w:rsidR="007D01C3" w14:paraId="77FD9E5C" w14:textId="77777777">
        <w:trPr>
          <w:divId w:val="3206247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D4EA7D1" w14:textId="77777777" w:rsidR="00D31620" w:rsidRDefault="00D31620">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8908AB" w14:textId="77777777" w:rsidR="00D31620" w:rsidRDefault="00D31620">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D1E58D2" w14:textId="77777777" w:rsidR="00D31620" w:rsidRDefault="00D316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0423BD1" w14:textId="77777777" w:rsidR="00D31620" w:rsidRDefault="00D31620">
            <w:pPr>
              <w:jc w:val="right"/>
            </w:pPr>
            <w:r>
              <w:rPr>
                <w:rFonts w:ascii="宋体" w:hAnsi="宋体" w:hint="eastAsia"/>
                <w:szCs w:val="24"/>
                <w:lang w:eastAsia="zh-Hans"/>
              </w:rPr>
              <w:t>-</w:t>
            </w:r>
          </w:p>
        </w:tc>
      </w:tr>
      <w:tr w:rsidR="007D01C3" w14:paraId="3FC9585F" w14:textId="77777777">
        <w:trPr>
          <w:divId w:val="3206247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7B11CAB" w14:textId="77777777" w:rsidR="00D31620" w:rsidRDefault="00D31620">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0A59FAB" w14:textId="77777777" w:rsidR="00D31620" w:rsidRDefault="00D31620">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CEB2AE7" w14:textId="77777777" w:rsidR="00D31620" w:rsidRDefault="00D316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D9BA35" w14:textId="77777777" w:rsidR="00D31620" w:rsidRDefault="00D31620">
            <w:pPr>
              <w:jc w:val="right"/>
            </w:pPr>
            <w:r>
              <w:rPr>
                <w:rFonts w:ascii="宋体" w:hAnsi="宋体" w:hint="eastAsia"/>
                <w:szCs w:val="24"/>
                <w:lang w:eastAsia="zh-Hans"/>
              </w:rPr>
              <w:t>-</w:t>
            </w:r>
          </w:p>
        </w:tc>
      </w:tr>
      <w:tr w:rsidR="007D01C3" w14:paraId="584A4D1E" w14:textId="77777777">
        <w:trPr>
          <w:divId w:val="3206247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A501B8A" w14:textId="77777777" w:rsidR="00D31620" w:rsidRDefault="00D31620">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E3D4D9B" w14:textId="77777777" w:rsidR="00D31620" w:rsidRDefault="00D31620">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0D7104B" w14:textId="77777777" w:rsidR="00D31620" w:rsidRDefault="00D316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98F70C" w14:textId="77777777" w:rsidR="00D31620" w:rsidRDefault="00D31620">
            <w:pPr>
              <w:jc w:val="right"/>
            </w:pPr>
            <w:r>
              <w:rPr>
                <w:rFonts w:ascii="宋体" w:hAnsi="宋体" w:hint="eastAsia"/>
                <w:szCs w:val="24"/>
                <w:lang w:eastAsia="zh-Hans"/>
              </w:rPr>
              <w:t>-</w:t>
            </w:r>
          </w:p>
        </w:tc>
      </w:tr>
      <w:tr w:rsidR="007D01C3" w14:paraId="72355A4A" w14:textId="77777777">
        <w:trPr>
          <w:divId w:val="3206247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57D55DC" w14:textId="77777777" w:rsidR="00D31620" w:rsidRDefault="00D31620">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453AA39" w14:textId="77777777" w:rsidR="00D31620" w:rsidRDefault="00D31620">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8B60341" w14:textId="77777777" w:rsidR="00D31620" w:rsidRDefault="00D316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9A7B772" w14:textId="77777777" w:rsidR="00D31620" w:rsidRDefault="00D31620">
            <w:pPr>
              <w:jc w:val="right"/>
            </w:pPr>
            <w:r>
              <w:rPr>
                <w:rFonts w:ascii="宋体" w:hAnsi="宋体" w:hint="eastAsia"/>
                <w:szCs w:val="24"/>
                <w:lang w:eastAsia="zh-Hans"/>
              </w:rPr>
              <w:t>-</w:t>
            </w:r>
          </w:p>
        </w:tc>
      </w:tr>
      <w:tr w:rsidR="007D01C3" w14:paraId="523BB44F" w14:textId="77777777">
        <w:trPr>
          <w:divId w:val="3206247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3D5CCD6" w14:textId="77777777" w:rsidR="00D31620" w:rsidRDefault="00D31620">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C1FDC46" w14:textId="77777777" w:rsidR="00D31620" w:rsidRDefault="00D31620">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D523B8D" w14:textId="77777777" w:rsidR="00D31620" w:rsidRDefault="00D316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6C36D0F" w14:textId="77777777" w:rsidR="00D31620" w:rsidRDefault="00D31620">
            <w:pPr>
              <w:jc w:val="right"/>
            </w:pPr>
            <w:r>
              <w:rPr>
                <w:rFonts w:ascii="宋体" w:hAnsi="宋体" w:hint="eastAsia"/>
                <w:szCs w:val="24"/>
                <w:lang w:eastAsia="zh-Hans"/>
              </w:rPr>
              <w:t>-</w:t>
            </w:r>
          </w:p>
        </w:tc>
      </w:tr>
      <w:tr w:rsidR="007D01C3" w14:paraId="70A369FC" w14:textId="77777777">
        <w:trPr>
          <w:divId w:val="3206247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7812F10" w14:textId="77777777" w:rsidR="00D31620" w:rsidRDefault="00D31620">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1F75607" w14:textId="77777777" w:rsidR="00D31620" w:rsidRDefault="00D31620">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8ABFC85" w14:textId="77777777" w:rsidR="00D31620" w:rsidRDefault="00D31620">
            <w:pPr>
              <w:jc w:val="right"/>
            </w:pPr>
            <w:r>
              <w:rPr>
                <w:rFonts w:ascii="宋体" w:hAnsi="宋体" w:hint="eastAsia"/>
                <w:szCs w:val="24"/>
                <w:lang w:eastAsia="zh-Hans"/>
              </w:rPr>
              <w:t>24,142,014.47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9035A13" w14:textId="77777777" w:rsidR="00D31620" w:rsidRDefault="00D31620">
            <w:pPr>
              <w:jc w:val="right"/>
            </w:pPr>
            <w:r>
              <w:rPr>
                <w:rFonts w:ascii="宋体" w:hAnsi="宋体" w:hint="eastAsia"/>
                <w:szCs w:val="24"/>
                <w:lang w:eastAsia="zh-Hans"/>
              </w:rPr>
              <w:t>77.75</w:t>
            </w:r>
          </w:p>
        </w:tc>
      </w:tr>
    </w:tbl>
    <w:p w14:paraId="4825D5A4" w14:textId="77777777" w:rsidR="00D31620" w:rsidRDefault="00D31620">
      <w:pPr>
        <w:pStyle w:val="XBRLTitle3"/>
        <w:spacing w:before="156"/>
        <w:ind w:left="0"/>
      </w:pPr>
      <w:bookmarkStart w:id="177" w:name="_Toc17898199"/>
      <w:bookmarkStart w:id="178" w:name="_Toc481075068"/>
      <w:bookmarkStart w:id="179" w:name="_Toc490050021"/>
      <w:bookmarkStart w:id="180" w:name="_Toc512519500"/>
      <w:bookmarkStart w:id="181" w:name="_Toc513295912"/>
      <w:bookmarkStart w:id="182" w:name="m502_tab"/>
      <w:r>
        <w:rPr>
          <w:rFonts w:hint="eastAsia"/>
        </w:rPr>
        <w:t>报告期末按行业分类的港股通投资股票投资组合</w:t>
      </w:r>
      <w:bookmarkEnd w:id="177"/>
      <w:bookmarkEnd w:id="178"/>
      <w:bookmarkEnd w:id="179"/>
      <w:bookmarkEnd w:id="180"/>
      <w:bookmarkEnd w:id="181"/>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7D01C3" w14:paraId="25BBCC19" w14:textId="77777777">
        <w:trPr>
          <w:divId w:val="405347494"/>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E81E066" w14:textId="77777777" w:rsidR="00D31620" w:rsidRDefault="00D31620">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78A9182" w14:textId="77777777" w:rsidR="00D31620" w:rsidRDefault="00D31620">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9FCE3CB" w14:textId="77777777" w:rsidR="00D31620" w:rsidRDefault="00D31620">
            <w:pPr>
              <w:jc w:val="center"/>
            </w:pPr>
            <w:r>
              <w:rPr>
                <w:rFonts w:ascii="宋体" w:hAnsi="宋体" w:hint="eastAsia"/>
                <w:color w:val="000000"/>
              </w:rPr>
              <w:t xml:space="preserve">占基金资产净值比例（%） </w:t>
            </w:r>
          </w:p>
        </w:tc>
      </w:tr>
      <w:tr w:rsidR="007D01C3" w14:paraId="4147C48B" w14:textId="77777777">
        <w:trPr>
          <w:divId w:val="4053474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0919D65" w14:textId="77777777" w:rsidR="00D31620" w:rsidRDefault="00D31620">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D4FFC03" w14:textId="77777777" w:rsidR="00D31620" w:rsidRDefault="00D31620">
            <w:pPr>
              <w:jc w:val="right"/>
            </w:pPr>
            <w:r>
              <w:rPr>
                <w:rFonts w:ascii="宋体" w:hAnsi="宋体" w:hint="eastAsia"/>
                <w:szCs w:val="24"/>
                <w:lang w:eastAsia="zh-Hans"/>
              </w:rPr>
              <w:t>892,734.38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083F480" w14:textId="77777777" w:rsidR="00D31620" w:rsidRDefault="00D31620">
            <w:pPr>
              <w:jc w:val="right"/>
            </w:pPr>
            <w:r>
              <w:rPr>
                <w:rFonts w:ascii="宋体" w:hAnsi="宋体" w:hint="eastAsia"/>
                <w:szCs w:val="24"/>
                <w:lang w:eastAsia="zh-Hans"/>
              </w:rPr>
              <w:t>2.88</w:t>
            </w:r>
          </w:p>
        </w:tc>
      </w:tr>
      <w:tr w:rsidR="007D01C3" w14:paraId="7D7EBEFB" w14:textId="77777777">
        <w:trPr>
          <w:divId w:val="4053474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94BCD80" w14:textId="77777777" w:rsidR="00D31620" w:rsidRDefault="00D31620">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C17B2DD" w14:textId="77777777" w:rsidR="00D31620" w:rsidRDefault="00D31620">
            <w:pPr>
              <w:jc w:val="right"/>
            </w:pPr>
            <w:r>
              <w:rPr>
                <w:rFonts w:ascii="宋体" w:hAnsi="宋体" w:hint="eastAsia"/>
                <w:szCs w:val="24"/>
                <w:lang w:eastAsia="zh-Hans"/>
              </w:rPr>
              <w:t>766,012.10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435C2CB" w14:textId="77777777" w:rsidR="00D31620" w:rsidRDefault="00D31620">
            <w:pPr>
              <w:jc w:val="right"/>
            </w:pPr>
            <w:r>
              <w:rPr>
                <w:rFonts w:ascii="宋体" w:hAnsi="宋体" w:hint="eastAsia"/>
                <w:szCs w:val="24"/>
                <w:lang w:eastAsia="zh-Hans"/>
              </w:rPr>
              <w:t>2.47</w:t>
            </w:r>
          </w:p>
        </w:tc>
      </w:tr>
      <w:tr w:rsidR="007D01C3" w14:paraId="092A41FF" w14:textId="77777777">
        <w:trPr>
          <w:divId w:val="4053474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271B034" w14:textId="77777777" w:rsidR="00D31620" w:rsidRDefault="00D31620">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E8168AC" w14:textId="77777777" w:rsidR="00D31620" w:rsidRDefault="00D31620">
            <w:pPr>
              <w:jc w:val="right"/>
            </w:pPr>
            <w:r>
              <w:rPr>
                <w:rFonts w:ascii="宋体" w:hAnsi="宋体" w:hint="eastAsia"/>
                <w:szCs w:val="24"/>
                <w:lang w:eastAsia="zh-Hans"/>
              </w:rPr>
              <w:t>371,792.59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59967A7" w14:textId="77777777" w:rsidR="00D31620" w:rsidRDefault="00D31620">
            <w:pPr>
              <w:jc w:val="right"/>
            </w:pPr>
            <w:r>
              <w:rPr>
                <w:rFonts w:ascii="宋体" w:hAnsi="宋体" w:hint="eastAsia"/>
                <w:szCs w:val="24"/>
                <w:lang w:eastAsia="zh-Hans"/>
              </w:rPr>
              <w:t>1.20</w:t>
            </w:r>
          </w:p>
        </w:tc>
      </w:tr>
      <w:tr w:rsidR="007D01C3" w14:paraId="37B26A0B" w14:textId="77777777">
        <w:trPr>
          <w:divId w:val="4053474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5327C53" w14:textId="77777777" w:rsidR="00D31620" w:rsidRDefault="00D31620">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CD847D4" w14:textId="77777777" w:rsidR="00D31620" w:rsidRDefault="00D3162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0487B63" w14:textId="77777777" w:rsidR="00D31620" w:rsidRDefault="00D31620">
            <w:pPr>
              <w:jc w:val="right"/>
            </w:pPr>
            <w:r>
              <w:rPr>
                <w:rFonts w:ascii="宋体" w:hAnsi="宋体" w:hint="eastAsia"/>
                <w:szCs w:val="24"/>
                <w:lang w:eastAsia="zh-Hans"/>
              </w:rPr>
              <w:t>-</w:t>
            </w:r>
          </w:p>
        </w:tc>
      </w:tr>
      <w:tr w:rsidR="007D01C3" w14:paraId="5016C83A" w14:textId="77777777">
        <w:trPr>
          <w:divId w:val="4053474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29B031C" w14:textId="77777777" w:rsidR="00D31620" w:rsidRDefault="00D31620">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FD31E38" w14:textId="77777777" w:rsidR="00D31620" w:rsidRDefault="00D3162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13B040B" w14:textId="77777777" w:rsidR="00D31620" w:rsidRDefault="00D31620">
            <w:pPr>
              <w:jc w:val="right"/>
            </w:pPr>
            <w:r>
              <w:rPr>
                <w:rFonts w:ascii="宋体" w:hAnsi="宋体" w:hint="eastAsia"/>
                <w:szCs w:val="24"/>
                <w:lang w:eastAsia="zh-Hans"/>
              </w:rPr>
              <w:t>-</w:t>
            </w:r>
          </w:p>
        </w:tc>
      </w:tr>
      <w:tr w:rsidR="007D01C3" w14:paraId="0B5822EE" w14:textId="77777777">
        <w:trPr>
          <w:divId w:val="4053474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50C35B0" w14:textId="77777777" w:rsidR="00D31620" w:rsidRDefault="00D31620">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0744D00" w14:textId="77777777" w:rsidR="00D31620" w:rsidRDefault="00D3162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8BAA4FB" w14:textId="77777777" w:rsidR="00D31620" w:rsidRDefault="00D31620">
            <w:pPr>
              <w:jc w:val="right"/>
            </w:pPr>
            <w:r>
              <w:rPr>
                <w:rFonts w:ascii="宋体" w:hAnsi="宋体" w:hint="eastAsia"/>
                <w:szCs w:val="24"/>
                <w:lang w:eastAsia="zh-Hans"/>
              </w:rPr>
              <w:t>-</w:t>
            </w:r>
          </w:p>
        </w:tc>
      </w:tr>
      <w:tr w:rsidR="007D01C3" w14:paraId="05D11762" w14:textId="77777777">
        <w:trPr>
          <w:divId w:val="4053474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F40AD99" w14:textId="77777777" w:rsidR="00D31620" w:rsidRDefault="00D31620">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F5095B4" w14:textId="77777777" w:rsidR="00D31620" w:rsidRDefault="00D3162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18C1366" w14:textId="77777777" w:rsidR="00D31620" w:rsidRDefault="00D31620">
            <w:pPr>
              <w:jc w:val="right"/>
            </w:pPr>
            <w:r>
              <w:rPr>
                <w:rFonts w:ascii="宋体" w:hAnsi="宋体" w:hint="eastAsia"/>
                <w:szCs w:val="24"/>
                <w:lang w:eastAsia="zh-Hans"/>
              </w:rPr>
              <w:t>-</w:t>
            </w:r>
          </w:p>
        </w:tc>
      </w:tr>
      <w:tr w:rsidR="007D01C3" w14:paraId="4B2FF413" w14:textId="77777777">
        <w:trPr>
          <w:divId w:val="4053474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17AD096" w14:textId="77777777" w:rsidR="00D31620" w:rsidRDefault="00D31620">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FA0D6FF" w14:textId="77777777" w:rsidR="00D31620" w:rsidRDefault="00D31620">
            <w:pPr>
              <w:jc w:val="right"/>
            </w:pPr>
            <w:r>
              <w:rPr>
                <w:rFonts w:ascii="宋体" w:hAnsi="宋体" w:hint="eastAsia"/>
                <w:szCs w:val="24"/>
                <w:lang w:eastAsia="zh-Hans"/>
              </w:rPr>
              <w:t>606,399.64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864B991" w14:textId="77777777" w:rsidR="00D31620" w:rsidRDefault="00D31620">
            <w:pPr>
              <w:jc w:val="right"/>
            </w:pPr>
            <w:r>
              <w:rPr>
                <w:rFonts w:ascii="宋体" w:hAnsi="宋体" w:hint="eastAsia"/>
                <w:szCs w:val="24"/>
                <w:lang w:eastAsia="zh-Hans"/>
              </w:rPr>
              <w:t>1.95</w:t>
            </w:r>
          </w:p>
        </w:tc>
      </w:tr>
      <w:tr w:rsidR="007D01C3" w14:paraId="47161941" w14:textId="77777777">
        <w:trPr>
          <w:divId w:val="4053474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9B3553F" w14:textId="77777777" w:rsidR="00D31620" w:rsidRDefault="00D31620">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FDA0B48" w14:textId="77777777" w:rsidR="00D31620" w:rsidRDefault="00D3162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AEFA83E" w14:textId="77777777" w:rsidR="00D31620" w:rsidRDefault="00D31620">
            <w:pPr>
              <w:jc w:val="right"/>
            </w:pPr>
            <w:r>
              <w:rPr>
                <w:rFonts w:ascii="宋体" w:hAnsi="宋体" w:hint="eastAsia"/>
                <w:szCs w:val="24"/>
                <w:lang w:eastAsia="zh-Hans"/>
              </w:rPr>
              <w:t>-</w:t>
            </w:r>
          </w:p>
        </w:tc>
      </w:tr>
      <w:tr w:rsidR="007D01C3" w14:paraId="6D316A87" w14:textId="77777777">
        <w:trPr>
          <w:divId w:val="4053474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5D3BE70" w14:textId="77777777" w:rsidR="00D31620" w:rsidRDefault="00D31620">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73D90C7" w14:textId="77777777" w:rsidR="00D31620" w:rsidRDefault="00D3162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FE7DDB6" w14:textId="77777777" w:rsidR="00D31620" w:rsidRDefault="00D31620">
            <w:pPr>
              <w:jc w:val="right"/>
            </w:pPr>
            <w:r>
              <w:rPr>
                <w:rFonts w:ascii="宋体" w:hAnsi="宋体" w:hint="eastAsia"/>
                <w:szCs w:val="24"/>
                <w:lang w:eastAsia="zh-Hans"/>
              </w:rPr>
              <w:t>-</w:t>
            </w:r>
          </w:p>
        </w:tc>
      </w:tr>
      <w:tr w:rsidR="007D01C3" w14:paraId="317DA65C" w14:textId="77777777">
        <w:trPr>
          <w:divId w:val="4053474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BD0ADF6" w14:textId="77777777" w:rsidR="00D31620" w:rsidRDefault="00D31620">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FAE8604" w14:textId="77777777" w:rsidR="00D31620" w:rsidRDefault="00D3162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5582483" w14:textId="77777777" w:rsidR="00D31620" w:rsidRDefault="00D31620">
            <w:pPr>
              <w:jc w:val="right"/>
            </w:pPr>
            <w:r>
              <w:rPr>
                <w:rFonts w:ascii="宋体" w:hAnsi="宋体" w:hint="eastAsia"/>
                <w:szCs w:val="24"/>
                <w:lang w:eastAsia="zh-Hans"/>
              </w:rPr>
              <w:t>-</w:t>
            </w:r>
          </w:p>
        </w:tc>
      </w:tr>
      <w:tr w:rsidR="007D01C3" w14:paraId="6D8D186A" w14:textId="77777777">
        <w:trPr>
          <w:divId w:val="4053474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C63D90F" w14:textId="77777777" w:rsidR="00D31620" w:rsidRDefault="00D31620">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D8AF2C8" w14:textId="77777777" w:rsidR="00D31620" w:rsidRDefault="00D31620">
            <w:pPr>
              <w:jc w:val="right"/>
            </w:pPr>
            <w:r>
              <w:rPr>
                <w:rFonts w:ascii="宋体" w:hAnsi="宋体" w:hint="eastAsia"/>
                <w:szCs w:val="24"/>
                <w:lang w:eastAsia="zh-Hans"/>
              </w:rPr>
              <w:t>2,636,938.71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690D6CC" w14:textId="77777777" w:rsidR="00D31620" w:rsidRDefault="00D31620">
            <w:pPr>
              <w:jc w:val="right"/>
            </w:pPr>
            <w:r>
              <w:rPr>
                <w:rFonts w:ascii="宋体" w:hAnsi="宋体" w:hint="eastAsia"/>
                <w:szCs w:val="24"/>
                <w:lang w:eastAsia="zh-Hans"/>
              </w:rPr>
              <w:t>8.49</w:t>
            </w:r>
          </w:p>
        </w:tc>
      </w:tr>
    </w:tbl>
    <w:p w14:paraId="58EE7F36" w14:textId="77777777" w:rsidR="00D31620" w:rsidRDefault="00D31620">
      <w:pPr>
        <w:spacing w:line="360" w:lineRule="auto"/>
        <w:divId w:val="762460638"/>
      </w:pPr>
      <w:r>
        <w:rPr>
          <w:rFonts w:ascii="宋体" w:hAnsi="宋体" w:hint="eastAsia"/>
          <w:szCs w:val="21"/>
        </w:rPr>
        <w:t>注：</w:t>
      </w:r>
      <w:r>
        <w:rPr>
          <w:rFonts w:ascii="宋体" w:hAnsi="宋体" w:hint="eastAsia"/>
          <w:szCs w:val="21"/>
          <w:lang w:eastAsia="zh-Hans"/>
        </w:rPr>
        <w:t>以上分类采用全球行业分类标准（GICS）。</w:t>
      </w:r>
    </w:p>
    <w:p w14:paraId="50931940" w14:textId="77777777" w:rsidR="00D31620" w:rsidRDefault="00D31620">
      <w:pPr>
        <w:pStyle w:val="XBRLTitle2"/>
        <w:spacing w:before="156"/>
        <w:ind w:left="454"/>
      </w:pPr>
      <w:bookmarkStart w:id="183" w:name="_Toc178982961"/>
      <w:bookmarkStart w:id="184" w:name="_Toc17897958"/>
      <w:bookmarkStart w:id="185" w:name="_Toc485300375"/>
      <w:bookmarkStart w:id="186" w:name="_Toc453852755"/>
      <w:bookmarkStart w:id="187" w:name="_Toc452398761"/>
      <w:bookmarkStart w:id="188" w:name="_Toc454983410"/>
      <w:bookmarkStart w:id="189" w:name="_Toc497398255"/>
      <w:bookmarkStart w:id="190" w:name="_Toc506208451"/>
      <w:bookmarkStart w:id="191" w:name="m08QD_10"/>
      <w:r>
        <w:rPr>
          <w:rFonts w:hint="eastAsia"/>
        </w:rPr>
        <w:t>期末按公允价值占基金资产净值比例大小排序的股票投资明细</w:t>
      </w:r>
      <w:bookmarkEnd w:id="183"/>
    </w:p>
    <w:p w14:paraId="363C95E6" w14:textId="77777777" w:rsidR="00D31620" w:rsidRDefault="00D31620">
      <w:pPr>
        <w:pStyle w:val="XBRLTitle3"/>
        <w:spacing w:before="156"/>
        <w:ind w:left="0"/>
      </w:pPr>
      <w:bookmarkStart w:id="192" w:name="_Toc178982962"/>
      <w:bookmarkStart w:id="193" w:name="_Toc485300376"/>
      <w:bookmarkStart w:id="194" w:name="_Toc497398256"/>
      <w:bookmarkStart w:id="195" w:name="_Toc453852756"/>
      <w:bookmarkStart w:id="196" w:name="_Toc454983411"/>
      <w:r>
        <w:rPr>
          <w:rFonts w:hAnsi="宋体" w:hint="eastAsia"/>
        </w:rPr>
        <w:t>报告期末按公允价值占基金资产净值比例大小排序的前十名股票投资明细</w:t>
      </w:r>
      <w:bookmarkEnd w:id="192"/>
      <w:bookmarkEnd w:id="193"/>
      <w:bookmarkEnd w:id="194"/>
      <w:bookmarkEnd w:id="195"/>
      <w:bookmarkEnd w:id="1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7D01C3" w14:paraId="0446872A" w14:textId="77777777">
        <w:trPr>
          <w:divId w:val="718280075"/>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4F76BD" w14:textId="77777777" w:rsidR="00D31620" w:rsidRDefault="00D31620">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8B16DC" w14:textId="77777777" w:rsidR="00D31620" w:rsidRDefault="00D31620">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F8ECD4" w14:textId="77777777" w:rsidR="00D31620" w:rsidRDefault="00D31620">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A28B69" w14:textId="77777777" w:rsidR="00D31620" w:rsidRDefault="00D31620">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CB0181" w14:textId="77777777" w:rsidR="00D31620" w:rsidRDefault="00D31620">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057AD9" w14:textId="77777777" w:rsidR="00D31620" w:rsidRDefault="00D31620">
            <w:pPr>
              <w:jc w:val="center"/>
            </w:pPr>
            <w:r>
              <w:rPr>
                <w:rFonts w:ascii="宋体" w:hAnsi="宋体" w:hint="eastAsia"/>
                <w:color w:val="000000"/>
              </w:rPr>
              <w:t xml:space="preserve">占基金资产净值比例（%） </w:t>
            </w:r>
          </w:p>
        </w:tc>
      </w:tr>
      <w:tr w:rsidR="007D01C3" w14:paraId="3F1BCEB9" w14:textId="77777777">
        <w:trPr>
          <w:divId w:val="71828007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BC0FCF" w14:textId="77777777" w:rsidR="00D31620" w:rsidRDefault="00D31620">
            <w:pPr>
              <w:jc w:val="center"/>
            </w:pPr>
            <w:r>
              <w:rPr>
                <w:rFonts w:ascii="宋体" w:hAnsi="宋体" w:hint="eastAsia"/>
                <w:szCs w:val="24"/>
                <w:lang w:eastAsia="zh-Hans"/>
              </w:rPr>
              <w:lastRenderedPageBreak/>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B72F7C" w14:textId="77777777" w:rsidR="00D31620" w:rsidRDefault="00D31620">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A59AF3" w14:textId="77777777" w:rsidR="00D31620" w:rsidRDefault="00D31620">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3637D6" w14:textId="77777777" w:rsidR="00D31620" w:rsidRDefault="00D31620">
            <w:pPr>
              <w:jc w:val="right"/>
            </w:pPr>
            <w:r>
              <w:rPr>
                <w:rFonts w:ascii="宋体" w:hAnsi="宋体" w:hint="eastAsia"/>
                <w:szCs w:val="24"/>
                <w:lang w:eastAsia="zh-Hans"/>
              </w:rPr>
              <w:t>29,200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090B9A" w14:textId="77777777" w:rsidR="00D31620" w:rsidRDefault="00D31620">
            <w:pPr>
              <w:jc w:val="right"/>
            </w:pPr>
            <w:r>
              <w:rPr>
                <w:rFonts w:ascii="宋体" w:hAnsi="宋体" w:hint="eastAsia"/>
                <w:szCs w:val="24"/>
                <w:lang w:eastAsia="zh-Hans"/>
              </w:rPr>
              <w:t>1,708,200.00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EB3FD" w14:textId="77777777" w:rsidR="00D31620" w:rsidRDefault="00D31620">
            <w:pPr>
              <w:jc w:val="right"/>
            </w:pPr>
            <w:r>
              <w:rPr>
                <w:rFonts w:ascii="宋体" w:hAnsi="宋体" w:hint="eastAsia"/>
                <w:szCs w:val="24"/>
                <w:lang w:eastAsia="zh-Hans"/>
              </w:rPr>
              <w:t>5.50</w:t>
            </w:r>
          </w:p>
        </w:tc>
      </w:tr>
      <w:tr w:rsidR="007D01C3" w14:paraId="5EEA4B7F" w14:textId="77777777">
        <w:trPr>
          <w:divId w:val="71828007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D66993" w14:textId="77777777" w:rsidR="00D31620" w:rsidRDefault="00D31620">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9CE220" w14:textId="77777777" w:rsidR="00D31620" w:rsidRDefault="00D31620">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9BC888" w14:textId="77777777" w:rsidR="00D31620" w:rsidRDefault="00D31620">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68DA41" w14:textId="77777777" w:rsidR="00D31620" w:rsidRDefault="00D31620">
            <w:pPr>
              <w:jc w:val="right"/>
            </w:pPr>
            <w:r>
              <w:rPr>
                <w:rFonts w:ascii="宋体" w:hAnsi="宋体" w:hint="eastAsia"/>
                <w:szCs w:val="24"/>
                <w:lang w:eastAsia="zh-Hans"/>
              </w:rPr>
              <w:t>14,967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9C914" w14:textId="77777777" w:rsidR="00D31620" w:rsidRDefault="00D31620">
            <w:pPr>
              <w:jc w:val="right"/>
            </w:pPr>
            <w:r>
              <w:rPr>
                <w:rFonts w:ascii="宋体" w:hAnsi="宋体" w:hint="eastAsia"/>
                <w:szCs w:val="24"/>
                <w:lang w:eastAsia="zh-Hans"/>
              </w:rPr>
              <w:t>1,546,091.10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F3D976" w14:textId="77777777" w:rsidR="00D31620" w:rsidRDefault="00D31620">
            <w:pPr>
              <w:jc w:val="right"/>
            </w:pPr>
            <w:r>
              <w:rPr>
                <w:rFonts w:ascii="宋体" w:hAnsi="宋体" w:hint="eastAsia"/>
                <w:szCs w:val="24"/>
                <w:lang w:eastAsia="zh-Hans"/>
              </w:rPr>
              <w:t>4.98</w:t>
            </w:r>
          </w:p>
        </w:tc>
      </w:tr>
      <w:tr w:rsidR="007D01C3" w14:paraId="0DB393F1" w14:textId="77777777">
        <w:trPr>
          <w:divId w:val="71828007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5F39DA" w14:textId="77777777" w:rsidR="00D31620" w:rsidRDefault="00D31620">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3B3D8F" w14:textId="77777777" w:rsidR="00D31620" w:rsidRDefault="00D31620">
            <w:pPr>
              <w:jc w:val="center"/>
            </w:pPr>
            <w:r>
              <w:rPr>
                <w:rFonts w:ascii="宋体" w:hAnsi="宋体" w:hint="eastAsia"/>
                <w:szCs w:val="24"/>
                <w:lang w:eastAsia="zh-Hans"/>
              </w:rPr>
              <w:t>002353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B556DD" w14:textId="77777777" w:rsidR="00D31620" w:rsidRDefault="00D31620">
            <w:pPr>
              <w:jc w:val="center"/>
            </w:pPr>
            <w:r>
              <w:rPr>
                <w:rFonts w:ascii="宋体" w:hAnsi="宋体" w:hint="eastAsia"/>
                <w:szCs w:val="24"/>
                <w:lang w:eastAsia="zh-Hans"/>
              </w:rPr>
              <w:t>杰瑞股份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D233CE" w14:textId="77777777" w:rsidR="00D31620" w:rsidRDefault="00D31620">
            <w:pPr>
              <w:jc w:val="right"/>
            </w:pPr>
            <w:r>
              <w:rPr>
                <w:rFonts w:ascii="宋体" w:hAnsi="宋体" w:hint="eastAsia"/>
                <w:szCs w:val="24"/>
                <w:lang w:eastAsia="zh-Hans"/>
              </w:rPr>
              <w:t>12,210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1A1F4E" w14:textId="77777777" w:rsidR="00D31620" w:rsidRDefault="00D31620">
            <w:pPr>
              <w:jc w:val="right"/>
            </w:pPr>
            <w:r>
              <w:rPr>
                <w:rFonts w:ascii="宋体" w:hAnsi="宋体" w:hint="eastAsia"/>
                <w:szCs w:val="24"/>
                <w:lang w:eastAsia="zh-Hans"/>
              </w:rPr>
              <w:t>1,181,928.00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2FD963" w14:textId="77777777" w:rsidR="00D31620" w:rsidRDefault="00D31620">
            <w:pPr>
              <w:jc w:val="right"/>
            </w:pPr>
            <w:r>
              <w:rPr>
                <w:rFonts w:ascii="宋体" w:hAnsi="宋体" w:hint="eastAsia"/>
                <w:szCs w:val="24"/>
                <w:lang w:eastAsia="zh-Hans"/>
              </w:rPr>
              <w:t>3.81</w:t>
            </w:r>
          </w:p>
        </w:tc>
      </w:tr>
      <w:tr w:rsidR="007D01C3" w14:paraId="7BD21312" w14:textId="77777777">
        <w:trPr>
          <w:divId w:val="71828007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F4A76" w14:textId="77777777" w:rsidR="00D31620" w:rsidRDefault="00D31620">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185667" w14:textId="77777777" w:rsidR="00D31620" w:rsidRDefault="00D31620">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B7767A" w14:textId="77777777" w:rsidR="00D31620" w:rsidRDefault="00D31620">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48DD9F" w14:textId="77777777" w:rsidR="00D31620" w:rsidRDefault="00D31620">
            <w:pPr>
              <w:jc w:val="right"/>
            </w:pPr>
            <w:r>
              <w:rPr>
                <w:rFonts w:ascii="宋体" w:hAnsi="宋体" w:hint="eastAsia"/>
                <w:szCs w:val="24"/>
                <w:lang w:eastAsia="zh-Hans"/>
              </w:rPr>
              <w:t>2,831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6AD230" w14:textId="77777777" w:rsidR="00D31620" w:rsidRDefault="00D31620">
            <w:pPr>
              <w:jc w:val="right"/>
            </w:pPr>
            <w:r>
              <w:rPr>
                <w:rFonts w:ascii="宋体" w:hAnsi="宋体" w:hint="eastAsia"/>
                <w:szCs w:val="24"/>
                <w:lang w:eastAsia="zh-Hans"/>
              </w:rPr>
              <w:t>1,137,212.70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0E4DF8" w14:textId="77777777" w:rsidR="00D31620" w:rsidRDefault="00D31620">
            <w:pPr>
              <w:jc w:val="right"/>
            </w:pPr>
            <w:r>
              <w:rPr>
                <w:rFonts w:ascii="宋体" w:hAnsi="宋体" w:hint="eastAsia"/>
                <w:szCs w:val="24"/>
                <w:lang w:eastAsia="zh-Hans"/>
              </w:rPr>
              <w:t>3.66</w:t>
            </w:r>
          </w:p>
        </w:tc>
      </w:tr>
      <w:tr w:rsidR="007D01C3" w14:paraId="73552C00" w14:textId="77777777">
        <w:trPr>
          <w:divId w:val="71828007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329865" w14:textId="77777777" w:rsidR="00D31620" w:rsidRDefault="00D31620">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0D2219" w14:textId="77777777" w:rsidR="00D31620" w:rsidRDefault="00D31620">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E1F6E5" w14:textId="77777777" w:rsidR="00D31620" w:rsidRDefault="00D31620">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C9728E" w14:textId="77777777" w:rsidR="00D31620" w:rsidRDefault="00D31620">
            <w:pPr>
              <w:jc w:val="right"/>
            </w:pPr>
            <w:r>
              <w:rPr>
                <w:rFonts w:ascii="宋体" w:hAnsi="宋体" w:hint="eastAsia"/>
                <w:szCs w:val="24"/>
                <w:lang w:eastAsia="zh-Hans"/>
              </w:rPr>
              <w:t>2,071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3C7060" w14:textId="77777777" w:rsidR="00D31620" w:rsidRDefault="00D31620">
            <w:pPr>
              <w:jc w:val="right"/>
            </w:pPr>
            <w:r>
              <w:rPr>
                <w:rFonts w:ascii="宋体" w:hAnsi="宋体" w:hint="eastAsia"/>
                <w:szCs w:val="24"/>
                <w:lang w:eastAsia="zh-Hans"/>
              </w:rPr>
              <w:t>917,121.64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AFF4F5" w14:textId="77777777" w:rsidR="00D31620" w:rsidRDefault="00D31620">
            <w:pPr>
              <w:jc w:val="right"/>
            </w:pPr>
            <w:r>
              <w:rPr>
                <w:rFonts w:ascii="宋体" w:hAnsi="宋体" w:hint="eastAsia"/>
                <w:szCs w:val="24"/>
                <w:lang w:eastAsia="zh-Hans"/>
              </w:rPr>
              <w:t>2.95</w:t>
            </w:r>
          </w:p>
        </w:tc>
      </w:tr>
      <w:tr w:rsidR="007D01C3" w14:paraId="06027634" w14:textId="77777777">
        <w:trPr>
          <w:divId w:val="71828007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85E367" w14:textId="77777777" w:rsidR="00D31620" w:rsidRDefault="00D31620">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71B35F" w14:textId="77777777" w:rsidR="00D31620" w:rsidRDefault="00D31620">
            <w:pPr>
              <w:jc w:val="center"/>
            </w:pPr>
            <w:r>
              <w:rPr>
                <w:rFonts w:ascii="宋体" w:hAnsi="宋体" w:hint="eastAsia"/>
                <w:szCs w:val="24"/>
                <w:lang w:eastAsia="zh-Hans"/>
              </w:rPr>
              <w:t>605196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B0BE4" w14:textId="77777777" w:rsidR="00D31620" w:rsidRDefault="00D31620">
            <w:pPr>
              <w:jc w:val="center"/>
            </w:pPr>
            <w:r>
              <w:rPr>
                <w:rFonts w:ascii="宋体" w:hAnsi="宋体" w:hint="eastAsia"/>
                <w:szCs w:val="24"/>
                <w:lang w:eastAsia="zh-Hans"/>
              </w:rPr>
              <w:t>华通线缆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041580" w14:textId="77777777" w:rsidR="00D31620" w:rsidRDefault="00D31620">
            <w:pPr>
              <w:jc w:val="right"/>
            </w:pPr>
            <w:r>
              <w:rPr>
                <w:rFonts w:ascii="宋体" w:hAnsi="宋体" w:hint="eastAsia"/>
                <w:szCs w:val="24"/>
                <w:lang w:eastAsia="zh-Hans"/>
              </w:rPr>
              <w:t>18,600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B9AA04" w14:textId="77777777" w:rsidR="00D31620" w:rsidRDefault="00D31620">
            <w:pPr>
              <w:jc w:val="right"/>
            </w:pPr>
            <w:r>
              <w:rPr>
                <w:rFonts w:ascii="宋体" w:hAnsi="宋体" w:hint="eastAsia"/>
                <w:szCs w:val="24"/>
                <w:lang w:eastAsia="zh-Hans"/>
              </w:rPr>
              <w:t>875,688.00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C1F1E" w14:textId="77777777" w:rsidR="00D31620" w:rsidRDefault="00D31620">
            <w:pPr>
              <w:jc w:val="right"/>
            </w:pPr>
            <w:r>
              <w:rPr>
                <w:rFonts w:ascii="宋体" w:hAnsi="宋体" w:hint="eastAsia"/>
                <w:szCs w:val="24"/>
                <w:lang w:eastAsia="zh-Hans"/>
              </w:rPr>
              <w:t>2.82</w:t>
            </w:r>
          </w:p>
        </w:tc>
      </w:tr>
      <w:tr w:rsidR="007D01C3" w14:paraId="374F3653" w14:textId="77777777">
        <w:trPr>
          <w:divId w:val="71828007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7D5421" w14:textId="77777777" w:rsidR="00D31620" w:rsidRDefault="00D31620">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1390B" w14:textId="77777777" w:rsidR="00D31620" w:rsidRDefault="00D31620">
            <w:pPr>
              <w:jc w:val="center"/>
            </w:pPr>
            <w:r>
              <w:rPr>
                <w:rFonts w:ascii="宋体" w:hAnsi="宋体" w:hint="eastAsia"/>
                <w:szCs w:val="24"/>
                <w:lang w:eastAsia="zh-Hans"/>
              </w:rPr>
              <w:t>002532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C61507" w14:textId="77777777" w:rsidR="00D31620" w:rsidRDefault="00D31620">
            <w:pPr>
              <w:jc w:val="center"/>
            </w:pPr>
            <w:r>
              <w:rPr>
                <w:rFonts w:ascii="宋体" w:hAnsi="宋体" w:hint="eastAsia"/>
                <w:szCs w:val="24"/>
                <w:lang w:eastAsia="zh-Hans"/>
              </w:rPr>
              <w:t>天山铝业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218E50" w14:textId="77777777" w:rsidR="00D31620" w:rsidRDefault="00D31620">
            <w:pPr>
              <w:jc w:val="right"/>
            </w:pPr>
            <w:r>
              <w:rPr>
                <w:rFonts w:ascii="宋体" w:hAnsi="宋体" w:hint="eastAsia"/>
                <w:szCs w:val="24"/>
                <w:lang w:eastAsia="zh-Hans"/>
              </w:rPr>
              <w:t>46,800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5D7046" w14:textId="77777777" w:rsidR="00D31620" w:rsidRDefault="00D31620">
            <w:pPr>
              <w:jc w:val="right"/>
            </w:pPr>
            <w:r>
              <w:rPr>
                <w:rFonts w:ascii="宋体" w:hAnsi="宋体" w:hint="eastAsia"/>
                <w:szCs w:val="24"/>
                <w:lang w:eastAsia="zh-Hans"/>
              </w:rPr>
              <w:t>832,572.00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A905C5" w14:textId="77777777" w:rsidR="00D31620" w:rsidRDefault="00D31620">
            <w:pPr>
              <w:jc w:val="right"/>
            </w:pPr>
            <w:r>
              <w:rPr>
                <w:rFonts w:ascii="宋体" w:hAnsi="宋体" w:hint="eastAsia"/>
                <w:szCs w:val="24"/>
                <w:lang w:eastAsia="zh-Hans"/>
              </w:rPr>
              <w:t>2.68</w:t>
            </w:r>
          </w:p>
        </w:tc>
      </w:tr>
      <w:tr w:rsidR="007D01C3" w14:paraId="59359ADC" w14:textId="77777777">
        <w:trPr>
          <w:divId w:val="71828007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3ED3C" w14:textId="77777777" w:rsidR="00D31620" w:rsidRDefault="00D31620">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1103E4" w14:textId="77777777" w:rsidR="00D31620" w:rsidRDefault="00D31620">
            <w:pPr>
              <w:jc w:val="center"/>
            </w:pPr>
            <w:r>
              <w:rPr>
                <w:rFonts w:ascii="宋体" w:hAnsi="宋体" w:hint="eastAsia"/>
                <w:szCs w:val="24"/>
                <w:lang w:eastAsia="zh-Hans"/>
              </w:rPr>
              <w:t>001288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CF2DA7" w14:textId="77777777" w:rsidR="00D31620" w:rsidRDefault="00D31620">
            <w:pPr>
              <w:jc w:val="center"/>
            </w:pPr>
            <w:r>
              <w:rPr>
                <w:rFonts w:ascii="宋体" w:hAnsi="宋体" w:hint="eastAsia"/>
                <w:szCs w:val="24"/>
                <w:lang w:eastAsia="zh-Hans"/>
              </w:rPr>
              <w:t>运机集团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1721C2" w14:textId="77777777" w:rsidR="00D31620" w:rsidRDefault="00D31620">
            <w:pPr>
              <w:jc w:val="right"/>
            </w:pPr>
            <w:r>
              <w:rPr>
                <w:rFonts w:ascii="宋体" w:hAnsi="宋体" w:hint="eastAsia"/>
                <w:szCs w:val="24"/>
                <w:lang w:eastAsia="zh-Hans"/>
              </w:rPr>
              <w:t>28,600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76CAE5" w14:textId="77777777" w:rsidR="00D31620" w:rsidRDefault="00D31620">
            <w:pPr>
              <w:jc w:val="right"/>
            </w:pPr>
            <w:r>
              <w:rPr>
                <w:rFonts w:ascii="宋体" w:hAnsi="宋体" w:hint="eastAsia"/>
                <w:szCs w:val="24"/>
                <w:lang w:eastAsia="zh-Hans"/>
              </w:rPr>
              <w:t>830,830.00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528E9A" w14:textId="77777777" w:rsidR="00D31620" w:rsidRDefault="00D31620">
            <w:pPr>
              <w:jc w:val="right"/>
            </w:pPr>
            <w:r>
              <w:rPr>
                <w:rFonts w:ascii="宋体" w:hAnsi="宋体" w:hint="eastAsia"/>
                <w:szCs w:val="24"/>
                <w:lang w:eastAsia="zh-Hans"/>
              </w:rPr>
              <w:t>2.68</w:t>
            </w:r>
          </w:p>
        </w:tc>
      </w:tr>
      <w:tr w:rsidR="007D01C3" w14:paraId="1BB17F1B" w14:textId="77777777">
        <w:trPr>
          <w:divId w:val="71828007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82DFEE" w14:textId="77777777" w:rsidR="00D31620" w:rsidRDefault="00D31620">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D5B0E2" w14:textId="77777777" w:rsidR="00D31620" w:rsidRDefault="00D31620">
            <w:pPr>
              <w:jc w:val="center"/>
            </w:pPr>
            <w:r>
              <w:rPr>
                <w:rFonts w:ascii="宋体" w:hAnsi="宋体" w:hint="eastAsia"/>
                <w:szCs w:val="24"/>
                <w:lang w:eastAsia="zh-Hans"/>
              </w:rPr>
              <w:t>000425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EFBF05" w14:textId="77777777" w:rsidR="00D31620" w:rsidRDefault="00D31620">
            <w:pPr>
              <w:jc w:val="center"/>
            </w:pPr>
            <w:r>
              <w:rPr>
                <w:rFonts w:ascii="宋体" w:hAnsi="宋体" w:hint="eastAsia"/>
                <w:szCs w:val="24"/>
                <w:lang w:eastAsia="zh-Hans"/>
              </w:rPr>
              <w:t>徐工机械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7FF264" w14:textId="77777777" w:rsidR="00D31620" w:rsidRDefault="00D31620">
            <w:pPr>
              <w:jc w:val="right"/>
            </w:pPr>
            <w:r>
              <w:rPr>
                <w:rFonts w:ascii="宋体" w:hAnsi="宋体" w:hint="eastAsia"/>
                <w:szCs w:val="24"/>
                <w:lang w:eastAsia="zh-Hans"/>
              </w:rPr>
              <w:t>77,276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82BC6B" w14:textId="77777777" w:rsidR="00D31620" w:rsidRDefault="00D31620">
            <w:pPr>
              <w:jc w:val="right"/>
            </w:pPr>
            <w:r>
              <w:rPr>
                <w:rFonts w:ascii="宋体" w:hAnsi="宋体" w:hint="eastAsia"/>
                <w:szCs w:val="24"/>
                <w:lang w:eastAsia="zh-Hans"/>
              </w:rPr>
              <w:t>778,942.08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8349C2" w14:textId="77777777" w:rsidR="00D31620" w:rsidRDefault="00D31620">
            <w:pPr>
              <w:jc w:val="right"/>
            </w:pPr>
            <w:r>
              <w:rPr>
                <w:rFonts w:ascii="宋体" w:hAnsi="宋体" w:hint="eastAsia"/>
                <w:szCs w:val="24"/>
                <w:lang w:eastAsia="zh-Hans"/>
              </w:rPr>
              <w:t>2.51</w:t>
            </w:r>
          </w:p>
        </w:tc>
      </w:tr>
      <w:tr w:rsidR="007D01C3" w14:paraId="763AC1F9" w14:textId="77777777">
        <w:trPr>
          <w:divId w:val="71828007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5EA4E" w14:textId="77777777" w:rsidR="00D31620" w:rsidRDefault="00D31620">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DA6E5A" w14:textId="77777777" w:rsidR="00D31620" w:rsidRDefault="00D31620">
            <w:pPr>
              <w:jc w:val="center"/>
            </w:pPr>
            <w:r>
              <w:rPr>
                <w:rFonts w:ascii="宋体" w:hAnsi="宋体" w:hint="eastAsia"/>
                <w:szCs w:val="24"/>
                <w:lang w:eastAsia="zh-Hans"/>
              </w:rPr>
              <w:t>01211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C85F7F" w14:textId="77777777" w:rsidR="00D31620" w:rsidRDefault="00D31620">
            <w:pPr>
              <w:jc w:val="center"/>
            </w:pPr>
            <w:r>
              <w:rPr>
                <w:rFonts w:ascii="宋体" w:hAnsi="宋体" w:hint="eastAsia"/>
                <w:szCs w:val="24"/>
                <w:lang w:eastAsia="zh-Hans"/>
              </w:rPr>
              <w:t>比亚迪股份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0434B9" w14:textId="77777777" w:rsidR="00D31620" w:rsidRDefault="00D31620">
            <w:pPr>
              <w:jc w:val="right"/>
            </w:pPr>
            <w:r>
              <w:rPr>
                <w:rFonts w:ascii="宋体" w:hAnsi="宋体" w:hint="eastAsia"/>
                <w:szCs w:val="24"/>
                <w:lang w:eastAsia="zh-Hans"/>
              </w:rPr>
              <w:t>8,200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676FC7" w14:textId="77777777" w:rsidR="00D31620" w:rsidRDefault="00D31620">
            <w:pPr>
              <w:jc w:val="right"/>
            </w:pPr>
            <w:r>
              <w:rPr>
                <w:rFonts w:ascii="宋体" w:hAnsi="宋体" w:hint="eastAsia"/>
                <w:szCs w:val="24"/>
                <w:lang w:eastAsia="zh-Hans"/>
              </w:rPr>
              <w:t>766,012.10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380593" w14:textId="77777777" w:rsidR="00D31620" w:rsidRDefault="00D31620">
            <w:pPr>
              <w:jc w:val="right"/>
            </w:pPr>
            <w:r>
              <w:rPr>
                <w:rFonts w:ascii="宋体" w:hAnsi="宋体" w:hint="eastAsia"/>
                <w:szCs w:val="24"/>
                <w:lang w:eastAsia="zh-Hans"/>
              </w:rPr>
              <w:t>2.47</w:t>
            </w:r>
          </w:p>
        </w:tc>
      </w:tr>
    </w:tbl>
    <w:p w14:paraId="47306B1D" w14:textId="77777777" w:rsidR="00D31620" w:rsidRDefault="00D31620">
      <w:pPr>
        <w:pStyle w:val="XBRLTitle2"/>
        <w:spacing w:before="156" w:line="360" w:lineRule="auto"/>
        <w:ind w:left="454"/>
      </w:pPr>
      <w:bookmarkStart w:id="197" w:name="_Toc17898201"/>
      <w:bookmarkStart w:id="198" w:name="_Toc17897953"/>
      <w:bookmarkStart w:id="199" w:name="_Toc481075070"/>
      <w:bookmarkStart w:id="200" w:name="_Toc438646471"/>
      <w:bookmarkStart w:id="201" w:name="_Toc490050023"/>
      <w:bookmarkStart w:id="202" w:name="_Toc512519502"/>
      <w:bookmarkStart w:id="203" w:name="_Toc513295862"/>
      <w:bookmarkStart w:id="204" w:name="_Toc513295914"/>
      <w:bookmarkStart w:id="205" w:name="m505"/>
      <w:r>
        <w:rPr>
          <w:rFonts w:hAnsi="宋体" w:hint="eastAsia"/>
        </w:rPr>
        <w:t>报告期末按债券品种分类的债券投资组合</w:t>
      </w:r>
      <w:bookmarkEnd w:id="197"/>
      <w:bookmarkEnd w:id="198"/>
      <w:bookmarkEnd w:id="199"/>
      <w:bookmarkEnd w:id="200"/>
      <w:bookmarkEnd w:id="201"/>
      <w:bookmarkEnd w:id="202"/>
      <w:bookmarkEnd w:id="203"/>
      <w:bookmarkEnd w:id="204"/>
      <w:r>
        <w:rPr>
          <w:rFonts w:hAnsi="宋体" w:hint="eastAsia"/>
        </w:rPr>
        <w:t xml:space="preserve"> </w:t>
      </w:r>
    </w:p>
    <w:p w14:paraId="278A028A" w14:textId="77777777" w:rsidR="00D31620" w:rsidRDefault="00D31620">
      <w:pPr>
        <w:spacing w:line="360" w:lineRule="auto"/>
        <w:ind w:firstLineChars="200" w:firstLine="420"/>
        <w:jc w:val="left"/>
      </w:pPr>
      <w:r>
        <w:rPr>
          <w:rFonts w:ascii="宋体" w:hAnsi="宋体" w:hint="eastAsia"/>
        </w:rPr>
        <w:t>本基金本报告期末未持有债券。</w:t>
      </w:r>
      <w:bookmarkStart w:id="206" w:name="m08QD_06"/>
      <w:bookmarkEnd w:id="206"/>
      <w:r>
        <w:rPr>
          <w:rFonts w:ascii="宋体" w:hAnsi="宋体" w:hint="eastAsia"/>
        </w:rPr>
        <w:t xml:space="preserve"> </w:t>
      </w:r>
    </w:p>
    <w:p w14:paraId="74903B27" w14:textId="77777777" w:rsidR="00D31620" w:rsidRDefault="00D31620">
      <w:pPr>
        <w:pStyle w:val="XBRLTitle2"/>
        <w:spacing w:before="156" w:line="360" w:lineRule="auto"/>
        <w:ind w:left="454"/>
      </w:pPr>
      <w:bookmarkStart w:id="207" w:name="_Toc17898202"/>
      <w:bookmarkStart w:id="208" w:name="_Toc17897954"/>
      <w:bookmarkStart w:id="209" w:name="_Toc481075071"/>
      <w:bookmarkStart w:id="210" w:name="_Toc438646472"/>
      <w:bookmarkStart w:id="211" w:name="_Toc490050024"/>
      <w:bookmarkStart w:id="212" w:name="_Toc512519503"/>
      <w:bookmarkStart w:id="213" w:name="_Toc513295863"/>
      <w:bookmarkStart w:id="214" w:name="_Toc513295915"/>
      <w:bookmarkStart w:id="215" w:name="m506"/>
      <w:bookmarkEnd w:id="205"/>
      <w:r>
        <w:rPr>
          <w:rFonts w:hAnsi="宋体" w:hint="eastAsia"/>
        </w:rPr>
        <w:t>报告期末按公允价值占基金资产净值比例大小排序的前五名债券投资明细</w:t>
      </w:r>
      <w:bookmarkEnd w:id="207"/>
      <w:bookmarkEnd w:id="208"/>
      <w:bookmarkEnd w:id="209"/>
      <w:bookmarkEnd w:id="210"/>
      <w:bookmarkEnd w:id="211"/>
      <w:bookmarkEnd w:id="212"/>
      <w:bookmarkEnd w:id="213"/>
      <w:bookmarkEnd w:id="214"/>
      <w:r>
        <w:rPr>
          <w:rFonts w:hAnsi="宋体" w:hint="eastAsia"/>
        </w:rPr>
        <w:t xml:space="preserve"> </w:t>
      </w:r>
    </w:p>
    <w:p w14:paraId="5C3A2AE5" w14:textId="77777777" w:rsidR="00D31620" w:rsidRDefault="00D31620">
      <w:pPr>
        <w:spacing w:line="360" w:lineRule="auto"/>
        <w:ind w:firstLineChars="200" w:firstLine="420"/>
        <w:jc w:val="left"/>
      </w:pPr>
      <w:r>
        <w:rPr>
          <w:rFonts w:ascii="宋体" w:hAnsi="宋体" w:hint="eastAsia"/>
          <w:color w:val="000000"/>
          <w:szCs w:val="21"/>
          <w:lang w:eastAsia="zh-Hans"/>
        </w:rPr>
        <w:t>本基金本报告期末未持有债券。</w:t>
      </w:r>
    </w:p>
    <w:p w14:paraId="3E8C8A67" w14:textId="77777777" w:rsidR="00D31620" w:rsidRDefault="00D31620">
      <w:pPr>
        <w:pStyle w:val="XBRLTitle2"/>
        <w:spacing w:before="156" w:line="360" w:lineRule="auto"/>
        <w:ind w:left="454"/>
      </w:pPr>
      <w:bookmarkStart w:id="216" w:name="_Toc17898203"/>
      <w:bookmarkStart w:id="217" w:name="_Toc17897955"/>
      <w:bookmarkStart w:id="218" w:name="_Toc481075072"/>
      <w:bookmarkStart w:id="219" w:name="_Toc438646473"/>
      <w:bookmarkStart w:id="220" w:name="_Toc490050025"/>
      <w:bookmarkStart w:id="221" w:name="_Toc512519504"/>
      <w:bookmarkStart w:id="222" w:name="_Toc513295864"/>
      <w:bookmarkStart w:id="223" w:name="_Toc513295916"/>
      <w:bookmarkStart w:id="224" w:name="m507"/>
      <w:bookmarkEnd w:id="215"/>
      <w:r>
        <w:rPr>
          <w:rFonts w:hAnsi="宋体" w:hint="eastAsia"/>
        </w:rPr>
        <w:t>报告期末按公允价值占基金资产净值比例大小排序的前十名资产支持证券投资明细</w:t>
      </w:r>
      <w:bookmarkEnd w:id="216"/>
      <w:bookmarkEnd w:id="217"/>
      <w:bookmarkEnd w:id="218"/>
      <w:bookmarkEnd w:id="219"/>
      <w:bookmarkEnd w:id="220"/>
      <w:bookmarkEnd w:id="221"/>
      <w:bookmarkEnd w:id="222"/>
      <w:bookmarkEnd w:id="223"/>
      <w:r>
        <w:rPr>
          <w:rFonts w:hAnsi="宋体" w:hint="eastAsia"/>
        </w:rPr>
        <w:t xml:space="preserve"> </w:t>
      </w:r>
    </w:p>
    <w:p w14:paraId="30A66AE2" w14:textId="77777777" w:rsidR="00D31620" w:rsidRDefault="00D31620">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7B5F354B" w14:textId="77777777" w:rsidR="00D31620" w:rsidRDefault="00D31620">
      <w:pPr>
        <w:pStyle w:val="XBRLTitle2"/>
        <w:spacing w:before="156" w:line="360" w:lineRule="auto"/>
        <w:ind w:left="454"/>
      </w:pPr>
      <w:bookmarkStart w:id="225" w:name="_Toc17898204"/>
      <w:bookmarkStart w:id="226" w:name="_Toc17897956"/>
      <w:bookmarkStart w:id="227" w:name="_Toc481075073"/>
      <w:bookmarkStart w:id="228" w:name="_Toc438646474"/>
      <w:bookmarkStart w:id="229" w:name="_Toc490050026"/>
      <w:bookmarkStart w:id="230" w:name="_Toc512519505"/>
      <w:bookmarkStart w:id="231" w:name="_Toc513295865"/>
      <w:bookmarkStart w:id="232" w:name="_Toc513295917"/>
      <w:bookmarkStart w:id="233" w:name="m508"/>
      <w:bookmarkEnd w:id="224"/>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5"/>
      <w:bookmarkEnd w:id="226"/>
      <w:bookmarkEnd w:id="227"/>
      <w:bookmarkEnd w:id="228"/>
      <w:bookmarkEnd w:id="229"/>
      <w:bookmarkEnd w:id="230"/>
      <w:bookmarkEnd w:id="231"/>
      <w:bookmarkEnd w:id="232"/>
      <w:r>
        <w:rPr>
          <w:rFonts w:hAnsi="宋体" w:hint="eastAsia"/>
        </w:rPr>
        <w:t xml:space="preserve"> </w:t>
      </w:r>
    </w:p>
    <w:p w14:paraId="0E8C6C3F" w14:textId="77777777" w:rsidR="00D31620" w:rsidRDefault="00D31620">
      <w:pPr>
        <w:spacing w:line="360" w:lineRule="auto"/>
        <w:ind w:firstLineChars="200" w:firstLine="420"/>
        <w:divId w:val="2112776508"/>
      </w:pPr>
      <w:r>
        <w:rPr>
          <w:rFonts w:ascii="宋体" w:hAnsi="宋体" w:hint="eastAsia"/>
          <w:szCs w:val="21"/>
          <w:lang w:eastAsia="zh-Hans"/>
        </w:rPr>
        <w:t>本基金本报告期末未持有贵金属。</w:t>
      </w:r>
    </w:p>
    <w:p w14:paraId="3C2152E0" w14:textId="77777777" w:rsidR="00D31620" w:rsidRDefault="00D31620">
      <w:pPr>
        <w:pStyle w:val="XBRLTitle2"/>
        <w:spacing w:before="156" w:line="360" w:lineRule="auto"/>
        <w:ind w:left="454"/>
      </w:pPr>
      <w:bookmarkStart w:id="234" w:name="_Toc17898205"/>
      <w:bookmarkStart w:id="235" w:name="_Toc17897957"/>
      <w:bookmarkStart w:id="236" w:name="_Toc481075074"/>
      <w:bookmarkStart w:id="237" w:name="_Toc438646475"/>
      <w:bookmarkStart w:id="238" w:name="_Toc490050027"/>
      <w:bookmarkStart w:id="239" w:name="_Toc512519506"/>
      <w:bookmarkStart w:id="240" w:name="_Toc513295866"/>
      <w:bookmarkStart w:id="241" w:name="_Toc513295918"/>
      <w:bookmarkStart w:id="242" w:name="m509"/>
      <w:bookmarkEnd w:id="233"/>
      <w:r>
        <w:rPr>
          <w:rFonts w:hAnsi="宋体" w:hint="eastAsia"/>
        </w:rPr>
        <w:t>报告期末按公允价值占基金资产净值比例大小排序的前五名权证投资明细</w:t>
      </w:r>
      <w:bookmarkEnd w:id="234"/>
      <w:bookmarkEnd w:id="235"/>
      <w:bookmarkEnd w:id="236"/>
      <w:bookmarkEnd w:id="237"/>
      <w:bookmarkEnd w:id="238"/>
      <w:bookmarkEnd w:id="239"/>
      <w:bookmarkEnd w:id="240"/>
      <w:bookmarkEnd w:id="241"/>
      <w:r>
        <w:rPr>
          <w:rFonts w:hAnsi="宋体" w:hint="eastAsia"/>
        </w:rPr>
        <w:t xml:space="preserve"> </w:t>
      </w:r>
      <w:bookmarkEnd w:id="242"/>
    </w:p>
    <w:p w14:paraId="657538BC" w14:textId="77777777" w:rsidR="00D31620" w:rsidRDefault="00D31620">
      <w:pPr>
        <w:spacing w:line="360" w:lineRule="auto"/>
        <w:ind w:firstLineChars="200" w:firstLine="420"/>
        <w:divId w:val="1240019779"/>
      </w:pPr>
      <w:r>
        <w:rPr>
          <w:rFonts w:ascii="宋体" w:hAnsi="宋体" w:hint="eastAsia"/>
          <w:szCs w:val="21"/>
          <w:lang w:eastAsia="zh-Hans"/>
        </w:rPr>
        <w:t>本基金本报告期末未持有权证。</w:t>
      </w:r>
    </w:p>
    <w:p w14:paraId="5D0E6A93" w14:textId="77777777" w:rsidR="00D31620" w:rsidRDefault="00D31620">
      <w:pPr>
        <w:pStyle w:val="XBRLTitle2"/>
        <w:spacing w:before="156"/>
        <w:ind w:left="454"/>
      </w:pPr>
      <w:bookmarkStart w:id="243" w:name="_Toc17898206"/>
      <w:r>
        <w:rPr>
          <w:rFonts w:hint="eastAsia"/>
        </w:rPr>
        <w:t>报告期末本基金投资的股指期货交易情况说明</w:t>
      </w:r>
      <w:bookmarkEnd w:id="16"/>
      <w:bookmarkEnd w:id="69"/>
      <w:bookmarkEnd w:id="70"/>
      <w:bookmarkEnd w:id="184"/>
      <w:bookmarkEnd w:id="185"/>
      <w:bookmarkEnd w:id="186"/>
      <w:bookmarkEnd w:id="187"/>
      <w:bookmarkEnd w:id="188"/>
      <w:bookmarkEnd w:id="189"/>
      <w:bookmarkEnd w:id="190"/>
      <w:bookmarkEnd w:id="191"/>
      <w:bookmarkEnd w:id="243"/>
    </w:p>
    <w:p w14:paraId="0D1B60EC" w14:textId="77777777" w:rsidR="00D31620" w:rsidRDefault="00D31620">
      <w:pPr>
        <w:spacing w:line="360" w:lineRule="auto"/>
        <w:ind w:firstLineChars="200" w:firstLine="420"/>
        <w:divId w:val="689529498"/>
      </w:pPr>
      <w:r>
        <w:rPr>
          <w:rFonts w:ascii="宋体" w:hAnsi="宋体" w:hint="eastAsia"/>
          <w:szCs w:val="21"/>
          <w:lang w:eastAsia="zh-Hans"/>
        </w:rPr>
        <w:t>本基金本报告期末未持有股指期货。</w:t>
      </w:r>
    </w:p>
    <w:p w14:paraId="6E61F734" w14:textId="77777777" w:rsidR="00D31620" w:rsidRDefault="00D31620">
      <w:pPr>
        <w:pStyle w:val="XBRLTitle2"/>
        <w:spacing w:before="156" w:line="360" w:lineRule="auto"/>
        <w:ind w:left="454"/>
      </w:pPr>
      <w:bookmarkStart w:id="244" w:name="_Toc17898209"/>
      <w:bookmarkStart w:id="245" w:name="_Toc17897959"/>
      <w:bookmarkStart w:id="246" w:name="_Toc512519510"/>
      <w:bookmarkStart w:id="247" w:name="_Toc481075078"/>
      <w:bookmarkStart w:id="248" w:name="_Toc490050031"/>
      <w:bookmarkStart w:id="249" w:name="_Toc513295868"/>
      <w:bookmarkStart w:id="250" w:name="_Toc513295922"/>
      <w:bookmarkStart w:id="251" w:name="_Toc438646476"/>
      <w:r>
        <w:rPr>
          <w:rFonts w:hAnsi="宋体" w:hint="eastAsia"/>
        </w:rPr>
        <w:t>报告期末本基金投资的国债期货交易情况说明</w:t>
      </w:r>
      <w:bookmarkEnd w:id="244"/>
      <w:bookmarkEnd w:id="245"/>
      <w:bookmarkEnd w:id="246"/>
      <w:bookmarkEnd w:id="247"/>
      <w:bookmarkEnd w:id="248"/>
      <w:bookmarkEnd w:id="249"/>
      <w:bookmarkEnd w:id="250"/>
      <w:r>
        <w:rPr>
          <w:rFonts w:hAnsi="宋体" w:hint="eastAsia"/>
        </w:rPr>
        <w:t xml:space="preserve"> </w:t>
      </w:r>
      <w:bookmarkEnd w:id="251"/>
    </w:p>
    <w:p w14:paraId="3F556BF1" w14:textId="77777777" w:rsidR="00D31620" w:rsidRDefault="00D31620">
      <w:pPr>
        <w:spacing w:line="360" w:lineRule="auto"/>
        <w:ind w:firstLineChars="200" w:firstLine="420"/>
        <w:divId w:val="1083800468"/>
      </w:pPr>
      <w:bookmarkStart w:id="252" w:name="m510_01_1597"/>
      <w:bookmarkStart w:id="253" w:name="m510_01_1598"/>
      <w:bookmarkEnd w:id="252"/>
      <w:r>
        <w:rPr>
          <w:rFonts w:ascii="宋体" w:hAnsi="宋体" w:hint="eastAsia"/>
          <w:szCs w:val="21"/>
          <w:lang w:eastAsia="zh-Hans"/>
        </w:rPr>
        <w:t>本基金本报告期末未持有国债期货。</w:t>
      </w:r>
    </w:p>
    <w:p w14:paraId="4B1AE5AD" w14:textId="77777777" w:rsidR="00D31620" w:rsidRDefault="00D31620">
      <w:pPr>
        <w:pStyle w:val="XBRLTitle2"/>
        <w:spacing w:before="156" w:line="360" w:lineRule="auto"/>
        <w:ind w:left="454"/>
      </w:pPr>
      <w:bookmarkStart w:id="254" w:name="_Toc17898213"/>
      <w:bookmarkStart w:id="255" w:name="_Toc17897960"/>
      <w:bookmarkStart w:id="256" w:name="_Toc512519514"/>
      <w:bookmarkStart w:id="257" w:name="_Toc481075082"/>
      <w:bookmarkStart w:id="258" w:name="_Toc490050035"/>
      <w:bookmarkStart w:id="259" w:name="_Toc513295869"/>
      <w:bookmarkStart w:id="260" w:name="_Toc513295926"/>
      <w:r>
        <w:rPr>
          <w:rFonts w:hAnsi="宋体" w:hint="eastAsia"/>
        </w:rPr>
        <w:t>投资组合报告附注</w:t>
      </w:r>
      <w:bookmarkEnd w:id="254"/>
      <w:bookmarkEnd w:id="255"/>
      <w:bookmarkEnd w:id="256"/>
      <w:bookmarkEnd w:id="257"/>
      <w:bookmarkEnd w:id="258"/>
      <w:bookmarkEnd w:id="259"/>
      <w:bookmarkEnd w:id="260"/>
      <w:r>
        <w:rPr>
          <w:rFonts w:hAnsi="宋体" w:hint="eastAsia"/>
        </w:rPr>
        <w:t xml:space="preserve"> </w:t>
      </w:r>
    </w:p>
    <w:p w14:paraId="61E9F19E" w14:textId="77777777" w:rsidR="00D31620" w:rsidRDefault="00D31620">
      <w:pPr>
        <w:pStyle w:val="XBRLTitle3"/>
        <w:spacing w:before="156"/>
        <w:ind w:left="0"/>
      </w:pPr>
      <w:bookmarkStart w:id="261" w:name="_Toc513295927"/>
      <w:bookmarkStart w:id="262" w:name="_Toc490050036"/>
      <w:bookmarkStart w:id="263" w:name="_Toc481075083"/>
      <w:bookmarkStart w:id="264" w:name="_Toc512519515"/>
      <w:bookmarkStart w:id="265" w:name="_Toc17898214"/>
      <w:bookmarkEnd w:id="261"/>
      <w:bookmarkEnd w:id="262"/>
      <w:bookmarkEnd w:id="263"/>
      <w:bookmarkEnd w:id="264"/>
      <w:r>
        <w:rPr>
          <w:rFonts w:hint="eastAsia"/>
        </w:rPr>
        <w:t> </w:t>
      </w:r>
      <w:r>
        <w:rPr>
          <w:rFonts w:hint="eastAsia"/>
          <w:lang w:eastAsia="zh-CN"/>
        </w:rPr>
        <w:t xml:space="preserve"> </w:t>
      </w:r>
      <w:bookmarkEnd w:id="265"/>
    </w:p>
    <w:p w14:paraId="66E71715" w14:textId="77777777" w:rsidR="00D31620" w:rsidRDefault="00D31620">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4A6D74EB" w14:textId="77777777" w:rsidR="00D31620" w:rsidRDefault="00D31620">
      <w:pPr>
        <w:pStyle w:val="XBRLTitle3"/>
        <w:spacing w:before="156"/>
        <w:ind w:left="0"/>
      </w:pPr>
      <w:bookmarkStart w:id="266" w:name="_Toc490050037"/>
      <w:bookmarkStart w:id="267" w:name="_Toc481075084"/>
      <w:bookmarkStart w:id="268" w:name="_Toc512519516"/>
      <w:bookmarkStart w:id="269" w:name="_Toc513295928"/>
      <w:bookmarkStart w:id="270" w:name="_Toc17898215"/>
      <w:bookmarkEnd w:id="266"/>
      <w:bookmarkEnd w:id="267"/>
      <w:bookmarkEnd w:id="268"/>
      <w:r>
        <w:rPr>
          <w:rFonts w:hint="eastAsia"/>
        </w:rPr>
        <w:lastRenderedPageBreak/>
        <w:t> </w:t>
      </w:r>
      <w:bookmarkEnd w:id="269"/>
      <w:r>
        <w:rPr>
          <w:rFonts w:hint="eastAsia"/>
          <w:lang w:eastAsia="zh-CN"/>
        </w:rPr>
        <w:t xml:space="preserve"> </w:t>
      </w:r>
      <w:bookmarkEnd w:id="270"/>
    </w:p>
    <w:p w14:paraId="642B319D" w14:textId="77777777" w:rsidR="00D31620" w:rsidRDefault="00D31620">
      <w:pPr>
        <w:spacing w:line="360" w:lineRule="auto"/>
        <w:ind w:firstLineChars="200" w:firstLine="420"/>
      </w:pPr>
      <w:r>
        <w:rPr>
          <w:rFonts w:ascii="宋体" w:hAnsi="宋体" w:hint="eastAsia"/>
        </w:rPr>
        <w:t>报告期内本基金投资的前十名股票中没有在基金合同规定备选股票库之外的股票。</w:t>
      </w:r>
    </w:p>
    <w:p w14:paraId="681B307F" w14:textId="77777777" w:rsidR="00D31620" w:rsidRDefault="00D31620">
      <w:pPr>
        <w:pStyle w:val="XBRLTitle3"/>
        <w:spacing w:before="156"/>
        <w:ind w:left="0"/>
      </w:pPr>
      <w:bookmarkStart w:id="271" w:name="_Toc17898216"/>
      <w:bookmarkStart w:id="272" w:name="_Toc481075085"/>
      <w:bookmarkStart w:id="273" w:name="_Toc490050038"/>
      <w:bookmarkStart w:id="274" w:name="_Toc512519517"/>
      <w:bookmarkStart w:id="275" w:name="_Toc513295929"/>
      <w:bookmarkStart w:id="276" w:name="m510_02"/>
      <w:bookmarkEnd w:id="253"/>
      <w:r>
        <w:rPr>
          <w:rFonts w:hint="eastAsia"/>
        </w:rPr>
        <w:t>其他资产构成</w:t>
      </w:r>
      <w:bookmarkEnd w:id="271"/>
      <w:bookmarkEnd w:id="272"/>
      <w:bookmarkEnd w:id="273"/>
      <w:bookmarkEnd w:id="274"/>
      <w:bookmarkEnd w:id="2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7D01C3" w14:paraId="21F7547D" w14:textId="77777777">
        <w:trPr>
          <w:divId w:val="1977955588"/>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205784" w14:textId="77777777" w:rsidR="00D31620" w:rsidRDefault="00D31620">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CA6BEC" w14:textId="77777777" w:rsidR="00D31620" w:rsidRDefault="00D31620">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9B1812" w14:textId="77777777" w:rsidR="00D31620" w:rsidRDefault="00D31620">
            <w:pPr>
              <w:jc w:val="center"/>
            </w:pPr>
            <w:r>
              <w:rPr>
                <w:rFonts w:ascii="宋体" w:hAnsi="宋体" w:hint="eastAsia"/>
              </w:rPr>
              <w:t>金额（元）</w:t>
            </w:r>
            <w:r>
              <w:t xml:space="preserve"> </w:t>
            </w:r>
          </w:p>
        </w:tc>
      </w:tr>
      <w:tr w:rsidR="007D01C3" w14:paraId="3D6B0939" w14:textId="77777777">
        <w:trPr>
          <w:divId w:val="197795558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71131B" w14:textId="77777777" w:rsidR="00D31620" w:rsidRDefault="00D31620">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F6C888" w14:textId="77777777" w:rsidR="00D31620" w:rsidRDefault="00D31620">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77B517" w14:textId="77777777" w:rsidR="00D31620" w:rsidRDefault="00D31620">
            <w:pPr>
              <w:jc w:val="right"/>
            </w:pPr>
            <w:r>
              <w:rPr>
                <w:rFonts w:ascii="宋体" w:hAnsi="宋体" w:hint="eastAsia"/>
              </w:rPr>
              <w:t>27,795.20</w:t>
            </w:r>
          </w:p>
        </w:tc>
      </w:tr>
      <w:tr w:rsidR="007D01C3" w14:paraId="66FC9BF6" w14:textId="77777777">
        <w:trPr>
          <w:divId w:val="197795558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4DAFB1" w14:textId="77777777" w:rsidR="00D31620" w:rsidRDefault="00D31620">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59E6EE" w14:textId="77777777" w:rsidR="00D31620" w:rsidRDefault="00D31620">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FCF2D5" w14:textId="77777777" w:rsidR="00D31620" w:rsidRDefault="00D31620">
            <w:pPr>
              <w:jc w:val="right"/>
            </w:pPr>
            <w:r>
              <w:rPr>
                <w:rFonts w:ascii="宋体" w:hAnsi="宋体" w:hint="eastAsia"/>
              </w:rPr>
              <w:t>592,137.99</w:t>
            </w:r>
          </w:p>
        </w:tc>
      </w:tr>
      <w:tr w:rsidR="007D01C3" w14:paraId="7AA6AD95" w14:textId="77777777">
        <w:trPr>
          <w:divId w:val="197795558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F80A42" w14:textId="77777777" w:rsidR="00D31620" w:rsidRDefault="00D31620">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AE29F1" w14:textId="77777777" w:rsidR="00D31620" w:rsidRDefault="00D31620">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8BE394" w14:textId="77777777" w:rsidR="00D31620" w:rsidRDefault="00D31620">
            <w:pPr>
              <w:jc w:val="right"/>
            </w:pPr>
            <w:r>
              <w:rPr>
                <w:rFonts w:ascii="宋体" w:hAnsi="宋体" w:hint="eastAsia"/>
              </w:rPr>
              <w:t>-</w:t>
            </w:r>
          </w:p>
        </w:tc>
      </w:tr>
      <w:tr w:rsidR="007D01C3" w14:paraId="18E08EE6" w14:textId="77777777">
        <w:trPr>
          <w:divId w:val="197795558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5E210A" w14:textId="77777777" w:rsidR="00D31620" w:rsidRDefault="00D31620">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267CD6" w14:textId="77777777" w:rsidR="00D31620" w:rsidRDefault="00D31620">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8FEF6A" w14:textId="77777777" w:rsidR="00D31620" w:rsidRDefault="00D31620">
            <w:pPr>
              <w:jc w:val="right"/>
            </w:pPr>
            <w:r>
              <w:rPr>
                <w:rFonts w:ascii="宋体" w:hAnsi="宋体" w:hint="eastAsia"/>
              </w:rPr>
              <w:t>-</w:t>
            </w:r>
          </w:p>
        </w:tc>
      </w:tr>
      <w:tr w:rsidR="007D01C3" w14:paraId="1133F905" w14:textId="77777777">
        <w:trPr>
          <w:divId w:val="197795558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D6DBC7" w14:textId="77777777" w:rsidR="00D31620" w:rsidRDefault="00D31620">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BA5369" w14:textId="77777777" w:rsidR="00D31620" w:rsidRDefault="00D31620">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1EAF33" w14:textId="77777777" w:rsidR="00D31620" w:rsidRDefault="00D31620">
            <w:pPr>
              <w:jc w:val="right"/>
            </w:pPr>
            <w:r>
              <w:rPr>
                <w:rFonts w:ascii="宋体" w:hAnsi="宋体" w:hint="eastAsia"/>
              </w:rPr>
              <w:t>9.99</w:t>
            </w:r>
          </w:p>
        </w:tc>
      </w:tr>
      <w:tr w:rsidR="007D01C3" w14:paraId="7E9A61BB" w14:textId="77777777">
        <w:trPr>
          <w:divId w:val="197795558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E4DEDB" w14:textId="77777777" w:rsidR="00D31620" w:rsidRDefault="00D31620">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4632B8" w14:textId="77777777" w:rsidR="00D31620" w:rsidRDefault="00D31620">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146CAF" w14:textId="77777777" w:rsidR="00D31620" w:rsidRDefault="00D31620">
            <w:pPr>
              <w:jc w:val="right"/>
            </w:pPr>
            <w:r>
              <w:rPr>
                <w:rFonts w:ascii="宋体" w:hAnsi="宋体" w:hint="eastAsia"/>
              </w:rPr>
              <w:t>-</w:t>
            </w:r>
          </w:p>
        </w:tc>
      </w:tr>
      <w:tr w:rsidR="007D01C3" w14:paraId="377A53DB" w14:textId="77777777">
        <w:trPr>
          <w:divId w:val="197795558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A43787" w14:textId="77777777" w:rsidR="00D31620" w:rsidRDefault="00D31620">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F2DB6F" w14:textId="77777777" w:rsidR="00D31620" w:rsidRDefault="00D31620">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8FD4C" w14:textId="77777777" w:rsidR="00D31620" w:rsidRDefault="00D31620">
            <w:pPr>
              <w:jc w:val="right"/>
            </w:pPr>
            <w:r>
              <w:rPr>
                <w:rFonts w:ascii="宋体" w:hAnsi="宋体" w:hint="eastAsia"/>
              </w:rPr>
              <w:t>-</w:t>
            </w:r>
          </w:p>
        </w:tc>
      </w:tr>
      <w:tr w:rsidR="007D01C3" w14:paraId="14701967" w14:textId="77777777">
        <w:trPr>
          <w:divId w:val="197795558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FCD26" w14:textId="77777777" w:rsidR="00D31620" w:rsidRDefault="00D31620">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9E2DC8" w14:textId="77777777" w:rsidR="00D31620" w:rsidRDefault="00D31620">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4F189D" w14:textId="77777777" w:rsidR="00D31620" w:rsidRDefault="00D31620">
            <w:pPr>
              <w:jc w:val="right"/>
            </w:pPr>
            <w:r>
              <w:rPr>
                <w:rFonts w:ascii="宋体" w:hAnsi="宋体" w:hint="eastAsia"/>
              </w:rPr>
              <w:t>619,943.18</w:t>
            </w:r>
          </w:p>
        </w:tc>
      </w:tr>
    </w:tbl>
    <w:p w14:paraId="2B8B3A25" w14:textId="77777777" w:rsidR="00D31620" w:rsidRDefault="00D31620">
      <w:pPr>
        <w:pStyle w:val="XBRLTitle3"/>
        <w:spacing w:before="156"/>
        <w:ind w:left="0"/>
      </w:pPr>
      <w:bookmarkStart w:id="277" w:name="_Toc17898217"/>
      <w:bookmarkStart w:id="278" w:name="_Toc481075086"/>
      <w:bookmarkStart w:id="279" w:name="_Toc490050039"/>
      <w:bookmarkStart w:id="280" w:name="_Toc512519518"/>
      <w:bookmarkStart w:id="281" w:name="_Toc513295930"/>
      <w:bookmarkStart w:id="282" w:name="m510_03"/>
      <w:bookmarkEnd w:id="276"/>
      <w:r>
        <w:rPr>
          <w:rFonts w:hint="eastAsia"/>
        </w:rPr>
        <w:t>报告期末持有的处于转股期的可转换债券明细</w:t>
      </w:r>
      <w:bookmarkEnd w:id="277"/>
      <w:bookmarkEnd w:id="278"/>
      <w:bookmarkEnd w:id="279"/>
      <w:bookmarkEnd w:id="280"/>
      <w:bookmarkEnd w:id="281"/>
    </w:p>
    <w:p w14:paraId="174259FC" w14:textId="77777777" w:rsidR="00D31620" w:rsidRDefault="00D31620">
      <w:pPr>
        <w:spacing w:line="360" w:lineRule="auto"/>
        <w:ind w:firstLineChars="200" w:firstLine="420"/>
        <w:jc w:val="left"/>
      </w:pPr>
      <w:r>
        <w:rPr>
          <w:rFonts w:ascii="宋体" w:hAnsi="宋体" w:hint="eastAsia"/>
        </w:rPr>
        <w:t xml:space="preserve">本基金本报告期末未持有处于转股期的可转换债券。 </w:t>
      </w:r>
    </w:p>
    <w:p w14:paraId="6782E964" w14:textId="77777777" w:rsidR="00D31620" w:rsidRDefault="00D31620">
      <w:pPr>
        <w:pStyle w:val="XBRLTitle3"/>
        <w:spacing w:before="156"/>
        <w:ind w:left="0"/>
      </w:pPr>
      <w:bookmarkStart w:id="283" w:name="_Toc17898218"/>
      <w:bookmarkStart w:id="284" w:name="_Toc481075087"/>
      <w:bookmarkStart w:id="285" w:name="_Toc490050040"/>
      <w:bookmarkStart w:id="286" w:name="_Toc512519519"/>
      <w:bookmarkStart w:id="287" w:name="_Toc513295931"/>
      <w:bookmarkStart w:id="288" w:name="m510_04"/>
      <w:bookmarkEnd w:id="282"/>
      <w:r>
        <w:rPr>
          <w:rFonts w:hint="eastAsia"/>
        </w:rPr>
        <w:t>报告期末前十名股票中存在流通受限情况的说明</w:t>
      </w:r>
      <w:bookmarkEnd w:id="283"/>
      <w:bookmarkEnd w:id="284"/>
      <w:bookmarkEnd w:id="285"/>
      <w:bookmarkEnd w:id="286"/>
      <w:bookmarkEnd w:id="287"/>
    </w:p>
    <w:p w14:paraId="2440A128" w14:textId="77777777" w:rsidR="00D31620" w:rsidRDefault="00D31620">
      <w:pPr>
        <w:spacing w:line="360" w:lineRule="auto"/>
        <w:ind w:firstLineChars="200" w:firstLine="420"/>
        <w:jc w:val="left"/>
        <w:divId w:val="2121292175"/>
      </w:pPr>
      <w:r>
        <w:rPr>
          <w:rFonts w:ascii="宋体" w:hAnsi="宋体" w:hint="eastAsia"/>
        </w:rPr>
        <w:t>本基金本报告期末前十名股票中不存在流通受限情况。</w:t>
      </w:r>
      <w:bookmarkEnd w:id="17"/>
      <w:bookmarkEnd w:id="18"/>
      <w:bookmarkEnd w:id="19"/>
      <w:bookmarkEnd w:id="20"/>
      <w:bookmarkEnd w:id="21"/>
    </w:p>
    <w:p w14:paraId="5E7350B9" w14:textId="77777777" w:rsidR="00D31620" w:rsidRDefault="00D31620">
      <w:pPr>
        <w:pStyle w:val="XBRLTitle3"/>
        <w:spacing w:before="156"/>
        <w:ind w:left="0"/>
      </w:pPr>
      <w:bookmarkStart w:id="289" w:name="_Toc17898219"/>
      <w:bookmarkStart w:id="290" w:name="_Toc512519520"/>
      <w:bookmarkStart w:id="291" w:name="_Toc481075088"/>
      <w:bookmarkStart w:id="292" w:name="_Toc490050041"/>
      <w:bookmarkStart w:id="293" w:name="_Toc513295932"/>
      <w:bookmarkStart w:id="294" w:name="m510_05_1678"/>
      <w:bookmarkEnd w:id="288"/>
      <w:r>
        <w:rPr>
          <w:rFonts w:hint="eastAsia"/>
        </w:rPr>
        <w:t>投资组合报告附注的其他文字描述部分</w:t>
      </w:r>
      <w:bookmarkEnd w:id="289"/>
      <w:bookmarkEnd w:id="290"/>
      <w:bookmarkEnd w:id="291"/>
      <w:bookmarkEnd w:id="292"/>
      <w:bookmarkEnd w:id="293"/>
      <w:r>
        <w:rPr>
          <w:rFonts w:hint="eastAsia"/>
          <w:sz w:val="21"/>
        </w:rPr>
        <w:t xml:space="preserve"> </w:t>
      </w:r>
    </w:p>
    <w:p w14:paraId="08ECB735" w14:textId="77777777" w:rsidR="00D31620" w:rsidRDefault="00D31620">
      <w:pPr>
        <w:spacing w:line="360" w:lineRule="auto"/>
        <w:ind w:firstLineChars="200" w:firstLine="420"/>
        <w:jc w:val="left"/>
      </w:pPr>
      <w:r>
        <w:rPr>
          <w:rFonts w:ascii="宋体" w:hAnsi="宋体" w:hint="eastAsia"/>
        </w:rPr>
        <w:t>因四舍五入原因，投资组合报告中分项之和与合计可能存在尾差。</w:t>
      </w:r>
      <w:bookmarkEnd w:id="294"/>
      <w:r>
        <w:rPr>
          <w:rFonts w:ascii="宋体" w:hAnsi="宋体" w:hint="eastAsia"/>
        </w:rPr>
        <w:t xml:space="preserve"> </w:t>
      </w:r>
    </w:p>
    <w:p w14:paraId="7C3D123D" w14:textId="77777777" w:rsidR="00D31620" w:rsidRDefault="00D31620">
      <w:pPr>
        <w:pStyle w:val="XBRLTitle1"/>
        <w:spacing w:before="156" w:line="360" w:lineRule="auto"/>
        <w:ind w:left="425"/>
      </w:pPr>
      <w:bookmarkStart w:id="295" w:name="_Toc17898220"/>
      <w:bookmarkStart w:id="296" w:name="_Toc17897961"/>
      <w:bookmarkStart w:id="297" w:name="_Toc512519521"/>
      <w:bookmarkStart w:id="298" w:name="_Toc481075089"/>
      <w:bookmarkStart w:id="299" w:name="_Toc438646477"/>
      <w:bookmarkStart w:id="300" w:name="_Toc490050042"/>
      <w:bookmarkStart w:id="301" w:name="_Toc513295870"/>
      <w:bookmarkStart w:id="302" w:name="_Toc513295933"/>
      <w:bookmarkStart w:id="303" w:name="m601"/>
      <w:bookmarkEnd w:id="182"/>
      <w:r>
        <w:rPr>
          <w:rFonts w:hAnsi="宋体" w:hint="eastAsia"/>
        </w:rPr>
        <w:t>开放式基金份额变动</w:t>
      </w:r>
      <w:bookmarkStart w:id="304" w:name="m601_tab"/>
      <w:bookmarkEnd w:id="295"/>
      <w:bookmarkEnd w:id="296"/>
      <w:bookmarkEnd w:id="297"/>
      <w:bookmarkEnd w:id="298"/>
      <w:bookmarkEnd w:id="299"/>
      <w:bookmarkEnd w:id="300"/>
      <w:bookmarkEnd w:id="301"/>
      <w:bookmarkEnd w:id="302"/>
      <w:r>
        <w:rPr>
          <w:rFonts w:hAnsi="宋体" w:hint="eastAsia"/>
        </w:rPr>
        <w:t xml:space="preserve"> </w:t>
      </w:r>
    </w:p>
    <w:p w14:paraId="4DF1B1E2" w14:textId="77777777" w:rsidR="00D31620" w:rsidRDefault="00D31620">
      <w:pPr>
        <w:wordWrap w:val="0"/>
        <w:spacing w:line="360" w:lineRule="auto"/>
        <w:jc w:val="right"/>
        <w:divId w:val="1731728370"/>
      </w:pPr>
      <w:bookmarkStart w:id="305"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7D01C3" w14:paraId="3654D8BB" w14:textId="77777777">
        <w:trPr>
          <w:divId w:val="1731728370"/>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305"/>
          <w:p w14:paraId="4C421187" w14:textId="77777777" w:rsidR="00D31620" w:rsidRDefault="00D3162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A74D80" w14:textId="77777777" w:rsidR="00D31620" w:rsidRDefault="00D31620">
            <w:pPr>
              <w:jc w:val="right"/>
            </w:pPr>
            <w:r>
              <w:rPr>
                <w:rFonts w:ascii="宋体" w:hAnsi="宋体" w:hint="eastAsia"/>
                <w:kern w:val="0"/>
                <w:szCs w:val="24"/>
                <w:lang w:eastAsia="zh-Hans"/>
              </w:rPr>
              <w:t>38,235,531.11</w:t>
            </w:r>
          </w:p>
        </w:tc>
      </w:tr>
      <w:tr w:rsidR="007D01C3" w14:paraId="02056C7B" w14:textId="77777777">
        <w:trPr>
          <w:divId w:val="1731728370"/>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0B3E5F" w14:textId="77777777" w:rsidR="00D31620" w:rsidRDefault="00D3162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64A471" w14:textId="77777777" w:rsidR="00D31620" w:rsidRDefault="00D31620">
            <w:pPr>
              <w:jc w:val="right"/>
            </w:pPr>
            <w:r>
              <w:rPr>
                <w:rFonts w:ascii="宋体" w:hAnsi="宋体" w:hint="eastAsia"/>
                <w:lang w:eastAsia="zh-Hans"/>
              </w:rPr>
              <w:t>863,476.90</w:t>
            </w:r>
          </w:p>
        </w:tc>
      </w:tr>
      <w:tr w:rsidR="007D01C3" w14:paraId="6D0DD71F" w14:textId="77777777">
        <w:trPr>
          <w:divId w:val="1731728370"/>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1F4DAD" w14:textId="77777777" w:rsidR="00D31620" w:rsidRDefault="00D3162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F3B905" w14:textId="77777777" w:rsidR="00D31620" w:rsidRDefault="00D31620">
            <w:pPr>
              <w:jc w:val="right"/>
            </w:pPr>
            <w:r>
              <w:rPr>
                <w:rFonts w:ascii="宋体" w:hAnsi="宋体" w:hint="eastAsia"/>
                <w:lang w:eastAsia="zh-Hans"/>
              </w:rPr>
              <w:t>10,561,072.91</w:t>
            </w:r>
          </w:p>
        </w:tc>
      </w:tr>
      <w:tr w:rsidR="007D01C3" w14:paraId="6A0FCBAA" w14:textId="77777777">
        <w:trPr>
          <w:divId w:val="1731728370"/>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02A617" w14:textId="77777777" w:rsidR="00D31620" w:rsidRDefault="00D3162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AA9480" w14:textId="77777777" w:rsidR="00D31620" w:rsidRDefault="00D31620">
            <w:pPr>
              <w:jc w:val="right"/>
            </w:pPr>
            <w:r>
              <w:rPr>
                <w:rFonts w:ascii="宋体" w:hAnsi="宋体" w:hint="eastAsia"/>
                <w:lang w:eastAsia="zh-Hans"/>
              </w:rPr>
              <w:t>-</w:t>
            </w:r>
          </w:p>
        </w:tc>
      </w:tr>
      <w:tr w:rsidR="007D01C3" w14:paraId="22265F7A" w14:textId="77777777">
        <w:trPr>
          <w:divId w:val="1731728370"/>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051870" w14:textId="77777777" w:rsidR="00D31620" w:rsidRDefault="00D3162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877F2B" w14:textId="77777777" w:rsidR="00D31620" w:rsidRDefault="00D31620">
            <w:pPr>
              <w:jc w:val="right"/>
            </w:pPr>
            <w:r>
              <w:rPr>
                <w:rFonts w:ascii="宋体" w:hAnsi="宋体" w:hint="eastAsia"/>
                <w:szCs w:val="24"/>
                <w:lang w:eastAsia="zh-Hans"/>
              </w:rPr>
              <w:t>28,537,935.10</w:t>
            </w:r>
            <w:r>
              <w:rPr>
                <w:rFonts w:ascii="宋体" w:hAnsi="宋体" w:hint="eastAsia"/>
                <w:lang w:eastAsia="zh-Hans"/>
              </w:rPr>
              <w:t xml:space="preserve"> </w:t>
            </w:r>
          </w:p>
        </w:tc>
      </w:tr>
    </w:tbl>
    <w:p w14:paraId="35299068" w14:textId="77777777" w:rsidR="00D31620" w:rsidRDefault="00D31620">
      <w:pPr>
        <w:spacing w:line="360" w:lineRule="auto"/>
        <w:jc w:val="left"/>
        <w:divId w:val="1731728370"/>
      </w:pPr>
      <w:r>
        <w:rPr>
          <w:rFonts w:ascii="宋体" w:hAnsi="宋体" w:hint="eastAsia"/>
          <w:szCs w:val="21"/>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1695AB64" w14:textId="77777777" w:rsidR="00D31620" w:rsidRDefault="00D31620">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3"/>
      <w:bookmarkEnd w:id="304"/>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r>
        <w:rPr>
          <w:rFonts w:hAnsi="宋体" w:hint="eastAsia"/>
        </w:rPr>
        <w:t xml:space="preserve"> </w:t>
      </w:r>
    </w:p>
    <w:p w14:paraId="06DCEB5B" w14:textId="77777777" w:rsidR="00D31620" w:rsidRDefault="00D31620">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r>
        <w:rPr>
          <w:rFonts w:hAnsi="宋体" w:hint="eastAsia"/>
        </w:rPr>
        <w:t>基金管理人持有本基金份额变动情况</w:t>
      </w:r>
      <w:bookmarkEnd w:id="315"/>
      <w:bookmarkEnd w:id="316"/>
      <w:bookmarkEnd w:id="317"/>
      <w:bookmarkEnd w:id="318"/>
      <w:bookmarkEnd w:id="319"/>
      <w:bookmarkEnd w:id="320"/>
      <w:bookmarkEnd w:id="321"/>
      <w:bookmarkEnd w:id="322"/>
      <w:r>
        <w:rPr>
          <w:rFonts w:hAnsi="宋体" w:hint="eastAsia"/>
          <w:lang w:eastAsia="zh-CN"/>
        </w:rPr>
        <w:t xml:space="preserve"> </w:t>
      </w:r>
    </w:p>
    <w:p w14:paraId="643DB53C" w14:textId="77777777" w:rsidR="00D31620" w:rsidRDefault="00D31620">
      <w:pPr>
        <w:spacing w:line="360" w:lineRule="auto"/>
        <w:ind w:firstLineChars="200" w:firstLine="420"/>
        <w:jc w:val="left"/>
        <w:divId w:val="732385144"/>
      </w:pPr>
      <w:r>
        <w:rPr>
          <w:rFonts w:ascii="宋体" w:hAnsi="宋体" w:hint="eastAsia"/>
          <w:szCs w:val="21"/>
          <w:lang w:eastAsia="zh-Hans"/>
        </w:rPr>
        <w:t>无。</w:t>
      </w:r>
      <w:r>
        <w:rPr>
          <w:rFonts w:ascii="宋体" w:hAnsi="宋体" w:hint="eastAsia"/>
        </w:rPr>
        <w:t xml:space="preserve"> </w:t>
      </w:r>
    </w:p>
    <w:p w14:paraId="2E5E9AF6" w14:textId="77777777" w:rsidR="00D31620" w:rsidRDefault="00D31620">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r>
        <w:rPr>
          <w:rFonts w:hAnsi="宋体" w:hint="eastAsia"/>
        </w:rPr>
        <w:t>基金管理人运用固有资金投资本基金交易明细</w:t>
      </w:r>
      <w:bookmarkEnd w:id="323"/>
      <w:bookmarkEnd w:id="324"/>
      <w:bookmarkEnd w:id="325"/>
      <w:bookmarkEnd w:id="326"/>
      <w:bookmarkEnd w:id="327"/>
      <w:bookmarkEnd w:id="328"/>
      <w:bookmarkEnd w:id="329"/>
      <w:bookmarkEnd w:id="330"/>
      <w:r>
        <w:rPr>
          <w:rFonts w:hAnsi="宋体" w:hint="eastAsia"/>
          <w:lang w:eastAsia="zh-CN"/>
        </w:rPr>
        <w:t xml:space="preserve"> </w:t>
      </w:r>
    </w:p>
    <w:p w14:paraId="7E6B92E0" w14:textId="77777777" w:rsidR="00D31620" w:rsidRDefault="00D31620">
      <w:pPr>
        <w:spacing w:line="360" w:lineRule="auto"/>
        <w:ind w:firstLineChars="200" w:firstLine="420"/>
        <w:jc w:val="left"/>
        <w:divId w:val="1157457799"/>
      </w:pPr>
      <w:r>
        <w:rPr>
          <w:rFonts w:ascii="宋体" w:hAnsi="宋体" w:hint="eastAsia"/>
          <w:lang w:eastAsia="zh-Hans"/>
        </w:rPr>
        <w:lastRenderedPageBreak/>
        <w:t>无。</w:t>
      </w:r>
      <w:r>
        <w:rPr>
          <w:rFonts w:ascii="宋体" w:hAnsi="宋体" w:hint="eastAsia"/>
        </w:rPr>
        <w:t xml:space="preserve"> </w:t>
      </w:r>
    </w:p>
    <w:p w14:paraId="7FEE8E76" w14:textId="77777777" w:rsidR="00D31620" w:rsidRDefault="00D31620">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r>
        <w:rPr>
          <w:rFonts w:hAnsi="宋体" w:hint="eastAsia"/>
        </w:rPr>
        <w:t>影响投资者决策的其他重要信息</w:t>
      </w:r>
      <w:bookmarkEnd w:id="331"/>
      <w:bookmarkEnd w:id="332"/>
      <w:bookmarkEnd w:id="333"/>
      <w:bookmarkEnd w:id="334"/>
      <w:bookmarkEnd w:id="335"/>
      <w:bookmarkEnd w:id="336"/>
      <w:bookmarkEnd w:id="337"/>
      <w:bookmarkEnd w:id="338"/>
      <w:r>
        <w:rPr>
          <w:rFonts w:hAnsi="宋体" w:hint="eastAsia"/>
          <w:lang w:eastAsia="zh-CN"/>
        </w:rPr>
        <w:t xml:space="preserve"> </w:t>
      </w:r>
    </w:p>
    <w:p w14:paraId="7DDC4511" w14:textId="77777777" w:rsidR="00D31620" w:rsidRDefault="00D31620">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1"/>
    <w:bookmarkEnd w:id="42"/>
    <w:p w14:paraId="0652954A" w14:textId="77777777" w:rsidR="00D31620" w:rsidRDefault="00D31620">
      <w:pPr>
        <w:spacing w:line="360" w:lineRule="auto"/>
        <w:ind w:firstLineChars="200" w:firstLine="420"/>
        <w:divId w:val="1271741044"/>
        <w:rPr>
          <w:rFonts w:ascii="宋体" w:hAnsi="宋体" w:hint="eastAsia"/>
          <w:szCs w:val="21"/>
          <w:lang w:eastAsia="zh-Hans"/>
        </w:rPr>
      </w:pPr>
      <w:r>
        <w:rPr>
          <w:rFonts w:ascii="宋体" w:hAnsi="宋体" w:hint="eastAsia"/>
          <w:szCs w:val="21"/>
          <w:lang w:eastAsia="zh-Hans"/>
        </w:rPr>
        <w:t>无。</w:t>
      </w:r>
    </w:p>
    <w:p w14:paraId="2935F1F4" w14:textId="77777777" w:rsidR="00D31620" w:rsidRDefault="00D31620">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r>
        <w:rPr>
          <w:rFonts w:hAnsi="宋体" w:hint="eastAsia"/>
        </w:rPr>
        <w:t>备查文件目录</w:t>
      </w:r>
      <w:bookmarkEnd w:id="347"/>
      <w:bookmarkEnd w:id="348"/>
      <w:bookmarkEnd w:id="349"/>
      <w:bookmarkEnd w:id="350"/>
      <w:bookmarkEnd w:id="351"/>
      <w:bookmarkEnd w:id="352"/>
      <w:bookmarkEnd w:id="353"/>
      <w:bookmarkEnd w:id="354"/>
      <w:r>
        <w:rPr>
          <w:rFonts w:hAnsi="宋体" w:hint="eastAsia"/>
        </w:rPr>
        <w:t xml:space="preserve"> </w:t>
      </w:r>
    </w:p>
    <w:p w14:paraId="158FEEB7" w14:textId="77777777" w:rsidR="00D31620" w:rsidRDefault="00D31620">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r>
        <w:rPr>
          <w:rFonts w:hAnsi="宋体" w:hint="eastAsia"/>
        </w:rPr>
        <w:t>备查文件目录</w:t>
      </w:r>
      <w:bookmarkEnd w:id="355"/>
      <w:bookmarkEnd w:id="356"/>
      <w:bookmarkEnd w:id="357"/>
      <w:bookmarkEnd w:id="358"/>
      <w:bookmarkEnd w:id="359"/>
      <w:bookmarkEnd w:id="360"/>
      <w:bookmarkEnd w:id="361"/>
      <w:bookmarkEnd w:id="362"/>
      <w:r>
        <w:rPr>
          <w:rFonts w:hAnsi="宋体" w:hint="eastAsia"/>
        </w:rPr>
        <w:t xml:space="preserve"> </w:t>
      </w:r>
    </w:p>
    <w:p w14:paraId="4DC5AA7C" w14:textId="77777777" w:rsidR="00D31620" w:rsidRDefault="00D31620">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(二)摩根鑫睿优选一年持有期混合型证券投资基金基金合同</w:t>
      </w:r>
      <w:r>
        <w:rPr>
          <w:rFonts w:ascii="宋体" w:hAnsi="宋体" w:cs="宋体" w:hint="eastAsia"/>
          <w:color w:val="000000"/>
          <w:kern w:val="0"/>
        </w:rPr>
        <w:br/>
        <w:t xml:space="preserve">　　(三)摩根鑫睿优选一年持有期混合型证券投资基金托管协议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332A463E" w14:textId="77777777" w:rsidR="00D31620" w:rsidRDefault="00D31620">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r>
        <w:rPr>
          <w:rFonts w:hAnsi="宋体" w:hint="eastAsia"/>
        </w:rPr>
        <w:t>存放地点</w:t>
      </w:r>
      <w:bookmarkEnd w:id="364"/>
      <w:bookmarkEnd w:id="365"/>
      <w:bookmarkEnd w:id="366"/>
      <w:bookmarkEnd w:id="367"/>
      <w:bookmarkEnd w:id="368"/>
      <w:bookmarkEnd w:id="369"/>
      <w:bookmarkEnd w:id="370"/>
      <w:bookmarkEnd w:id="371"/>
      <w:r>
        <w:rPr>
          <w:rFonts w:hAnsi="宋体" w:hint="eastAsia"/>
        </w:rPr>
        <w:t xml:space="preserve"> </w:t>
      </w:r>
    </w:p>
    <w:p w14:paraId="77D58147" w14:textId="77777777" w:rsidR="00D31620" w:rsidRDefault="00D31620">
      <w:pPr>
        <w:spacing w:line="360" w:lineRule="auto"/>
        <w:ind w:firstLineChars="200" w:firstLine="420"/>
        <w:jc w:val="left"/>
      </w:pPr>
      <w:r>
        <w:rPr>
          <w:rFonts w:ascii="宋体" w:hAnsi="宋体" w:cs="宋体" w:hint="eastAsia"/>
          <w:color w:val="000000"/>
          <w:kern w:val="0"/>
        </w:rPr>
        <w:t>基金管理人或基金托管人住所。</w:t>
      </w:r>
    </w:p>
    <w:p w14:paraId="54CD68F1" w14:textId="77777777" w:rsidR="00D31620" w:rsidRDefault="00D31620">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r>
        <w:rPr>
          <w:rFonts w:hAnsi="宋体" w:hint="eastAsia"/>
        </w:rPr>
        <w:t>查阅方式</w:t>
      </w:r>
      <w:bookmarkEnd w:id="373"/>
      <w:bookmarkEnd w:id="374"/>
      <w:bookmarkEnd w:id="375"/>
      <w:bookmarkEnd w:id="376"/>
      <w:bookmarkEnd w:id="377"/>
      <w:bookmarkEnd w:id="378"/>
      <w:bookmarkEnd w:id="379"/>
      <w:bookmarkEnd w:id="380"/>
      <w:r>
        <w:rPr>
          <w:rFonts w:hAnsi="宋体" w:hint="eastAsia"/>
        </w:rPr>
        <w:t xml:space="preserve"> </w:t>
      </w:r>
    </w:p>
    <w:p w14:paraId="673FD1F8" w14:textId="77777777" w:rsidR="00D31620" w:rsidRDefault="00D31620">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166710EE" w14:textId="77777777" w:rsidR="00D31620" w:rsidRDefault="00D31620">
      <w:pPr>
        <w:spacing w:line="360" w:lineRule="auto"/>
        <w:ind w:firstLineChars="600" w:firstLine="1687"/>
        <w:jc w:val="left"/>
      </w:pPr>
      <w:r>
        <w:rPr>
          <w:rFonts w:ascii="宋体" w:hAnsi="宋体" w:hint="eastAsia"/>
          <w:b/>
          <w:bCs/>
          <w:sz w:val="28"/>
          <w:szCs w:val="30"/>
        </w:rPr>
        <w:t xml:space="preserve">　 </w:t>
      </w:r>
    </w:p>
    <w:p w14:paraId="0B013B47" w14:textId="77777777" w:rsidR="00D31620" w:rsidRDefault="00D31620">
      <w:pPr>
        <w:spacing w:line="360" w:lineRule="auto"/>
        <w:ind w:firstLineChars="600" w:firstLine="1687"/>
        <w:jc w:val="left"/>
      </w:pPr>
      <w:r>
        <w:rPr>
          <w:rFonts w:ascii="宋体" w:hAnsi="宋体" w:hint="eastAsia"/>
          <w:b/>
          <w:bCs/>
          <w:sz w:val="28"/>
          <w:szCs w:val="30"/>
        </w:rPr>
        <w:t xml:space="preserve">　 </w:t>
      </w:r>
    </w:p>
    <w:p w14:paraId="494BCAD7" w14:textId="77777777" w:rsidR="00D31620" w:rsidRDefault="00D31620">
      <w:pPr>
        <w:spacing w:line="360" w:lineRule="auto"/>
        <w:ind w:firstLineChars="600" w:firstLine="1446"/>
        <w:jc w:val="right"/>
      </w:pPr>
      <w:r>
        <w:rPr>
          <w:rFonts w:ascii="宋体" w:hAnsi="宋体" w:hint="eastAsia"/>
          <w:b/>
          <w:bCs/>
          <w:sz w:val="24"/>
          <w:szCs w:val="24"/>
        </w:rPr>
        <w:t>摩根基金管理（中国）有限公司</w:t>
      </w:r>
    </w:p>
    <w:p w14:paraId="7BB16ED9" w14:textId="77777777" w:rsidR="00D31620" w:rsidRDefault="00D31620">
      <w:pPr>
        <w:spacing w:line="360" w:lineRule="auto"/>
        <w:ind w:firstLineChars="600" w:firstLine="1446"/>
        <w:jc w:val="right"/>
      </w:pPr>
      <w:r>
        <w:rPr>
          <w:rFonts w:ascii="宋体" w:hAnsi="宋体" w:hint="eastAsia"/>
          <w:b/>
          <w:bCs/>
          <w:sz w:val="24"/>
          <w:szCs w:val="24"/>
        </w:rPr>
        <w:t>2026年4月22日</w:t>
      </w:r>
      <w:bookmarkEnd w:id="23"/>
    </w:p>
    <w:sectPr w:rsidR="00D31620">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AAFAD" w14:textId="77777777" w:rsidR="00BD4822" w:rsidRDefault="00BD4822">
      <w:pPr>
        <w:rPr>
          <w:szCs w:val="21"/>
        </w:rPr>
      </w:pPr>
      <w:r>
        <w:rPr>
          <w:szCs w:val="21"/>
        </w:rPr>
        <w:separator/>
      </w:r>
      <w:r>
        <w:rPr>
          <w:szCs w:val="21"/>
        </w:rPr>
        <w:t xml:space="preserve"> </w:t>
      </w:r>
    </w:p>
  </w:endnote>
  <w:endnote w:type="continuationSeparator" w:id="0">
    <w:p w14:paraId="734253CC" w14:textId="77777777" w:rsidR="00BD4822" w:rsidRDefault="00BD4822">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D949" w14:textId="77777777" w:rsidR="00D31620" w:rsidRDefault="00D31620">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540EB" w14:textId="77777777" w:rsidR="00BD4822" w:rsidRDefault="00BD4822">
      <w:pPr>
        <w:rPr>
          <w:szCs w:val="21"/>
        </w:rPr>
      </w:pPr>
      <w:r>
        <w:rPr>
          <w:szCs w:val="21"/>
        </w:rPr>
        <w:separator/>
      </w:r>
      <w:r>
        <w:rPr>
          <w:szCs w:val="21"/>
        </w:rPr>
        <w:t xml:space="preserve"> </w:t>
      </w:r>
    </w:p>
  </w:footnote>
  <w:footnote w:type="continuationSeparator" w:id="0">
    <w:p w14:paraId="4AE62AE9" w14:textId="77777777" w:rsidR="00BD4822" w:rsidRDefault="00BD4822">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C0422" w14:textId="77777777" w:rsidR="00D31620" w:rsidRDefault="00D31620">
    <w:pPr>
      <w:pStyle w:val="a8"/>
      <w:jc w:val="right"/>
    </w:pPr>
    <w:r>
      <w:rPr>
        <w:rFonts w:ascii="宋体" w:hAnsi="宋体" w:hint="eastAsia"/>
      </w:rPr>
      <w:t>摩根鑫睿优选一年持有期混合型证券投资基金2026年第1季度报告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077701477">
    <w:abstractNumId w:val="0"/>
  </w:num>
  <w:num w:numId="2" w16cid:durableId="460155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65"/>
    <w:rsid w:val="00143669"/>
    <w:rsid w:val="001A0065"/>
    <w:rsid w:val="005B29C8"/>
    <w:rsid w:val="007D01C3"/>
    <w:rsid w:val="0086377F"/>
    <w:rsid w:val="008C624A"/>
    <w:rsid w:val="00982497"/>
    <w:rsid w:val="00BD4822"/>
    <w:rsid w:val="00D31620"/>
    <w:rsid w:val="00D76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150D7E97"/>
  <w15:chartTrackingRefBased/>
  <w15:docId w15:val="{B2B77883-0B83-49C8-9A79-1C2C9E08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8883">
      <w:marLeft w:val="0"/>
      <w:marRight w:val="0"/>
      <w:marTop w:val="0"/>
      <w:marBottom w:val="0"/>
      <w:divBdr>
        <w:top w:val="none" w:sz="0" w:space="0" w:color="auto"/>
        <w:left w:val="none" w:sz="0" w:space="0" w:color="auto"/>
        <w:bottom w:val="none" w:sz="0" w:space="0" w:color="auto"/>
        <w:right w:val="none" w:sz="0" w:space="0" w:color="auto"/>
      </w:divBdr>
      <w:divsChild>
        <w:div w:id="1977955588">
          <w:marLeft w:val="0"/>
          <w:marRight w:val="0"/>
          <w:marTop w:val="0"/>
          <w:marBottom w:val="0"/>
          <w:divBdr>
            <w:top w:val="none" w:sz="0" w:space="0" w:color="auto"/>
            <w:left w:val="none" w:sz="0" w:space="0" w:color="auto"/>
            <w:bottom w:val="none" w:sz="0" w:space="0" w:color="auto"/>
            <w:right w:val="none" w:sz="0" w:space="0" w:color="auto"/>
          </w:divBdr>
        </w:div>
      </w:divsChild>
    </w:div>
    <w:div w:id="239489789">
      <w:marLeft w:val="0"/>
      <w:marRight w:val="0"/>
      <w:marTop w:val="0"/>
      <w:marBottom w:val="0"/>
      <w:divBdr>
        <w:top w:val="none" w:sz="0" w:space="0" w:color="auto"/>
        <w:left w:val="none" w:sz="0" w:space="0" w:color="auto"/>
        <w:bottom w:val="none" w:sz="0" w:space="0" w:color="auto"/>
        <w:right w:val="none" w:sz="0" w:space="0" w:color="auto"/>
      </w:divBdr>
    </w:div>
    <w:div w:id="347946429">
      <w:marLeft w:val="0"/>
      <w:marRight w:val="0"/>
      <w:marTop w:val="0"/>
      <w:marBottom w:val="0"/>
      <w:divBdr>
        <w:top w:val="none" w:sz="0" w:space="0" w:color="auto"/>
        <w:left w:val="none" w:sz="0" w:space="0" w:color="auto"/>
        <w:bottom w:val="none" w:sz="0" w:space="0" w:color="auto"/>
        <w:right w:val="none" w:sz="0" w:space="0" w:color="auto"/>
      </w:divBdr>
      <w:divsChild>
        <w:div w:id="153186249">
          <w:marLeft w:val="0"/>
          <w:marRight w:val="0"/>
          <w:marTop w:val="0"/>
          <w:marBottom w:val="0"/>
          <w:divBdr>
            <w:top w:val="none" w:sz="0" w:space="0" w:color="auto"/>
            <w:left w:val="none" w:sz="0" w:space="0" w:color="auto"/>
            <w:bottom w:val="none" w:sz="0" w:space="0" w:color="auto"/>
            <w:right w:val="none" w:sz="0" w:space="0" w:color="auto"/>
          </w:divBdr>
        </w:div>
      </w:divsChild>
    </w:div>
    <w:div w:id="358361695">
      <w:marLeft w:val="0"/>
      <w:marRight w:val="0"/>
      <w:marTop w:val="0"/>
      <w:marBottom w:val="0"/>
      <w:divBdr>
        <w:top w:val="none" w:sz="0" w:space="0" w:color="auto"/>
        <w:left w:val="none" w:sz="0" w:space="0" w:color="auto"/>
        <w:bottom w:val="none" w:sz="0" w:space="0" w:color="auto"/>
        <w:right w:val="none" w:sz="0" w:space="0" w:color="auto"/>
      </w:divBdr>
      <w:divsChild>
        <w:div w:id="320624793">
          <w:marLeft w:val="0"/>
          <w:marRight w:val="0"/>
          <w:marTop w:val="0"/>
          <w:marBottom w:val="0"/>
          <w:divBdr>
            <w:top w:val="none" w:sz="0" w:space="0" w:color="auto"/>
            <w:left w:val="none" w:sz="0" w:space="0" w:color="auto"/>
            <w:bottom w:val="none" w:sz="0" w:space="0" w:color="auto"/>
            <w:right w:val="none" w:sz="0" w:space="0" w:color="auto"/>
          </w:divBdr>
        </w:div>
      </w:divsChild>
    </w:div>
    <w:div w:id="689529498">
      <w:marLeft w:val="0"/>
      <w:marRight w:val="0"/>
      <w:marTop w:val="0"/>
      <w:marBottom w:val="0"/>
      <w:divBdr>
        <w:top w:val="none" w:sz="0" w:space="0" w:color="auto"/>
        <w:left w:val="none" w:sz="0" w:space="0" w:color="auto"/>
        <w:bottom w:val="none" w:sz="0" w:space="0" w:color="auto"/>
        <w:right w:val="none" w:sz="0" w:space="0" w:color="auto"/>
      </w:divBdr>
    </w:div>
    <w:div w:id="718280075">
      <w:marLeft w:val="0"/>
      <w:marRight w:val="0"/>
      <w:marTop w:val="0"/>
      <w:marBottom w:val="0"/>
      <w:divBdr>
        <w:top w:val="none" w:sz="0" w:space="0" w:color="auto"/>
        <w:left w:val="none" w:sz="0" w:space="0" w:color="auto"/>
        <w:bottom w:val="none" w:sz="0" w:space="0" w:color="auto"/>
        <w:right w:val="none" w:sz="0" w:space="0" w:color="auto"/>
      </w:divBdr>
    </w:div>
    <w:div w:id="732385144">
      <w:marLeft w:val="0"/>
      <w:marRight w:val="0"/>
      <w:marTop w:val="0"/>
      <w:marBottom w:val="0"/>
      <w:divBdr>
        <w:top w:val="none" w:sz="0" w:space="0" w:color="auto"/>
        <w:left w:val="none" w:sz="0" w:space="0" w:color="auto"/>
        <w:bottom w:val="none" w:sz="0" w:space="0" w:color="auto"/>
        <w:right w:val="none" w:sz="0" w:space="0" w:color="auto"/>
      </w:divBdr>
    </w:div>
    <w:div w:id="762460638">
      <w:marLeft w:val="0"/>
      <w:marRight w:val="0"/>
      <w:marTop w:val="0"/>
      <w:marBottom w:val="0"/>
      <w:divBdr>
        <w:top w:val="none" w:sz="0" w:space="0" w:color="auto"/>
        <w:left w:val="none" w:sz="0" w:space="0" w:color="auto"/>
        <w:bottom w:val="none" w:sz="0" w:space="0" w:color="auto"/>
        <w:right w:val="none" w:sz="0" w:space="0" w:color="auto"/>
      </w:divBdr>
      <w:divsChild>
        <w:div w:id="405347494">
          <w:marLeft w:val="0"/>
          <w:marRight w:val="0"/>
          <w:marTop w:val="0"/>
          <w:marBottom w:val="0"/>
          <w:divBdr>
            <w:top w:val="none" w:sz="0" w:space="0" w:color="auto"/>
            <w:left w:val="none" w:sz="0" w:space="0" w:color="auto"/>
            <w:bottom w:val="none" w:sz="0" w:space="0" w:color="auto"/>
            <w:right w:val="none" w:sz="0" w:space="0" w:color="auto"/>
          </w:divBdr>
        </w:div>
      </w:divsChild>
    </w:div>
    <w:div w:id="1049185565">
      <w:marLeft w:val="0"/>
      <w:marRight w:val="0"/>
      <w:marTop w:val="0"/>
      <w:marBottom w:val="0"/>
      <w:divBdr>
        <w:top w:val="none" w:sz="0" w:space="0" w:color="auto"/>
        <w:left w:val="none" w:sz="0" w:space="0" w:color="auto"/>
        <w:bottom w:val="none" w:sz="0" w:space="0" w:color="auto"/>
        <w:right w:val="none" w:sz="0" w:space="0" w:color="auto"/>
      </w:divBdr>
      <w:divsChild>
        <w:div w:id="609896872">
          <w:marLeft w:val="0"/>
          <w:marRight w:val="0"/>
          <w:marTop w:val="0"/>
          <w:marBottom w:val="0"/>
          <w:divBdr>
            <w:top w:val="none" w:sz="0" w:space="0" w:color="auto"/>
            <w:left w:val="none" w:sz="0" w:space="0" w:color="auto"/>
            <w:bottom w:val="none" w:sz="0" w:space="0" w:color="auto"/>
            <w:right w:val="none" w:sz="0" w:space="0" w:color="auto"/>
          </w:divBdr>
          <w:divsChild>
            <w:div w:id="37554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00468">
      <w:marLeft w:val="0"/>
      <w:marRight w:val="0"/>
      <w:marTop w:val="0"/>
      <w:marBottom w:val="0"/>
      <w:divBdr>
        <w:top w:val="none" w:sz="0" w:space="0" w:color="auto"/>
        <w:left w:val="none" w:sz="0" w:space="0" w:color="auto"/>
        <w:bottom w:val="none" w:sz="0" w:space="0" w:color="auto"/>
        <w:right w:val="none" w:sz="0" w:space="0" w:color="auto"/>
      </w:divBdr>
    </w:div>
    <w:div w:id="1157457799">
      <w:marLeft w:val="0"/>
      <w:marRight w:val="0"/>
      <w:marTop w:val="0"/>
      <w:marBottom w:val="0"/>
      <w:divBdr>
        <w:top w:val="none" w:sz="0" w:space="0" w:color="auto"/>
        <w:left w:val="none" w:sz="0" w:space="0" w:color="auto"/>
        <w:bottom w:val="none" w:sz="0" w:space="0" w:color="auto"/>
        <w:right w:val="none" w:sz="0" w:space="0" w:color="auto"/>
      </w:divBdr>
    </w:div>
    <w:div w:id="1240019779">
      <w:marLeft w:val="0"/>
      <w:marRight w:val="0"/>
      <w:marTop w:val="0"/>
      <w:marBottom w:val="0"/>
      <w:divBdr>
        <w:top w:val="none" w:sz="0" w:space="0" w:color="auto"/>
        <w:left w:val="none" w:sz="0" w:space="0" w:color="auto"/>
        <w:bottom w:val="none" w:sz="0" w:space="0" w:color="auto"/>
        <w:right w:val="none" w:sz="0" w:space="0" w:color="auto"/>
      </w:divBdr>
    </w:div>
    <w:div w:id="1271741044">
      <w:marLeft w:val="0"/>
      <w:marRight w:val="0"/>
      <w:marTop w:val="0"/>
      <w:marBottom w:val="0"/>
      <w:divBdr>
        <w:top w:val="none" w:sz="0" w:space="0" w:color="auto"/>
        <w:left w:val="none" w:sz="0" w:space="0" w:color="auto"/>
        <w:bottom w:val="none" w:sz="0" w:space="0" w:color="auto"/>
        <w:right w:val="none" w:sz="0" w:space="0" w:color="auto"/>
      </w:divBdr>
    </w:div>
    <w:div w:id="1699500640">
      <w:marLeft w:val="0"/>
      <w:marRight w:val="0"/>
      <w:marTop w:val="0"/>
      <w:marBottom w:val="0"/>
      <w:divBdr>
        <w:top w:val="none" w:sz="0" w:space="0" w:color="auto"/>
        <w:left w:val="none" w:sz="0" w:space="0" w:color="auto"/>
        <w:bottom w:val="none" w:sz="0" w:space="0" w:color="auto"/>
        <w:right w:val="none" w:sz="0" w:space="0" w:color="auto"/>
      </w:divBdr>
      <w:divsChild>
        <w:div w:id="1911453156">
          <w:marLeft w:val="0"/>
          <w:marRight w:val="0"/>
          <w:marTop w:val="0"/>
          <w:marBottom w:val="0"/>
          <w:divBdr>
            <w:top w:val="none" w:sz="0" w:space="0" w:color="auto"/>
            <w:left w:val="none" w:sz="0" w:space="0" w:color="auto"/>
            <w:bottom w:val="none" w:sz="0" w:space="0" w:color="auto"/>
            <w:right w:val="none" w:sz="0" w:space="0" w:color="auto"/>
          </w:divBdr>
        </w:div>
      </w:divsChild>
    </w:div>
    <w:div w:id="1731728370">
      <w:marLeft w:val="0"/>
      <w:marRight w:val="0"/>
      <w:marTop w:val="0"/>
      <w:marBottom w:val="0"/>
      <w:divBdr>
        <w:top w:val="none" w:sz="0" w:space="0" w:color="auto"/>
        <w:left w:val="none" w:sz="0" w:space="0" w:color="auto"/>
        <w:bottom w:val="none" w:sz="0" w:space="0" w:color="auto"/>
        <w:right w:val="none" w:sz="0" w:space="0" w:color="auto"/>
      </w:divBdr>
    </w:div>
    <w:div w:id="1924221558">
      <w:marLeft w:val="0"/>
      <w:marRight w:val="0"/>
      <w:marTop w:val="0"/>
      <w:marBottom w:val="0"/>
      <w:divBdr>
        <w:top w:val="none" w:sz="0" w:space="0" w:color="auto"/>
        <w:left w:val="none" w:sz="0" w:space="0" w:color="auto"/>
        <w:bottom w:val="none" w:sz="0" w:space="0" w:color="auto"/>
        <w:right w:val="none" w:sz="0" w:space="0" w:color="auto"/>
      </w:divBdr>
      <w:divsChild>
        <w:div w:id="771165718">
          <w:marLeft w:val="0"/>
          <w:marRight w:val="0"/>
          <w:marTop w:val="0"/>
          <w:marBottom w:val="0"/>
          <w:divBdr>
            <w:top w:val="none" w:sz="0" w:space="0" w:color="auto"/>
            <w:left w:val="none" w:sz="0" w:space="0" w:color="auto"/>
            <w:bottom w:val="none" w:sz="0" w:space="0" w:color="auto"/>
            <w:right w:val="none" w:sz="0" w:space="0" w:color="auto"/>
          </w:divBdr>
        </w:div>
      </w:divsChild>
    </w:div>
    <w:div w:id="2112776508">
      <w:marLeft w:val="0"/>
      <w:marRight w:val="0"/>
      <w:marTop w:val="0"/>
      <w:marBottom w:val="0"/>
      <w:divBdr>
        <w:top w:val="none" w:sz="0" w:space="0" w:color="auto"/>
        <w:left w:val="none" w:sz="0" w:space="0" w:color="auto"/>
        <w:bottom w:val="none" w:sz="0" w:space="0" w:color="auto"/>
        <w:right w:val="none" w:sz="0" w:space="0" w:color="auto"/>
      </w:divBdr>
    </w:div>
    <w:div w:id="212129217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3517</Words>
  <Characters>4116</Characters>
  <Application>Microsoft Office Word</Application>
  <DocSecurity>0</DocSecurity>
  <Lines>411</Lines>
  <Paragraphs>508</Paragraphs>
  <ScaleCrop>false</ScaleCrop>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Trowa.Ding@FA</cp:lastModifiedBy>
  <cp:revision>4</cp:revision>
  <dcterms:created xsi:type="dcterms:W3CDTF">2026-04-14T10:02:00Z</dcterms:created>
  <dcterms:modified xsi:type="dcterms:W3CDTF">2026-04-21T07:25:00Z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