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9006CE" w:rsidRDefault="009006CE">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9006CE" w:rsidRDefault="009006CE">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9006CE" w:rsidRDefault="009006CE">
      <w:pPr>
        <w:spacing w:line="360" w:lineRule="auto"/>
        <w:jc w:val="center"/>
        <w:rPr>
          <w:rFonts w:hint="eastAsia"/>
        </w:rPr>
      </w:pPr>
      <w:r>
        <w:rPr>
          <w:rFonts w:ascii="宋体" w:hAnsi="宋体" w:hint="eastAsia"/>
          <w:b/>
          <w:bCs/>
          <w:color w:val="000000" w:themeColor="text1"/>
          <w:sz w:val="48"/>
          <w:szCs w:val="30"/>
        </w:rPr>
        <w:t>摩根安荣回报混合型证券投资基金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9006CE" w:rsidRDefault="009006C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9006CE" w:rsidRDefault="009006C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006CE" w:rsidRDefault="009006CE">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9006CE" w:rsidRDefault="009006CE">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平安银行股份有限公</w:t>
      </w:r>
      <w:r>
        <w:rPr>
          <w:rFonts w:ascii="宋体" w:hAnsi="宋体" w:hint="eastAsia"/>
          <w:b/>
          <w:bCs/>
          <w:sz w:val="28"/>
          <w:szCs w:val="30"/>
        </w:rPr>
        <w:t>司</w:t>
      </w:r>
    </w:p>
    <w:p w:rsidR="009006CE" w:rsidRDefault="009006CE">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9006CE" w:rsidRDefault="009006CE">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9006CE" w:rsidRDefault="009006CE">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基金托管人平安银行股份有限公司根据本基金合同约定，于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9006CE" w:rsidRDefault="009006CE">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45745523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9006CE" w:rsidRDefault="009006CE">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szCs w:val="24"/>
                <w:lang w:eastAsia="zh-Hans"/>
              </w:rPr>
              <w:t>摩根安荣回报混</w:t>
            </w:r>
            <w:r>
              <w:rPr>
                <w:rFonts w:ascii="宋体" w:hAnsi="宋体" w:hint="eastAsia"/>
                <w:szCs w:val="24"/>
                <w:lang w:eastAsia="zh-Hans"/>
              </w:rPr>
              <w:t>合</w:t>
            </w:r>
            <w:r>
              <w:rPr>
                <w:rFonts w:ascii="宋体" w:hAnsi="宋体" w:hint="eastAsia"/>
                <w:lang w:eastAsia="zh-Hans"/>
              </w:rPr>
              <w:t xml:space="preserve"> </w:t>
            </w:r>
          </w:p>
        </w:tc>
      </w:tr>
      <w:tr w:rsidR="00000000">
        <w:trPr>
          <w:divId w:val="4574552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lang w:eastAsia="zh-Hans"/>
              </w:rPr>
              <w:t>01236</w:t>
            </w:r>
            <w:r>
              <w:rPr>
                <w:rFonts w:ascii="宋体" w:hAnsi="宋体" w:hint="eastAsia"/>
                <w:lang w:eastAsia="zh-Hans"/>
              </w:rPr>
              <w:t>6</w:t>
            </w:r>
          </w:p>
        </w:tc>
      </w:tr>
      <w:tr w:rsidR="00000000">
        <w:trPr>
          <w:divId w:val="4574552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lang w:eastAsia="zh-Hans"/>
              </w:rPr>
              <w:t>契约型开放</w:t>
            </w:r>
            <w:r>
              <w:rPr>
                <w:rFonts w:ascii="宋体" w:hAnsi="宋体" w:hint="eastAsia"/>
                <w:lang w:eastAsia="zh-Hans"/>
              </w:rPr>
              <w:t>式</w:t>
            </w:r>
          </w:p>
        </w:tc>
      </w:tr>
      <w:tr w:rsidR="00000000">
        <w:trPr>
          <w:divId w:val="4574552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lang w:eastAsia="zh-Hans"/>
              </w:rPr>
              <w:t>2021</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7</w:t>
            </w:r>
            <w:r>
              <w:rPr>
                <w:rFonts w:ascii="宋体" w:hAnsi="宋体" w:hint="eastAsia"/>
                <w:lang w:eastAsia="zh-Hans"/>
              </w:rPr>
              <w:t>日</w:t>
            </w:r>
          </w:p>
        </w:tc>
      </w:tr>
      <w:tr w:rsidR="00000000">
        <w:trPr>
          <w:divId w:val="4574552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lang w:eastAsia="zh-Hans"/>
              </w:rPr>
              <w:t>178,182,610.3</w:t>
            </w:r>
            <w:r>
              <w:rPr>
                <w:rFonts w:ascii="宋体" w:hAnsi="宋体" w:hint="eastAsia"/>
                <w:lang w:eastAsia="zh-Hans"/>
              </w:rPr>
              <w:t>3</w:t>
            </w:r>
            <w:r>
              <w:rPr>
                <w:rFonts w:hint="eastAsia"/>
              </w:rPr>
              <w:t>份</w:t>
            </w:r>
            <w:r>
              <w:rPr>
                <w:rFonts w:ascii="宋体" w:hAnsi="宋体" w:hint="eastAsia"/>
                <w:lang w:eastAsia="zh-Hans"/>
              </w:rPr>
              <w:t xml:space="preserve"> </w:t>
            </w:r>
          </w:p>
        </w:tc>
      </w:tr>
      <w:tr w:rsidR="00000000">
        <w:trPr>
          <w:divId w:val="4574552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lang w:eastAsia="zh-Hans"/>
              </w:rPr>
              <w:t>本基金在严格的风险控制的基础上，力争实现基金资产的稳健增值</w:t>
            </w:r>
            <w:r>
              <w:rPr>
                <w:rFonts w:ascii="宋体" w:hAnsi="宋体" w:hint="eastAsia"/>
                <w:lang w:eastAsia="zh-Hans"/>
              </w:rPr>
              <w:t>。</w:t>
            </w:r>
          </w:p>
        </w:tc>
      </w:tr>
      <w:tr w:rsidR="00000000">
        <w:trPr>
          <w:divId w:val="4574552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主要根据宏观经济、政策环境、利率走势、市场技术指标、市场资金构成及流动性情况，对证券市场现阶段的系统性风险以及未来一段时期内各大类资产的风险和预期收益率进行分析评估，综合制定基金在各类资产中的配置比例、配置中枢和调整范围，并随着宏观经济、市场环境以及投资者结构的变化等因素进行调整。</w:t>
            </w:r>
            <w:r>
              <w:rPr>
                <w:rFonts w:ascii="宋体" w:hAnsi="宋体" w:hint="eastAsia"/>
                <w:lang w:eastAsia="zh-Hans"/>
              </w:rPr>
              <w:br/>
              <w:t>2</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本基金将采取久期管理策略、期限结构配置策略、类属配置策略等积极投资策略，在严格控制风险的前提下，发掘市场投资机会，实现债券组合增值，提高组合综合收益。</w:t>
            </w:r>
            <w:r>
              <w:rPr>
                <w:rFonts w:ascii="宋体" w:hAnsi="宋体" w:hint="eastAsia"/>
                <w:lang w:eastAsia="zh-Hans"/>
              </w:rPr>
              <w:br/>
              <w:t>3</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采用“自下而上”的个股精选策略，基于公司内部研究团队对于个股的基本面的深入研究和细致的实地调研，有效挖掘价值低估及具有增长潜力的个股。</w:t>
            </w:r>
            <w:r>
              <w:rPr>
                <w:rFonts w:ascii="宋体" w:hAnsi="宋体" w:hint="eastAsia"/>
                <w:lang w:eastAsia="zh-Hans"/>
              </w:rPr>
              <w:br/>
              <w:t>4</w:t>
            </w:r>
            <w:r>
              <w:rPr>
                <w:rFonts w:ascii="宋体" w:hAnsi="宋体" w:hint="eastAsia"/>
                <w:lang w:eastAsia="zh-Hans"/>
              </w:rPr>
              <w:t>、其他投资策略</w:t>
            </w:r>
            <w:r>
              <w:rPr>
                <w:rFonts w:ascii="宋体" w:hAnsi="宋体" w:hint="eastAsia"/>
                <w:lang w:eastAsia="zh-Hans"/>
              </w:rPr>
              <w:br/>
            </w:r>
            <w:r>
              <w:rPr>
                <w:rFonts w:ascii="宋体" w:hAnsi="宋体" w:hint="eastAsia"/>
                <w:lang w:eastAsia="zh-Hans"/>
              </w:rPr>
              <w:t>包括：存托凭证投资策略、港股投资策略、股指期货投资策略、国债期货投资策略、资产支持证券投资策略</w:t>
            </w:r>
            <w:r>
              <w:rPr>
                <w:rFonts w:ascii="宋体" w:hAnsi="宋体" w:hint="eastAsia"/>
                <w:lang w:eastAsia="zh-Hans"/>
              </w:rPr>
              <w:t>。</w:t>
            </w:r>
          </w:p>
        </w:tc>
      </w:tr>
      <w:tr w:rsidR="00000000">
        <w:trPr>
          <w:divId w:val="4574552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15%+</w:t>
            </w:r>
            <w:r>
              <w:rPr>
                <w:rFonts w:ascii="宋体" w:hAnsi="宋体" w:hint="eastAsia"/>
                <w:lang w:eastAsia="zh-Hans"/>
              </w:rPr>
              <w:t>中证港股通指数收益率×</w:t>
            </w:r>
            <w:r>
              <w:rPr>
                <w:rFonts w:ascii="宋体" w:hAnsi="宋体" w:hint="eastAsia"/>
                <w:lang w:eastAsia="zh-Hans"/>
              </w:rPr>
              <w:t>5%+</w:t>
            </w:r>
            <w:r>
              <w:rPr>
                <w:rFonts w:ascii="宋体" w:hAnsi="宋体" w:hint="eastAsia"/>
                <w:lang w:eastAsia="zh-Hans"/>
              </w:rPr>
              <w:t>中证政策性金融债</w:t>
            </w:r>
            <w:r>
              <w:rPr>
                <w:rFonts w:ascii="宋体" w:hAnsi="宋体" w:hint="eastAsia"/>
                <w:lang w:eastAsia="zh-Hans"/>
              </w:rPr>
              <w:t>1-3</w:t>
            </w:r>
            <w:r>
              <w:rPr>
                <w:rFonts w:ascii="宋体" w:hAnsi="宋体" w:hint="eastAsia"/>
                <w:lang w:eastAsia="zh-Hans"/>
              </w:rPr>
              <w:t>年指数收益率×</w:t>
            </w:r>
            <w:r>
              <w:rPr>
                <w:rFonts w:ascii="宋体" w:hAnsi="宋体" w:hint="eastAsia"/>
                <w:lang w:eastAsia="zh-Hans"/>
              </w:rPr>
              <w:t>40%+</w:t>
            </w:r>
            <w:r>
              <w:rPr>
                <w:rFonts w:ascii="宋体" w:hAnsi="宋体" w:hint="eastAsia"/>
                <w:lang w:eastAsia="zh-Hans"/>
              </w:rPr>
              <w:t>中证中高等级信用债指数收益率×</w:t>
            </w:r>
            <w:r>
              <w:rPr>
                <w:rFonts w:ascii="宋体" w:hAnsi="宋体" w:hint="eastAsia"/>
                <w:lang w:eastAsia="zh-Hans"/>
              </w:rPr>
              <w:t>40</w:t>
            </w:r>
            <w:r>
              <w:rPr>
                <w:rFonts w:ascii="宋体" w:hAnsi="宋体" w:hint="eastAsia"/>
                <w:lang w:eastAsia="zh-Hans"/>
              </w:rPr>
              <w:t>%</w:t>
            </w:r>
          </w:p>
        </w:tc>
      </w:tr>
      <w:tr w:rsidR="00000000">
        <w:trPr>
          <w:divId w:val="4574552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lang w:eastAsia="zh-Hans"/>
              </w:rPr>
              <w:t>本基金为混合型基金，一般而言，其长期平均风险和预期收益率低于股票型基金，高于债券型基金和货币市场基金。本基金可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4574552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4574552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lang w:eastAsia="zh-Hans"/>
              </w:rPr>
              <w:t>平安银行股份有限公</w:t>
            </w:r>
            <w:r>
              <w:rPr>
                <w:rFonts w:ascii="宋体" w:hAnsi="宋体" w:hint="eastAsia"/>
                <w:lang w:eastAsia="zh-Hans"/>
              </w:rPr>
              <w:t>司</w:t>
            </w:r>
          </w:p>
        </w:tc>
      </w:tr>
      <w:tr w:rsidR="00000000">
        <w:trPr>
          <w:divId w:val="45745523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lang w:eastAsia="zh-Hans"/>
              </w:rPr>
              <w:t>摩根安荣回报混合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lang w:eastAsia="zh-Hans"/>
              </w:rPr>
              <w:t>摩根安荣回报混合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45745523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lang w:eastAsia="zh-Hans"/>
              </w:rPr>
              <w:t>01236</w:t>
            </w:r>
            <w:r>
              <w:rPr>
                <w:rFonts w:ascii="宋体" w:hAnsi="宋体" w:hint="eastAsia"/>
                <w:lang w:eastAsia="zh-Hans"/>
              </w:rPr>
              <w:t>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lang w:eastAsia="zh-Hans"/>
              </w:rPr>
              <w:t>01236</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45745523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006CE" w:rsidRDefault="009006CE">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lang w:eastAsia="zh-Hans"/>
              </w:rPr>
              <w:t>67,672,591.7</w:t>
            </w:r>
            <w:r>
              <w:rPr>
                <w:rFonts w:ascii="宋体" w:hAnsi="宋体" w:hint="eastAsia"/>
                <w:lang w:eastAsia="zh-Hans"/>
              </w:rPr>
              <w:t>6</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lang w:eastAsia="zh-Hans"/>
              </w:rPr>
              <w:t>110,510,018.5</w:t>
            </w:r>
            <w:r>
              <w:rPr>
                <w:rFonts w:ascii="宋体" w:hAnsi="宋体" w:hint="eastAsia"/>
                <w:lang w:eastAsia="zh-Hans"/>
              </w:rPr>
              <w:t>7</w:t>
            </w:r>
            <w:r>
              <w:rPr>
                <w:rFonts w:hint="eastAsia"/>
              </w:rPr>
              <w:t>份</w:t>
            </w:r>
            <w:r>
              <w:rPr>
                <w:rFonts w:ascii="宋体" w:hAnsi="宋体" w:hint="eastAsia"/>
                <w:lang w:eastAsia="zh-Hans"/>
              </w:rPr>
              <w:t xml:space="preserve"> </w:t>
            </w:r>
          </w:p>
        </w:tc>
      </w:tr>
    </w:tbl>
    <w:p w:rsidR="009006CE" w:rsidRDefault="009006CE">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9006CE" w:rsidRDefault="009006CE">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9006CE" w:rsidRDefault="009006CE">
      <w:pPr>
        <w:jc w:val="right"/>
        <w:divId w:val="164443326"/>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64443326"/>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9006CE" w:rsidRDefault="009006CE">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9006CE" w:rsidRDefault="009006CE">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6444332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06CE" w:rsidRDefault="009006CE">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9006CE" w:rsidRDefault="009006CE">
            <w:pPr>
              <w:jc w:val="center"/>
              <w:rPr>
                <w:rFonts w:hint="eastAsia"/>
              </w:rPr>
            </w:pPr>
            <w:r>
              <w:rPr>
                <w:rFonts w:ascii="宋体" w:hAnsi="宋体" w:hint="eastAsia"/>
                <w:szCs w:val="24"/>
                <w:lang w:eastAsia="zh-Hans"/>
              </w:rPr>
              <w:t>摩根安荣回报混合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9006CE" w:rsidRDefault="009006CE">
            <w:pPr>
              <w:jc w:val="center"/>
            </w:pPr>
            <w:r>
              <w:rPr>
                <w:rFonts w:ascii="宋体" w:hAnsi="宋体" w:hint="eastAsia"/>
                <w:szCs w:val="24"/>
                <w:lang w:eastAsia="zh-Hans"/>
              </w:rPr>
              <w:t>摩根安荣回报混合</w:t>
            </w:r>
            <w:r>
              <w:rPr>
                <w:rFonts w:ascii="宋体" w:hAnsi="宋体" w:hint="eastAsia"/>
                <w:szCs w:val="24"/>
                <w:lang w:eastAsia="zh-Hans"/>
              </w:rPr>
              <w:t>C</w:t>
            </w:r>
          </w:p>
        </w:tc>
      </w:tr>
      <w:tr w:rsidR="00000000">
        <w:trPr>
          <w:divId w:val="1644433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jc w:val="right"/>
              <w:rPr>
                <w:rFonts w:hint="eastAsia"/>
              </w:rPr>
            </w:pPr>
            <w:r>
              <w:rPr>
                <w:rFonts w:ascii="宋体" w:hAnsi="宋体" w:hint="eastAsia"/>
                <w:szCs w:val="24"/>
                <w:lang w:eastAsia="zh-Hans"/>
              </w:rPr>
              <w:t>-653,231.9</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jc w:val="right"/>
            </w:pPr>
            <w:r>
              <w:rPr>
                <w:rFonts w:ascii="宋体" w:hAnsi="宋体" w:hint="eastAsia"/>
                <w:szCs w:val="24"/>
                <w:lang w:eastAsia="zh-Hans"/>
              </w:rPr>
              <w:t>-1,127,909.4</w:t>
            </w:r>
            <w:r>
              <w:rPr>
                <w:rFonts w:ascii="宋体" w:hAnsi="宋体" w:hint="eastAsia"/>
                <w:szCs w:val="24"/>
                <w:lang w:eastAsia="zh-Hans"/>
              </w:rPr>
              <w:t>6</w:t>
            </w:r>
          </w:p>
        </w:tc>
      </w:tr>
      <w:tr w:rsidR="00000000">
        <w:trPr>
          <w:divId w:val="1644433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jc w:val="right"/>
              <w:rPr>
                <w:rFonts w:hint="eastAsia"/>
              </w:rPr>
            </w:pPr>
            <w:r>
              <w:rPr>
                <w:rFonts w:ascii="宋体" w:hAnsi="宋体" w:hint="eastAsia"/>
                <w:szCs w:val="24"/>
                <w:lang w:eastAsia="zh-Hans"/>
              </w:rPr>
              <w:t>-2,539,542.7</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jc w:val="right"/>
            </w:pPr>
            <w:r>
              <w:rPr>
                <w:rFonts w:ascii="宋体" w:hAnsi="宋体" w:hint="eastAsia"/>
                <w:szCs w:val="24"/>
                <w:lang w:eastAsia="zh-Hans"/>
              </w:rPr>
              <w:t>-4,135,829.7</w:t>
            </w:r>
            <w:r>
              <w:rPr>
                <w:rFonts w:ascii="宋体" w:hAnsi="宋体" w:hint="eastAsia"/>
                <w:szCs w:val="24"/>
                <w:lang w:eastAsia="zh-Hans"/>
              </w:rPr>
              <w:t>9</w:t>
            </w:r>
          </w:p>
        </w:tc>
      </w:tr>
      <w:tr w:rsidR="00000000">
        <w:trPr>
          <w:divId w:val="1644433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jc w:val="right"/>
              <w:rPr>
                <w:rFonts w:hint="eastAsia"/>
              </w:rPr>
            </w:pPr>
            <w:r>
              <w:rPr>
                <w:rFonts w:ascii="宋体" w:hAnsi="宋体" w:hint="eastAsia"/>
                <w:szCs w:val="24"/>
                <w:lang w:eastAsia="zh-Hans"/>
              </w:rPr>
              <w:t>-0.034</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jc w:val="right"/>
            </w:pPr>
            <w:r>
              <w:rPr>
                <w:rFonts w:ascii="宋体" w:hAnsi="宋体" w:hint="eastAsia"/>
                <w:szCs w:val="24"/>
                <w:lang w:eastAsia="zh-Hans"/>
              </w:rPr>
              <w:t>-0.035</w:t>
            </w:r>
            <w:r>
              <w:rPr>
                <w:rFonts w:ascii="宋体" w:hAnsi="宋体" w:hint="eastAsia"/>
                <w:szCs w:val="24"/>
                <w:lang w:eastAsia="zh-Hans"/>
              </w:rPr>
              <w:t>1</w:t>
            </w:r>
          </w:p>
        </w:tc>
      </w:tr>
      <w:tr w:rsidR="00000000">
        <w:trPr>
          <w:divId w:val="1644433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jc w:val="right"/>
              <w:rPr>
                <w:rFonts w:hint="eastAsia"/>
              </w:rPr>
            </w:pPr>
            <w:r>
              <w:rPr>
                <w:rFonts w:ascii="宋体" w:hAnsi="宋体" w:hint="eastAsia"/>
                <w:szCs w:val="24"/>
                <w:lang w:eastAsia="zh-Hans"/>
              </w:rPr>
              <w:t>66,974,234.6</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jc w:val="right"/>
            </w:pPr>
            <w:r>
              <w:rPr>
                <w:rFonts w:ascii="宋体" w:hAnsi="宋体" w:hint="eastAsia"/>
                <w:szCs w:val="24"/>
                <w:lang w:eastAsia="zh-Hans"/>
              </w:rPr>
              <w:t>107,209,143.0</w:t>
            </w:r>
            <w:r>
              <w:rPr>
                <w:rFonts w:ascii="宋体" w:hAnsi="宋体" w:hint="eastAsia"/>
                <w:szCs w:val="24"/>
                <w:lang w:eastAsia="zh-Hans"/>
              </w:rPr>
              <w:t>3</w:t>
            </w:r>
          </w:p>
        </w:tc>
      </w:tr>
      <w:tr w:rsidR="00000000">
        <w:trPr>
          <w:divId w:val="16444332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jc w:val="right"/>
              <w:rPr>
                <w:rFonts w:hint="eastAsia"/>
              </w:rPr>
            </w:pPr>
            <w:r>
              <w:rPr>
                <w:rFonts w:ascii="宋体" w:hAnsi="宋体" w:hint="eastAsia"/>
                <w:szCs w:val="24"/>
                <w:lang w:eastAsia="zh-Hans"/>
              </w:rPr>
              <w:t>0.989</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006CE" w:rsidRDefault="009006CE">
            <w:pPr>
              <w:jc w:val="right"/>
            </w:pPr>
            <w:r>
              <w:rPr>
                <w:rFonts w:ascii="宋体" w:hAnsi="宋体" w:hint="eastAsia"/>
                <w:szCs w:val="24"/>
                <w:lang w:eastAsia="zh-Hans"/>
              </w:rPr>
              <w:t>0.970</w:t>
            </w:r>
            <w:r>
              <w:rPr>
                <w:rFonts w:ascii="宋体" w:hAnsi="宋体" w:hint="eastAsia"/>
                <w:szCs w:val="24"/>
                <w:lang w:eastAsia="zh-Hans"/>
              </w:rPr>
              <w:t>1</w:t>
            </w:r>
          </w:p>
        </w:tc>
      </w:tr>
    </w:tbl>
    <w:p w:rsidR="009006CE" w:rsidRDefault="009006CE">
      <w:pPr>
        <w:wordWrap w:val="0"/>
        <w:spacing w:line="360" w:lineRule="auto"/>
        <w:jc w:val="left"/>
        <w:divId w:val="1754013679"/>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9006CE" w:rsidRDefault="009006CE">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9006CE" w:rsidRDefault="009006CE">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9006CE" w:rsidRDefault="009006CE">
      <w:pPr>
        <w:spacing w:line="360" w:lineRule="auto"/>
        <w:jc w:val="center"/>
        <w:divId w:val="355424577"/>
        <w:rPr>
          <w:rFonts w:hint="eastAsia"/>
        </w:rPr>
      </w:pPr>
      <w:r>
        <w:rPr>
          <w:rFonts w:ascii="宋体" w:hAnsi="宋体" w:hint="eastAsia"/>
        </w:rPr>
        <w:t>摩根安荣回报混合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35542457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②－④</w:t>
            </w:r>
            <w:r>
              <w:rPr>
                <w:rFonts w:ascii="宋体" w:hAnsi="宋体" w:hint="eastAsia"/>
              </w:rPr>
              <w:t xml:space="preserve"> </w:t>
            </w:r>
          </w:p>
        </w:tc>
      </w:tr>
      <w:tr w:rsidR="00000000">
        <w:trPr>
          <w:divId w:val="35542457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-3.7</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0.6</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2.2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06CE" w:rsidRDefault="009006CE">
            <w:pPr>
              <w:spacing w:line="360" w:lineRule="auto"/>
              <w:jc w:val="right"/>
            </w:pPr>
            <w:r>
              <w:rPr>
                <w:rFonts w:ascii="宋体" w:hAnsi="宋体" w:hint="eastAsia"/>
              </w:rPr>
              <w:t>-5.9</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0.3</w:t>
            </w:r>
            <w:r>
              <w:rPr>
                <w:rFonts w:ascii="宋体" w:hAnsi="宋体" w:hint="eastAsia"/>
              </w:rPr>
              <w:t>9</w:t>
            </w:r>
            <w:r>
              <w:rPr>
                <w:rFonts w:ascii="宋体" w:hAnsi="宋体" w:hint="eastAsia"/>
              </w:rPr>
              <w:t xml:space="preserve">% </w:t>
            </w:r>
          </w:p>
        </w:tc>
      </w:tr>
      <w:tr w:rsidR="00000000">
        <w:trPr>
          <w:divId w:val="35542457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-8.3</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2.1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06CE" w:rsidRDefault="009006CE">
            <w:pPr>
              <w:spacing w:line="360" w:lineRule="auto"/>
              <w:jc w:val="right"/>
            </w:pPr>
            <w:r>
              <w:rPr>
                <w:rFonts w:ascii="宋体" w:hAnsi="宋体" w:hint="eastAsia"/>
              </w:rPr>
              <w:t>-10.4</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0.3</w:t>
            </w:r>
            <w:r>
              <w:rPr>
                <w:rFonts w:ascii="宋体" w:hAnsi="宋体" w:hint="eastAsia"/>
              </w:rPr>
              <w:t>9</w:t>
            </w:r>
            <w:r>
              <w:rPr>
                <w:rFonts w:ascii="宋体" w:hAnsi="宋体" w:hint="eastAsia"/>
              </w:rPr>
              <w:t xml:space="preserve">% </w:t>
            </w:r>
          </w:p>
        </w:tc>
      </w:tr>
      <w:tr w:rsidR="00000000">
        <w:trPr>
          <w:divId w:val="35542457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-7.4</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6.1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06CE" w:rsidRDefault="009006CE">
            <w:pPr>
              <w:spacing w:line="360" w:lineRule="auto"/>
              <w:jc w:val="right"/>
            </w:pPr>
            <w:r>
              <w:rPr>
                <w:rFonts w:ascii="宋体" w:hAnsi="宋体" w:hint="eastAsia"/>
              </w:rPr>
              <w:t>-13.6</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r>
      <w:tr w:rsidR="00000000">
        <w:trPr>
          <w:divId w:val="35542457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-2.9</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13.1</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06CE" w:rsidRDefault="009006CE">
            <w:pPr>
              <w:spacing w:line="360" w:lineRule="auto"/>
              <w:jc w:val="right"/>
            </w:pPr>
            <w:r>
              <w:rPr>
                <w:rFonts w:ascii="宋体" w:hAnsi="宋体" w:hint="eastAsia"/>
              </w:rPr>
              <w:t>-16.1</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0.1</w:t>
            </w:r>
            <w:r>
              <w:rPr>
                <w:rFonts w:ascii="宋体" w:hAnsi="宋体" w:hint="eastAsia"/>
              </w:rPr>
              <w:t>6</w:t>
            </w:r>
            <w:r>
              <w:rPr>
                <w:rFonts w:ascii="宋体" w:hAnsi="宋体" w:hint="eastAsia"/>
              </w:rPr>
              <w:t xml:space="preserve">% </w:t>
            </w:r>
          </w:p>
        </w:tc>
      </w:tr>
      <w:tr w:rsidR="00000000">
        <w:trPr>
          <w:divId w:val="35542457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-1.0</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13.0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06CE" w:rsidRDefault="009006CE">
            <w:pPr>
              <w:spacing w:line="360" w:lineRule="auto"/>
              <w:jc w:val="right"/>
            </w:pPr>
            <w:r>
              <w:rPr>
                <w:rFonts w:ascii="宋体" w:hAnsi="宋体" w:hint="eastAsia"/>
              </w:rPr>
              <w:t>-14.0</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0.1</w:t>
            </w:r>
            <w:r>
              <w:rPr>
                <w:rFonts w:ascii="宋体" w:hAnsi="宋体" w:hint="eastAsia"/>
              </w:rPr>
              <w:t>2</w:t>
            </w:r>
            <w:r>
              <w:rPr>
                <w:rFonts w:ascii="宋体" w:hAnsi="宋体" w:hint="eastAsia"/>
              </w:rPr>
              <w:t xml:space="preserve">% </w:t>
            </w:r>
          </w:p>
        </w:tc>
      </w:tr>
    </w:tbl>
    <w:p w:rsidR="009006CE" w:rsidRDefault="009006CE">
      <w:pPr>
        <w:spacing w:line="360" w:lineRule="auto"/>
        <w:jc w:val="center"/>
        <w:divId w:val="1746761090"/>
      </w:pPr>
      <w:r>
        <w:rPr>
          <w:rFonts w:ascii="宋体" w:hAnsi="宋体" w:hint="eastAsia"/>
        </w:rPr>
        <w:t>摩根安荣回报混合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74676109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7467610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-3.8</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0.6</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2.2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06CE" w:rsidRDefault="009006CE">
            <w:pPr>
              <w:spacing w:line="360" w:lineRule="auto"/>
              <w:jc w:val="right"/>
            </w:pPr>
            <w:r>
              <w:rPr>
                <w:rFonts w:ascii="宋体" w:hAnsi="宋体" w:hint="eastAsia"/>
              </w:rPr>
              <w:t>-6.0</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0.3</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7467610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-8.5</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2.1</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06CE" w:rsidRDefault="009006CE">
            <w:pPr>
              <w:spacing w:line="360" w:lineRule="auto"/>
              <w:jc w:val="right"/>
            </w:pPr>
            <w:r>
              <w:rPr>
                <w:rFonts w:ascii="宋体" w:hAnsi="宋体" w:hint="eastAsia"/>
              </w:rPr>
              <w:t>-10.6</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0.3</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7467610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-7.8</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6.1</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06CE" w:rsidRDefault="009006CE">
            <w:pPr>
              <w:spacing w:line="360" w:lineRule="auto"/>
              <w:jc w:val="right"/>
            </w:pPr>
            <w:r>
              <w:rPr>
                <w:rFonts w:ascii="宋体" w:hAnsi="宋体" w:hint="eastAsia"/>
              </w:rPr>
              <w:t>-13.9</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7467610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-4.1</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13.1</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06CE" w:rsidRDefault="009006CE">
            <w:pPr>
              <w:spacing w:line="360" w:lineRule="auto"/>
              <w:jc w:val="right"/>
            </w:pPr>
            <w:r>
              <w:rPr>
                <w:rFonts w:ascii="宋体" w:hAnsi="宋体" w:hint="eastAsia"/>
              </w:rPr>
              <w:t>-17.3</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74676109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-2.9</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13.0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006CE" w:rsidRDefault="009006CE">
            <w:pPr>
              <w:spacing w:line="360" w:lineRule="auto"/>
              <w:jc w:val="right"/>
            </w:pPr>
            <w:r>
              <w:rPr>
                <w:rFonts w:ascii="宋体" w:hAnsi="宋体" w:hint="eastAsia"/>
              </w:rPr>
              <w:t>-16.0</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spacing w:line="360" w:lineRule="auto"/>
              <w:jc w:val="right"/>
            </w:pPr>
            <w:r>
              <w:rPr>
                <w:rFonts w:ascii="宋体" w:hAnsi="宋体" w:hint="eastAsia"/>
              </w:rPr>
              <w:t>0.1</w:t>
            </w:r>
            <w:r>
              <w:rPr>
                <w:rFonts w:ascii="宋体" w:hAnsi="宋体" w:hint="eastAsia"/>
              </w:rPr>
              <w:t>2</w:t>
            </w:r>
            <w:r>
              <w:rPr>
                <w:rFonts w:ascii="宋体" w:hAnsi="宋体" w:hint="eastAsia"/>
              </w:rPr>
              <w:t>%</w:t>
            </w:r>
            <w:r>
              <w:rPr>
                <w:rFonts w:ascii="宋体" w:hAnsi="宋体" w:hint="eastAsia"/>
              </w:rPr>
              <w:t xml:space="preserve"> </w:t>
            </w:r>
          </w:p>
        </w:tc>
      </w:tr>
    </w:tbl>
    <w:p w:rsidR="009006CE" w:rsidRDefault="009006CE">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9006CE" w:rsidRDefault="009006CE">
      <w:pPr>
        <w:spacing w:line="360" w:lineRule="auto"/>
        <w:jc w:val="left"/>
        <w:divId w:val="452014933"/>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006CE" w:rsidRDefault="009006CE">
      <w:pPr>
        <w:spacing w:line="360" w:lineRule="auto"/>
        <w:jc w:val="left"/>
        <w:divId w:val="1414164266"/>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006CE" w:rsidRDefault="009006CE">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2021</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7</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9006CE" w:rsidRDefault="009006CE">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9006CE" w:rsidRDefault="009006CE">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45170776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45170776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06CE" w:rsidRDefault="009006C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06CE" w:rsidRDefault="009006CE">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06CE" w:rsidRDefault="009006C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06CE" w:rsidRDefault="009006CE">
            <w:pPr>
              <w:widowControl/>
              <w:jc w:val="left"/>
            </w:pPr>
          </w:p>
        </w:tc>
      </w:tr>
      <w:tr w:rsidR="00000000">
        <w:trPr>
          <w:divId w:val="145170776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刘心</w:t>
            </w:r>
            <w:r>
              <w:rPr>
                <w:rFonts w:ascii="宋体" w:hAnsi="宋体" w:hint="eastAsia"/>
                <w:szCs w:val="24"/>
                <w:lang w:eastAsia="zh-Hans"/>
              </w:rPr>
              <w:t>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15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szCs w:val="24"/>
                <w:lang w:eastAsia="zh-Hans"/>
              </w:rPr>
              <w:t>刘心一女士曾任融通基金管理有限公司固定收益部固定收益研究员；自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月加入摩根基金管理（中国）有限公司（原上投摩根基金管理有限公司），历任基金经理助理，现任债券投资部基金经理</w:t>
            </w:r>
            <w:r>
              <w:rPr>
                <w:rFonts w:ascii="宋体" w:hAnsi="宋体" w:hint="eastAsia"/>
                <w:szCs w:val="24"/>
                <w:lang w:eastAsia="zh-Hans"/>
              </w:rPr>
              <w:t>。</w:t>
            </w:r>
          </w:p>
        </w:tc>
      </w:tr>
      <w:tr w:rsidR="00000000">
        <w:trPr>
          <w:divId w:val="145170776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邢</w:t>
            </w:r>
            <w:r>
              <w:rPr>
                <w:rFonts w:ascii="宋体" w:hAnsi="宋体" w:hint="eastAsia"/>
                <w:szCs w:val="24"/>
                <w:lang w:eastAsia="zh-Hans"/>
              </w:rPr>
              <w:t>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13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szCs w:val="24"/>
                <w:lang w:eastAsia="zh-Hans"/>
              </w:rPr>
              <w:t>邢达先生曾任安信证券研究所分析师；泓湖投资管理有限公司分析师；</w:t>
            </w: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月加入摩根基金管理（中国）有限公司，历任绝对收益部行业专家、投资经理、高级投资经理，现任混合资产投资部基金经理</w:t>
            </w:r>
            <w:r>
              <w:rPr>
                <w:rFonts w:ascii="宋体" w:hAnsi="宋体" w:hint="eastAsia"/>
                <w:szCs w:val="24"/>
                <w:lang w:eastAsia="zh-Hans"/>
              </w:rPr>
              <w:t>。</w:t>
            </w:r>
          </w:p>
        </w:tc>
      </w:tr>
      <w:tr w:rsidR="00000000">
        <w:trPr>
          <w:divId w:val="145170776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杨</w:t>
            </w:r>
            <w:r>
              <w:rPr>
                <w:rFonts w:ascii="宋体" w:hAnsi="宋体" w:hint="eastAsia"/>
                <w:szCs w:val="24"/>
                <w:lang w:eastAsia="zh-Hans"/>
              </w:rPr>
              <w:t>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3</w:t>
            </w:r>
            <w:r>
              <w:rPr>
                <w:rFonts w:ascii="宋体" w:hAnsi="宋体" w:hint="eastAsia"/>
                <w:szCs w:val="24"/>
                <w:lang w:eastAsia="zh-Hans"/>
              </w:rPr>
              <w:t>日</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15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szCs w:val="24"/>
                <w:lang w:eastAsia="zh-Hans"/>
              </w:rPr>
              <w:t>杨鹏先生曾就职于华泰柏瑞基金管理有限公司和华金证券，曾任建信人寿保险股份有限公司</w:t>
            </w:r>
            <w:r>
              <w:rPr>
                <w:rFonts w:ascii="宋体" w:hAnsi="宋体" w:hint="eastAsia"/>
                <w:szCs w:val="24"/>
                <w:lang w:eastAsia="zh-Hans"/>
              </w:rPr>
              <w:t>FOF</w:t>
            </w:r>
            <w:r>
              <w:rPr>
                <w:rFonts w:ascii="宋体" w:hAnsi="宋体" w:hint="eastAsia"/>
                <w:szCs w:val="24"/>
                <w:lang w:eastAsia="zh-Hans"/>
              </w:rPr>
              <w:t>投资经理，鹏华基金管理有限公司绝对收益投资部投资经理，太平养老保险股份有限公司年金和养老金投资经理。自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月加入摩根基金管理（中国）有限公司（原上投摩根基金管理有限公司），现任混合资产投资部高级基金经理</w:t>
            </w:r>
            <w:r>
              <w:rPr>
                <w:rFonts w:ascii="宋体" w:hAnsi="宋体" w:hint="eastAsia"/>
                <w:szCs w:val="24"/>
                <w:lang w:eastAsia="zh-Hans"/>
              </w:rPr>
              <w:t>。</w:t>
            </w:r>
          </w:p>
        </w:tc>
      </w:tr>
      <w:tr w:rsidR="00000000">
        <w:trPr>
          <w:divId w:val="145170776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周梦</w:t>
            </w:r>
            <w:r>
              <w:rPr>
                <w:rFonts w:ascii="宋体" w:hAnsi="宋体" w:hint="eastAsia"/>
                <w:szCs w:val="24"/>
                <w:lang w:eastAsia="zh-Hans"/>
              </w:rPr>
              <w:t>婕</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16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3</w:t>
            </w:r>
            <w:r>
              <w:rPr>
                <w:rFonts w:ascii="宋体" w:hAnsi="宋体" w:hint="eastAsia"/>
                <w:szCs w:val="24"/>
                <w:lang w:eastAsia="zh-Hans"/>
              </w:rPr>
              <w:t>日</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szCs w:val="24"/>
                <w:lang w:eastAsia="zh-Hans"/>
              </w:rPr>
              <w:t>周梦婕女士曾任东方证券资产管理有限公司产品经理，长江证券股份有限公司投资经理助理，长江证券（上海）资产管理公司固定收益研究员、交易员，中海基金管理有限公司担任基金经理助理、基金经理。</w:t>
            </w: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月加入摩根基金管理（中国）有限公司（原上投摩根基金管理有限公司），现任基金经理</w:t>
            </w:r>
            <w:r>
              <w:rPr>
                <w:rFonts w:ascii="宋体" w:hAnsi="宋体" w:hint="eastAsia"/>
                <w:szCs w:val="24"/>
                <w:lang w:eastAsia="zh-Hans"/>
              </w:rPr>
              <w:t>。</w:t>
            </w:r>
          </w:p>
        </w:tc>
      </w:tr>
    </w:tbl>
    <w:p w:rsidR="009006CE" w:rsidRDefault="009006CE">
      <w:pPr>
        <w:wordWrap w:val="0"/>
        <w:spacing w:line="360" w:lineRule="auto"/>
        <w:jc w:val="left"/>
        <w:divId w:val="683437722"/>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9006CE" w:rsidRDefault="009006CE">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9006CE" w:rsidRDefault="009006CE">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9006CE" w:rsidRDefault="009006CE">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9006CE" w:rsidRDefault="009006CE">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9006CE" w:rsidRDefault="009006CE">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9006CE" w:rsidRDefault="009006CE">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9006CE" w:rsidRDefault="009006CE">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9006CE" w:rsidRDefault="009006CE">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9006CE" w:rsidRDefault="009006CE">
      <w:pPr>
        <w:spacing w:line="360" w:lineRule="auto"/>
        <w:ind w:firstLineChars="200" w:firstLine="420"/>
        <w:jc w:val="left"/>
        <w:rPr>
          <w:rFonts w:hint="eastAsia"/>
        </w:rPr>
      </w:pPr>
      <w:r>
        <w:rPr>
          <w:rFonts w:ascii="宋体" w:hAnsi="宋体" w:cs="宋体" w:hint="eastAsia"/>
          <w:color w:val="000000"/>
          <w:kern w:val="0"/>
        </w:rPr>
        <w:t>上半年国内经济呈现“前高后低”的特征。一季度的社会消费品零售总额（社零）、工业增加值和出口数据均好于预期，呈现了“开门红”的特征。但进入二季度后，经济动能环比有所走弱，其中</w:t>
      </w:r>
      <w:r>
        <w:rPr>
          <w:rFonts w:ascii="宋体" w:hAnsi="宋体" w:cs="宋体" w:hint="eastAsia"/>
          <w:color w:val="000000"/>
          <w:kern w:val="0"/>
        </w:rPr>
        <w:t>5</w:t>
      </w:r>
      <w:r>
        <w:rPr>
          <w:rFonts w:ascii="宋体" w:hAnsi="宋体" w:cs="宋体" w:hint="eastAsia"/>
          <w:color w:val="000000"/>
          <w:kern w:val="0"/>
        </w:rPr>
        <w:t>月开始社零转负，</w:t>
      </w:r>
      <w:r>
        <w:rPr>
          <w:rFonts w:ascii="宋体" w:hAnsi="宋体" w:cs="宋体" w:hint="eastAsia"/>
          <w:color w:val="000000"/>
          <w:kern w:val="0"/>
        </w:rPr>
        <w:t>CPI</w:t>
      </w:r>
      <w:r>
        <w:rPr>
          <w:rFonts w:ascii="宋体" w:hAnsi="宋体" w:cs="宋体" w:hint="eastAsia"/>
          <w:color w:val="000000"/>
          <w:kern w:val="0"/>
        </w:rPr>
        <w:t>环比走弱，或显示居民端消费相对较弱；生产端仍保持较强的增长，但环比一季度的增速有所回落；地产投资继续超预期下行。值得注意的是，尽管受到地缘冲突、航运成本上升和外部需求波动等因素的影响，受益于先进制造和科技产业的高景气，二季度的出口仍然保持了较高的增速，成为经济中的亮点。</w:t>
      </w:r>
      <w:r>
        <w:rPr>
          <w:rFonts w:ascii="宋体" w:hAnsi="宋体" w:cs="宋体" w:hint="eastAsia"/>
          <w:color w:val="000000"/>
          <w:kern w:val="0"/>
        </w:rPr>
        <w:br/>
      </w:r>
      <w:r>
        <w:rPr>
          <w:rFonts w:ascii="宋体" w:hAnsi="宋体" w:cs="宋体" w:hint="eastAsia"/>
          <w:color w:val="000000"/>
          <w:kern w:val="0"/>
        </w:rPr>
        <w:t xml:space="preserve">　　全球权益市场上半年经历了较大的结构切换。年初的时候，市场对美联储降息的定价较为充分，风险资产受益于流动性宽松预期，商品类资产表现较好。</w:t>
      </w:r>
      <w:r>
        <w:rPr>
          <w:rFonts w:ascii="宋体" w:hAnsi="宋体" w:cs="宋体" w:hint="eastAsia"/>
          <w:color w:val="000000"/>
          <w:kern w:val="0"/>
        </w:rPr>
        <w:t>3</w:t>
      </w:r>
      <w:r>
        <w:rPr>
          <w:rFonts w:ascii="宋体" w:hAnsi="宋体" w:cs="宋体" w:hint="eastAsia"/>
          <w:color w:val="000000"/>
          <w:kern w:val="0"/>
        </w:rPr>
        <w:t>月份的中东地缘冲突中断了这一宏观叙事，风险资产明显回调。进入二季度，地缘冲突持续的时间远超市场预期，导致市场开始评估高油价对全球经济、通胀和企业盈利的负面影响。到了二季度末地缘冲突得到初步缓解，油价大幅回落，但美联储的加息预期开始升温，继续影响风险资产表现。在这样的宏观环境下，全球资金加速转向确定性更高的</w:t>
      </w:r>
      <w:r>
        <w:rPr>
          <w:rFonts w:ascii="宋体" w:hAnsi="宋体" w:cs="宋体" w:hint="eastAsia"/>
          <w:color w:val="000000"/>
          <w:kern w:val="0"/>
        </w:rPr>
        <w:t>AI</w:t>
      </w:r>
      <w:r>
        <w:rPr>
          <w:rFonts w:ascii="宋体" w:hAnsi="宋体" w:cs="宋体" w:hint="eastAsia"/>
          <w:color w:val="000000"/>
          <w:kern w:val="0"/>
        </w:rPr>
        <w:t>产业。二季度以来，</w:t>
      </w:r>
      <w:r>
        <w:rPr>
          <w:rFonts w:ascii="宋体" w:hAnsi="宋体" w:cs="宋体" w:hint="eastAsia"/>
          <w:color w:val="000000"/>
          <w:kern w:val="0"/>
        </w:rPr>
        <w:t>AI</w:t>
      </w:r>
      <w:r>
        <w:rPr>
          <w:rFonts w:ascii="宋体" w:hAnsi="宋体" w:cs="宋体" w:hint="eastAsia"/>
          <w:color w:val="000000"/>
          <w:kern w:val="0"/>
        </w:rPr>
        <w:t>大模型能力持续提升，在</w:t>
      </w:r>
      <w:r>
        <w:rPr>
          <w:rFonts w:ascii="宋体" w:hAnsi="宋体" w:cs="宋体" w:hint="eastAsia"/>
          <w:color w:val="000000"/>
          <w:kern w:val="0"/>
        </w:rPr>
        <w:t>Coding</w:t>
      </w:r>
      <w:r>
        <w:rPr>
          <w:rFonts w:ascii="宋体" w:hAnsi="宋体" w:cs="宋体" w:hint="eastAsia"/>
          <w:color w:val="000000"/>
          <w:kern w:val="0"/>
        </w:rPr>
        <w:t>领域和</w:t>
      </w:r>
      <w:r>
        <w:rPr>
          <w:rFonts w:ascii="宋体" w:hAnsi="宋体" w:cs="宋体" w:hint="eastAsia"/>
          <w:color w:val="000000"/>
          <w:kern w:val="0"/>
        </w:rPr>
        <w:t>Agent</w:t>
      </w:r>
      <w:r>
        <w:rPr>
          <w:rFonts w:ascii="宋体" w:hAnsi="宋体" w:cs="宋体" w:hint="eastAsia"/>
          <w:color w:val="000000"/>
          <w:kern w:val="0"/>
        </w:rPr>
        <w:t>领域快速渗透，龙头公司的</w:t>
      </w:r>
      <w:r>
        <w:rPr>
          <w:rFonts w:ascii="宋体" w:hAnsi="宋体" w:cs="宋体" w:hint="eastAsia"/>
          <w:color w:val="000000"/>
          <w:kern w:val="0"/>
        </w:rPr>
        <w:t>ARR</w:t>
      </w:r>
      <w:r>
        <w:rPr>
          <w:rFonts w:ascii="宋体" w:hAnsi="宋体" w:cs="宋体" w:hint="eastAsia"/>
          <w:color w:val="000000"/>
          <w:kern w:val="0"/>
        </w:rPr>
        <w:t>（年度经常性收入）月度环比高增，进一步的强化了市场对于</w:t>
      </w:r>
      <w:r>
        <w:rPr>
          <w:rFonts w:ascii="宋体" w:hAnsi="宋体" w:cs="宋体" w:hint="eastAsia"/>
          <w:color w:val="000000"/>
          <w:kern w:val="0"/>
        </w:rPr>
        <w:t>AI</w:t>
      </w:r>
      <w:r>
        <w:rPr>
          <w:rFonts w:ascii="宋体" w:hAnsi="宋体" w:cs="宋体" w:hint="eastAsia"/>
          <w:color w:val="000000"/>
          <w:kern w:val="0"/>
        </w:rPr>
        <w:t>产业趋势的信心。在大规模的资本开支下，上游硬件算力呈现供不应求和价格持续上涨的特征，在美国、日本、中国台湾地区、韩国和中国内地的权益市场都表现出了对于上游“卖铲子”资产的追捧，同时对其他行业形成明显的挤出效应。尤其是恒生科技指数，同时受到资金流出、地缘风险偏好冲击、基本面下行等因素的影响，在全球主要宽基指数中表现相对较弱。</w:t>
      </w:r>
      <w:r>
        <w:rPr>
          <w:rFonts w:ascii="宋体" w:hAnsi="宋体" w:cs="宋体" w:hint="eastAsia"/>
          <w:color w:val="000000"/>
          <w:kern w:val="0"/>
        </w:rPr>
        <w:br/>
      </w:r>
      <w:r>
        <w:rPr>
          <w:rFonts w:ascii="宋体" w:hAnsi="宋体" w:cs="宋体" w:hint="eastAsia"/>
          <w:color w:val="000000"/>
          <w:kern w:val="0"/>
        </w:rPr>
        <w:t xml:space="preserve">　　在基金权益操作上，上半年股票整体延续自下而上的选股思路。在策略上，优先选择低估值，强商业模式和长期竞争力清晰的公司；保持行业分散配置，不单一重仓某一条主线，按估值性价比对持仓结构进行分层。上半年，本基金投资组合根据市场的价格变化和公司基本面的变化，进行了较大幅度的调整：增配估值</w:t>
      </w:r>
      <w:r>
        <w:rPr>
          <w:rFonts w:ascii="宋体" w:hAnsi="宋体" w:cs="宋体" w:hint="eastAsia"/>
          <w:color w:val="000000"/>
          <w:kern w:val="0"/>
        </w:rPr>
        <w:t>/</w:t>
      </w:r>
      <w:r>
        <w:rPr>
          <w:rFonts w:ascii="宋体" w:hAnsi="宋体" w:cs="宋体" w:hint="eastAsia"/>
          <w:color w:val="000000"/>
          <w:kern w:val="0"/>
        </w:rPr>
        <w:t>企业长期回报性价比高的公司，引入符合科技产业趋势的个股，止盈受益于地缘冲突或者</w:t>
      </w:r>
      <w:r>
        <w:rPr>
          <w:rFonts w:ascii="宋体" w:hAnsi="宋体" w:cs="宋体" w:hint="eastAsia"/>
          <w:color w:val="000000"/>
          <w:kern w:val="0"/>
        </w:rPr>
        <w:t>AI</w:t>
      </w:r>
      <w:r>
        <w:rPr>
          <w:rFonts w:ascii="宋体" w:hAnsi="宋体" w:cs="宋体" w:hint="eastAsia"/>
          <w:color w:val="000000"/>
          <w:kern w:val="0"/>
        </w:rPr>
        <w:t>情绪这些阶段性因素导致赔率下降的股票等。另外，我们注意到在主要大类资产中恒生科技指数已经显著的进入高性价比区间，适度提升了对恒生科技股票的关注。</w:t>
      </w:r>
      <w:r>
        <w:rPr>
          <w:rFonts w:ascii="宋体" w:hAnsi="宋体" w:cs="宋体" w:hint="eastAsia"/>
          <w:color w:val="000000"/>
          <w:kern w:val="0"/>
        </w:rPr>
        <w:br/>
      </w:r>
      <w:r>
        <w:rPr>
          <w:rFonts w:ascii="宋体" w:hAnsi="宋体" w:cs="宋体" w:hint="eastAsia"/>
          <w:color w:val="000000"/>
          <w:kern w:val="0"/>
        </w:rPr>
        <w:t xml:space="preserve">　　展望未来：首先，我们看到地缘战争已进入尾声，油价也从高位快速回落，二季度对于宏观经济的负面压制可能在三季度部分缓解。国内的内需仍然面临偏弱的现实压力，缺少内生的动能，同时受到</w:t>
      </w:r>
      <w:r>
        <w:rPr>
          <w:rFonts w:ascii="宋体" w:hAnsi="宋体" w:cs="宋体" w:hint="eastAsia"/>
          <w:color w:val="000000"/>
          <w:kern w:val="0"/>
        </w:rPr>
        <w:t>AI</w:t>
      </w:r>
      <w:r>
        <w:rPr>
          <w:rFonts w:ascii="宋体" w:hAnsi="宋体" w:cs="宋体" w:hint="eastAsia"/>
          <w:color w:val="000000"/>
          <w:kern w:val="0"/>
        </w:rPr>
        <w:t>替代的叙事压制，但我们认为不要过度夸大</w:t>
      </w:r>
      <w:r>
        <w:rPr>
          <w:rFonts w:ascii="宋体" w:hAnsi="宋体" w:cs="宋体" w:hint="eastAsia"/>
          <w:color w:val="000000"/>
          <w:kern w:val="0"/>
        </w:rPr>
        <w:t>AI</w:t>
      </w:r>
      <w:r>
        <w:rPr>
          <w:rFonts w:ascii="宋体" w:hAnsi="宋体" w:cs="宋体" w:hint="eastAsia"/>
          <w:color w:val="000000"/>
          <w:kern w:val="0"/>
        </w:rPr>
        <w:t>对经济结构的短期影响，也不应该忽视宏观政策对冲的可能性，而当下的市场定价中对于宏观政策的对冲或尚未充分反映。其次，我们持续关注</w:t>
      </w:r>
      <w:r>
        <w:rPr>
          <w:rFonts w:ascii="宋体" w:hAnsi="宋体" w:cs="宋体" w:hint="eastAsia"/>
          <w:color w:val="000000"/>
          <w:kern w:val="0"/>
        </w:rPr>
        <w:t>AI</w:t>
      </w:r>
      <w:r>
        <w:rPr>
          <w:rFonts w:ascii="宋体" w:hAnsi="宋体" w:cs="宋体" w:hint="eastAsia"/>
          <w:color w:val="000000"/>
          <w:kern w:val="0"/>
        </w:rPr>
        <w:t>产业革命带来的社会进步，但当下</w:t>
      </w:r>
      <w:r>
        <w:rPr>
          <w:rFonts w:ascii="宋体" w:hAnsi="宋体" w:cs="宋体" w:hint="eastAsia"/>
          <w:color w:val="000000"/>
          <w:kern w:val="0"/>
        </w:rPr>
        <w:t>AI</w:t>
      </w:r>
      <w:r>
        <w:rPr>
          <w:rFonts w:ascii="宋体" w:hAnsi="宋体" w:cs="宋体" w:hint="eastAsia"/>
          <w:color w:val="000000"/>
          <w:kern w:val="0"/>
        </w:rPr>
        <w:t>上游公司的估值已相对充分，而生产力的快速进步可能最终还是要找到生产关系和商业模式的承接，否则难以支持大规模的资本开支。虽然</w:t>
      </w:r>
      <w:r>
        <w:rPr>
          <w:rFonts w:ascii="宋体" w:hAnsi="宋体" w:cs="宋体" w:hint="eastAsia"/>
          <w:color w:val="000000"/>
          <w:kern w:val="0"/>
        </w:rPr>
        <w:t>AI</w:t>
      </w:r>
      <w:r>
        <w:rPr>
          <w:rFonts w:ascii="宋体" w:hAnsi="宋体" w:cs="宋体" w:hint="eastAsia"/>
          <w:color w:val="000000"/>
          <w:kern w:val="0"/>
        </w:rPr>
        <w:t>大模型具备较强的能力，但仍然没有证明可以重塑生产关系，还是以出售</w:t>
      </w:r>
      <w:r>
        <w:rPr>
          <w:rFonts w:ascii="宋体" w:hAnsi="宋体" w:cs="宋体" w:hint="eastAsia"/>
          <w:color w:val="000000"/>
          <w:kern w:val="0"/>
        </w:rPr>
        <w:t>Token</w:t>
      </w:r>
      <w:r>
        <w:rPr>
          <w:rFonts w:ascii="宋体" w:hAnsi="宋体" w:cs="宋体" w:hint="eastAsia"/>
          <w:color w:val="000000"/>
          <w:kern w:val="0"/>
        </w:rPr>
        <w:t>的商业模式为主。美国的</w:t>
      </w:r>
      <w:r>
        <w:rPr>
          <w:rFonts w:ascii="宋体" w:hAnsi="宋体" w:cs="宋体" w:hint="eastAsia"/>
          <w:color w:val="000000"/>
          <w:kern w:val="0"/>
        </w:rPr>
        <w:t>AI</w:t>
      </w:r>
      <w:r>
        <w:rPr>
          <w:rFonts w:ascii="宋体" w:hAnsi="宋体" w:cs="宋体" w:hint="eastAsia"/>
          <w:color w:val="000000"/>
          <w:kern w:val="0"/>
        </w:rPr>
        <w:t>“吞噬”下游的叙事已经有一定反转的迹象，我们也把更多的目光放在</w:t>
      </w:r>
      <w:r>
        <w:rPr>
          <w:rFonts w:ascii="宋体" w:hAnsi="宋体" w:cs="宋体" w:hint="eastAsia"/>
          <w:color w:val="000000"/>
          <w:kern w:val="0"/>
        </w:rPr>
        <w:t>AI</w:t>
      </w:r>
      <w:r>
        <w:rPr>
          <w:rFonts w:ascii="宋体" w:hAnsi="宋体" w:cs="宋体" w:hint="eastAsia"/>
          <w:color w:val="000000"/>
          <w:kern w:val="0"/>
        </w:rPr>
        <w:t>的下游，寻找在新的产业浪潮中，能够通过重塑自身商业模式找到新的增长路径的企业。最后，更深层来看，权益市场在一定程度上反映了中美科技竞争的资产定价，但历史经验表明，中国公司在工程能力、场景落地、供应链等方面具备较强的能力，我们判断在</w:t>
      </w:r>
      <w:r>
        <w:rPr>
          <w:rFonts w:ascii="宋体" w:hAnsi="宋体" w:cs="宋体" w:hint="eastAsia"/>
          <w:color w:val="000000"/>
          <w:kern w:val="0"/>
        </w:rPr>
        <w:t>AI</w:t>
      </w:r>
      <w:r>
        <w:rPr>
          <w:rFonts w:ascii="宋体" w:hAnsi="宋体" w:cs="宋体" w:hint="eastAsia"/>
          <w:color w:val="000000"/>
          <w:kern w:val="0"/>
        </w:rPr>
        <w:t>科技竞争中，中国有望快速缩小差距，大幅提升中国相关资产的估值水平。</w:t>
      </w:r>
      <w:r>
        <w:rPr>
          <w:rFonts w:ascii="宋体" w:hAnsi="宋体" w:cs="宋体" w:hint="eastAsia"/>
          <w:color w:val="000000"/>
          <w:kern w:val="0"/>
        </w:rPr>
        <w:br/>
      </w:r>
      <w:r>
        <w:rPr>
          <w:rFonts w:ascii="宋体" w:hAnsi="宋体" w:cs="宋体" w:hint="eastAsia"/>
          <w:color w:val="000000"/>
          <w:kern w:val="0"/>
        </w:rPr>
        <w:t xml:space="preserve">　　债券部分，</w:t>
      </w:r>
      <w:r>
        <w:rPr>
          <w:rFonts w:ascii="宋体" w:hAnsi="宋体" w:cs="宋体" w:hint="eastAsia"/>
          <w:color w:val="000000"/>
          <w:kern w:val="0"/>
        </w:rPr>
        <w:t>2026</w:t>
      </w:r>
      <w:r>
        <w:rPr>
          <w:rFonts w:ascii="宋体" w:hAnsi="宋体" w:cs="宋体" w:hint="eastAsia"/>
          <w:color w:val="000000"/>
          <w:kern w:val="0"/>
        </w:rPr>
        <w:t>年二季度债券市场延续了利差压缩主线，中长期限品种有所补涨。</w:t>
      </w:r>
      <w:r>
        <w:rPr>
          <w:rFonts w:ascii="宋体" w:hAnsi="宋体" w:cs="宋体" w:hint="eastAsia"/>
          <w:color w:val="000000"/>
          <w:kern w:val="0"/>
        </w:rPr>
        <w:t>4</w:t>
      </w:r>
      <w:r>
        <w:rPr>
          <w:rFonts w:ascii="宋体" w:hAnsi="宋体" w:cs="宋体" w:hint="eastAsia"/>
          <w:color w:val="000000"/>
          <w:kern w:val="0"/>
        </w:rPr>
        <w:t>月初油价从单边上涨进入高位震荡，除油价外，通胀改善相对有限，通胀预期冲击边际缓和，而内生融资需求与内需数据仍相对偏弱。银行间资金面保持宽松，而短端信用利差压缩相对充分、市场拥挤度相对较高，阶段性做平收益率曲线开始成为市场共识，</w:t>
      </w:r>
      <w:r>
        <w:rPr>
          <w:rFonts w:ascii="宋体" w:hAnsi="宋体" w:cs="宋体" w:hint="eastAsia"/>
          <w:color w:val="000000"/>
          <w:kern w:val="0"/>
        </w:rPr>
        <w:t>10-30</w:t>
      </w:r>
      <w:r>
        <w:rPr>
          <w:rFonts w:ascii="宋体" w:hAnsi="宋体" w:cs="宋体" w:hint="eastAsia"/>
          <w:color w:val="000000"/>
          <w:kern w:val="0"/>
        </w:rPr>
        <w:t>年期利率债和</w:t>
      </w:r>
      <w:r>
        <w:rPr>
          <w:rFonts w:ascii="宋体" w:hAnsi="宋体" w:cs="宋体" w:hint="eastAsia"/>
          <w:color w:val="000000"/>
          <w:kern w:val="0"/>
        </w:rPr>
        <w:t>5-10</w:t>
      </w:r>
      <w:r>
        <w:rPr>
          <w:rFonts w:ascii="宋体" w:hAnsi="宋体" w:cs="宋体" w:hint="eastAsia"/>
          <w:color w:val="000000"/>
          <w:kern w:val="0"/>
        </w:rPr>
        <w:t>年期银行二级资本债的期限利差进一步压缩。</w:t>
      </w:r>
      <w:r>
        <w:rPr>
          <w:rFonts w:ascii="宋体" w:hAnsi="宋体" w:cs="宋体" w:hint="eastAsia"/>
          <w:color w:val="000000"/>
          <w:kern w:val="0"/>
        </w:rPr>
        <w:t>5</w:t>
      </w:r>
      <w:r>
        <w:rPr>
          <w:rFonts w:ascii="宋体" w:hAnsi="宋体" w:cs="宋体" w:hint="eastAsia"/>
          <w:color w:val="000000"/>
          <w:kern w:val="0"/>
        </w:rPr>
        <w:t>月资金面整体延续宽松格局，负债端资金充裕再度驱动收益率下行。</w:t>
      </w:r>
      <w:r>
        <w:rPr>
          <w:rFonts w:ascii="宋体" w:hAnsi="宋体" w:cs="宋体" w:hint="eastAsia"/>
          <w:color w:val="000000"/>
          <w:kern w:val="0"/>
        </w:rPr>
        <w:t>6</w:t>
      </w:r>
      <w:r>
        <w:rPr>
          <w:rFonts w:ascii="宋体" w:hAnsi="宋体" w:cs="宋体" w:hint="eastAsia"/>
          <w:color w:val="000000"/>
          <w:kern w:val="0"/>
        </w:rPr>
        <w:t>月初在银行自身负债缺口扩大与央行态度边际变化的双重驱动下，银行融出意愿下降，资金面阶段性收敛，</w:t>
      </w:r>
      <w:r>
        <w:rPr>
          <w:rFonts w:ascii="宋体" w:hAnsi="宋体" w:cs="宋体" w:hint="eastAsia"/>
          <w:color w:val="000000"/>
          <w:kern w:val="0"/>
        </w:rPr>
        <w:t>6</w:t>
      </w:r>
      <w:r>
        <w:rPr>
          <w:rFonts w:ascii="宋体" w:hAnsi="宋体" w:cs="宋体" w:hint="eastAsia"/>
          <w:color w:val="000000"/>
          <w:kern w:val="0"/>
        </w:rPr>
        <w:t>月市场整体震荡回调。</w:t>
      </w:r>
      <w:r>
        <w:rPr>
          <w:rFonts w:ascii="宋体" w:hAnsi="宋体" w:cs="宋体" w:hint="eastAsia"/>
          <w:color w:val="000000"/>
          <w:kern w:val="0"/>
        </w:rPr>
        <w:br/>
      </w:r>
      <w:r>
        <w:rPr>
          <w:rFonts w:ascii="宋体" w:hAnsi="宋体" w:cs="宋体" w:hint="eastAsia"/>
          <w:color w:val="000000"/>
          <w:kern w:val="0"/>
        </w:rPr>
        <w:t xml:space="preserve">　　目前宏观基本面整体呈现较强的结构分化特征，出口与</w:t>
      </w:r>
      <w:r>
        <w:rPr>
          <w:rFonts w:ascii="宋体" w:hAnsi="宋体" w:cs="宋体" w:hint="eastAsia"/>
          <w:color w:val="000000"/>
          <w:kern w:val="0"/>
        </w:rPr>
        <w:t>AI</w:t>
      </w:r>
      <w:r>
        <w:rPr>
          <w:rFonts w:ascii="宋体" w:hAnsi="宋体" w:cs="宋体" w:hint="eastAsia"/>
          <w:color w:val="000000"/>
          <w:kern w:val="0"/>
        </w:rPr>
        <w:t>相关领域景气较高，但传统行业与内需改善幅度相对有限。从内需和信用派生角度出发，货币政策缺乏大幅转向的宏观基础。本基金投资组合将在正利差前提下，布局具有配置价值的品种，同时对于灵活捕捉长债的逆向交易机会</w:t>
      </w:r>
      <w:r>
        <w:rPr>
          <w:rFonts w:ascii="宋体" w:hAnsi="宋体" w:cs="宋体" w:hint="eastAsia"/>
          <w:color w:val="000000"/>
          <w:kern w:val="0"/>
        </w:rPr>
        <w:t>。</w:t>
      </w:r>
    </w:p>
    <w:p w:rsidR="009006CE" w:rsidRDefault="009006CE">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9006CE" w:rsidRDefault="009006CE">
      <w:pPr>
        <w:spacing w:line="360" w:lineRule="auto"/>
        <w:ind w:firstLineChars="200" w:firstLine="420"/>
        <w:rPr>
          <w:rFonts w:hint="eastAsia"/>
        </w:rPr>
      </w:pPr>
      <w:r>
        <w:rPr>
          <w:rFonts w:ascii="宋体" w:hAnsi="宋体" w:hint="eastAsia"/>
        </w:rPr>
        <w:t>本报告期摩根安荣回报混合</w:t>
      </w:r>
      <w:r>
        <w:rPr>
          <w:rFonts w:ascii="宋体" w:hAnsi="宋体" w:hint="eastAsia"/>
        </w:rPr>
        <w:t>A</w:t>
      </w:r>
      <w:r>
        <w:rPr>
          <w:rFonts w:ascii="宋体" w:hAnsi="宋体" w:hint="eastAsia"/>
        </w:rPr>
        <w:t>份额净值增长率为：</w:t>
      </w:r>
      <w:r>
        <w:rPr>
          <w:rFonts w:ascii="宋体" w:hAnsi="宋体" w:hint="eastAsia"/>
        </w:rPr>
        <w:t>-3.74%</w:t>
      </w:r>
      <w:r>
        <w:rPr>
          <w:rFonts w:ascii="宋体" w:hAnsi="宋体" w:hint="eastAsia"/>
        </w:rPr>
        <w:t>，同期业绩比较基准收益率为：</w:t>
      </w:r>
      <w:r>
        <w:rPr>
          <w:rFonts w:ascii="宋体" w:hAnsi="宋体" w:hint="eastAsia"/>
        </w:rPr>
        <w:t>2.22%</w:t>
      </w:r>
      <w:r>
        <w:rPr>
          <w:rFonts w:ascii="宋体" w:hAnsi="宋体" w:hint="eastAsia"/>
        </w:rPr>
        <w:t>；</w:t>
      </w:r>
      <w:r>
        <w:rPr>
          <w:rFonts w:ascii="宋体" w:hAnsi="宋体" w:hint="eastAsia"/>
        </w:rPr>
        <w:br/>
      </w:r>
      <w:r>
        <w:rPr>
          <w:rFonts w:ascii="宋体" w:hAnsi="宋体" w:hint="eastAsia"/>
        </w:rPr>
        <w:t xml:space="preserve">　　摩根安荣回报混合</w:t>
      </w:r>
      <w:r>
        <w:rPr>
          <w:rFonts w:ascii="宋体" w:hAnsi="宋体" w:hint="eastAsia"/>
        </w:rPr>
        <w:t>C</w:t>
      </w:r>
      <w:r>
        <w:rPr>
          <w:rFonts w:ascii="宋体" w:hAnsi="宋体" w:hint="eastAsia"/>
        </w:rPr>
        <w:t>份额净值增长率为：</w:t>
      </w:r>
      <w:r>
        <w:rPr>
          <w:rFonts w:ascii="宋体" w:hAnsi="宋体" w:hint="eastAsia"/>
        </w:rPr>
        <w:t>-3.85%</w:t>
      </w:r>
      <w:r>
        <w:rPr>
          <w:rFonts w:ascii="宋体" w:hAnsi="宋体" w:hint="eastAsia"/>
        </w:rPr>
        <w:t>，同期业绩比较基准收益率为：</w:t>
      </w:r>
      <w:r>
        <w:rPr>
          <w:rFonts w:ascii="宋体" w:hAnsi="宋体" w:hint="eastAsia"/>
        </w:rPr>
        <w:t>2.22%</w:t>
      </w:r>
      <w:r>
        <w:rPr>
          <w:rFonts w:ascii="宋体" w:hAnsi="宋体" w:hint="eastAsia"/>
        </w:rPr>
        <w:t>。</w:t>
      </w:r>
    </w:p>
    <w:p w:rsidR="009006CE" w:rsidRDefault="009006CE">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9006CE" w:rsidRDefault="009006CE">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9006CE" w:rsidRDefault="009006CE">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9006CE" w:rsidRDefault="009006CE">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lang w:eastAsia="zh-Hans"/>
              </w:rPr>
              <w:t>1</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86,910,328.0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49.0</w:t>
            </w:r>
            <w:r>
              <w:rPr>
                <w:rFonts w:ascii="宋体" w:hAnsi="宋体" w:hint="eastAsia"/>
                <w:szCs w:val="24"/>
                <w:lang w:eastAsia="zh-Hans"/>
              </w:rPr>
              <w:t>0</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86,910,328.0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49.0</w:t>
            </w:r>
            <w:r>
              <w:rPr>
                <w:rFonts w:ascii="宋体" w:hAnsi="宋体" w:hint="eastAsia"/>
                <w:szCs w:val="24"/>
                <w:lang w:eastAsia="zh-Hans"/>
              </w:rPr>
              <w:t>0</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79,920,765.3</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45.0</w:t>
            </w:r>
            <w:r>
              <w:rPr>
                <w:rFonts w:ascii="宋体" w:hAnsi="宋体" w:hint="eastAsia"/>
                <w:szCs w:val="24"/>
                <w:lang w:eastAsia="zh-Hans"/>
              </w:rPr>
              <w:t>6</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79,920,765.3</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45.0</w:t>
            </w:r>
            <w:r>
              <w:rPr>
                <w:rFonts w:ascii="宋体" w:hAnsi="宋体" w:hint="eastAsia"/>
                <w:szCs w:val="24"/>
                <w:lang w:eastAsia="zh-Hans"/>
              </w:rPr>
              <w:t>6</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1,500,000.0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0.8</w:t>
            </w:r>
            <w:r>
              <w:rPr>
                <w:rFonts w:ascii="宋体" w:hAnsi="宋体" w:hint="eastAsia"/>
                <w:szCs w:val="24"/>
                <w:lang w:eastAsia="zh-Hans"/>
              </w:rPr>
              <w:t>5</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4,257,066.5</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2.4</w:t>
            </w:r>
            <w:r>
              <w:rPr>
                <w:rFonts w:ascii="宋体" w:hAnsi="宋体" w:hint="eastAsia"/>
                <w:szCs w:val="24"/>
                <w:lang w:eastAsia="zh-Hans"/>
              </w:rPr>
              <w:t>0</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4,769,590.7</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2.6</w:t>
            </w:r>
            <w:r>
              <w:rPr>
                <w:rFonts w:ascii="宋体" w:hAnsi="宋体" w:hint="eastAsia"/>
                <w:szCs w:val="24"/>
                <w:lang w:eastAsia="zh-Hans"/>
              </w:rPr>
              <w:t>9</w:t>
            </w:r>
          </w:p>
        </w:tc>
      </w:tr>
      <w:tr w:rsidR="00000000">
        <w:trPr>
          <w:divId w:val="13804719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9006CE" w:rsidRDefault="009006CE">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177,357,750.6</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100.0</w:t>
            </w:r>
            <w:r>
              <w:rPr>
                <w:rFonts w:ascii="宋体" w:hAnsi="宋体" w:hint="eastAsia"/>
                <w:szCs w:val="24"/>
                <w:lang w:eastAsia="zh-Hans"/>
              </w:rPr>
              <w:t>0</w:t>
            </w:r>
          </w:p>
        </w:tc>
      </w:tr>
    </w:tbl>
    <w:p w:rsidR="009006CE" w:rsidRDefault="009006CE">
      <w:pPr>
        <w:spacing w:line="360" w:lineRule="auto"/>
        <w:jc w:val="left"/>
        <w:divId w:val="691733074"/>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29,288,349.30</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16.81%</w:t>
      </w:r>
      <w:r>
        <w:rPr>
          <w:rFonts w:ascii="宋体" w:hAnsi="宋体" w:hint="eastAsia"/>
        </w:rPr>
        <w:t>。</w:t>
      </w:r>
    </w:p>
    <w:p w:rsidR="009006CE" w:rsidRDefault="009006CE">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9006CE" w:rsidRDefault="009006CE">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985308391"/>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006CE" w:rsidRDefault="009006CE">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9006CE" w:rsidRDefault="009006CE">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9006CE" w:rsidRDefault="009006C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255,427.0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0.1</w:t>
            </w:r>
            <w:r>
              <w:rPr>
                <w:rFonts w:ascii="宋体" w:hAnsi="宋体" w:hint="eastAsia"/>
                <w:szCs w:val="24"/>
                <w:lang w:eastAsia="zh-Hans"/>
              </w:rPr>
              <w:t>5</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43,039,875.0</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24.7</w:t>
            </w:r>
            <w:r>
              <w:rPr>
                <w:rFonts w:ascii="宋体" w:hAnsi="宋体" w:hint="eastAsia"/>
                <w:szCs w:val="24"/>
                <w:lang w:eastAsia="zh-Hans"/>
              </w:rPr>
              <w:t>1</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4,993,892.1</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2.8</w:t>
            </w:r>
            <w:r>
              <w:rPr>
                <w:rFonts w:ascii="宋体" w:hAnsi="宋体" w:hint="eastAsia"/>
                <w:szCs w:val="24"/>
                <w:lang w:eastAsia="zh-Hans"/>
              </w:rPr>
              <w:t>7</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1,859,504.0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1.0</w:t>
            </w:r>
            <w:r>
              <w:rPr>
                <w:rFonts w:ascii="宋体" w:hAnsi="宋体" w:hint="eastAsia"/>
                <w:szCs w:val="24"/>
                <w:lang w:eastAsia="zh-Hans"/>
              </w:rPr>
              <w:t>7</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3,307,768.0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1.9</w:t>
            </w:r>
            <w:r>
              <w:rPr>
                <w:rFonts w:ascii="宋体" w:hAnsi="宋体" w:hint="eastAsia"/>
                <w:szCs w:val="24"/>
                <w:lang w:eastAsia="zh-Hans"/>
              </w:rPr>
              <w:t>0</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840,000.0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0.4</w:t>
            </w:r>
            <w:r>
              <w:rPr>
                <w:rFonts w:ascii="宋体" w:hAnsi="宋体" w:hint="eastAsia"/>
                <w:szCs w:val="24"/>
                <w:lang w:eastAsia="zh-Hans"/>
              </w:rPr>
              <w:t>8</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2,300,405.5</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1.3</w:t>
            </w:r>
            <w:r>
              <w:rPr>
                <w:rFonts w:ascii="宋体" w:hAnsi="宋体" w:hint="eastAsia"/>
                <w:szCs w:val="24"/>
                <w:lang w:eastAsia="zh-Hans"/>
              </w:rPr>
              <w:t>2</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666,168.0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0.3</w:t>
            </w:r>
            <w:r>
              <w:rPr>
                <w:rFonts w:ascii="宋体" w:hAnsi="宋体" w:hint="eastAsia"/>
                <w:szCs w:val="24"/>
                <w:lang w:eastAsia="zh-Hans"/>
              </w:rPr>
              <w:t>8</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358,939.0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0.2</w:t>
            </w:r>
            <w:r>
              <w:rPr>
                <w:rFonts w:ascii="宋体" w:hAnsi="宋体" w:hint="eastAsia"/>
                <w:szCs w:val="24"/>
                <w:lang w:eastAsia="zh-Hans"/>
              </w:rPr>
              <w:t>1</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w:t>
            </w:r>
          </w:p>
        </w:tc>
      </w:tr>
      <w:tr w:rsidR="00000000">
        <w:trPr>
          <w:divId w:val="198530839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006CE" w:rsidRDefault="009006CE">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006CE" w:rsidRDefault="009006CE">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006CE" w:rsidRDefault="009006CE">
            <w:pPr>
              <w:jc w:val="right"/>
            </w:pPr>
            <w:r>
              <w:rPr>
                <w:rFonts w:ascii="宋体" w:hAnsi="宋体" w:hint="eastAsia"/>
                <w:szCs w:val="24"/>
                <w:lang w:eastAsia="zh-Hans"/>
              </w:rPr>
              <w:t>57,621,978.7</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006CE" w:rsidRDefault="009006CE">
            <w:pPr>
              <w:jc w:val="right"/>
            </w:pPr>
            <w:r>
              <w:rPr>
                <w:rFonts w:ascii="宋体" w:hAnsi="宋体" w:hint="eastAsia"/>
                <w:szCs w:val="24"/>
                <w:lang w:eastAsia="zh-Hans"/>
              </w:rPr>
              <w:t>33.0</w:t>
            </w:r>
            <w:r>
              <w:rPr>
                <w:rFonts w:ascii="宋体" w:hAnsi="宋体" w:hint="eastAsia"/>
                <w:szCs w:val="24"/>
                <w:lang w:eastAsia="zh-Hans"/>
              </w:rPr>
              <w:t>8</w:t>
            </w:r>
          </w:p>
        </w:tc>
      </w:tr>
    </w:tbl>
    <w:p w:rsidR="009006CE" w:rsidRDefault="009006CE">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006CE" w:rsidRDefault="009006CE">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006CE" w:rsidRDefault="009006CE">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006CE" w:rsidRDefault="009006C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16,453,362.9</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9.4</w:t>
            </w:r>
            <w:r>
              <w:rPr>
                <w:rFonts w:ascii="宋体" w:hAnsi="宋体" w:hint="eastAsia"/>
                <w:szCs w:val="24"/>
                <w:lang w:eastAsia="zh-Hans"/>
              </w:rPr>
              <w:t>5</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376,459.1</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0.2</w:t>
            </w:r>
            <w:r>
              <w:rPr>
                <w:rFonts w:ascii="宋体" w:hAnsi="宋体" w:hint="eastAsia"/>
                <w:szCs w:val="24"/>
                <w:lang w:eastAsia="zh-Hans"/>
              </w:rPr>
              <w:t>2</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4,094,997.8</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2.3</w:t>
            </w:r>
            <w:r>
              <w:rPr>
                <w:rFonts w:ascii="宋体" w:hAnsi="宋体" w:hint="eastAsia"/>
                <w:szCs w:val="24"/>
                <w:lang w:eastAsia="zh-Hans"/>
              </w:rPr>
              <w:t>5</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4,147,457.4</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2.3</w:t>
            </w:r>
            <w:r>
              <w:rPr>
                <w:rFonts w:ascii="宋体" w:hAnsi="宋体" w:hint="eastAsia"/>
                <w:szCs w:val="24"/>
                <w:lang w:eastAsia="zh-Hans"/>
              </w:rPr>
              <w:t>8</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545,362.5</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0.3</w:t>
            </w:r>
            <w:r>
              <w:rPr>
                <w:rFonts w:ascii="宋体" w:hAnsi="宋体" w:hint="eastAsia"/>
                <w:szCs w:val="24"/>
                <w:lang w:eastAsia="zh-Hans"/>
              </w:rPr>
              <w:t>1</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3,670,709.4</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2.1</w:t>
            </w:r>
            <w:r>
              <w:rPr>
                <w:rFonts w:ascii="宋体" w:hAnsi="宋体" w:hint="eastAsia"/>
                <w:szCs w:val="24"/>
                <w:lang w:eastAsia="zh-Hans"/>
              </w:rPr>
              <w:t>1</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w:t>
            </w:r>
          </w:p>
        </w:tc>
      </w:tr>
      <w:tr w:rsidR="00000000">
        <w:trPr>
          <w:divId w:val="117506972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29,288,349.3</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006CE" w:rsidRDefault="009006CE">
            <w:pPr>
              <w:jc w:val="right"/>
            </w:pPr>
            <w:r>
              <w:rPr>
                <w:rFonts w:ascii="宋体" w:hAnsi="宋体" w:hint="eastAsia"/>
                <w:szCs w:val="24"/>
                <w:lang w:eastAsia="zh-Hans"/>
              </w:rPr>
              <w:t>16.8</w:t>
            </w:r>
            <w:r>
              <w:rPr>
                <w:rFonts w:ascii="宋体" w:hAnsi="宋体" w:hint="eastAsia"/>
                <w:szCs w:val="24"/>
                <w:lang w:eastAsia="zh-Hans"/>
              </w:rPr>
              <w:t>1</w:t>
            </w:r>
          </w:p>
        </w:tc>
      </w:tr>
    </w:tbl>
    <w:p w:rsidR="009006CE" w:rsidRDefault="009006CE">
      <w:pPr>
        <w:spacing w:line="360" w:lineRule="auto"/>
        <w:divId w:val="1404723256"/>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9006CE" w:rsidRDefault="009006CE">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9006CE" w:rsidRDefault="009006CE">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83430109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343010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68803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传音控</w:t>
            </w:r>
            <w:r>
              <w:rPr>
                <w:rFonts w:ascii="宋体" w:hAnsi="宋体" w:hint="eastAsia"/>
                <w:szCs w:val="24"/>
                <w:lang w:eastAsia="zh-Hans"/>
              </w:rPr>
              <w:t>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134,70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7,940,565.0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4.5</w:t>
            </w:r>
            <w:r>
              <w:rPr>
                <w:rFonts w:ascii="宋体" w:hAnsi="宋体" w:hint="eastAsia"/>
                <w:szCs w:val="24"/>
                <w:lang w:eastAsia="zh-Hans"/>
              </w:rPr>
              <w:t>6</w:t>
            </w:r>
          </w:p>
        </w:tc>
      </w:tr>
      <w:tr w:rsidR="00000000">
        <w:trPr>
          <w:divId w:val="18343010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0260</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中国太</w:t>
            </w:r>
            <w:r>
              <w:rPr>
                <w:rFonts w:ascii="宋体" w:hAnsi="宋体" w:hint="eastAsia"/>
                <w:szCs w:val="24"/>
                <w:lang w:eastAsia="zh-Hans"/>
              </w:rPr>
              <w:t>保</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175,40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4,094,997.8</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2.3</w:t>
            </w:r>
            <w:r>
              <w:rPr>
                <w:rFonts w:ascii="宋体" w:hAnsi="宋体" w:hint="eastAsia"/>
                <w:szCs w:val="24"/>
                <w:lang w:eastAsia="zh-Hans"/>
              </w:rPr>
              <w:t>5</w:t>
            </w:r>
          </w:p>
        </w:tc>
      </w:tr>
      <w:tr w:rsidR="00000000">
        <w:trPr>
          <w:divId w:val="18343010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60160</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中国太</w:t>
            </w:r>
            <w:r>
              <w:rPr>
                <w:rFonts w:ascii="宋体" w:hAnsi="宋体" w:hint="eastAsia"/>
                <w:szCs w:val="24"/>
                <w:lang w:eastAsia="zh-Hans"/>
              </w:rPr>
              <w:t>保</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65,20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1,859,504.0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1.0</w:t>
            </w:r>
            <w:r>
              <w:rPr>
                <w:rFonts w:ascii="宋体" w:hAnsi="宋体" w:hint="eastAsia"/>
                <w:szCs w:val="24"/>
                <w:lang w:eastAsia="zh-Hans"/>
              </w:rPr>
              <w:t>7</w:t>
            </w:r>
          </w:p>
        </w:tc>
      </w:tr>
      <w:tr w:rsidR="00000000">
        <w:trPr>
          <w:divId w:val="18343010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60105</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赛轮轮</w:t>
            </w:r>
            <w:r>
              <w:rPr>
                <w:rFonts w:ascii="宋体" w:hAnsi="宋体" w:hint="eastAsia"/>
                <w:szCs w:val="24"/>
                <w:lang w:eastAsia="zh-Hans"/>
              </w:rPr>
              <w:t>胎</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481,70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5,554,001.0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3.1</w:t>
            </w:r>
            <w:r>
              <w:rPr>
                <w:rFonts w:ascii="宋体" w:hAnsi="宋体" w:hint="eastAsia"/>
                <w:szCs w:val="24"/>
                <w:lang w:eastAsia="zh-Hans"/>
              </w:rPr>
              <w:t>9</w:t>
            </w:r>
          </w:p>
        </w:tc>
      </w:tr>
      <w:tr w:rsidR="00000000">
        <w:trPr>
          <w:divId w:val="18343010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60388</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吉祥航</w:t>
            </w:r>
            <w:r>
              <w:rPr>
                <w:rFonts w:ascii="宋体" w:hAnsi="宋体" w:hint="eastAsia"/>
                <w:szCs w:val="24"/>
                <w:lang w:eastAsia="zh-Hans"/>
              </w:rPr>
              <w:t>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392,63</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4,040,214.1</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2.3</w:t>
            </w:r>
            <w:r>
              <w:rPr>
                <w:rFonts w:ascii="宋体" w:hAnsi="宋体" w:hint="eastAsia"/>
                <w:szCs w:val="24"/>
                <w:lang w:eastAsia="zh-Hans"/>
              </w:rPr>
              <w:t>2</w:t>
            </w:r>
          </w:p>
        </w:tc>
      </w:tr>
      <w:tr w:rsidR="00000000">
        <w:trPr>
          <w:divId w:val="18343010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30041</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伊之</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194,60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3,874,486.0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2.2</w:t>
            </w:r>
            <w:r>
              <w:rPr>
                <w:rFonts w:ascii="宋体" w:hAnsi="宋体" w:hint="eastAsia"/>
                <w:szCs w:val="24"/>
                <w:lang w:eastAsia="zh-Hans"/>
              </w:rPr>
              <w:t>2</w:t>
            </w:r>
          </w:p>
        </w:tc>
      </w:tr>
      <w:tr w:rsidR="00000000">
        <w:trPr>
          <w:divId w:val="18343010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0369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美团</w:t>
            </w:r>
            <w:r>
              <w:rPr>
                <w:rFonts w:ascii="宋体" w:hAnsi="宋体" w:hint="eastAsia"/>
                <w:szCs w:val="24"/>
                <w:lang w:eastAsia="zh-Hans"/>
              </w:rPr>
              <w:t>-</w:t>
            </w:r>
            <w:r>
              <w:rPr>
                <w:rFonts w:ascii="宋体" w:hAnsi="宋体" w:hint="eastAsia"/>
                <w:szCs w:val="24"/>
                <w:lang w:eastAsia="zh-Hans"/>
              </w:rPr>
              <w:t>W</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64,50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3,837,471.0</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2.2</w:t>
            </w:r>
            <w:r>
              <w:rPr>
                <w:rFonts w:ascii="宋体" w:hAnsi="宋体" w:hint="eastAsia"/>
                <w:szCs w:val="24"/>
                <w:lang w:eastAsia="zh-Hans"/>
              </w:rPr>
              <w:t>0</w:t>
            </w:r>
          </w:p>
        </w:tc>
      </w:tr>
      <w:tr w:rsidR="00000000">
        <w:trPr>
          <w:divId w:val="18343010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0998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阿里巴巴</w:t>
            </w:r>
            <w:r>
              <w:rPr>
                <w:rFonts w:ascii="宋体" w:hAnsi="宋体" w:hint="eastAsia"/>
                <w:szCs w:val="24"/>
                <w:lang w:eastAsia="zh-Hans"/>
              </w:rPr>
              <w:t>-</w:t>
            </w:r>
            <w:r>
              <w:rPr>
                <w:rFonts w:ascii="宋体" w:hAnsi="宋体" w:hint="eastAsia"/>
                <w:szCs w:val="24"/>
                <w:lang w:eastAsia="zh-Hans"/>
              </w:rPr>
              <w:t>W</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46,40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3,741,921.8</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2.1</w:t>
            </w:r>
            <w:r>
              <w:rPr>
                <w:rFonts w:ascii="宋体" w:hAnsi="宋体" w:hint="eastAsia"/>
                <w:szCs w:val="24"/>
                <w:lang w:eastAsia="zh-Hans"/>
              </w:rPr>
              <w:t>5</w:t>
            </w:r>
          </w:p>
        </w:tc>
      </w:tr>
      <w:tr w:rsidR="00000000">
        <w:trPr>
          <w:divId w:val="18343010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0202</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安踏体</w:t>
            </w:r>
            <w:r>
              <w:rPr>
                <w:rFonts w:ascii="宋体" w:hAnsi="宋体" w:hint="eastAsia"/>
                <w:szCs w:val="24"/>
                <w:lang w:eastAsia="zh-Hans"/>
              </w:rPr>
              <w:t>育</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60,43</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3,729,657.8</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2.1</w:t>
            </w:r>
            <w:r>
              <w:rPr>
                <w:rFonts w:ascii="宋体" w:hAnsi="宋体" w:hint="eastAsia"/>
                <w:szCs w:val="24"/>
                <w:lang w:eastAsia="zh-Hans"/>
              </w:rPr>
              <w:t>4</w:t>
            </w:r>
          </w:p>
        </w:tc>
      </w:tr>
      <w:tr w:rsidR="00000000">
        <w:trPr>
          <w:divId w:val="18343010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0135</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美图公</w:t>
            </w:r>
            <w:r>
              <w:rPr>
                <w:rFonts w:ascii="宋体" w:hAnsi="宋体" w:hint="eastAsia"/>
                <w:szCs w:val="24"/>
                <w:lang w:eastAsia="zh-Hans"/>
              </w:rPr>
              <w:t>司</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1,127,00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3,670,709.4</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2.1</w:t>
            </w:r>
            <w:r>
              <w:rPr>
                <w:rFonts w:ascii="宋体" w:hAnsi="宋体" w:hint="eastAsia"/>
                <w:szCs w:val="24"/>
                <w:lang w:eastAsia="zh-Hans"/>
              </w:rPr>
              <w:t>1</w:t>
            </w:r>
          </w:p>
        </w:tc>
      </w:tr>
      <w:tr w:rsidR="00000000">
        <w:trPr>
          <w:divId w:val="18343010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0151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极兔速递</w:t>
            </w:r>
            <w:r>
              <w:rPr>
                <w:rFonts w:ascii="宋体" w:hAnsi="宋体" w:hint="eastAsia"/>
                <w:szCs w:val="24"/>
                <w:lang w:eastAsia="zh-Hans"/>
              </w:rPr>
              <w:t>-</w:t>
            </w:r>
            <w:r>
              <w:rPr>
                <w:rFonts w:ascii="宋体" w:hAnsi="宋体" w:hint="eastAsia"/>
                <w:szCs w:val="24"/>
                <w:lang w:eastAsia="zh-Hans"/>
              </w:rPr>
              <w:t>W</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435,00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3,158,568.9</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1.8</w:t>
            </w:r>
            <w:r>
              <w:rPr>
                <w:rFonts w:ascii="宋体" w:hAnsi="宋体" w:hint="eastAsia"/>
                <w:szCs w:val="24"/>
                <w:lang w:eastAsia="zh-Hans"/>
              </w:rPr>
              <w:t>1</w:t>
            </w:r>
          </w:p>
        </w:tc>
      </w:tr>
    </w:tbl>
    <w:p w:rsidR="009006CE" w:rsidRDefault="009006CE">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11,071,301.1</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6.3</w:t>
            </w:r>
            <w:r>
              <w:rPr>
                <w:rFonts w:ascii="宋体" w:hAnsi="宋体" w:hint="eastAsia"/>
                <w:szCs w:val="24"/>
                <w:lang w:eastAsia="zh-Hans"/>
              </w:rPr>
              <w:t>6</w:t>
            </w:r>
          </w:p>
        </w:tc>
      </w:tr>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r>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31,185,428.3</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17.9</w:t>
            </w:r>
            <w:r>
              <w:rPr>
                <w:rFonts w:ascii="宋体" w:hAnsi="宋体" w:hint="eastAsia"/>
                <w:szCs w:val="24"/>
                <w:lang w:eastAsia="zh-Hans"/>
              </w:rPr>
              <w:t>0</w:t>
            </w:r>
          </w:p>
        </w:tc>
      </w:tr>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5,092,772.6</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2.9</w:t>
            </w:r>
            <w:r>
              <w:rPr>
                <w:rFonts w:ascii="宋体" w:hAnsi="宋体" w:hint="eastAsia"/>
                <w:szCs w:val="24"/>
                <w:lang w:eastAsia="zh-Hans"/>
              </w:rPr>
              <w:t>2</w:t>
            </w:r>
          </w:p>
        </w:tc>
      </w:tr>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20,351,391.7</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11.6</w:t>
            </w:r>
            <w:r>
              <w:rPr>
                <w:rFonts w:ascii="宋体" w:hAnsi="宋体" w:hint="eastAsia"/>
                <w:szCs w:val="24"/>
                <w:lang w:eastAsia="zh-Hans"/>
              </w:rPr>
              <w:t>8</w:t>
            </w:r>
          </w:p>
        </w:tc>
      </w:tr>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r>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10,135,457.5</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5.8</w:t>
            </w:r>
            <w:r>
              <w:rPr>
                <w:rFonts w:ascii="宋体" w:hAnsi="宋体" w:hint="eastAsia"/>
                <w:szCs w:val="24"/>
                <w:lang w:eastAsia="zh-Hans"/>
              </w:rPr>
              <w:t>2</w:t>
            </w:r>
          </w:p>
        </w:tc>
      </w:tr>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r>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w:t>
            </w:r>
          </w:p>
        </w:tc>
      </w:tr>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7,177,186.5</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4.1</w:t>
            </w:r>
            <w:r>
              <w:rPr>
                <w:rFonts w:ascii="宋体" w:hAnsi="宋体" w:hint="eastAsia"/>
                <w:szCs w:val="24"/>
                <w:lang w:eastAsia="zh-Hans"/>
              </w:rPr>
              <w:t>2</w:t>
            </w:r>
          </w:p>
        </w:tc>
      </w:tr>
      <w:tr w:rsidR="00000000">
        <w:trPr>
          <w:divId w:val="105231647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9006CE" w:rsidRDefault="009006CE">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79,920,765.3</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9006CE" w:rsidRDefault="009006CE">
            <w:pPr>
              <w:jc w:val="right"/>
            </w:pPr>
            <w:r>
              <w:rPr>
                <w:rFonts w:ascii="宋体" w:hAnsi="宋体" w:hint="eastAsia"/>
                <w:szCs w:val="24"/>
                <w:lang w:eastAsia="zh-Hans"/>
              </w:rPr>
              <w:t>45.8</w:t>
            </w:r>
            <w:r>
              <w:rPr>
                <w:rFonts w:ascii="宋体" w:hAnsi="宋体" w:hint="eastAsia"/>
                <w:szCs w:val="24"/>
                <w:lang w:eastAsia="zh-Hans"/>
              </w:rPr>
              <w:t>8</w:t>
            </w:r>
          </w:p>
        </w:tc>
      </w:tr>
    </w:tbl>
    <w:p w:rsidR="009006CE" w:rsidRDefault="009006CE">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51349376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1349376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01982</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26</w:t>
            </w:r>
            <w:r>
              <w:rPr>
                <w:rFonts w:ascii="宋体" w:hAnsi="宋体" w:hint="eastAsia"/>
                <w:szCs w:val="24"/>
                <w:lang w:eastAsia="zh-Hans"/>
              </w:rPr>
              <w:t>国债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110,00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11,071,301.1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6.3</w:t>
            </w:r>
            <w:r>
              <w:rPr>
                <w:rFonts w:ascii="宋体" w:hAnsi="宋体" w:hint="eastAsia"/>
                <w:szCs w:val="24"/>
                <w:lang w:eastAsia="zh-Hans"/>
              </w:rPr>
              <w:t>6</w:t>
            </w:r>
          </w:p>
        </w:tc>
      </w:tr>
      <w:tr w:rsidR="00000000">
        <w:trPr>
          <w:divId w:val="151349376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24354</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山交</w:t>
            </w:r>
            <w:r>
              <w:rPr>
                <w:rFonts w:ascii="宋体" w:hAnsi="宋体" w:hint="eastAsia"/>
                <w:szCs w:val="24"/>
                <w:lang w:eastAsia="zh-Hans"/>
              </w:rPr>
              <w:t>YK0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10,218,183.5</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5.8</w:t>
            </w:r>
            <w:r>
              <w:rPr>
                <w:rFonts w:ascii="宋体" w:hAnsi="宋体" w:hint="eastAsia"/>
                <w:szCs w:val="24"/>
                <w:lang w:eastAsia="zh-Hans"/>
              </w:rPr>
              <w:t>7</w:t>
            </w:r>
          </w:p>
        </w:tc>
      </w:tr>
      <w:tr w:rsidR="00000000">
        <w:trPr>
          <w:divId w:val="151349376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24258002</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25</w:t>
            </w:r>
            <w:r>
              <w:rPr>
                <w:rFonts w:ascii="宋体" w:hAnsi="宋体" w:hint="eastAsia"/>
                <w:szCs w:val="24"/>
                <w:lang w:eastAsia="zh-Hans"/>
              </w:rPr>
              <w:t>民生银行永续债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10,145,032.8</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5.8</w:t>
            </w:r>
            <w:r>
              <w:rPr>
                <w:rFonts w:ascii="宋体" w:hAnsi="宋体" w:hint="eastAsia"/>
                <w:szCs w:val="24"/>
                <w:lang w:eastAsia="zh-Hans"/>
              </w:rPr>
              <w:t>2</w:t>
            </w:r>
          </w:p>
        </w:tc>
      </w:tr>
      <w:tr w:rsidR="00000000">
        <w:trPr>
          <w:divId w:val="151349376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10258035</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25</w:t>
            </w:r>
            <w:r>
              <w:rPr>
                <w:rFonts w:ascii="宋体" w:hAnsi="宋体" w:hint="eastAsia"/>
                <w:szCs w:val="24"/>
                <w:lang w:eastAsia="zh-Hans"/>
              </w:rPr>
              <w:t>电网</w:t>
            </w:r>
            <w:r>
              <w:rPr>
                <w:rFonts w:ascii="宋体" w:hAnsi="宋体" w:hint="eastAsia"/>
                <w:szCs w:val="24"/>
                <w:lang w:eastAsia="zh-Hans"/>
              </w:rPr>
              <w:t>MTN00</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10,135,457.5</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5.8</w:t>
            </w:r>
            <w:r>
              <w:rPr>
                <w:rFonts w:ascii="宋体" w:hAnsi="宋体" w:hint="eastAsia"/>
                <w:szCs w:val="24"/>
                <w:lang w:eastAsia="zh-Hans"/>
              </w:rPr>
              <w:t>2</w:t>
            </w:r>
          </w:p>
        </w:tc>
      </w:tr>
      <w:tr w:rsidR="00000000">
        <w:trPr>
          <w:divId w:val="151349376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52445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szCs w:val="24"/>
                <w:lang w:eastAsia="zh-Hans"/>
              </w:rPr>
              <w:t>25</w:t>
            </w:r>
            <w:r>
              <w:rPr>
                <w:rFonts w:ascii="宋体" w:hAnsi="宋体" w:hint="eastAsia"/>
                <w:szCs w:val="24"/>
                <w:lang w:eastAsia="zh-Hans"/>
              </w:rPr>
              <w:t>越资</w:t>
            </w:r>
            <w:r>
              <w:rPr>
                <w:rFonts w:ascii="宋体" w:hAnsi="宋体" w:hint="eastAsia"/>
                <w:szCs w:val="24"/>
                <w:lang w:eastAsia="zh-Hans"/>
              </w:rPr>
              <w:t>0</w:t>
            </w:r>
            <w:r>
              <w:rPr>
                <w:rFonts w:ascii="宋体" w:hAnsi="宋体" w:hint="eastAsia"/>
                <w:szCs w:val="24"/>
                <w:lang w:eastAsia="zh-Hans"/>
              </w:rPr>
              <w:t>5</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10,133,208.2</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5.8</w:t>
            </w:r>
            <w:r>
              <w:rPr>
                <w:rFonts w:ascii="宋体" w:hAnsi="宋体" w:hint="eastAsia"/>
                <w:szCs w:val="24"/>
                <w:lang w:eastAsia="zh-Hans"/>
              </w:rPr>
              <w:t>2</w:t>
            </w:r>
          </w:p>
        </w:tc>
      </w:tr>
    </w:tbl>
    <w:p w:rsidR="009006CE" w:rsidRDefault="009006CE">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9006CE" w:rsidRDefault="009006CE">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9006CE" w:rsidRDefault="009006CE">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9006CE" w:rsidRDefault="009006CE">
      <w:pPr>
        <w:spacing w:line="360" w:lineRule="auto"/>
        <w:ind w:firstLineChars="200" w:firstLine="420"/>
        <w:divId w:val="306282123"/>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9006CE" w:rsidRDefault="009006CE">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9006CE" w:rsidRDefault="009006CE">
      <w:pPr>
        <w:spacing w:line="360" w:lineRule="auto"/>
        <w:ind w:firstLineChars="200" w:firstLine="420"/>
        <w:divId w:val="988363742"/>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9006CE" w:rsidRDefault="009006CE">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9006CE" w:rsidRDefault="009006CE">
      <w:pPr>
        <w:spacing w:line="360" w:lineRule="auto"/>
        <w:ind w:firstLineChars="200" w:firstLine="420"/>
        <w:divId w:val="1204170018"/>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9006CE" w:rsidRDefault="009006CE">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9006CE" w:rsidRDefault="009006CE">
      <w:pPr>
        <w:spacing w:line="360" w:lineRule="auto"/>
        <w:ind w:firstLineChars="200" w:firstLine="420"/>
        <w:divId w:val="18825929"/>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9006CE" w:rsidRDefault="009006CE">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9006CE" w:rsidRDefault="009006CE">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9006CE" w:rsidRDefault="009006CE">
      <w:pPr>
        <w:spacing w:line="360" w:lineRule="auto"/>
        <w:ind w:firstLineChars="200" w:firstLine="420"/>
        <w:rPr>
          <w:rFonts w:hint="eastAsia"/>
        </w:rPr>
      </w:pPr>
      <w:r>
        <w:rPr>
          <w:rFonts w:ascii="宋体" w:hAnsi="宋体" w:hint="eastAsia"/>
        </w:rPr>
        <w:t>本基金投资的前十名证券的发行主体中，广发银行股份有限公司报告编制日前一年内曾受到国家外汇管理局广东省分局、国家金融监督管理总局的处罚，中国民生银行股份有限公司报告编制日前一年内曾受到国家金融监督管理总局宁波监管局、国家金融监督管理总局的处罚，上海浦东发展银行股份有限公司报告编制日前一年内曾受到央行、国家金融监督管理总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9006CE" w:rsidRDefault="009006CE">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9006CE" w:rsidRDefault="009006CE">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9006CE" w:rsidRDefault="009006CE">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80092902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006CE" w:rsidRDefault="009006CE">
            <w:pPr>
              <w:jc w:val="center"/>
            </w:pPr>
            <w:r>
              <w:rPr>
                <w:rFonts w:ascii="宋体" w:hAnsi="宋体" w:hint="eastAsia"/>
              </w:rPr>
              <w:t>金额（元</w:t>
            </w:r>
            <w:r>
              <w:rPr>
                <w:rFonts w:ascii="宋体" w:hAnsi="宋体" w:hint="eastAsia"/>
              </w:rPr>
              <w:t>）</w:t>
            </w:r>
            <w:r>
              <w:t xml:space="preserve"> </w:t>
            </w:r>
          </w:p>
        </w:tc>
      </w:tr>
      <w:tr w:rsidR="00000000">
        <w:trPr>
          <w:divId w:val="80092902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932,933.7</w:t>
            </w:r>
            <w:r>
              <w:rPr>
                <w:rFonts w:ascii="宋体" w:hAnsi="宋体" w:hint="eastAsia"/>
              </w:rPr>
              <w:t>3</w:t>
            </w:r>
          </w:p>
        </w:tc>
      </w:tr>
      <w:tr w:rsidR="00000000">
        <w:trPr>
          <w:divId w:val="80092902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3,673,430.2</w:t>
            </w:r>
            <w:r>
              <w:rPr>
                <w:rFonts w:ascii="宋体" w:hAnsi="宋体" w:hint="eastAsia"/>
              </w:rPr>
              <w:t>4</w:t>
            </w:r>
          </w:p>
        </w:tc>
      </w:tr>
      <w:tr w:rsidR="00000000">
        <w:trPr>
          <w:divId w:val="80092902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161,449.8</w:t>
            </w:r>
            <w:r>
              <w:rPr>
                <w:rFonts w:ascii="宋体" w:hAnsi="宋体" w:hint="eastAsia"/>
              </w:rPr>
              <w:t>5</w:t>
            </w:r>
          </w:p>
        </w:tc>
      </w:tr>
      <w:tr w:rsidR="00000000">
        <w:trPr>
          <w:divId w:val="80092902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w:t>
            </w:r>
          </w:p>
        </w:tc>
      </w:tr>
      <w:tr w:rsidR="00000000">
        <w:trPr>
          <w:divId w:val="80092902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1,776.9</w:t>
            </w:r>
            <w:r>
              <w:rPr>
                <w:rFonts w:ascii="宋体" w:hAnsi="宋体" w:hint="eastAsia"/>
              </w:rPr>
              <w:t>7</w:t>
            </w:r>
          </w:p>
        </w:tc>
      </w:tr>
      <w:tr w:rsidR="00000000">
        <w:trPr>
          <w:divId w:val="80092902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w:t>
            </w:r>
          </w:p>
        </w:tc>
      </w:tr>
      <w:tr w:rsidR="00000000">
        <w:trPr>
          <w:divId w:val="80092902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w:t>
            </w:r>
          </w:p>
        </w:tc>
      </w:tr>
      <w:tr w:rsidR="00000000">
        <w:trPr>
          <w:divId w:val="80092902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4,769,590.7</w:t>
            </w:r>
            <w:r>
              <w:rPr>
                <w:rFonts w:ascii="宋体" w:hAnsi="宋体" w:hint="eastAsia"/>
              </w:rPr>
              <w:t>9</w:t>
            </w:r>
          </w:p>
        </w:tc>
      </w:tr>
    </w:tbl>
    <w:p w:rsidR="009006CE" w:rsidRDefault="009006CE">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9006CE" w:rsidRDefault="009006CE">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9006CE" w:rsidRDefault="009006CE">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9006CE" w:rsidRDefault="009006CE">
      <w:pPr>
        <w:spacing w:line="360" w:lineRule="auto"/>
        <w:ind w:firstLineChars="200" w:firstLine="420"/>
        <w:jc w:val="left"/>
        <w:divId w:val="621421393"/>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9006CE" w:rsidRDefault="009006CE">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9006CE" w:rsidRDefault="009006CE">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9006CE" w:rsidRDefault="009006CE">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9006CE" w:rsidRDefault="009006CE">
      <w:pPr>
        <w:wordWrap w:val="0"/>
        <w:spacing w:line="360" w:lineRule="auto"/>
        <w:jc w:val="right"/>
        <w:divId w:val="568730673"/>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572"/>
        <w:gridCol w:w="2649"/>
      </w:tblGrid>
      <w:tr w:rsidR="00000000">
        <w:trPr>
          <w:divId w:val="568730673"/>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006CE" w:rsidRDefault="009006CE">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ind w:right="3"/>
              <w:jc w:val="center"/>
            </w:pPr>
            <w:r>
              <w:rPr>
                <w:rFonts w:ascii="宋体" w:hAnsi="宋体" w:hint="eastAsia"/>
                <w:lang w:eastAsia="zh-Hans"/>
              </w:rPr>
              <w:t>摩根安荣回报混合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06CE" w:rsidRDefault="009006CE">
            <w:pPr>
              <w:ind w:right="3"/>
              <w:jc w:val="center"/>
            </w:pPr>
            <w:r>
              <w:rPr>
                <w:rFonts w:ascii="宋体" w:hAnsi="宋体" w:hint="eastAsia"/>
                <w:lang w:eastAsia="zh-Hans"/>
              </w:rPr>
              <w:t>摩根安荣回报混合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56873067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jc w:val="right"/>
            </w:pPr>
            <w:r>
              <w:rPr>
                <w:rFonts w:ascii="宋体" w:hAnsi="宋体" w:hint="eastAsia"/>
              </w:rPr>
              <w:t>80,570,309.8</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jc w:val="right"/>
            </w:pPr>
            <w:r>
              <w:rPr>
                <w:rFonts w:ascii="宋体" w:hAnsi="宋体" w:hint="eastAsia"/>
              </w:rPr>
              <w:t>124,647,686.0</w:t>
            </w:r>
            <w:r>
              <w:rPr>
                <w:rFonts w:ascii="宋体" w:hAnsi="宋体" w:hint="eastAsia"/>
              </w:rPr>
              <w:t>0</w:t>
            </w:r>
          </w:p>
        </w:tc>
      </w:tr>
      <w:tr w:rsidR="00000000">
        <w:trPr>
          <w:divId w:val="56873067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jc w:val="right"/>
            </w:pPr>
            <w:r>
              <w:rPr>
                <w:rFonts w:ascii="宋体" w:hAnsi="宋体" w:hint="eastAsia"/>
              </w:rPr>
              <w:t>140,678.0</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jc w:val="right"/>
            </w:pPr>
            <w:r>
              <w:rPr>
                <w:rFonts w:ascii="宋体" w:hAnsi="宋体" w:hint="eastAsia"/>
              </w:rPr>
              <w:t>554,970.5</w:t>
            </w:r>
            <w:r>
              <w:rPr>
                <w:rFonts w:ascii="宋体" w:hAnsi="宋体" w:hint="eastAsia"/>
              </w:rPr>
              <w:t>1</w:t>
            </w:r>
          </w:p>
        </w:tc>
      </w:tr>
      <w:tr w:rsidR="00000000">
        <w:trPr>
          <w:divId w:val="56873067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jc w:val="right"/>
            </w:pPr>
            <w:r>
              <w:rPr>
                <w:rFonts w:ascii="宋体" w:hAnsi="宋体" w:hint="eastAsia"/>
              </w:rPr>
              <w:t>13,038,396.1</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jc w:val="right"/>
            </w:pPr>
            <w:r>
              <w:rPr>
                <w:rFonts w:ascii="宋体" w:hAnsi="宋体" w:hint="eastAsia"/>
              </w:rPr>
              <w:t>14,692,637.9</w:t>
            </w:r>
            <w:r>
              <w:rPr>
                <w:rFonts w:ascii="宋体" w:hAnsi="宋体" w:hint="eastAsia"/>
              </w:rPr>
              <w:t>4</w:t>
            </w:r>
          </w:p>
        </w:tc>
      </w:tr>
      <w:tr w:rsidR="00000000">
        <w:trPr>
          <w:divId w:val="56873067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jc w:val="right"/>
            </w:pPr>
            <w:r>
              <w:rPr>
                <w:rFonts w:ascii="宋体" w:hAnsi="宋体" w:hint="eastAsia"/>
              </w:rPr>
              <w:t>-</w:t>
            </w:r>
          </w:p>
        </w:tc>
      </w:tr>
      <w:tr w:rsidR="00000000">
        <w:trPr>
          <w:divId w:val="56873067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jc w:val="right"/>
            </w:pPr>
            <w:r>
              <w:rPr>
                <w:rFonts w:ascii="宋体" w:hAnsi="宋体" w:hint="eastAsia"/>
              </w:rPr>
              <w:t>67,672,591.7</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006CE" w:rsidRDefault="009006CE">
            <w:pPr>
              <w:jc w:val="right"/>
            </w:pPr>
            <w:r>
              <w:rPr>
                <w:rFonts w:ascii="宋体" w:hAnsi="宋体" w:hint="eastAsia"/>
              </w:rPr>
              <w:t>110,510,018.5</w:t>
            </w:r>
            <w:r>
              <w:rPr>
                <w:rFonts w:ascii="宋体" w:hAnsi="宋体" w:hint="eastAsia"/>
              </w:rPr>
              <w:t>7</w:t>
            </w:r>
          </w:p>
        </w:tc>
      </w:tr>
    </w:tbl>
    <w:p w:rsidR="009006CE" w:rsidRDefault="009006CE">
      <w:pPr>
        <w:spacing w:line="360" w:lineRule="auto"/>
        <w:jc w:val="left"/>
        <w:divId w:val="568730673"/>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9006CE" w:rsidRDefault="009006CE">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9006CE" w:rsidRDefault="009006CE">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9006CE" w:rsidRDefault="009006CE">
      <w:pPr>
        <w:wordWrap w:val="0"/>
        <w:spacing w:line="360" w:lineRule="auto"/>
        <w:jc w:val="right"/>
        <w:divId w:val="484928946"/>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484928946"/>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jc w:val="center"/>
            </w:pPr>
            <w:r>
              <w:rPr>
                <w:rFonts w:ascii="宋体" w:hAnsi="宋体" w:hint="eastAsia"/>
                <w:lang w:eastAsia="zh-Hans"/>
              </w:rPr>
              <w:t>摩根安荣回报混合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jc w:val="center"/>
            </w:pPr>
            <w:r>
              <w:rPr>
                <w:rFonts w:ascii="宋体" w:hAnsi="宋体" w:hint="eastAsia"/>
                <w:lang w:eastAsia="zh-Hans"/>
              </w:rPr>
              <w:t>摩根安荣回报混合</w:t>
            </w:r>
            <w:r>
              <w:rPr>
                <w:rFonts w:ascii="宋体" w:hAnsi="宋体" w:hint="eastAsia"/>
                <w:lang w:eastAsia="zh-Hans"/>
              </w:rPr>
              <w:t>C</w:t>
            </w:r>
            <w:r>
              <w:rPr>
                <w:rFonts w:ascii="宋体" w:hAnsi="宋体" w:hint="eastAsia"/>
                <w:color w:val="000000"/>
              </w:rPr>
              <w:t xml:space="preserve"> </w:t>
            </w:r>
          </w:p>
        </w:tc>
      </w:tr>
      <w:tr w:rsidR="00000000">
        <w:trPr>
          <w:divId w:val="48492894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rPr>
                <w:rFonts w:hint="eastAsia"/>
              </w:rPr>
            </w:pPr>
            <w:r>
              <w:rPr>
                <w:rFonts w:ascii="宋体" w:hAnsi="宋体" w:hint="eastAsia"/>
                <w:kern w:val="0"/>
                <w:szCs w:val="24"/>
                <w:lang w:eastAsia="zh-Hans"/>
              </w:rPr>
              <w:t>185,027.7</w:t>
            </w:r>
            <w:r>
              <w:rPr>
                <w:rFonts w:ascii="宋体" w:hAnsi="宋体" w:hint="eastAsia"/>
                <w:kern w:val="0"/>
                <w:szCs w:val="24"/>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kern w:val="0"/>
                <w:szCs w:val="24"/>
                <w:lang w:eastAsia="zh-Hans"/>
              </w:rPr>
              <w:t>-</w:t>
            </w:r>
          </w:p>
        </w:tc>
      </w:tr>
      <w:tr w:rsidR="00000000">
        <w:trPr>
          <w:divId w:val="48492894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szCs w:val="24"/>
                <w:lang w:eastAsia="zh-Hans"/>
              </w:rPr>
              <w:t>-</w:t>
            </w:r>
          </w:p>
        </w:tc>
      </w:tr>
      <w:tr w:rsidR="00000000">
        <w:trPr>
          <w:divId w:val="48492894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rPr>
                <w:rFonts w:hint="eastAsia"/>
              </w:rPr>
            </w:pPr>
            <w:r>
              <w:rPr>
                <w:rFonts w:ascii="宋体" w:hAnsi="宋体" w:hint="eastAsia"/>
                <w:lang w:eastAsia="zh-Hans"/>
              </w:rPr>
              <w:t>26,328.5</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lang w:eastAsia="zh-Hans"/>
              </w:rPr>
              <w:t>-</w:t>
            </w:r>
          </w:p>
        </w:tc>
      </w:tr>
      <w:tr w:rsidR="00000000">
        <w:trPr>
          <w:divId w:val="48492894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rPr>
                <w:rFonts w:hint="eastAsia"/>
              </w:rPr>
            </w:pPr>
            <w:r>
              <w:rPr>
                <w:rFonts w:ascii="宋体" w:hAnsi="宋体" w:hint="eastAsia"/>
                <w:lang w:eastAsia="zh-Hans"/>
              </w:rPr>
              <w:t>158,699.1</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lang w:eastAsia="zh-Hans"/>
              </w:rPr>
              <w:t>-</w:t>
            </w:r>
          </w:p>
        </w:tc>
      </w:tr>
      <w:tr w:rsidR="00000000">
        <w:trPr>
          <w:divId w:val="48492894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rPr>
                <w:rFonts w:hint="eastAsia"/>
              </w:rPr>
            </w:pPr>
            <w:r>
              <w:rPr>
                <w:rFonts w:ascii="宋体" w:hAnsi="宋体" w:hint="eastAsia"/>
                <w:lang w:eastAsia="zh-Hans"/>
              </w:rPr>
              <w:t>0.0</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lang w:eastAsia="zh-Hans"/>
              </w:rPr>
              <w:t>-</w:t>
            </w:r>
          </w:p>
        </w:tc>
      </w:tr>
    </w:tbl>
    <w:p w:rsidR="009006CE" w:rsidRDefault="009006CE">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91381336"/>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006CE" w:rsidRDefault="009006CE">
            <w:pPr>
              <w:jc w:val="center"/>
            </w:pPr>
            <w:r>
              <w:rPr>
                <w:rFonts w:ascii="宋体" w:hAnsi="宋体" w:hint="eastAsia"/>
              </w:rPr>
              <w:t>适用费率</w:t>
            </w:r>
            <w:r>
              <w:rPr>
                <w:rFonts w:ascii="宋体" w:hAnsi="宋体" w:hint="eastAsia"/>
              </w:rPr>
              <w:t xml:space="preserve"> </w:t>
            </w:r>
          </w:p>
        </w:tc>
      </w:tr>
      <w:tr w:rsidR="00000000">
        <w:trPr>
          <w:divId w:val="191381336"/>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-26,328.5</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-27,447.4</w:t>
            </w:r>
            <w:r>
              <w:rPr>
                <w:rFonts w:ascii="宋体" w:hAnsi="宋体" w:hint="eastAsia"/>
              </w:rPr>
              <w:t>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w:t>
            </w:r>
            <w:r>
              <w:t xml:space="preserve"> </w:t>
            </w:r>
          </w:p>
        </w:tc>
      </w:tr>
      <w:tr w:rsidR="00000000">
        <w:trPr>
          <w:divId w:val="191381336"/>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-26,328.5</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pPr>
              <w:jc w:val="right"/>
            </w:pPr>
            <w:r>
              <w:rPr>
                <w:rFonts w:ascii="宋体" w:hAnsi="宋体" w:hint="eastAsia"/>
              </w:rPr>
              <w:t>-27,447.4</w:t>
            </w:r>
            <w:r>
              <w:rPr>
                <w:rFonts w:ascii="宋体" w:hAnsi="宋体" w:hint="eastAsia"/>
              </w:rPr>
              <w:t>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006CE" w:rsidRDefault="009006CE"/>
        </w:tc>
      </w:tr>
    </w:tbl>
    <w:p w:rsidR="009006CE" w:rsidRDefault="009006CE">
      <w:pPr>
        <w:spacing w:line="360" w:lineRule="auto"/>
        <w:jc w:val="left"/>
        <w:divId w:val="453444024"/>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9006CE" w:rsidRDefault="009006CE">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9006CE" w:rsidRDefault="009006CE">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9006CE" w:rsidRDefault="009006CE">
      <w:pPr>
        <w:spacing w:line="360" w:lineRule="auto"/>
        <w:ind w:firstLineChars="200" w:firstLine="420"/>
        <w:divId w:val="1864635742"/>
        <w:rPr>
          <w:rFonts w:ascii="宋体" w:hAnsi="宋体" w:hint="eastAsia"/>
          <w:szCs w:val="21"/>
          <w:lang w:eastAsia="zh-Hans"/>
        </w:rPr>
      </w:pPr>
      <w:r>
        <w:rPr>
          <w:rFonts w:ascii="宋体" w:hAnsi="宋体" w:hint="eastAsia"/>
          <w:szCs w:val="21"/>
          <w:lang w:eastAsia="zh-Hans"/>
        </w:rPr>
        <w:t>无。</w:t>
      </w:r>
    </w:p>
    <w:p w:rsidR="009006CE" w:rsidRDefault="009006CE">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9006CE" w:rsidRDefault="009006CE">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9006CE" w:rsidRDefault="009006CE">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摩根安荣回报混合型证券投资基金基金合同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摩根安荣回报混合型证券投资基金托管协议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9006CE" w:rsidRDefault="009006CE">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9006CE" w:rsidRDefault="009006CE">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9006CE" w:rsidRDefault="009006CE">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9006CE" w:rsidRDefault="009006CE">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9006CE" w:rsidRDefault="009006C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9006CE" w:rsidRDefault="009006C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9006CE" w:rsidRDefault="009006CE">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9006CE" w:rsidRDefault="009006CE">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9006CE">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6CE" w:rsidRDefault="009006CE">
      <w:pPr>
        <w:rPr>
          <w:szCs w:val="21"/>
        </w:rPr>
      </w:pPr>
      <w:r>
        <w:rPr>
          <w:szCs w:val="21"/>
        </w:rPr>
        <w:separator/>
      </w:r>
      <w:r>
        <w:rPr>
          <w:szCs w:val="21"/>
        </w:rPr>
        <w:t xml:space="preserve"> </w:t>
      </w:r>
    </w:p>
  </w:endnote>
  <w:endnote w:type="continuationSeparator" w:id="0">
    <w:p w:rsidR="009006CE" w:rsidRDefault="009006C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6CE" w:rsidRDefault="009006CE">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6CE" w:rsidRDefault="009006CE">
      <w:pPr>
        <w:rPr>
          <w:szCs w:val="21"/>
        </w:rPr>
      </w:pPr>
      <w:r>
        <w:rPr>
          <w:szCs w:val="21"/>
        </w:rPr>
        <w:separator/>
      </w:r>
      <w:r>
        <w:rPr>
          <w:szCs w:val="21"/>
        </w:rPr>
        <w:t xml:space="preserve"> </w:t>
      </w:r>
    </w:p>
  </w:footnote>
  <w:footnote w:type="continuationSeparator" w:id="0">
    <w:p w:rsidR="009006CE" w:rsidRDefault="009006C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6CE" w:rsidRDefault="009006CE">
    <w:pPr>
      <w:pStyle w:val="a8"/>
      <w:jc w:val="right"/>
    </w:pPr>
    <w:r>
      <w:rPr>
        <w:rFonts w:ascii="宋体" w:hAnsi="宋体" w:hint="eastAsia"/>
      </w:rPr>
      <w:t>摩根安荣回报混合型证券投资基金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71593962">
    <w:abstractNumId w:val="0"/>
  </w:num>
  <w:num w:numId="2" w16cid:durableId="3881181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73FDD"/>
    <w:rsid w:val="00173FDD"/>
    <w:rsid w:val="009006CE"/>
    <w:rsid w:val="00EF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99AB68DD-DBAC-42AC-AEA5-4153AC2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5929">
      <w:marLeft w:val="0"/>
      <w:marRight w:val="0"/>
      <w:marTop w:val="0"/>
      <w:marBottom w:val="0"/>
      <w:divBdr>
        <w:top w:val="none" w:sz="0" w:space="0" w:color="auto"/>
        <w:left w:val="none" w:sz="0" w:space="0" w:color="auto"/>
        <w:bottom w:val="none" w:sz="0" w:space="0" w:color="auto"/>
        <w:right w:val="none" w:sz="0" w:space="0" w:color="auto"/>
      </w:divBdr>
    </w:div>
    <w:div w:id="306282123">
      <w:marLeft w:val="0"/>
      <w:marRight w:val="0"/>
      <w:marTop w:val="0"/>
      <w:marBottom w:val="0"/>
      <w:divBdr>
        <w:top w:val="none" w:sz="0" w:space="0" w:color="auto"/>
        <w:left w:val="none" w:sz="0" w:space="0" w:color="auto"/>
        <w:bottom w:val="none" w:sz="0" w:space="0" w:color="auto"/>
        <w:right w:val="none" w:sz="0" w:space="0" w:color="auto"/>
      </w:divBdr>
    </w:div>
    <w:div w:id="452014933">
      <w:marLeft w:val="0"/>
      <w:marRight w:val="0"/>
      <w:marTop w:val="0"/>
      <w:marBottom w:val="0"/>
      <w:divBdr>
        <w:top w:val="none" w:sz="0" w:space="0" w:color="auto"/>
        <w:left w:val="none" w:sz="0" w:space="0" w:color="auto"/>
        <w:bottom w:val="none" w:sz="0" w:space="0" w:color="auto"/>
        <w:right w:val="none" w:sz="0" w:space="0" w:color="auto"/>
      </w:divBdr>
    </w:div>
    <w:div w:id="453444024">
      <w:marLeft w:val="0"/>
      <w:marRight w:val="0"/>
      <w:marTop w:val="0"/>
      <w:marBottom w:val="0"/>
      <w:divBdr>
        <w:top w:val="none" w:sz="0" w:space="0" w:color="auto"/>
        <w:left w:val="none" w:sz="0" w:space="0" w:color="auto"/>
        <w:bottom w:val="none" w:sz="0" w:space="0" w:color="auto"/>
        <w:right w:val="none" w:sz="0" w:space="0" w:color="auto"/>
      </w:divBdr>
      <w:divsChild>
        <w:div w:id="191381336">
          <w:marLeft w:val="0"/>
          <w:marRight w:val="0"/>
          <w:marTop w:val="0"/>
          <w:marBottom w:val="0"/>
          <w:divBdr>
            <w:top w:val="none" w:sz="0" w:space="0" w:color="auto"/>
            <w:left w:val="none" w:sz="0" w:space="0" w:color="auto"/>
            <w:bottom w:val="none" w:sz="0" w:space="0" w:color="auto"/>
            <w:right w:val="none" w:sz="0" w:space="0" w:color="auto"/>
          </w:divBdr>
        </w:div>
      </w:divsChild>
    </w:div>
    <w:div w:id="457455235">
      <w:marLeft w:val="0"/>
      <w:marRight w:val="0"/>
      <w:marTop w:val="0"/>
      <w:marBottom w:val="0"/>
      <w:divBdr>
        <w:top w:val="none" w:sz="0" w:space="0" w:color="auto"/>
        <w:left w:val="none" w:sz="0" w:space="0" w:color="auto"/>
        <w:bottom w:val="none" w:sz="0" w:space="0" w:color="auto"/>
        <w:right w:val="none" w:sz="0" w:space="0" w:color="auto"/>
      </w:divBdr>
    </w:div>
    <w:div w:id="568730673">
      <w:marLeft w:val="0"/>
      <w:marRight w:val="0"/>
      <w:marTop w:val="0"/>
      <w:marBottom w:val="0"/>
      <w:divBdr>
        <w:top w:val="none" w:sz="0" w:space="0" w:color="auto"/>
        <w:left w:val="none" w:sz="0" w:space="0" w:color="auto"/>
        <w:bottom w:val="none" w:sz="0" w:space="0" w:color="auto"/>
        <w:right w:val="none" w:sz="0" w:space="0" w:color="auto"/>
      </w:divBdr>
    </w:div>
    <w:div w:id="621421393">
      <w:marLeft w:val="0"/>
      <w:marRight w:val="0"/>
      <w:marTop w:val="0"/>
      <w:marBottom w:val="0"/>
      <w:divBdr>
        <w:top w:val="none" w:sz="0" w:space="0" w:color="auto"/>
        <w:left w:val="none" w:sz="0" w:space="0" w:color="auto"/>
        <w:bottom w:val="none" w:sz="0" w:space="0" w:color="auto"/>
        <w:right w:val="none" w:sz="0" w:space="0" w:color="auto"/>
      </w:divBdr>
    </w:div>
    <w:div w:id="683437722">
      <w:marLeft w:val="0"/>
      <w:marRight w:val="0"/>
      <w:marTop w:val="0"/>
      <w:marBottom w:val="0"/>
      <w:divBdr>
        <w:top w:val="none" w:sz="0" w:space="0" w:color="auto"/>
        <w:left w:val="none" w:sz="0" w:space="0" w:color="auto"/>
        <w:bottom w:val="none" w:sz="0" w:space="0" w:color="auto"/>
        <w:right w:val="none" w:sz="0" w:space="0" w:color="auto"/>
      </w:divBdr>
      <w:divsChild>
        <w:div w:id="1451707769">
          <w:marLeft w:val="0"/>
          <w:marRight w:val="0"/>
          <w:marTop w:val="0"/>
          <w:marBottom w:val="0"/>
          <w:divBdr>
            <w:top w:val="none" w:sz="0" w:space="0" w:color="auto"/>
            <w:left w:val="none" w:sz="0" w:space="0" w:color="auto"/>
            <w:bottom w:val="none" w:sz="0" w:space="0" w:color="auto"/>
            <w:right w:val="none" w:sz="0" w:space="0" w:color="auto"/>
          </w:divBdr>
        </w:div>
      </w:divsChild>
    </w:div>
    <w:div w:id="691733074">
      <w:marLeft w:val="0"/>
      <w:marRight w:val="0"/>
      <w:marTop w:val="0"/>
      <w:marBottom w:val="0"/>
      <w:divBdr>
        <w:top w:val="none" w:sz="0" w:space="0" w:color="auto"/>
        <w:left w:val="none" w:sz="0" w:space="0" w:color="auto"/>
        <w:bottom w:val="none" w:sz="0" w:space="0" w:color="auto"/>
        <w:right w:val="none" w:sz="0" w:space="0" w:color="auto"/>
      </w:divBdr>
      <w:divsChild>
        <w:div w:id="1380471955">
          <w:marLeft w:val="0"/>
          <w:marRight w:val="0"/>
          <w:marTop w:val="0"/>
          <w:marBottom w:val="0"/>
          <w:divBdr>
            <w:top w:val="none" w:sz="0" w:space="0" w:color="auto"/>
            <w:left w:val="none" w:sz="0" w:space="0" w:color="auto"/>
            <w:bottom w:val="none" w:sz="0" w:space="0" w:color="auto"/>
            <w:right w:val="none" w:sz="0" w:space="0" w:color="auto"/>
          </w:divBdr>
        </w:div>
      </w:divsChild>
    </w:div>
    <w:div w:id="845558501">
      <w:marLeft w:val="0"/>
      <w:marRight w:val="0"/>
      <w:marTop w:val="0"/>
      <w:marBottom w:val="0"/>
      <w:divBdr>
        <w:top w:val="none" w:sz="0" w:space="0" w:color="auto"/>
        <w:left w:val="none" w:sz="0" w:space="0" w:color="auto"/>
        <w:bottom w:val="none" w:sz="0" w:space="0" w:color="auto"/>
        <w:right w:val="none" w:sz="0" w:space="0" w:color="auto"/>
      </w:divBdr>
      <w:divsChild>
        <w:div w:id="355424577">
          <w:marLeft w:val="0"/>
          <w:marRight w:val="0"/>
          <w:marTop w:val="0"/>
          <w:marBottom w:val="0"/>
          <w:divBdr>
            <w:top w:val="none" w:sz="0" w:space="0" w:color="auto"/>
            <w:left w:val="none" w:sz="0" w:space="0" w:color="auto"/>
            <w:bottom w:val="none" w:sz="0" w:space="0" w:color="auto"/>
            <w:right w:val="none" w:sz="0" w:space="0" w:color="auto"/>
          </w:divBdr>
        </w:div>
        <w:div w:id="1746761090">
          <w:marLeft w:val="0"/>
          <w:marRight w:val="0"/>
          <w:marTop w:val="0"/>
          <w:marBottom w:val="0"/>
          <w:divBdr>
            <w:top w:val="none" w:sz="0" w:space="0" w:color="auto"/>
            <w:left w:val="none" w:sz="0" w:space="0" w:color="auto"/>
            <w:bottom w:val="none" w:sz="0" w:space="0" w:color="auto"/>
            <w:right w:val="none" w:sz="0" w:space="0" w:color="auto"/>
          </w:divBdr>
        </w:div>
      </w:divsChild>
    </w:div>
    <w:div w:id="988363742">
      <w:marLeft w:val="0"/>
      <w:marRight w:val="0"/>
      <w:marTop w:val="0"/>
      <w:marBottom w:val="0"/>
      <w:divBdr>
        <w:top w:val="none" w:sz="0" w:space="0" w:color="auto"/>
        <w:left w:val="none" w:sz="0" w:space="0" w:color="auto"/>
        <w:bottom w:val="none" w:sz="0" w:space="0" w:color="auto"/>
        <w:right w:val="none" w:sz="0" w:space="0" w:color="auto"/>
      </w:divBdr>
    </w:div>
    <w:div w:id="1052316474">
      <w:marLeft w:val="0"/>
      <w:marRight w:val="0"/>
      <w:marTop w:val="0"/>
      <w:marBottom w:val="0"/>
      <w:divBdr>
        <w:top w:val="none" w:sz="0" w:space="0" w:color="auto"/>
        <w:left w:val="none" w:sz="0" w:space="0" w:color="auto"/>
        <w:bottom w:val="none" w:sz="0" w:space="0" w:color="auto"/>
        <w:right w:val="none" w:sz="0" w:space="0" w:color="auto"/>
      </w:divBdr>
    </w:div>
    <w:div w:id="1146581675">
      <w:marLeft w:val="0"/>
      <w:marRight w:val="0"/>
      <w:marTop w:val="0"/>
      <w:marBottom w:val="0"/>
      <w:divBdr>
        <w:top w:val="none" w:sz="0" w:space="0" w:color="auto"/>
        <w:left w:val="none" w:sz="0" w:space="0" w:color="auto"/>
        <w:bottom w:val="none" w:sz="0" w:space="0" w:color="auto"/>
        <w:right w:val="none" w:sz="0" w:space="0" w:color="auto"/>
      </w:divBdr>
      <w:divsChild>
        <w:div w:id="1985308391">
          <w:marLeft w:val="0"/>
          <w:marRight w:val="0"/>
          <w:marTop w:val="0"/>
          <w:marBottom w:val="0"/>
          <w:divBdr>
            <w:top w:val="none" w:sz="0" w:space="0" w:color="auto"/>
            <w:left w:val="none" w:sz="0" w:space="0" w:color="auto"/>
            <w:bottom w:val="none" w:sz="0" w:space="0" w:color="auto"/>
            <w:right w:val="none" w:sz="0" w:space="0" w:color="auto"/>
          </w:divBdr>
        </w:div>
      </w:divsChild>
    </w:div>
    <w:div w:id="1204170018">
      <w:marLeft w:val="0"/>
      <w:marRight w:val="0"/>
      <w:marTop w:val="0"/>
      <w:marBottom w:val="0"/>
      <w:divBdr>
        <w:top w:val="none" w:sz="0" w:space="0" w:color="auto"/>
        <w:left w:val="none" w:sz="0" w:space="0" w:color="auto"/>
        <w:bottom w:val="none" w:sz="0" w:space="0" w:color="auto"/>
        <w:right w:val="none" w:sz="0" w:space="0" w:color="auto"/>
      </w:divBdr>
    </w:div>
    <w:div w:id="1404723256">
      <w:marLeft w:val="0"/>
      <w:marRight w:val="0"/>
      <w:marTop w:val="0"/>
      <w:marBottom w:val="0"/>
      <w:divBdr>
        <w:top w:val="none" w:sz="0" w:space="0" w:color="auto"/>
        <w:left w:val="none" w:sz="0" w:space="0" w:color="auto"/>
        <w:bottom w:val="none" w:sz="0" w:space="0" w:color="auto"/>
        <w:right w:val="none" w:sz="0" w:space="0" w:color="auto"/>
      </w:divBdr>
      <w:divsChild>
        <w:div w:id="1175069724">
          <w:marLeft w:val="0"/>
          <w:marRight w:val="0"/>
          <w:marTop w:val="0"/>
          <w:marBottom w:val="0"/>
          <w:divBdr>
            <w:top w:val="none" w:sz="0" w:space="0" w:color="auto"/>
            <w:left w:val="none" w:sz="0" w:space="0" w:color="auto"/>
            <w:bottom w:val="none" w:sz="0" w:space="0" w:color="auto"/>
            <w:right w:val="none" w:sz="0" w:space="0" w:color="auto"/>
          </w:divBdr>
        </w:div>
      </w:divsChild>
    </w:div>
    <w:div w:id="1414164266">
      <w:marLeft w:val="0"/>
      <w:marRight w:val="0"/>
      <w:marTop w:val="0"/>
      <w:marBottom w:val="0"/>
      <w:divBdr>
        <w:top w:val="none" w:sz="0" w:space="0" w:color="auto"/>
        <w:left w:val="none" w:sz="0" w:space="0" w:color="auto"/>
        <w:bottom w:val="none" w:sz="0" w:space="0" w:color="auto"/>
        <w:right w:val="none" w:sz="0" w:space="0" w:color="auto"/>
      </w:divBdr>
    </w:div>
    <w:div w:id="1513493769">
      <w:marLeft w:val="0"/>
      <w:marRight w:val="0"/>
      <w:marTop w:val="0"/>
      <w:marBottom w:val="0"/>
      <w:divBdr>
        <w:top w:val="none" w:sz="0" w:space="0" w:color="auto"/>
        <w:left w:val="none" w:sz="0" w:space="0" w:color="auto"/>
        <w:bottom w:val="none" w:sz="0" w:space="0" w:color="auto"/>
        <w:right w:val="none" w:sz="0" w:space="0" w:color="auto"/>
      </w:divBdr>
    </w:div>
    <w:div w:id="1699118803">
      <w:marLeft w:val="0"/>
      <w:marRight w:val="0"/>
      <w:marTop w:val="0"/>
      <w:marBottom w:val="0"/>
      <w:divBdr>
        <w:top w:val="none" w:sz="0" w:space="0" w:color="auto"/>
        <w:left w:val="none" w:sz="0" w:space="0" w:color="auto"/>
        <w:bottom w:val="none" w:sz="0" w:space="0" w:color="auto"/>
        <w:right w:val="none" w:sz="0" w:space="0" w:color="auto"/>
      </w:divBdr>
      <w:divsChild>
        <w:div w:id="800929028">
          <w:marLeft w:val="0"/>
          <w:marRight w:val="0"/>
          <w:marTop w:val="0"/>
          <w:marBottom w:val="0"/>
          <w:divBdr>
            <w:top w:val="none" w:sz="0" w:space="0" w:color="auto"/>
            <w:left w:val="none" w:sz="0" w:space="0" w:color="auto"/>
            <w:bottom w:val="none" w:sz="0" w:space="0" w:color="auto"/>
            <w:right w:val="none" w:sz="0" w:space="0" w:color="auto"/>
          </w:divBdr>
        </w:div>
      </w:divsChild>
    </w:div>
    <w:div w:id="1724908344">
      <w:marLeft w:val="0"/>
      <w:marRight w:val="0"/>
      <w:marTop w:val="0"/>
      <w:marBottom w:val="0"/>
      <w:divBdr>
        <w:top w:val="none" w:sz="0" w:space="0" w:color="auto"/>
        <w:left w:val="none" w:sz="0" w:space="0" w:color="auto"/>
        <w:bottom w:val="none" w:sz="0" w:space="0" w:color="auto"/>
        <w:right w:val="none" w:sz="0" w:space="0" w:color="auto"/>
      </w:divBdr>
      <w:divsChild>
        <w:div w:id="484928946">
          <w:marLeft w:val="0"/>
          <w:marRight w:val="0"/>
          <w:marTop w:val="0"/>
          <w:marBottom w:val="0"/>
          <w:divBdr>
            <w:top w:val="none" w:sz="0" w:space="0" w:color="auto"/>
            <w:left w:val="none" w:sz="0" w:space="0" w:color="auto"/>
            <w:bottom w:val="none" w:sz="0" w:space="0" w:color="auto"/>
            <w:right w:val="none" w:sz="0" w:space="0" w:color="auto"/>
          </w:divBdr>
        </w:div>
      </w:divsChild>
    </w:div>
    <w:div w:id="1754013679">
      <w:marLeft w:val="0"/>
      <w:marRight w:val="0"/>
      <w:marTop w:val="0"/>
      <w:marBottom w:val="0"/>
      <w:divBdr>
        <w:top w:val="none" w:sz="0" w:space="0" w:color="auto"/>
        <w:left w:val="none" w:sz="0" w:space="0" w:color="auto"/>
        <w:bottom w:val="none" w:sz="0" w:space="0" w:color="auto"/>
        <w:right w:val="none" w:sz="0" w:space="0" w:color="auto"/>
      </w:divBdr>
      <w:divsChild>
        <w:div w:id="164443326">
          <w:marLeft w:val="0"/>
          <w:marRight w:val="0"/>
          <w:marTop w:val="0"/>
          <w:marBottom w:val="0"/>
          <w:divBdr>
            <w:top w:val="none" w:sz="0" w:space="0" w:color="auto"/>
            <w:left w:val="none" w:sz="0" w:space="0" w:color="auto"/>
            <w:bottom w:val="none" w:sz="0" w:space="0" w:color="auto"/>
            <w:right w:val="none" w:sz="0" w:space="0" w:color="auto"/>
          </w:divBdr>
        </w:div>
      </w:divsChild>
    </w:div>
    <w:div w:id="1834301090">
      <w:marLeft w:val="0"/>
      <w:marRight w:val="0"/>
      <w:marTop w:val="0"/>
      <w:marBottom w:val="0"/>
      <w:divBdr>
        <w:top w:val="none" w:sz="0" w:space="0" w:color="auto"/>
        <w:left w:val="none" w:sz="0" w:space="0" w:color="auto"/>
        <w:bottom w:val="none" w:sz="0" w:space="0" w:color="auto"/>
        <w:right w:val="none" w:sz="0" w:space="0" w:color="auto"/>
      </w:divBdr>
    </w:div>
    <w:div w:id="186463574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1561</Words>
  <Characters>8898</Characters>
  <Application>Microsoft Office Word</Application>
  <DocSecurity>4</DocSecurity>
  <Lines>74</Lines>
  <Paragraphs>20</Paragraphs>
  <ScaleCrop>false</ScaleCrop>
  <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2026-07-13T13:30:00Z</dcterms:created>
  <dcterms:modified xsi:type="dcterms:W3CDTF">2026-07-13T13:30:00Z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