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4C3" w:rsidRDefault="00AD2A2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C964C3" w:rsidRDefault="00AD2A24">
      <w:pPr>
        <w:spacing w:line="360" w:lineRule="auto"/>
        <w:rPr>
          <w:rFonts w:ascii="宋体" w:hAnsi="宋体"/>
          <w:sz w:val="48"/>
        </w:rPr>
      </w:pPr>
      <w:r>
        <w:rPr>
          <w:rFonts w:ascii="宋体" w:hAnsi="宋体" w:hint="eastAsia"/>
          <w:sz w:val="48"/>
        </w:rPr>
        <w:t xml:space="preserve">　 </w:t>
      </w:r>
    </w:p>
    <w:p w:rsidR="00C964C3" w:rsidRDefault="00AD2A24">
      <w:pPr>
        <w:spacing w:line="360" w:lineRule="auto"/>
        <w:jc w:val="center"/>
      </w:pPr>
      <w:r>
        <w:rPr>
          <w:rFonts w:ascii="宋体" w:hAnsi="宋体" w:hint="eastAsia"/>
          <w:b/>
          <w:bCs/>
          <w:color w:val="000000" w:themeColor="text1"/>
          <w:sz w:val="48"/>
          <w:szCs w:val="30"/>
        </w:rPr>
        <w:t>摩根行业</w:t>
      </w:r>
      <w:proofErr w:type="gramStart"/>
      <w:r>
        <w:rPr>
          <w:rFonts w:ascii="宋体" w:hAnsi="宋体" w:hint="eastAsia"/>
          <w:b/>
          <w:bCs/>
          <w:color w:val="000000" w:themeColor="text1"/>
          <w:sz w:val="48"/>
          <w:szCs w:val="30"/>
        </w:rPr>
        <w:t>睿选股票型</w:t>
      </w:r>
      <w:proofErr w:type="gramEnd"/>
      <w:r>
        <w:rPr>
          <w:rFonts w:ascii="宋体" w:hAnsi="宋体" w:hint="eastAsia"/>
          <w:b/>
          <w:bCs/>
          <w:color w:val="000000" w:themeColor="text1"/>
          <w:sz w:val="48"/>
          <w:szCs w:val="30"/>
        </w:rPr>
        <w:t>证券投资基金</w:t>
      </w:r>
      <w:r>
        <w:rPr>
          <w:rFonts w:ascii="宋体" w:hAnsi="宋体" w:hint="eastAsia"/>
          <w:b/>
          <w:bCs/>
          <w:color w:val="000000" w:themeColor="text1"/>
          <w:sz w:val="48"/>
          <w:szCs w:val="30"/>
        </w:rPr>
        <w:br/>
        <w:t>2025年第1季度报告</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pPr>
      <w:r>
        <w:rPr>
          <w:rFonts w:ascii="宋体" w:hAnsi="宋体" w:hint="eastAsia"/>
          <w:b/>
          <w:bCs/>
          <w:sz w:val="28"/>
          <w:szCs w:val="30"/>
        </w:rPr>
        <w:t>2025年3月31日</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C964C3" w:rsidRDefault="00AD2A2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jc w:val="center"/>
        <w:rPr>
          <w:rFonts w:ascii="宋体" w:hAnsi="宋体"/>
          <w:sz w:val="28"/>
          <w:szCs w:val="30"/>
        </w:rPr>
      </w:pPr>
      <w:r>
        <w:rPr>
          <w:rFonts w:ascii="宋体" w:hAnsi="宋体" w:hint="eastAsia"/>
          <w:sz w:val="28"/>
          <w:szCs w:val="30"/>
        </w:rPr>
        <w:t xml:space="preserve">　 </w:t>
      </w:r>
    </w:p>
    <w:p w:rsidR="00C964C3" w:rsidRDefault="00AD2A24">
      <w:pPr>
        <w:spacing w:line="360" w:lineRule="auto"/>
        <w:ind w:firstLineChars="800" w:firstLine="2249"/>
        <w:jc w:val="left"/>
      </w:pPr>
      <w:r>
        <w:rPr>
          <w:rFonts w:ascii="宋体" w:hAnsi="宋体" w:hint="eastAsia"/>
          <w:b/>
          <w:bCs/>
          <w:sz w:val="28"/>
          <w:szCs w:val="30"/>
        </w:rPr>
        <w:t>基金管理人：摩根基金管理（中国）有限公司</w:t>
      </w:r>
    </w:p>
    <w:p w:rsidR="00C964C3" w:rsidRDefault="00AD2A24">
      <w:pPr>
        <w:spacing w:line="360" w:lineRule="auto"/>
        <w:ind w:firstLineChars="800" w:firstLine="2249"/>
        <w:jc w:val="left"/>
      </w:pPr>
      <w:r>
        <w:rPr>
          <w:rFonts w:ascii="宋体" w:hAnsi="宋体" w:hint="eastAsia"/>
          <w:b/>
          <w:bCs/>
          <w:sz w:val="28"/>
          <w:szCs w:val="30"/>
        </w:rPr>
        <w:t>基金托管人：交通银行股份有限公司</w:t>
      </w:r>
    </w:p>
    <w:p w:rsidR="00C964C3" w:rsidRDefault="00AD2A24">
      <w:pPr>
        <w:spacing w:line="360" w:lineRule="auto"/>
        <w:ind w:firstLineChars="800" w:firstLine="2249"/>
        <w:jc w:val="left"/>
      </w:pPr>
      <w:r>
        <w:rPr>
          <w:rFonts w:ascii="宋体" w:hAnsi="宋体" w:hint="eastAsia"/>
          <w:b/>
          <w:bCs/>
          <w:sz w:val="28"/>
          <w:szCs w:val="30"/>
        </w:rPr>
        <w:t>报告送出日期：2025年4月22日</w:t>
      </w:r>
    </w:p>
    <w:p w:rsidR="00C964C3" w:rsidRDefault="00AD2A24">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C964C3" w:rsidRDefault="00AD2A24">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C964C3" w:rsidRDefault="00AD2A24">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663"/>
        <w:gridCol w:w="2494"/>
      </w:tblGrid>
      <w:tr w:rsidR="00C964C3">
        <w:trPr>
          <w:divId w:val="1079326972"/>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C964C3" w:rsidRDefault="00AD2A2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szCs w:val="24"/>
                <w:lang w:eastAsia="zh-Hans"/>
              </w:rPr>
              <w:t>摩根行业睿选股票</w:t>
            </w:r>
            <w:r>
              <w:rPr>
                <w:rFonts w:ascii="宋体" w:hAnsi="宋体" w:hint="eastAsia"/>
                <w:lang w:eastAsia="zh-Hans"/>
              </w:rPr>
              <w:t xml:space="preserve"> </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011236</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契约型开放式</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2021年2月26日</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2,134,305,520.13</w:t>
            </w:r>
            <w:r>
              <w:rPr>
                <w:rFonts w:hint="eastAsia"/>
              </w:rPr>
              <w:t>份</w:t>
            </w:r>
            <w:r>
              <w:rPr>
                <w:rFonts w:ascii="宋体" w:hAnsi="宋体" w:hint="eastAsia"/>
                <w:lang w:eastAsia="zh-Hans"/>
              </w:rPr>
              <w:t xml:space="preserve"> </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通过把握资产轮动、产业策略与经济周期相联系的规律，挖掘经济周期波动中强势行业中具有核心竞争优势的上市公司，力求在景气的多空变化中追求基金资产长期稳健的超额收益。</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 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r>
              <w:rPr>
                <w:rFonts w:ascii="宋体" w:hAnsi="宋体" w:hint="eastAsia"/>
                <w:lang w:eastAsia="zh-Hans"/>
              </w:rPr>
              <w:br/>
              <w:t>在控制风险的前提下，本基金将优先配置股票资产，本基金股票资产占基金资产的投资比例为80%-95%，其中港股通标的股票的投资比例不超过股票资产的50%。</w:t>
            </w:r>
            <w:r>
              <w:rPr>
                <w:rFonts w:ascii="宋体" w:hAnsi="宋体" w:hint="eastAsia"/>
                <w:lang w:eastAsia="zh-Hans"/>
              </w:rPr>
              <w:br/>
              <w:t>2、股票投资策略</w:t>
            </w:r>
            <w:r>
              <w:rPr>
                <w:rFonts w:ascii="宋体" w:hAnsi="宋体" w:hint="eastAsia"/>
                <w:lang w:eastAsia="zh-Hans"/>
              </w:rPr>
              <w:br/>
            </w:r>
            <w:r>
              <w:rPr>
                <w:rFonts w:ascii="宋体" w:hAnsi="宋体" w:hint="eastAsia"/>
                <w:lang w:eastAsia="zh-Hans"/>
              </w:rPr>
              <w:lastRenderedPageBreak/>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r>
              <w:rPr>
                <w:rFonts w:ascii="宋体" w:hAnsi="宋体" w:hint="eastAsia"/>
                <w:lang w:eastAsia="zh-Hans"/>
              </w:rPr>
              <w:br/>
              <w:t>3、港股投资策略</w:t>
            </w:r>
            <w:r>
              <w:rPr>
                <w:rFonts w:ascii="宋体" w:hAnsi="宋体" w:hint="eastAsia"/>
                <w:lang w:eastAsia="zh-Hans"/>
              </w:rPr>
              <w:b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r>
              <w:rPr>
                <w:rFonts w:ascii="宋体" w:hAnsi="宋体" w:hint="eastAsia"/>
                <w:lang w:eastAsia="zh-Hans"/>
              </w:rPr>
              <w:br/>
              <w:t>4、债券投资策略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5、其他投资策略</w:t>
            </w:r>
            <w:r>
              <w:rPr>
                <w:rFonts w:ascii="宋体" w:hAnsi="宋体" w:hint="eastAsia"/>
                <w:lang w:eastAsia="zh-Hans"/>
              </w:rPr>
              <w:br/>
              <w:t>包括股指期货投资策略、资产支持证券投资策略、股票期权投资策略、证券公司短期公司债券投资策略、存托凭证投资策略。</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中证800指数收益率*65%+中证港股通指数收益率*20%+上证国债指数收益率*15%</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本基金属于股票型基金产品，预期风险和收益水平高于混合型基金、债券型基金和货币市场基金。</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摩根基金管理（中国）有限公司</w:t>
            </w:r>
          </w:p>
        </w:tc>
      </w:tr>
      <w:tr w:rsidR="00C964C3">
        <w:trPr>
          <w:divId w:val="107932697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lang w:eastAsia="zh-Hans"/>
              </w:rPr>
              <w:t>交通银行股份有限公司</w:t>
            </w:r>
          </w:p>
        </w:tc>
      </w:tr>
      <w:tr w:rsidR="00C964C3">
        <w:trPr>
          <w:divId w:val="107932697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lang w:eastAsia="zh-Hans"/>
              </w:rPr>
              <w:t>摩根行业睿选股票A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lang w:eastAsia="zh-Hans"/>
              </w:rPr>
              <w:t>摩根行业睿选股票C</w:t>
            </w:r>
            <w:r>
              <w:rPr>
                <w:rFonts w:ascii="宋体" w:hAnsi="宋体" w:hint="eastAsia"/>
                <w:kern w:val="0"/>
                <w:sz w:val="20"/>
                <w:lang w:eastAsia="zh-Hans"/>
              </w:rPr>
              <w:t xml:space="preserve"> </w:t>
            </w:r>
          </w:p>
        </w:tc>
      </w:tr>
      <w:tr w:rsidR="00C964C3">
        <w:trPr>
          <w:divId w:val="107932697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lang w:eastAsia="zh-Hans"/>
              </w:rPr>
              <w:t>011236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lang w:eastAsia="zh-Hans"/>
              </w:rPr>
              <w:t>011237</w:t>
            </w:r>
            <w:r>
              <w:rPr>
                <w:rFonts w:ascii="宋体" w:hAnsi="宋体" w:hint="eastAsia"/>
                <w:kern w:val="0"/>
                <w:sz w:val="20"/>
                <w:lang w:eastAsia="zh-Hans"/>
              </w:rPr>
              <w:t xml:space="preserve"> </w:t>
            </w:r>
          </w:p>
        </w:tc>
      </w:tr>
      <w:bookmarkEnd w:id="34"/>
      <w:bookmarkEnd w:id="33"/>
      <w:tr w:rsidR="00C964C3">
        <w:trPr>
          <w:divId w:val="107932697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964C3" w:rsidRDefault="00AD2A2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lang w:eastAsia="zh-Hans"/>
              </w:rPr>
              <w:t>1,705,401,631.81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lang w:eastAsia="zh-Hans"/>
              </w:rPr>
              <w:t>428,903,888.32</w:t>
            </w:r>
            <w:r>
              <w:rPr>
                <w:rFonts w:hint="eastAsia"/>
              </w:rPr>
              <w:t>份</w:t>
            </w:r>
            <w:r>
              <w:rPr>
                <w:rFonts w:ascii="宋体" w:hAnsi="宋体" w:hint="eastAsia"/>
                <w:lang w:eastAsia="zh-Hans"/>
              </w:rPr>
              <w:t xml:space="preserve"> </w:t>
            </w:r>
          </w:p>
        </w:tc>
      </w:tr>
    </w:tbl>
    <w:p w:rsidR="00C964C3" w:rsidRDefault="00AD2A24">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C964C3" w:rsidRDefault="00AD2A24">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C964C3" w:rsidRDefault="00AD2A24">
      <w:pPr>
        <w:jc w:val="right"/>
        <w:divId w:val="101758396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C964C3">
        <w:trPr>
          <w:divId w:val="101758396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C964C3" w:rsidRDefault="00AD2A2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C964C3" w:rsidRDefault="00AD2A24">
            <w:pPr>
              <w:pStyle w:val="a5"/>
              <w:jc w:val="center"/>
            </w:pPr>
            <w:r>
              <w:rPr>
                <w:rFonts w:hint="eastAsia"/>
                <w:kern w:val="2"/>
                <w:sz w:val="21"/>
                <w:szCs w:val="24"/>
                <w:lang w:eastAsia="zh-Hans"/>
              </w:rPr>
              <w:t xml:space="preserve">报告期（2025年1月1日-2025年3月31日） </w:t>
            </w:r>
          </w:p>
        </w:tc>
      </w:tr>
      <w:tr w:rsidR="00C964C3">
        <w:trPr>
          <w:divId w:val="101758396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4C3" w:rsidRDefault="00C964C3">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C964C3" w:rsidRDefault="00AD2A24">
            <w:pPr>
              <w:jc w:val="center"/>
            </w:pPr>
            <w:r>
              <w:rPr>
                <w:rFonts w:ascii="宋体" w:hAnsi="宋体" w:hint="eastAsia"/>
                <w:szCs w:val="24"/>
                <w:lang w:eastAsia="zh-Hans"/>
              </w:rPr>
              <w:t>摩根行业睿选股票A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C964C3" w:rsidRDefault="00AD2A24">
            <w:pPr>
              <w:jc w:val="center"/>
            </w:pPr>
            <w:r>
              <w:rPr>
                <w:rFonts w:ascii="宋体" w:hAnsi="宋体" w:hint="eastAsia"/>
                <w:szCs w:val="24"/>
                <w:lang w:eastAsia="zh-Hans"/>
              </w:rPr>
              <w:t>摩根行业睿选股票C</w:t>
            </w:r>
          </w:p>
        </w:tc>
      </w:tr>
      <w:tr w:rsidR="00C964C3">
        <w:trPr>
          <w:divId w:val="10175839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48,764,631.04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11,657,010.40</w:t>
            </w:r>
          </w:p>
        </w:tc>
      </w:tr>
      <w:tr w:rsidR="00C964C3">
        <w:trPr>
          <w:divId w:val="10175839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pStyle w:val="a5"/>
            </w:pPr>
            <w:r>
              <w:rPr>
                <w:rFonts w:hint="eastAsia"/>
                <w:kern w:val="2"/>
                <w:sz w:val="21"/>
              </w:rPr>
              <w:lastRenderedPageBreak/>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106,397,810.83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25,833,612.23</w:t>
            </w:r>
          </w:p>
        </w:tc>
      </w:tr>
      <w:tr w:rsidR="00C964C3">
        <w:trPr>
          <w:divId w:val="10175839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0.0615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0.0593</w:t>
            </w:r>
          </w:p>
        </w:tc>
      </w:tr>
      <w:tr w:rsidR="00C964C3">
        <w:trPr>
          <w:divId w:val="10175839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1,165,354,343.43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287,146,858.27</w:t>
            </w:r>
          </w:p>
        </w:tc>
      </w:tr>
      <w:tr w:rsidR="00C964C3">
        <w:trPr>
          <w:divId w:val="101758396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0.6833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964C3" w:rsidRDefault="00AD2A24">
            <w:pPr>
              <w:jc w:val="right"/>
            </w:pPr>
            <w:r>
              <w:rPr>
                <w:rFonts w:ascii="宋体" w:hAnsi="宋体" w:hint="eastAsia"/>
                <w:szCs w:val="24"/>
                <w:lang w:eastAsia="zh-Hans"/>
              </w:rPr>
              <w:t>0.6695</w:t>
            </w:r>
          </w:p>
        </w:tc>
      </w:tr>
    </w:tbl>
    <w:p w:rsidR="00C964C3" w:rsidRDefault="00AD2A24">
      <w:pPr>
        <w:wordWrap w:val="0"/>
        <w:spacing w:line="360" w:lineRule="auto"/>
        <w:jc w:val="left"/>
        <w:divId w:val="117834990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C964C3" w:rsidRDefault="00AD2A24">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C964C3" w:rsidRDefault="00AD2A24">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C964C3" w:rsidRDefault="00AD2A24">
      <w:pPr>
        <w:spacing w:line="360" w:lineRule="auto"/>
        <w:jc w:val="center"/>
        <w:divId w:val="1341854359"/>
      </w:pPr>
      <w:r>
        <w:rPr>
          <w:rFonts w:ascii="宋体" w:hAnsi="宋体" w:hint="eastAsia"/>
        </w:rPr>
        <w:t>摩根行业</w:t>
      </w:r>
      <w:proofErr w:type="gramStart"/>
      <w:r>
        <w:rPr>
          <w:rFonts w:ascii="宋体" w:hAnsi="宋体" w:hint="eastAsia"/>
        </w:rPr>
        <w:t>睿选股票</w:t>
      </w:r>
      <w:proofErr w:type="gramEnd"/>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964C3">
        <w:trPr>
          <w:divId w:val="134185435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②－④ </w:t>
            </w:r>
          </w:p>
        </w:tc>
      </w:tr>
      <w:tr w:rsidR="00C964C3">
        <w:trPr>
          <w:divId w:val="13418543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9.84%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7.21%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0.41% </w:t>
            </w:r>
          </w:p>
        </w:tc>
      </w:tr>
      <w:tr w:rsidR="00C964C3">
        <w:trPr>
          <w:divId w:val="13418543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8.34%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6.66%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0.58% </w:t>
            </w:r>
          </w:p>
        </w:tc>
      </w:tr>
      <w:tr w:rsidR="00C964C3">
        <w:trPr>
          <w:divId w:val="13418543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26.49%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11.49%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0.50% </w:t>
            </w:r>
          </w:p>
        </w:tc>
      </w:tr>
      <w:tr w:rsidR="00C964C3">
        <w:trPr>
          <w:divId w:val="13418543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-19.53%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-20.31%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0.49% </w:t>
            </w:r>
          </w:p>
        </w:tc>
      </w:tr>
      <w:tr w:rsidR="00C964C3">
        <w:trPr>
          <w:divId w:val="134185435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-31.67%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-16.77%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-14.90%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0.56% </w:t>
            </w:r>
          </w:p>
        </w:tc>
      </w:tr>
    </w:tbl>
    <w:p w:rsidR="00C964C3" w:rsidRDefault="00AD2A24">
      <w:pPr>
        <w:spacing w:line="360" w:lineRule="auto"/>
        <w:jc w:val="center"/>
        <w:divId w:val="540631698"/>
      </w:pPr>
      <w:r>
        <w:rPr>
          <w:rFonts w:ascii="宋体" w:hAnsi="宋体" w:hint="eastAsia"/>
        </w:rPr>
        <w:t>摩根行业</w:t>
      </w:r>
      <w:proofErr w:type="gramStart"/>
      <w:r>
        <w:rPr>
          <w:rFonts w:ascii="宋体" w:hAnsi="宋体" w:hint="eastAsia"/>
        </w:rPr>
        <w:t>睿选股票</w:t>
      </w:r>
      <w:proofErr w:type="gramEnd"/>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964C3">
        <w:trPr>
          <w:divId w:val="54063169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 xml:space="preserve">②－④ </w:t>
            </w:r>
          </w:p>
        </w:tc>
      </w:tr>
      <w:tr w:rsidR="00C964C3">
        <w:trPr>
          <w:divId w:val="5406316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9.72%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7.09%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0.41% </w:t>
            </w:r>
          </w:p>
        </w:tc>
      </w:tr>
      <w:tr w:rsidR="00C964C3">
        <w:trPr>
          <w:divId w:val="5406316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8.07%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6.39%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0.57% </w:t>
            </w:r>
          </w:p>
        </w:tc>
      </w:tr>
      <w:tr w:rsidR="00C964C3">
        <w:trPr>
          <w:divId w:val="5406316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25.87%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10.87%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0.50% </w:t>
            </w:r>
          </w:p>
        </w:tc>
      </w:tr>
      <w:tr w:rsidR="00C964C3">
        <w:trPr>
          <w:divId w:val="5406316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-20.71%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-21.49%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0.49% </w:t>
            </w:r>
          </w:p>
        </w:tc>
      </w:tr>
      <w:tr w:rsidR="00C964C3">
        <w:trPr>
          <w:divId w:val="54063169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-33.05%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-16.77%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964C3" w:rsidRDefault="00AD2A24">
            <w:pPr>
              <w:spacing w:line="360" w:lineRule="auto"/>
              <w:jc w:val="right"/>
            </w:pPr>
            <w:r>
              <w:rPr>
                <w:rFonts w:ascii="宋体" w:hAnsi="宋体" w:hint="eastAsia"/>
              </w:rPr>
              <w:t xml:space="preserve">-16.28%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spacing w:line="360" w:lineRule="auto"/>
              <w:jc w:val="right"/>
            </w:pPr>
            <w:r>
              <w:rPr>
                <w:rFonts w:ascii="宋体" w:hAnsi="宋体" w:hint="eastAsia"/>
              </w:rPr>
              <w:t xml:space="preserve">0.56% </w:t>
            </w:r>
          </w:p>
        </w:tc>
      </w:tr>
    </w:tbl>
    <w:p w:rsidR="00C964C3" w:rsidRDefault="00AD2A24">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lastRenderedPageBreak/>
        <w:t>自基金合同生效以来基金累计净值增长率变动及其与同期业绩比较基准收益率变动的比较</w:t>
      </w:r>
      <w:bookmarkEnd w:id="66"/>
      <w:bookmarkEnd w:id="67"/>
      <w:bookmarkEnd w:id="68"/>
      <w:bookmarkEnd w:id="69"/>
      <w:bookmarkEnd w:id="70"/>
      <w:proofErr w:type="spellEnd"/>
    </w:p>
    <w:p w:rsidR="00C964C3" w:rsidRDefault="00AD2A24">
      <w:pPr>
        <w:spacing w:line="360" w:lineRule="auto"/>
        <w:jc w:val="left"/>
        <w:divId w:val="1344892667"/>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C964C3" w:rsidRDefault="00AD2A24">
      <w:pPr>
        <w:spacing w:line="360" w:lineRule="auto"/>
        <w:jc w:val="left"/>
        <w:divId w:val="708728804"/>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C964C3" w:rsidRDefault="00AD2A24">
      <w:pPr>
        <w:spacing w:line="360" w:lineRule="auto"/>
      </w:pPr>
      <w:r>
        <w:rPr>
          <w:rFonts w:ascii="宋体" w:hAnsi="宋体" w:hint="eastAsia"/>
        </w:rPr>
        <w:t>注：</w:t>
      </w:r>
      <w:r>
        <w:rPr>
          <w:rFonts w:ascii="宋体" w:hAnsi="宋体" w:hint="eastAsia"/>
          <w:lang w:eastAsia="zh-Hans"/>
        </w:rPr>
        <w:t>本基金合同生效日为2021年2月26日，图示的时间段为合同生效日至本报告期末。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C964C3" w:rsidRDefault="00AD2A24">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C964C3" w:rsidRDefault="00AD2A24">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964C3">
        <w:trPr>
          <w:divId w:val="126380536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C964C3">
        <w:trPr>
          <w:divId w:val="126380536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4C3" w:rsidRDefault="00C964C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4C3" w:rsidRDefault="00C964C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4C3" w:rsidRDefault="00C964C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4C3" w:rsidRDefault="00C964C3">
            <w:pPr>
              <w:widowControl/>
              <w:jc w:val="left"/>
            </w:pPr>
          </w:p>
        </w:tc>
      </w:tr>
      <w:tr w:rsidR="00C964C3">
        <w:trPr>
          <w:divId w:val="126380536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李博</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2022年8月18日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szCs w:val="24"/>
                <w:lang w:eastAsia="zh-Hans"/>
              </w:rPr>
              <w:t>李博先生曾任中银国际证券有限公司研究员。2010年11月起加入摩根基金管理（中国）有限公司（原上投摩根基金管理有限公司），历任行业专家、基金经理，现任国内权益投资部价值成长组组长兼资深基金经理。</w:t>
            </w:r>
          </w:p>
        </w:tc>
      </w:tr>
    </w:tbl>
    <w:p w:rsidR="00C964C3" w:rsidRDefault="00AD2A24">
      <w:pPr>
        <w:wordWrap w:val="0"/>
        <w:spacing w:line="360" w:lineRule="auto"/>
        <w:jc w:val="left"/>
        <w:divId w:val="114866650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C964C3" w:rsidRDefault="00AD2A24">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C964C3" w:rsidRDefault="00AD2A24">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C964C3" w:rsidRDefault="00AD2A24">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C964C3" w:rsidRDefault="00AD2A24">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C964C3" w:rsidRDefault="00AD2A2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C964C3" w:rsidRDefault="00AD2A24">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C964C3" w:rsidRDefault="00AD2A24">
      <w:pPr>
        <w:spacing w:line="360" w:lineRule="auto"/>
        <w:ind w:firstLineChars="200" w:firstLine="420"/>
        <w:jc w:val="left"/>
      </w:pPr>
      <w:r>
        <w:rPr>
          <w:rFonts w:ascii="宋体" w:hAnsi="宋体" w:cs="宋体" w:hint="eastAsia"/>
          <w:color w:val="000000"/>
          <w:kern w:val="0"/>
        </w:rPr>
        <w:t>报告期内，通过对交易价格、交易时间、交易方向等的分析，未发现有可能导致不公平交易</w:t>
      </w:r>
      <w:r>
        <w:rPr>
          <w:rFonts w:ascii="宋体" w:hAnsi="宋体" w:cs="宋体" w:hint="eastAsia"/>
          <w:color w:val="000000"/>
          <w:kern w:val="0"/>
        </w:rPr>
        <w:lastRenderedPageBreak/>
        <w:t xml:space="preserve">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C964C3" w:rsidRDefault="00AD2A24">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C964C3" w:rsidRDefault="00AD2A24">
      <w:pPr>
        <w:spacing w:line="360" w:lineRule="auto"/>
        <w:ind w:firstLineChars="200" w:firstLine="420"/>
        <w:jc w:val="left"/>
      </w:pPr>
      <w:r>
        <w:rPr>
          <w:rFonts w:ascii="宋体" w:hAnsi="宋体" w:cs="宋体" w:hint="eastAsia"/>
          <w:color w:val="000000"/>
          <w:kern w:val="0"/>
        </w:rPr>
        <w:t>一季度，市场小幅下跌，其中沪深300下跌1.21%，创业</w:t>
      </w:r>
      <w:proofErr w:type="gramStart"/>
      <w:r>
        <w:rPr>
          <w:rFonts w:ascii="宋体" w:hAnsi="宋体" w:cs="宋体" w:hint="eastAsia"/>
          <w:color w:val="000000"/>
          <w:kern w:val="0"/>
        </w:rPr>
        <w:t>板下跌</w:t>
      </w:r>
      <w:proofErr w:type="gramEnd"/>
      <w:r>
        <w:rPr>
          <w:rFonts w:ascii="宋体" w:hAnsi="宋体" w:cs="宋体" w:hint="eastAsia"/>
          <w:color w:val="000000"/>
          <w:kern w:val="0"/>
        </w:rPr>
        <w:t>1.77%。板块方面，有色金属、汽车和机械领涨，煤炭、商贸零售和非银行金融领跌。今年1-2月，经济稳步增长，全国规模以上工业增加值同比增长5.9%，其中2月环比增长0.5%，社会消费品零售总额同比增长4.0%；2024年12月份，制造业PMI（采购经理指数）为50.2%，比上月上升1.1个百分点。本基金重点配置了估值和成长相匹配的个股，此外，本季度还减持了部分前期超额收益较多个股，增持了部分市场关注度不高的成长股。</w:t>
      </w:r>
      <w:r>
        <w:rPr>
          <w:rFonts w:ascii="宋体" w:hAnsi="宋体" w:cs="宋体" w:hint="eastAsia"/>
          <w:color w:val="000000"/>
          <w:kern w:val="0"/>
        </w:rPr>
        <w:br/>
        <w:t xml:space="preserve">　　进入二季度，我们判断市场机会或将大于风险，A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C964C3" w:rsidRDefault="00AD2A24">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C964C3" w:rsidRDefault="00AD2A24">
      <w:pPr>
        <w:spacing w:line="360" w:lineRule="auto"/>
        <w:ind w:firstLineChars="200" w:firstLine="420"/>
      </w:pPr>
      <w:r>
        <w:rPr>
          <w:rFonts w:ascii="宋体" w:hAnsi="宋体" w:hint="eastAsia"/>
        </w:rPr>
        <w:t>本报告期摩根行业</w:t>
      </w:r>
      <w:proofErr w:type="gramStart"/>
      <w:r>
        <w:rPr>
          <w:rFonts w:ascii="宋体" w:hAnsi="宋体" w:hint="eastAsia"/>
        </w:rPr>
        <w:t>睿选股票</w:t>
      </w:r>
      <w:proofErr w:type="gramEnd"/>
      <w:r>
        <w:rPr>
          <w:rFonts w:ascii="宋体" w:hAnsi="宋体" w:hint="eastAsia"/>
        </w:rPr>
        <w:t>A份额净值增长率为：9.84%，同期业绩比较基准收益率为：2.63%；</w:t>
      </w:r>
      <w:r>
        <w:rPr>
          <w:rFonts w:ascii="宋体" w:hAnsi="宋体" w:hint="eastAsia"/>
        </w:rPr>
        <w:br/>
        <w:t xml:space="preserve">　　摩根行业</w:t>
      </w:r>
      <w:proofErr w:type="gramStart"/>
      <w:r>
        <w:rPr>
          <w:rFonts w:ascii="宋体" w:hAnsi="宋体" w:hint="eastAsia"/>
        </w:rPr>
        <w:t>睿选股票</w:t>
      </w:r>
      <w:proofErr w:type="gramEnd"/>
      <w:r>
        <w:rPr>
          <w:rFonts w:ascii="宋体" w:hAnsi="宋体" w:hint="eastAsia"/>
        </w:rPr>
        <w:t>C份额净值增长率为：9.72%，同期业绩比较基准收益率为：2.63%。</w:t>
      </w:r>
    </w:p>
    <w:p w:rsidR="00C964C3" w:rsidRDefault="00AD2A24">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C964C3" w:rsidRDefault="00AD2A24">
      <w:pPr>
        <w:spacing w:line="360" w:lineRule="auto"/>
        <w:ind w:firstLineChars="200" w:firstLine="420"/>
        <w:jc w:val="left"/>
      </w:pPr>
      <w:r>
        <w:rPr>
          <w:rFonts w:ascii="宋体" w:hAnsi="宋体" w:hint="eastAsia"/>
        </w:rPr>
        <w:t>无。</w:t>
      </w:r>
    </w:p>
    <w:p w:rsidR="00C964C3" w:rsidRDefault="00AD2A24">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C964C3" w:rsidRDefault="00AD2A24">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1,342,563,857.34</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92.24</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1,342,563,857.34</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92.24</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1,237,943.41</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0.09</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1,237,943.41</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0.09</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lastRenderedPageBreak/>
              <w:t>5</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105,197,274.26</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7.23</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6,546,343.22</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0.45</w:t>
            </w:r>
          </w:p>
        </w:tc>
      </w:tr>
      <w:tr w:rsidR="00C964C3">
        <w:trPr>
          <w:divId w:val="48944877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C964C3" w:rsidRDefault="00AD2A2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1,455,545,418.23</w:t>
            </w:r>
          </w:p>
        </w:tc>
        <w:tc>
          <w:tcPr>
            <w:tcW w:w="1333" w:type="pct"/>
            <w:tcBorders>
              <w:top w:val="single" w:sz="4" w:space="0" w:color="auto"/>
              <w:left w:val="nil"/>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100.00</w:t>
            </w:r>
          </w:p>
        </w:tc>
      </w:tr>
    </w:tbl>
    <w:p w:rsidR="00C964C3" w:rsidRDefault="00AD2A24">
      <w:pPr>
        <w:spacing w:line="360" w:lineRule="auto"/>
        <w:jc w:val="left"/>
        <w:divId w:val="105319255"/>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机制投资的港股公允价值为人民币90,626,329.87元,占期末净值比例为6.24%。</w:t>
      </w:r>
    </w:p>
    <w:p w:rsidR="00C964C3" w:rsidRDefault="00AD2A24">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C964C3" w:rsidRDefault="00AD2A24">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C964C3">
        <w:trPr>
          <w:divId w:val="1368994773"/>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964C3" w:rsidRDefault="00AD2A2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C964C3" w:rsidRDefault="00AD2A2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C964C3" w:rsidRDefault="00AD2A2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C964C3" w:rsidRDefault="00AD2A24">
            <w:pPr>
              <w:jc w:val="center"/>
            </w:pPr>
            <w:r>
              <w:rPr>
                <w:rFonts w:ascii="宋体" w:hAnsi="宋体" w:hint="eastAsia"/>
                <w:color w:val="000000"/>
              </w:rPr>
              <w:t xml:space="preserve">占基金资产净值比例（%） </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53,598,187.00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3.69</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30,177,106.00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2.08</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1,012,008,466.77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69.67</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15,303,603.72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1.05</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36,166,517.00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2.49</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29,273,932.62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2.02</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44,108,181.00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3.04</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9,999,100.00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0.69</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3,802,734.00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0.26</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17,499,699.36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1.20</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w:t>
            </w:r>
          </w:p>
        </w:tc>
      </w:tr>
      <w:tr w:rsidR="00C964C3">
        <w:trPr>
          <w:divId w:val="1368994773"/>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964C3" w:rsidRDefault="00AD2A2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964C3" w:rsidRDefault="00AD2A2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C964C3" w:rsidRDefault="00AD2A24">
            <w:pPr>
              <w:jc w:val="right"/>
            </w:pPr>
            <w:r>
              <w:rPr>
                <w:rFonts w:ascii="宋体" w:hAnsi="宋体" w:hint="eastAsia"/>
                <w:szCs w:val="24"/>
                <w:lang w:eastAsia="zh-Hans"/>
              </w:rPr>
              <w:t>1,251,937,527.47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964C3" w:rsidRDefault="00AD2A24">
            <w:pPr>
              <w:jc w:val="right"/>
            </w:pPr>
            <w:r>
              <w:rPr>
                <w:rFonts w:ascii="宋体" w:hAnsi="宋体" w:hint="eastAsia"/>
                <w:szCs w:val="24"/>
                <w:lang w:eastAsia="zh-Hans"/>
              </w:rPr>
              <w:t>86.19</w:t>
            </w:r>
          </w:p>
        </w:tc>
      </w:tr>
    </w:tbl>
    <w:p w:rsidR="00C964C3" w:rsidRDefault="00AD2A24">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64C3" w:rsidRDefault="00AD2A24">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64C3" w:rsidRDefault="00AD2A24">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C964C3" w:rsidRDefault="00AD2A24">
            <w:pPr>
              <w:jc w:val="center"/>
            </w:pPr>
            <w:r>
              <w:rPr>
                <w:rFonts w:ascii="宋体" w:hAnsi="宋体" w:hint="eastAsia"/>
                <w:color w:val="000000"/>
              </w:rPr>
              <w:t xml:space="preserve">占基金资产净值比例（%） </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894,292.41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0.06</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lastRenderedPageBreak/>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65,336,629.59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4.50</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24,395,407.87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1.68</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w:t>
            </w:r>
          </w:p>
        </w:tc>
      </w:tr>
      <w:tr w:rsidR="00C964C3">
        <w:trPr>
          <w:divId w:val="1909070404"/>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90,626,329.87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C964C3" w:rsidRDefault="00AD2A24">
            <w:pPr>
              <w:jc w:val="right"/>
            </w:pPr>
            <w:r>
              <w:rPr>
                <w:rFonts w:ascii="宋体" w:hAnsi="宋体" w:hint="eastAsia"/>
                <w:szCs w:val="24"/>
                <w:lang w:eastAsia="zh-Hans"/>
              </w:rPr>
              <w:t>6.24</w:t>
            </w:r>
          </w:p>
        </w:tc>
      </w:tr>
    </w:tbl>
    <w:p w:rsidR="00C964C3" w:rsidRDefault="00AD2A24">
      <w:pPr>
        <w:spacing w:line="360" w:lineRule="auto"/>
        <w:divId w:val="932317940"/>
      </w:pPr>
      <w:r>
        <w:rPr>
          <w:rFonts w:ascii="宋体" w:hAnsi="宋体" w:hint="eastAsia"/>
          <w:szCs w:val="21"/>
        </w:rPr>
        <w:t>注：</w:t>
      </w:r>
      <w:r>
        <w:rPr>
          <w:rFonts w:ascii="宋体" w:hAnsi="宋体" w:hint="eastAsia"/>
          <w:szCs w:val="21"/>
          <w:lang w:eastAsia="zh-Hans"/>
        </w:rPr>
        <w:t>以上分类采用全球行业分类标准（GICS）。</w:t>
      </w:r>
    </w:p>
    <w:p w:rsidR="00C964C3" w:rsidRDefault="00AD2A24">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C964C3" w:rsidRDefault="00AD2A24">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964C3">
        <w:trPr>
          <w:divId w:val="117322568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占基金资产净值比例（%） </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1,568,046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127,027,406.46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8.75</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3,022,428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123,587,080.92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8.51</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3,432,409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112,377,070.66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7.74</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280,252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105,066,474.80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7.23</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404,746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102,376,453.24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7.05</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1,535,798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65,336,629.59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4.50</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1,018,900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44,108,181.00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3.04</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002714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牧原股份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1,022,500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39,601,425.00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2.73</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23,300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36,371,300.00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2.50</w:t>
            </w:r>
          </w:p>
        </w:tc>
      </w:tr>
      <w:tr w:rsidR="00C964C3">
        <w:trPr>
          <w:divId w:val="11732256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600276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恒瑞医药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610,650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30,043,980.00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2.07</w:t>
            </w:r>
          </w:p>
        </w:tc>
      </w:tr>
    </w:tbl>
    <w:p w:rsidR="00C964C3" w:rsidRDefault="00AD2A24">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占基金资产净值比例（%） </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1,237,943.41</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0.09</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w:t>
            </w:r>
          </w:p>
        </w:tc>
      </w:tr>
      <w:tr w:rsidR="00C964C3">
        <w:trPr>
          <w:divId w:val="81730533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C964C3" w:rsidRDefault="00AD2A2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1,237,943.41</w:t>
            </w:r>
          </w:p>
        </w:tc>
        <w:tc>
          <w:tcPr>
            <w:tcW w:w="1932" w:type="pct"/>
            <w:tcBorders>
              <w:top w:val="single" w:sz="4" w:space="0" w:color="auto"/>
              <w:left w:val="single" w:sz="4" w:space="0" w:color="auto"/>
              <w:bottom w:val="single" w:sz="4" w:space="0" w:color="auto"/>
              <w:right w:val="single" w:sz="4" w:space="0" w:color="auto"/>
            </w:tcBorders>
            <w:vAlign w:val="center"/>
            <w:hideMark/>
          </w:tcPr>
          <w:p w:rsidR="00C964C3" w:rsidRDefault="00AD2A24">
            <w:pPr>
              <w:jc w:val="right"/>
            </w:pPr>
            <w:r>
              <w:rPr>
                <w:rFonts w:ascii="宋体" w:hAnsi="宋体" w:hint="eastAsia"/>
                <w:szCs w:val="24"/>
                <w:lang w:eastAsia="zh-Hans"/>
              </w:rPr>
              <w:t>0.09</w:t>
            </w:r>
          </w:p>
        </w:tc>
      </w:tr>
    </w:tbl>
    <w:p w:rsidR="00C964C3" w:rsidRDefault="00AD2A24">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964C3">
        <w:trPr>
          <w:divId w:val="70267720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jc w:val="center"/>
            </w:pPr>
            <w:r>
              <w:rPr>
                <w:rFonts w:ascii="宋体" w:hAnsi="宋体" w:hint="eastAsia"/>
                <w:color w:val="000000"/>
              </w:rPr>
              <w:t xml:space="preserve">占基金资产净值比例（%） </w:t>
            </w:r>
          </w:p>
        </w:tc>
      </w:tr>
      <w:tr w:rsidR="00C964C3">
        <w:trPr>
          <w:divId w:val="70267720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lastRenderedPageBreak/>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12,379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1,237,943.41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szCs w:val="24"/>
                <w:lang w:eastAsia="zh-Hans"/>
              </w:rPr>
              <w:t>0.09</w:t>
            </w:r>
          </w:p>
        </w:tc>
      </w:tr>
    </w:tbl>
    <w:p w:rsidR="00C964C3" w:rsidRDefault="00AD2A24">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C964C3" w:rsidRDefault="00AD2A24">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C964C3" w:rsidRDefault="00AD2A24">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C964C3" w:rsidRDefault="00AD2A24">
      <w:pPr>
        <w:spacing w:line="360" w:lineRule="auto"/>
        <w:ind w:firstLineChars="200" w:firstLine="420"/>
        <w:divId w:val="1998731311"/>
      </w:pPr>
      <w:r>
        <w:rPr>
          <w:rFonts w:ascii="宋体" w:hAnsi="宋体" w:hint="eastAsia"/>
          <w:szCs w:val="21"/>
          <w:lang w:eastAsia="zh-Hans"/>
        </w:rPr>
        <w:t>本基金本报告期末未持有贵金属。</w:t>
      </w:r>
    </w:p>
    <w:p w:rsidR="00C964C3" w:rsidRDefault="00AD2A24">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C964C3" w:rsidRDefault="00AD2A24">
      <w:pPr>
        <w:spacing w:line="360" w:lineRule="auto"/>
        <w:ind w:firstLineChars="200" w:firstLine="420"/>
        <w:divId w:val="1846020183"/>
      </w:pPr>
      <w:r>
        <w:rPr>
          <w:rFonts w:ascii="宋体" w:hAnsi="宋体" w:hint="eastAsia"/>
          <w:szCs w:val="21"/>
          <w:lang w:eastAsia="zh-Hans"/>
        </w:rPr>
        <w:t>本基金本报告期末未持有权证。</w:t>
      </w:r>
    </w:p>
    <w:p w:rsidR="00C964C3" w:rsidRDefault="00AD2A24">
      <w:pPr>
        <w:pStyle w:val="XBRLTitle2"/>
        <w:spacing w:before="156"/>
        <w:ind w:left="454"/>
      </w:pPr>
      <w:bookmarkStart w:id="242" w:name="_Toc17898206"/>
      <w:proofErr w:type="spellStart"/>
      <w:r>
        <w:rPr>
          <w:rFonts w:hint="eastAsia"/>
        </w:rPr>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7"/>
      <w:proofErr w:type="spellEnd"/>
    </w:p>
    <w:p w:rsidR="00C964C3" w:rsidRDefault="00AD2A24">
      <w:pPr>
        <w:spacing w:line="360" w:lineRule="auto"/>
        <w:ind w:firstLineChars="200" w:firstLine="420"/>
        <w:divId w:val="139615367"/>
      </w:pPr>
      <w:r>
        <w:rPr>
          <w:rFonts w:ascii="宋体" w:hAnsi="宋体" w:hint="eastAsia"/>
          <w:szCs w:val="21"/>
          <w:lang w:eastAsia="zh-Hans"/>
        </w:rPr>
        <w:t>本基金本报告期末未持有股指期货。</w:t>
      </w:r>
    </w:p>
    <w:p w:rsidR="00C964C3" w:rsidRDefault="00AD2A24">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C964C3" w:rsidRDefault="00AD2A24">
      <w:pPr>
        <w:spacing w:line="360" w:lineRule="auto"/>
        <w:ind w:firstLineChars="200" w:firstLine="420"/>
        <w:divId w:val="955601510"/>
      </w:pPr>
      <w:bookmarkStart w:id="251" w:name="m510_01_1597"/>
      <w:bookmarkStart w:id="252" w:name="m510_01_1598"/>
      <w:bookmarkEnd w:id="251"/>
      <w:r>
        <w:rPr>
          <w:rFonts w:ascii="宋体" w:hAnsi="宋体" w:hint="eastAsia"/>
          <w:szCs w:val="21"/>
          <w:lang w:eastAsia="zh-Hans"/>
        </w:rPr>
        <w:t>本基金本报告期末未持有国债期货。</w:t>
      </w:r>
    </w:p>
    <w:p w:rsidR="00C964C3" w:rsidRDefault="00AD2A24">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C964C3" w:rsidRDefault="00AD2A24">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C964C3" w:rsidRDefault="00AD2A24">
      <w:pPr>
        <w:spacing w:line="360" w:lineRule="auto"/>
        <w:ind w:firstLineChars="200" w:firstLine="420"/>
      </w:pPr>
      <w:r>
        <w:rPr>
          <w:rFonts w:ascii="宋体" w:hAnsi="宋体" w:hint="eastAsia"/>
        </w:rPr>
        <w:t>本基金投资的前十名证券的发行主体中，招商银行股份有限公司报告编制日前一年内曾受到国家金融监督管理总局的处罚。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C964C3" w:rsidRDefault="00AD2A24">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C964C3" w:rsidRDefault="00AD2A24">
      <w:pPr>
        <w:spacing w:line="360" w:lineRule="auto"/>
        <w:ind w:firstLineChars="200" w:firstLine="420"/>
      </w:pPr>
      <w:r>
        <w:rPr>
          <w:rFonts w:ascii="宋体" w:hAnsi="宋体" w:hint="eastAsia"/>
        </w:rPr>
        <w:t>报告期内本基金投资的前十名股票中没有在基金合同规定备选股票库之外的股票。</w:t>
      </w:r>
    </w:p>
    <w:p w:rsidR="00C964C3" w:rsidRDefault="00AD2A24">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964C3">
        <w:trPr>
          <w:divId w:val="101203352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64C3" w:rsidRDefault="00AD2A24">
            <w:pPr>
              <w:jc w:val="center"/>
            </w:pPr>
            <w:r>
              <w:rPr>
                <w:rFonts w:ascii="宋体" w:hAnsi="宋体" w:hint="eastAsia"/>
              </w:rPr>
              <w:t>金额（元）</w:t>
            </w:r>
            <w:r>
              <w:t xml:space="preserve"> </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168,258.04</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5,990,657.93</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387,427.25</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w:t>
            </w:r>
          </w:p>
        </w:tc>
      </w:tr>
      <w:tr w:rsidR="00C964C3">
        <w:trPr>
          <w:divId w:val="101203352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center"/>
            </w:pPr>
            <w:r>
              <w:rPr>
                <w:rFonts w:ascii="宋体" w:hAnsi="宋体" w:hint="eastAsia"/>
              </w:rPr>
              <w:lastRenderedPageBreak/>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964C3" w:rsidRDefault="00AD2A24">
            <w:pPr>
              <w:jc w:val="right"/>
            </w:pPr>
            <w:r>
              <w:rPr>
                <w:rFonts w:ascii="宋体" w:hAnsi="宋体" w:hint="eastAsia"/>
              </w:rPr>
              <w:t>6,546,343.22</w:t>
            </w:r>
          </w:p>
        </w:tc>
      </w:tr>
    </w:tbl>
    <w:p w:rsidR="00C964C3" w:rsidRDefault="00AD2A24">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rsidR="00C964C3" w:rsidRDefault="00AD2A24">
      <w:pPr>
        <w:spacing w:line="360" w:lineRule="auto"/>
        <w:ind w:firstLineChars="200" w:firstLine="420"/>
        <w:jc w:val="left"/>
      </w:pPr>
      <w:r>
        <w:rPr>
          <w:rFonts w:ascii="宋体" w:hAnsi="宋体" w:hint="eastAsia"/>
        </w:rPr>
        <w:t xml:space="preserve">本基金本报告期末未持有处于转股期的可转换债券。 </w:t>
      </w:r>
    </w:p>
    <w:p w:rsidR="00C964C3" w:rsidRDefault="00AD2A24">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C964C3" w:rsidRDefault="00AD2A24">
      <w:pPr>
        <w:spacing w:line="360" w:lineRule="auto"/>
        <w:ind w:firstLineChars="200" w:firstLine="420"/>
        <w:jc w:val="left"/>
        <w:divId w:val="138054824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C964C3" w:rsidRDefault="00AD2A24">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C964C3" w:rsidRDefault="00AD2A24">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C964C3" w:rsidRDefault="00AD2A24">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C964C3" w:rsidRDefault="00AD2A24">
      <w:pPr>
        <w:wordWrap w:val="0"/>
        <w:spacing w:line="360" w:lineRule="auto"/>
        <w:jc w:val="right"/>
        <w:divId w:val="1144346668"/>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90"/>
        <w:gridCol w:w="2531"/>
      </w:tblGrid>
      <w:tr w:rsidR="00C964C3">
        <w:trPr>
          <w:divId w:val="114434666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C964C3" w:rsidRDefault="00AD2A24">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ind w:right="3"/>
              <w:jc w:val="center"/>
            </w:pPr>
            <w:r>
              <w:rPr>
                <w:rFonts w:ascii="宋体" w:hAnsi="宋体" w:hint="eastAsia"/>
                <w:lang w:eastAsia="zh-Hans"/>
              </w:rPr>
              <w:t>摩根行业睿选股票A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64C3" w:rsidRDefault="00AD2A24">
            <w:pPr>
              <w:ind w:right="3"/>
              <w:jc w:val="center"/>
            </w:pPr>
            <w:r>
              <w:rPr>
                <w:rFonts w:ascii="宋体" w:hAnsi="宋体" w:hint="eastAsia"/>
                <w:lang w:eastAsia="zh-Hans"/>
              </w:rPr>
              <w:t>摩根行业睿选股票C</w:t>
            </w:r>
            <w:r>
              <w:rPr>
                <w:rFonts w:ascii="宋体" w:hAnsi="宋体" w:hint="eastAsia"/>
                <w:kern w:val="0"/>
                <w:szCs w:val="24"/>
                <w:lang w:eastAsia="zh-Hans"/>
              </w:rPr>
              <w:t xml:space="preserve"> </w:t>
            </w:r>
          </w:p>
        </w:tc>
      </w:tr>
      <w:tr w:rsidR="00C964C3">
        <w:trPr>
          <w:divId w:val="114434666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1,748,899,479.45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443,131,328.05</w:t>
            </w:r>
          </w:p>
        </w:tc>
      </w:tr>
      <w:tr w:rsidR="00C964C3">
        <w:trPr>
          <w:divId w:val="114434666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11,689,936.15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9,613,360.10</w:t>
            </w:r>
          </w:p>
        </w:tc>
      </w:tr>
      <w:tr w:rsidR="00C964C3">
        <w:trPr>
          <w:divId w:val="114434666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55,187,783.79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23,840,799.83</w:t>
            </w:r>
          </w:p>
        </w:tc>
      </w:tr>
      <w:tr w:rsidR="00C964C3">
        <w:trPr>
          <w:divId w:val="114434666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w:t>
            </w:r>
          </w:p>
        </w:tc>
      </w:tr>
      <w:tr w:rsidR="00C964C3">
        <w:trPr>
          <w:divId w:val="114434666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1,705,401,631.81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964C3" w:rsidRDefault="00AD2A24">
            <w:pPr>
              <w:jc w:val="right"/>
            </w:pPr>
            <w:r>
              <w:rPr>
                <w:rFonts w:ascii="宋体" w:hAnsi="宋体" w:hint="eastAsia"/>
              </w:rPr>
              <w:t>428,903,888.32</w:t>
            </w:r>
          </w:p>
        </w:tc>
      </w:tr>
    </w:tbl>
    <w:p w:rsidR="00C964C3" w:rsidRDefault="00AD2A24">
      <w:pPr>
        <w:spacing w:line="360" w:lineRule="auto"/>
        <w:jc w:val="left"/>
        <w:divId w:val="1144346668"/>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C964C3" w:rsidRDefault="00AD2A24">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C964C3" w:rsidRDefault="00AD2A24">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C964C3" w:rsidRDefault="00AD2A24">
      <w:pPr>
        <w:spacing w:line="360" w:lineRule="auto"/>
        <w:ind w:firstLineChars="200" w:firstLine="420"/>
        <w:jc w:val="left"/>
        <w:divId w:val="522400386"/>
      </w:pPr>
      <w:r>
        <w:rPr>
          <w:rFonts w:ascii="宋体" w:hAnsi="宋体" w:hint="eastAsia"/>
          <w:szCs w:val="21"/>
          <w:lang w:eastAsia="zh-Hans"/>
        </w:rPr>
        <w:t>无。</w:t>
      </w:r>
      <w:r>
        <w:rPr>
          <w:rFonts w:ascii="宋体" w:hAnsi="宋体" w:hint="eastAsia"/>
          <w:szCs w:val="21"/>
        </w:rPr>
        <w:t xml:space="preserve"> </w:t>
      </w:r>
    </w:p>
    <w:p w:rsidR="00C964C3" w:rsidRDefault="00AD2A24">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rsidR="00C964C3" w:rsidRDefault="00AD2A24">
      <w:pPr>
        <w:spacing w:line="360" w:lineRule="auto"/>
        <w:ind w:firstLineChars="200" w:firstLine="420"/>
        <w:jc w:val="left"/>
        <w:divId w:val="1008483365"/>
      </w:pPr>
      <w:r>
        <w:rPr>
          <w:rFonts w:ascii="宋体" w:hAnsi="宋体" w:hint="eastAsia"/>
          <w:lang w:eastAsia="zh-Hans"/>
        </w:rPr>
        <w:t>无。</w:t>
      </w:r>
      <w:r>
        <w:rPr>
          <w:rFonts w:ascii="宋体" w:hAnsi="宋体" w:hint="eastAsia"/>
        </w:rPr>
        <w:t xml:space="preserve"> </w:t>
      </w:r>
    </w:p>
    <w:p w:rsidR="00C964C3" w:rsidRDefault="00AD2A24">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C964C3" w:rsidRDefault="00AD2A24">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3"/>
    <w:bookmarkEnd w:id="43"/>
    <w:bookmarkEnd w:id="44"/>
    <w:p w:rsidR="00C964C3" w:rsidRDefault="00AD2A24">
      <w:pPr>
        <w:spacing w:line="360" w:lineRule="auto"/>
        <w:ind w:firstLineChars="200" w:firstLine="420"/>
        <w:divId w:val="2116245256"/>
        <w:rPr>
          <w:rFonts w:ascii="宋体" w:hAnsi="宋体"/>
          <w:szCs w:val="21"/>
          <w:lang w:eastAsia="zh-Hans"/>
        </w:rPr>
      </w:pPr>
      <w:r>
        <w:rPr>
          <w:rFonts w:ascii="宋体" w:hAnsi="宋体" w:hint="eastAsia"/>
          <w:szCs w:val="21"/>
          <w:lang w:eastAsia="zh-Hans"/>
        </w:rPr>
        <w:t>无。</w:t>
      </w:r>
    </w:p>
    <w:p w:rsidR="00C964C3" w:rsidRDefault="00AD2A24">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rsidR="00C964C3" w:rsidRDefault="00AD2A24">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rsidR="00C964C3" w:rsidRDefault="00AD2A24">
      <w:pPr>
        <w:spacing w:line="360" w:lineRule="auto"/>
        <w:ind w:firstLineChars="200" w:firstLine="420"/>
        <w:jc w:val="left"/>
      </w:pPr>
      <w:r>
        <w:rPr>
          <w:rFonts w:ascii="宋体" w:hAnsi="宋体" w:cs="宋体" w:hint="eastAsia"/>
          <w:color w:val="000000"/>
          <w:kern w:val="0"/>
        </w:rPr>
        <w:lastRenderedPageBreak/>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(二)摩根行业</w:t>
      </w:r>
      <w:proofErr w:type="gramStart"/>
      <w:r>
        <w:rPr>
          <w:rFonts w:ascii="宋体" w:hAnsi="宋体" w:cs="宋体" w:hint="eastAsia"/>
          <w:color w:val="000000"/>
          <w:kern w:val="0"/>
        </w:rPr>
        <w:t>睿选股票型</w:t>
      </w:r>
      <w:proofErr w:type="gramEnd"/>
      <w:r>
        <w:rPr>
          <w:rFonts w:ascii="宋体" w:hAnsi="宋体" w:cs="宋体" w:hint="eastAsia"/>
          <w:color w:val="000000"/>
          <w:kern w:val="0"/>
        </w:rPr>
        <w:t>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(三)摩根行业</w:t>
      </w:r>
      <w:proofErr w:type="gramStart"/>
      <w:r>
        <w:rPr>
          <w:rFonts w:ascii="宋体" w:hAnsi="宋体" w:cs="宋体" w:hint="eastAsia"/>
          <w:color w:val="000000"/>
          <w:kern w:val="0"/>
        </w:rPr>
        <w:t>睿选股票型</w:t>
      </w:r>
      <w:proofErr w:type="gramEnd"/>
      <w:r>
        <w:rPr>
          <w:rFonts w:ascii="宋体" w:hAnsi="宋体" w:cs="宋体" w:hint="eastAsia"/>
          <w:color w:val="000000"/>
          <w:kern w:val="0"/>
        </w:rPr>
        <w:t>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C964C3" w:rsidRDefault="00AD2A24">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rsidR="00C964C3" w:rsidRDefault="00AD2A24">
      <w:pPr>
        <w:spacing w:line="360" w:lineRule="auto"/>
        <w:ind w:firstLineChars="200" w:firstLine="420"/>
        <w:jc w:val="left"/>
      </w:pPr>
      <w:r>
        <w:rPr>
          <w:rFonts w:ascii="宋体" w:hAnsi="宋体" w:cs="宋体" w:hint="eastAsia"/>
          <w:color w:val="000000"/>
          <w:kern w:val="0"/>
        </w:rPr>
        <w:t>基金管理人或基金托管人住所。</w:t>
      </w:r>
    </w:p>
    <w:p w:rsidR="00C964C3" w:rsidRDefault="00AD2A24">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rsidR="00C964C3" w:rsidRDefault="00AD2A2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rsidR="00C964C3" w:rsidRDefault="00AD2A24">
      <w:pPr>
        <w:spacing w:line="360" w:lineRule="auto"/>
        <w:ind w:firstLineChars="600" w:firstLine="1687"/>
        <w:jc w:val="left"/>
      </w:pPr>
      <w:r>
        <w:rPr>
          <w:rFonts w:ascii="宋体" w:hAnsi="宋体" w:hint="eastAsia"/>
          <w:b/>
          <w:bCs/>
          <w:sz w:val="28"/>
          <w:szCs w:val="30"/>
        </w:rPr>
        <w:t xml:space="preserve">　 </w:t>
      </w:r>
    </w:p>
    <w:p w:rsidR="00C964C3" w:rsidRDefault="00AD2A24">
      <w:pPr>
        <w:spacing w:line="360" w:lineRule="auto"/>
        <w:ind w:firstLineChars="600" w:firstLine="1687"/>
        <w:jc w:val="left"/>
      </w:pPr>
      <w:r>
        <w:rPr>
          <w:rFonts w:ascii="宋体" w:hAnsi="宋体" w:hint="eastAsia"/>
          <w:b/>
          <w:bCs/>
          <w:sz w:val="28"/>
          <w:szCs w:val="30"/>
        </w:rPr>
        <w:t xml:space="preserve">　 </w:t>
      </w:r>
    </w:p>
    <w:p w:rsidR="00C964C3" w:rsidRDefault="00AD2A24">
      <w:pPr>
        <w:spacing w:line="360" w:lineRule="auto"/>
        <w:ind w:firstLineChars="600" w:firstLine="1446"/>
        <w:jc w:val="right"/>
      </w:pPr>
      <w:r>
        <w:rPr>
          <w:rFonts w:ascii="宋体" w:hAnsi="宋体" w:hint="eastAsia"/>
          <w:b/>
          <w:bCs/>
          <w:sz w:val="24"/>
          <w:szCs w:val="24"/>
        </w:rPr>
        <w:t>摩根基金管理（中国）有限公司</w:t>
      </w:r>
    </w:p>
    <w:p w:rsidR="00C964C3" w:rsidRDefault="00AD2A24">
      <w:pPr>
        <w:spacing w:line="360" w:lineRule="auto"/>
        <w:ind w:firstLineChars="600" w:firstLine="1446"/>
        <w:jc w:val="right"/>
      </w:pPr>
      <w:r>
        <w:rPr>
          <w:rFonts w:ascii="宋体" w:hAnsi="宋体" w:hint="eastAsia"/>
          <w:b/>
          <w:bCs/>
          <w:sz w:val="24"/>
          <w:szCs w:val="24"/>
        </w:rPr>
        <w:t>2025年4月22日</w:t>
      </w:r>
      <w:bookmarkEnd w:id="24"/>
    </w:p>
    <w:sectPr w:rsidR="00C964C3">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C3" w:rsidRDefault="00AD2A24">
      <w:pPr>
        <w:rPr>
          <w:szCs w:val="21"/>
        </w:rPr>
      </w:pPr>
      <w:r>
        <w:rPr>
          <w:szCs w:val="21"/>
        </w:rPr>
        <w:separator/>
      </w:r>
      <w:r>
        <w:rPr>
          <w:szCs w:val="21"/>
        </w:rPr>
        <w:t xml:space="preserve"> </w:t>
      </w:r>
    </w:p>
  </w:endnote>
  <w:endnote w:type="continuationSeparator" w:id="0">
    <w:p w:rsidR="00C964C3" w:rsidRDefault="00AD2A2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C3" w:rsidRDefault="00AD2A2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265AE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265AE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C3" w:rsidRDefault="00AD2A24">
      <w:pPr>
        <w:rPr>
          <w:szCs w:val="21"/>
        </w:rPr>
      </w:pPr>
      <w:r>
        <w:rPr>
          <w:szCs w:val="21"/>
        </w:rPr>
        <w:separator/>
      </w:r>
      <w:r>
        <w:rPr>
          <w:szCs w:val="21"/>
        </w:rPr>
        <w:t xml:space="preserve"> </w:t>
      </w:r>
    </w:p>
  </w:footnote>
  <w:footnote w:type="continuationSeparator" w:id="0">
    <w:p w:rsidR="00C964C3" w:rsidRDefault="00AD2A2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C3" w:rsidRDefault="00AD2A24">
    <w:pPr>
      <w:pStyle w:val="a8"/>
      <w:jc w:val="right"/>
    </w:pPr>
    <w:r>
      <w:rPr>
        <w:rFonts w:ascii="宋体" w:hAnsi="宋体" w:hint="eastAsia"/>
      </w:rPr>
      <w:t>摩根行业</w:t>
    </w:r>
    <w:proofErr w:type="gramStart"/>
    <w:r>
      <w:rPr>
        <w:rFonts w:ascii="宋体" w:hAnsi="宋体" w:hint="eastAsia"/>
      </w:rPr>
      <w:t>睿选股票型</w:t>
    </w:r>
    <w:proofErr w:type="gramEnd"/>
    <w:r>
      <w:rPr>
        <w:rFonts w:ascii="宋体" w:hAnsi="宋体" w:hint="eastAsia"/>
      </w:rPr>
      <w:t>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24"/>
    <w:rsid w:val="00265AE1"/>
    <w:rsid w:val="00AD2A24"/>
    <w:rsid w:val="00C96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9255">
      <w:marLeft w:val="0"/>
      <w:marRight w:val="0"/>
      <w:marTop w:val="0"/>
      <w:marBottom w:val="0"/>
      <w:divBdr>
        <w:top w:val="none" w:sz="0" w:space="0" w:color="auto"/>
        <w:left w:val="none" w:sz="0" w:space="0" w:color="auto"/>
        <w:bottom w:val="none" w:sz="0" w:space="0" w:color="auto"/>
        <w:right w:val="none" w:sz="0" w:space="0" w:color="auto"/>
      </w:divBdr>
      <w:divsChild>
        <w:div w:id="489448775">
          <w:marLeft w:val="0"/>
          <w:marRight w:val="0"/>
          <w:marTop w:val="0"/>
          <w:marBottom w:val="0"/>
          <w:divBdr>
            <w:top w:val="none" w:sz="0" w:space="0" w:color="auto"/>
            <w:left w:val="none" w:sz="0" w:space="0" w:color="auto"/>
            <w:bottom w:val="none" w:sz="0" w:space="0" w:color="auto"/>
            <w:right w:val="none" w:sz="0" w:space="0" w:color="auto"/>
          </w:divBdr>
        </w:div>
      </w:divsChild>
    </w:div>
    <w:div w:id="139615367">
      <w:marLeft w:val="0"/>
      <w:marRight w:val="0"/>
      <w:marTop w:val="0"/>
      <w:marBottom w:val="0"/>
      <w:divBdr>
        <w:top w:val="none" w:sz="0" w:space="0" w:color="auto"/>
        <w:left w:val="none" w:sz="0" w:space="0" w:color="auto"/>
        <w:bottom w:val="none" w:sz="0" w:space="0" w:color="auto"/>
        <w:right w:val="none" w:sz="0" w:space="0" w:color="auto"/>
      </w:divBdr>
    </w:div>
    <w:div w:id="480343554">
      <w:marLeft w:val="0"/>
      <w:marRight w:val="0"/>
      <w:marTop w:val="0"/>
      <w:marBottom w:val="0"/>
      <w:divBdr>
        <w:top w:val="none" w:sz="0" w:space="0" w:color="auto"/>
        <w:left w:val="none" w:sz="0" w:space="0" w:color="auto"/>
        <w:bottom w:val="none" w:sz="0" w:space="0" w:color="auto"/>
        <w:right w:val="none" w:sz="0" w:space="0" w:color="auto"/>
      </w:divBdr>
      <w:divsChild>
        <w:div w:id="1341854359">
          <w:marLeft w:val="0"/>
          <w:marRight w:val="0"/>
          <w:marTop w:val="0"/>
          <w:marBottom w:val="0"/>
          <w:divBdr>
            <w:top w:val="none" w:sz="0" w:space="0" w:color="auto"/>
            <w:left w:val="none" w:sz="0" w:space="0" w:color="auto"/>
            <w:bottom w:val="none" w:sz="0" w:space="0" w:color="auto"/>
            <w:right w:val="none" w:sz="0" w:space="0" w:color="auto"/>
          </w:divBdr>
        </w:div>
        <w:div w:id="540631698">
          <w:marLeft w:val="0"/>
          <w:marRight w:val="0"/>
          <w:marTop w:val="0"/>
          <w:marBottom w:val="0"/>
          <w:divBdr>
            <w:top w:val="none" w:sz="0" w:space="0" w:color="auto"/>
            <w:left w:val="none" w:sz="0" w:space="0" w:color="auto"/>
            <w:bottom w:val="none" w:sz="0" w:space="0" w:color="auto"/>
            <w:right w:val="none" w:sz="0" w:space="0" w:color="auto"/>
          </w:divBdr>
        </w:div>
      </w:divsChild>
    </w:div>
    <w:div w:id="522400386">
      <w:marLeft w:val="0"/>
      <w:marRight w:val="0"/>
      <w:marTop w:val="0"/>
      <w:marBottom w:val="0"/>
      <w:divBdr>
        <w:top w:val="none" w:sz="0" w:space="0" w:color="auto"/>
        <w:left w:val="none" w:sz="0" w:space="0" w:color="auto"/>
        <w:bottom w:val="none" w:sz="0" w:space="0" w:color="auto"/>
        <w:right w:val="none" w:sz="0" w:space="0" w:color="auto"/>
      </w:divBdr>
    </w:div>
    <w:div w:id="702677202">
      <w:marLeft w:val="0"/>
      <w:marRight w:val="0"/>
      <w:marTop w:val="0"/>
      <w:marBottom w:val="0"/>
      <w:divBdr>
        <w:top w:val="none" w:sz="0" w:space="0" w:color="auto"/>
        <w:left w:val="none" w:sz="0" w:space="0" w:color="auto"/>
        <w:bottom w:val="none" w:sz="0" w:space="0" w:color="auto"/>
        <w:right w:val="none" w:sz="0" w:space="0" w:color="auto"/>
      </w:divBdr>
    </w:div>
    <w:div w:id="708728804">
      <w:marLeft w:val="0"/>
      <w:marRight w:val="0"/>
      <w:marTop w:val="0"/>
      <w:marBottom w:val="0"/>
      <w:divBdr>
        <w:top w:val="none" w:sz="0" w:space="0" w:color="auto"/>
        <w:left w:val="none" w:sz="0" w:space="0" w:color="auto"/>
        <w:bottom w:val="none" w:sz="0" w:space="0" w:color="auto"/>
        <w:right w:val="none" w:sz="0" w:space="0" w:color="auto"/>
      </w:divBdr>
    </w:div>
    <w:div w:id="817305339">
      <w:marLeft w:val="0"/>
      <w:marRight w:val="0"/>
      <w:marTop w:val="0"/>
      <w:marBottom w:val="0"/>
      <w:divBdr>
        <w:top w:val="none" w:sz="0" w:space="0" w:color="auto"/>
        <w:left w:val="none" w:sz="0" w:space="0" w:color="auto"/>
        <w:bottom w:val="none" w:sz="0" w:space="0" w:color="auto"/>
        <w:right w:val="none" w:sz="0" w:space="0" w:color="auto"/>
      </w:divBdr>
    </w:div>
    <w:div w:id="932317940">
      <w:marLeft w:val="0"/>
      <w:marRight w:val="0"/>
      <w:marTop w:val="0"/>
      <w:marBottom w:val="0"/>
      <w:divBdr>
        <w:top w:val="none" w:sz="0" w:space="0" w:color="auto"/>
        <w:left w:val="none" w:sz="0" w:space="0" w:color="auto"/>
        <w:bottom w:val="none" w:sz="0" w:space="0" w:color="auto"/>
        <w:right w:val="none" w:sz="0" w:space="0" w:color="auto"/>
      </w:divBdr>
      <w:divsChild>
        <w:div w:id="1909070404">
          <w:marLeft w:val="0"/>
          <w:marRight w:val="0"/>
          <w:marTop w:val="0"/>
          <w:marBottom w:val="0"/>
          <w:divBdr>
            <w:top w:val="none" w:sz="0" w:space="0" w:color="auto"/>
            <w:left w:val="none" w:sz="0" w:space="0" w:color="auto"/>
            <w:bottom w:val="none" w:sz="0" w:space="0" w:color="auto"/>
            <w:right w:val="none" w:sz="0" w:space="0" w:color="auto"/>
          </w:divBdr>
        </w:div>
      </w:divsChild>
    </w:div>
    <w:div w:id="955601510">
      <w:marLeft w:val="0"/>
      <w:marRight w:val="0"/>
      <w:marTop w:val="0"/>
      <w:marBottom w:val="0"/>
      <w:divBdr>
        <w:top w:val="none" w:sz="0" w:space="0" w:color="auto"/>
        <w:left w:val="none" w:sz="0" w:space="0" w:color="auto"/>
        <w:bottom w:val="none" w:sz="0" w:space="0" w:color="auto"/>
        <w:right w:val="none" w:sz="0" w:space="0" w:color="auto"/>
      </w:divBdr>
    </w:div>
    <w:div w:id="1008483365">
      <w:marLeft w:val="0"/>
      <w:marRight w:val="0"/>
      <w:marTop w:val="0"/>
      <w:marBottom w:val="0"/>
      <w:divBdr>
        <w:top w:val="none" w:sz="0" w:space="0" w:color="auto"/>
        <w:left w:val="none" w:sz="0" w:space="0" w:color="auto"/>
        <w:bottom w:val="none" w:sz="0" w:space="0" w:color="auto"/>
        <w:right w:val="none" w:sz="0" w:space="0" w:color="auto"/>
      </w:divBdr>
    </w:div>
    <w:div w:id="1079326972">
      <w:marLeft w:val="0"/>
      <w:marRight w:val="0"/>
      <w:marTop w:val="0"/>
      <w:marBottom w:val="0"/>
      <w:divBdr>
        <w:top w:val="none" w:sz="0" w:space="0" w:color="auto"/>
        <w:left w:val="none" w:sz="0" w:space="0" w:color="auto"/>
        <w:bottom w:val="none" w:sz="0" w:space="0" w:color="auto"/>
        <w:right w:val="none" w:sz="0" w:space="0" w:color="auto"/>
      </w:divBdr>
    </w:div>
    <w:div w:id="1144346668">
      <w:marLeft w:val="0"/>
      <w:marRight w:val="0"/>
      <w:marTop w:val="0"/>
      <w:marBottom w:val="0"/>
      <w:divBdr>
        <w:top w:val="none" w:sz="0" w:space="0" w:color="auto"/>
        <w:left w:val="none" w:sz="0" w:space="0" w:color="auto"/>
        <w:bottom w:val="none" w:sz="0" w:space="0" w:color="auto"/>
        <w:right w:val="none" w:sz="0" w:space="0" w:color="auto"/>
      </w:divBdr>
    </w:div>
    <w:div w:id="1148666500">
      <w:marLeft w:val="0"/>
      <w:marRight w:val="0"/>
      <w:marTop w:val="0"/>
      <w:marBottom w:val="0"/>
      <w:divBdr>
        <w:top w:val="none" w:sz="0" w:space="0" w:color="auto"/>
        <w:left w:val="none" w:sz="0" w:space="0" w:color="auto"/>
        <w:bottom w:val="none" w:sz="0" w:space="0" w:color="auto"/>
        <w:right w:val="none" w:sz="0" w:space="0" w:color="auto"/>
      </w:divBdr>
      <w:divsChild>
        <w:div w:id="1263805367">
          <w:marLeft w:val="0"/>
          <w:marRight w:val="0"/>
          <w:marTop w:val="0"/>
          <w:marBottom w:val="0"/>
          <w:divBdr>
            <w:top w:val="none" w:sz="0" w:space="0" w:color="auto"/>
            <w:left w:val="none" w:sz="0" w:space="0" w:color="auto"/>
            <w:bottom w:val="none" w:sz="0" w:space="0" w:color="auto"/>
            <w:right w:val="none" w:sz="0" w:space="0" w:color="auto"/>
          </w:divBdr>
        </w:div>
      </w:divsChild>
    </w:div>
    <w:div w:id="1173225680">
      <w:marLeft w:val="0"/>
      <w:marRight w:val="0"/>
      <w:marTop w:val="0"/>
      <w:marBottom w:val="0"/>
      <w:divBdr>
        <w:top w:val="none" w:sz="0" w:space="0" w:color="auto"/>
        <w:left w:val="none" w:sz="0" w:space="0" w:color="auto"/>
        <w:bottom w:val="none" w:sz="0" w:space="0" w:color="auto"/>
        <w:right w:val="none" w:sz="0" w:space="0" w:color="auto"/>
      </w:divBdr>
    </w:div>
    <w:div w:id="1178349906">
      <w:marLeft w:val="0"/>
      <w:marRight w:val="0"/>
      <w:marTop w:val="0"/>
      <w:marBottom w:val="0"/>
      <w:divBdr>
        <w:top w:val="none" w:sz="0" w:space="0" w:color="auto"/>
        <w:left w:val="none" w:sz="0" w:space="0" w:color="auto"/>
        <w:bottom w:val="none" w:sz="0" w:space="0" w:color="auto"/>
        <w:right w:val="none" w:sz="0" w:space="0" w:color="auto"/>
      </w:divBdr>
      <w:divsChild>
        <w:div w:id="1017583960">
          <w:marLeft w:val="0"/>
          <w:marRight w:val="0"/>
          <w:marTop w:val="0"/>
          <w:marBottom w:val="0"/>
          <w:divBdr>
            <w:top w:val="none" w:sz="0" w:space="0" w:color="auto"/>
            <w:left w:val="none" w:sz="0" w:space="0" w:color="auto"/>
            <w:bottom w:val="none" w:sz="0" w:space="0" w:color="auto"/>
            <w:right w:val="none" w:sz="0" w:space="0" w:color="auto"/>
          </w:divBdr>
        </w:div>
      </w:divsChild>
    </w:div>
    <w:div w:id="1344892667">
      <w:marLeft w:val="0"/>
      <w:marRight w:val="0"/>
      <w:marTop w:val="0"/>
      <w:marBottom w:val="0"/>
      <w:divBdr>
        <w:top w:val="none" w:sz="0" w:space="0" w:color="auto"/>
        <w:left w:val="none" w:sz="0" w:space="0" w:color="auto"/>
        <w:bottom w:val="none" w:sz="0" w:space="0" w:color="auto"/>
        <w:right w:val="none" w:sz="0" w:space="0" w:color="auto"/>
      </w:divBdr>
    </w:div>
    <w:div w:id="1380548243">
      <w:marLeft w:val="0"/>
      <w:marRight w:val="0"/>
      <w:marTop w:val="0"/>
      <w:marBottom w:val="0"/>
      <w:divBdr>
        <w:top w:val="none" w:sz="0" w:space="0" w:color="auto"/>
        <w:left w:val="none" w:sz="0" w:space="0" w:color="auto"/>
        <w:bottom w:val="none" w:sz="0" w:space="0" w:color="auto"/>
        <w:right w:val="none" w:sz="0" w:space="0" w:color="auto"/>
      </w:divBdr>
    </w:div>
    <w:div w:id="1547528989">
      <w:marLeft w:val="0"/>
      <w:marRight w:val="0"/>
      <w:marTop w:val="0"/>
      <w:marBottom w:val="0"/>
      <w:divBdr>
        <w:top w:val="none" w:sz="0" w:space="0" w:color="auto"/>
        <w:left w:val="none" w:sz="0" w:space="0" w:color="auto"/>
        <w:bottom w:val="none" w:sz="0" w:space="0" w:color="auto"/>
        <w:right w:val="none" w:sz="0" w:space="0" w:color="auto"/>
      </w:divBdr>
      <w:divsChild>
        <w:div w:id="1012033526">
          <w:marLeft w:val="0"/>
          <w:marRight w:val="0"/>
          <w:marTop w:val="0"/>
          <w:marBottom w:val="0"/>
          <w:divBdr>
            <w:top w:val="none" w:sz="0" w:space="0" w:color="auto"/>
            <w:left w:val="none" w:sz="0" w:space="0" w:color="auto"/>
            <w:bottom w:val="none" w:sz="0" w:space="0" w:color="auto"/>
            <w:right w:val="none" w:sz="0" w:space="0" w:color="auto"/>
          </w:divBdr>
        </w:div>
      </w:divsChild>
    </w:div>
    <w:div w:id="1846020183">
      <w:marLeft w:val="0"/>
      <w:marRight w:val="0"/>
      <w:marTop w:val="0"/>
      <w:marBottom w:val="0"/>
      <w:divBdr>
        <w:top w:val="none" w:sz="0" w:space="0" w:color="auto"/>
        <w:left w:val="none" w:sz="0" w:space="0" w:color="auto"/>
        <w:bottom w:val="none" w:sz="0" w:space="0" w:color="auto"/>
        <w:right w:val="none" w:sz="0" w:space="0" w:color="auto"/>
      </w:divBdr>
    </w:div>
    <w:div w:id="1998731311">
      <w:marLeft w:val="0"/>
      <w:marRight w:val="0"/>
      <w:marTop w:val="0"/>
      <w:marBottom w:val="0"/>
      <w:divBdr>
        <w:top w:val="none" w:sz="0" w:space="0" w:color="auto"/>
        <w:left w:val="none" w:sz="0" w:space="0" w:color="auto"/>
        <w:bottom w:val="none" w:sz="0" w:space="0" w:color="auto"/>
        <w:right w:val="none" w:sz="0" w:space="0" w:color="auto"/>
      </w:divBdr>
    </w:div>
    <w:div w:id="2023702869">
      <w:marLeft w:val="0"/>
      <w:marRight w:val="0"/>
      <w:marTop w:val="0"/>
      <w:marBottom w:val="0"/>
      <w:divBdr>
        <w:top w:val="none" w:sz="0" w:space="0" w:color="auto"/>
        <w:left w:val="none" w:sz="0" w:space="0" w:color="auto"/>
        <w:bottom w:val="none" w:sz="0" w:space="0" w:color="auto"/>
        <w:right w:val="none" w:sz="0" w:space="0" w:color="auto"/>
      </w:divBdr>
      <w:divsChild>
        <w:div w:id="1368994773">
          <w:marLeft w:val="0"/>
          <w:marRight w:val="0"/>
          <w:marTop w:val="0"/>
          <w:marBottom w:val="0"/>
          <w:divBdr>
            <w:top w:val="none" w:sz="0" w:space="0" w:color="auto"/>
            <w:left w:val="none" w:sz="0" w:space="0" w:color="auto"/>
            <w:bottom w:val="none" w:sz="0" w:space="0" w:color="auto"/>
            <w:right w:val="none" w:sz="0" w:space="0" w:color="auto"/>
          </w:divBdr>
        </w:div>
      </w:divsChild>
    </w:div>
    <w:div w:id="2116245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32D1-9FED-4A4B-A9BC-44ED8ADB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5719</Words>
  <Characters>2483</Characters>
  <Application>Microsoft Office Word</Application>
  <DocSecurity>0</DocSecurity>
  <Lines>20</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2025-04-15T12:15:00Z</dcterms:created>
  <dcterms:modified xsi:type="dcterms:W3CDTF">2025-04-21T08:10:00Z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