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摩根行业睿选股票型证券投资基金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摩根行业睿选股票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011236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2,628,623,215.83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通过把握资产轮动、产业策略与经济周期相联系的规律，挖掘经济周期波动中强势行业中具有核心竞争优势的上市公司，力求在景气的多空变化中追求基金资产长期稳健的超额收益。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w:t>
            </w:r>
            <w:r>
              <w:rPr>
                <w:rFonts w:eastAsiaTheme="minorEastAsia"/>
                <w:color w:val="000000" w:themeColor="text1"/>
                <w:kern w:val="0"/>
                <w:szCs w:val="21"/>
              </w:rPr>
              <w:t>较大发展空间的优势行业进行重点配置；同时自下而上形成个股配置观点，挖掘并灵活投资于各行业中最具有投资价值的上市公司；通过行业配置与个股选择，获取超越业绩比较基准的超额收益。</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w:t>
            </w:r>
            <w:r>
              <w:rPr>
                <w:rFonts w:eastAsiaTheme="minorEastAsia"/>
                <w:color w:val="000000" w:themeColor="text1"/>
                <w:kern w:val="0"/>
                <w:szCs w:val="21"/>
              </w:rPr>
              <w:t>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F0358" w:rsidRDefault="00642B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摩根行业睿选股票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摩根行业睿选股票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2,074,233,271.75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554,389,944.08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摩根行业睿选股票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摩根行业睿选股票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-48,658,121.13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-13,424,619.13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-49,499,744.41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-13,527,244.17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1,487,332,699.22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392,898,243.31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0.7171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0.7087</w:t>
            </w:r>
          </w:p>
        </w:tc>
      </w:tr>
    </w:tbl>
    <w:p w:rsidR="001F0358" w:rsidRDefault="00642B9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摩根行业睿选股票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F0358">
        <w:tc>
          <w:tcPr>
            <w:tcW w:w="1290" w:type="dxa"/>
            <w:vAlign w:val="center"/>
          </w:tcPr>
          <w:p w:rsidR="001F0358" w:rsidRDefault="00642B9F">
            <w:pPr>
              <w:jc w:val="left"/>
            </w:pPr>
            <w:r>
              <w:rPr>
                <w:rFonts w:eastAsiaTheme="minorEastAsia"/>
                <w:color w:val="000000" w:themeColor="text1"/>
                <w:szCs w:val="21"/>
              </w:rPr>
              <w:t>过去三个月</w:t>
            </w:r>
          </w:p>
        </w:tc>
        <w:tc>
          <w:tcPr>
            <w:tcW w:w="1291" w:type="dxa"/>
            <w:vAlign w:val="center"/>
          </w:tcPr>
          <w:p w:rsidR="001F0358" w:rsidRDefault="00642B9F">
            <w:pPr>
              <w:jc w:val="right"/>
            </w:pPr>
            <w:r>
              <w:rPr>
                <w:rFonts w:eastAsiaTheme="minorEastAsia"/>
                <w:color w:val="000000" w:themeColor="text1"/>
                <w:szCs w:val="21"/>
              </w:rPr>
              <w:t>-3.03%</w:t>
            </w:r>
          </w:p>
        </w:tc>
        <w:tc>
          <w:tcPr>
            <w:tcW w:w="1291" w:type="dxa"/>
            <w:vAlign w:val="center"/>
          </w:tcPr>
          <w:p w:rsidR="001F0358" w:rsidRDefault="00642B9F">
            <w:pPr>
              <w:jc w:val="right"/>
            </w:pPr>
            <w:r>
              <w:rPr>
                <w:rFonts w:eastAsiaTheme="minorEastAsia"/>
                <w:color w:val="000000" w:themeColor="text1"/>
                <w:szCs w:val="21"/>
              </w:rPr>
              <w:t>1.53%</w:t>
            </w:r>
          </w:p>
        </w:tc>
        <w:tc>
          <w:tcPr>
            <w:tcW w:w="1291" w:type="dxa"/>
            <w:vAlign w:val="center"/>
          </w:tcPr>
          <w:p w:rsidR="001F0358" w:rsidRDefault="00642B9F">
            <w:pPr>
              <w:jc w:val="right"/>
            </w:pPr>
            <w:r>
              <w:rPr>
                <w:rFonts w:eastAsiaTheme="minorEastAsia"/>
                <w:color w:val="000000" w:themeColor="text1"/>
                <w:szCs w:val="21"/>
              </w:rPr>
              <w:t>-3.43%</w:t>
            </w:r>
          </w:p>
        </w:tc>
        <w:tc>
          <w:tcPr>
            <w:tcW w:w="1291" w:type="dxa"/>
            <w:vAlign w:val="center"/>
          </w:tcPr>
          <w:p w:rsidR="001F0358" w:rsidRDefault="00642B9F">
            <w:pPr>
              <w:jc w:val="right"/>
            </w:pPr>
            <w:r>
              <w:rPr>
                <w:rFonts w:eastAsiaTheme="minorEastAsia"/>
                <w:color w:val="000000" w:themeColor="text1"/>
                <w:szCs w:val="21"/>
              </w:rPr>
              <w:t>0.69%</w:t>
            </w:r>
          </w:p>
        </w:tc>
        <w:tc>
          <w:tcPr>
            <w:tcW w:w="1291" w:type="dxa"/>
            <w:vAlign w:val="center"/>
          </w:tcPr>
          <w:p w:rsidR="001F0358" w:rsidRDefault="00642B9F">
            <w:pPr>
              <w:jc w:val="right"/>
            </w:pPr>
            <w:r>
              <w:rPr>
                <w:rFonts w:eastAsiaTheme="minorEastAsia"/>
                <w:color w:val="000000" w:themeColor="text1"/>
                <w:szCs w:val="21"/>
              </w:rPr>
              <w:t>0.40%</w:t>
            </w:r>
          </w:p>
        </w:tc>
        <w:tc>
          <w:tcPr>
            <w:tcW w:w="1291" w:type="dxa"/>
            <w:vAlign w:val="center"/>
          </w:tcPr>
          <w:p w:rsidR="001F0358" w:rsidRDefault="00642B9F">
            <w:pPr>
              <w:jc w:val="right"/>
            </w:pPr>
            <w:r>
              <w:rPr>
                <w:rFonts w:eastAsiaTheme="minorEastAsia"/>
                <w:color w:val="000000" w:themeColor="text1"/>
                <w:szCs w:val="21"/>
              </w:rPr>
              <w:t>0.84%</w:t>
            </w:r>
          </w:p>
        </w:tc>
      </w:tr>
      <w:tr w:rsidR="001F0358">
        <w:tc>
          <w:tcPr>
            <w:tcW w:w="1290" w:type="dxa"/>
            <w:vAlign w:val="center"/>
          </w:tcPr>
          <w:p w:rsidR="001F0358" w:rsidRDefault="00642B9F">
            <w:pPr>
              <w:jc w:val="left"/>
            </w:pPr>
            <w:r>
              <w:rPr>
                <w:rFonts w:eastAsiaTheme="minorEastAsia"/>
                <w:color w:val="000000" w:themeColor="text1"/>
                <w:szCs w:val="21"/>
              </w:rPr>
              <w:t>过去六个月</w:t>
            </w:r>
          </w:p>
        </w:tc>
        <w:tc>
          <w:tcPr>
            <w:tcW w:w="1291" w:type="dxa"/>
            <w:vAlign w:val="center"/>
          </w:tcPr>
          <w:p w:rsidR="001F0358" w:rsidRDefault="00642B9F">
            <w:pPr>
              <w:jc w:val="right"/>
            </w:pPr>
            <w:r>
              <w:rPr>
                <w:rFonts w:eastAsiaTheme="minorEastAsia"/>
                <w:color w:val="000000" w:themeColor="text1"/>
                <w:szCs w:val="21"/>
              </w:rPr>
              <w:t>-4.70%</w:t>
            </w:r>
          </w:p>
        </w:tc>
        <w:tc>
          <w:tcPr>
            <w:tcW w:w="1291" w:type="dxa"/>
            <w:vAlign w:val="center"/>
          </w:tcPr>
          <w:p w:rsidR="001F0358" w:rsidRDefault="00642B9F">
            <w:pPr>
              <w:jc w:val="right"/>
            </w:pPr>
            <w:r>
              <w:rPr>
                <w:rFonts w:eastAsiaTheme="minorEastAsia"/>
                <w:color w:val="000000" w:themeColor="text1"/>
                <w:szCs w:val="21"/>
              </w:rPr>
              <w:t>1.30%</w:t>
            </w:r>
          </w:p>
        </w:tc>
        <w:tc>
          <w:tcPr>
            <w:tcW w:w="1291" w:type="dxa"/>
            <w:vAlign w:val="center"/>
          </w:tcPr>
          <w:p w:rsidR="001F0358" w:rsidRDefault="00642B9F">
            <w:pPr>
              <w:jc w:val="right"/>
            </w:pPr>
            <w:r>
              <w:rPr>
                <w:rFonts w:eastAsiaTheme="minorEastAsia"/>
                <w:color w:val="000000" w:themeColor="text1"/>
                <w:szCs w:val="21"/>
              </w:rPr>
              <w:t>0.06%</w:t>
            </w:r>
          </w:p>
        </w:tc>
        <w:tc>
          <w:tcPr>
            <w:tcW w:w="1291" w:type="dxa"/>
            <w:vAlign w:val="center"/>
          </w:tcPr>
          <w:p w:rsidR="001F0358" w:rsidRDefault="00642B9F">
            <w:pPr>
              <w:jc w:val="right"/>
            </w:pPr>
            <w:r>
              <w:rPr>
                <w:rFonts w:eastAsiaTheme="minorEastAsia"/>
                <w:color w:val="000000" w:themeColor="text1"/>
                <w:szCs w:val="21"/>
              </w:rPr>
              <w:t>0.69%</w:t>
            </w:r>
          </w:p>
        </w:tc>
        <w:tc>
          <w:tcPr>
            <w:tcW w:w="1291" w:type="dxa"/>
            <w:vAlign w:val="center"/>
          </w:tcPr>
          <w:p w:rsidR="001F0358" w:rsidRDefault="00642B9F">
            <w:pPr>
              <w:jc w:val="right"/>
            </w:pPr>
            <w:r>
              <w:rPr>
                <w:rFonts w:eastAsiaTheme="minorEastAsia"/>
                <w:color w:val="000000" w:themeColor="text1"/>
                <w:szCs w:val="21"/>
              </w:rPr>
              <w:t>-4.76%</w:t>
            </w:r>
          </w:p>
        </w:tc>
        <w:tc>
          <w:tcPr>
            <w:tcW w:w="1291" w:type="dxa"/>
            <w:vAlign w:val="center"/>
          </w:tcPr>
          <w:p w:rsidR="001F0358" w:rsidRDefault="00642B9F">
            <w:pPr>
              <w:jc w:val="right"/>
            </w:pPr>
            <w:r>
              <w:rPr>
                <w:rFonts w:eastAsiaTheme="minorEastAsia"/>
                <w:color w:val="000000" w:themeColor="text1"/>
                <w:szCs w:val="21"/>
              </w:rPr>
              <w:t>0.61%</w:t>
            </w:r>
          </w:p>
        </w:tc>
      </w:tr>
      <w:tr w:rsidR="001F0358">
        <w:tc>
          <w:tcPr>
            <w:tcW w:w="1290" w:type="dxa"/>
            <w:vAlign w:val="center"/>
          </w:tcPr>
          <w:p w:rsidR="001F0358" w:rsidRDefault="00642B9F">
            <w:pPr>
              <w:jc w:val="left"/>
            </w:pPr>
            <w:r>
              <w:rPr>
                <w:rFonts w:eastAsiaTheme="minorEastAsia"/>
                <w:color w:val="000000" w:themeColor="text1"/>
                <w:szCs w:val="21"/>
              </w:rPr>
              <w:t>过去一年</w:t>
            </w:r>
          </w:p>
        </w:tc>
        <w:tc>
          <w:tcPr>
            <w:tcW w:w="1291" w:type="dxa"/>
            <w:vAlign w:val="center"/>
          </w:tcPr>
          <w:p w:rsidR="001F0358" w:rsidRDefault="00642B9F">
            <w:pPr>
              <w:jc w:val="right"/>
            </w:pPr>
            <w:r>
              <w:rPr>
                <w:rFonts w:eastAsiaTheme="minorEastAsia"/>
                <w:color w:val="000000" w:themeColor="text1"/>
                <w:szCs w:val="21"/>
              </w:rPr>
              <w:t>-23.06%</w:t>
            </w:r>
          </w:p>
        </w:tc>
        <w:tc>
          <w:tcPr>
            <w:tcW w:w="1291" w:type="dxa"/>
            <w:vAlign w:val="center"/>
          </w:tcPr>
          <w:p w:rsidR="001F0358" w:rsidRDefault="00642B9F">
            <w:pPr>
              <w:jc w:val="right"/>
            </w:pPr>
            <w:r>
              <w:rPr>
                <w:rFonts w:eastAsiaTheme="minorEastAsia"/>
                <w:color w:val="000000" w:themeColor="text1"/>
                <w:szCs w:val="21"/>
              </w:rPr>
              <w:t>1.32%</w:t>
            </w:r>
          </w:p>
        </w:tc>
        <w:tc>
          <w:tcPr>
            <w:tcW w:w="1291" w:type="dxa"/>
            <w:vAlign w:val="center"/>
          </w:tcPr>
          <w:p w:rsidR="001F0358" w:rsidRDefault="00642B9F">
            <w:pPr>
              <w:jc w:val="right"/>
            </w:pPr>
            <w:r>
              <w:rPr>
                <w:rFonts w:eastAsiaTheme="minorEastAsia"/>
                <w:color w:val="000000" w:themeColor="text1"/>
                <w:szCs w:val="21"/>
              </w:rPr>
              <w:t>-8.92%</w:t>
            </w:r>
          </w:p>
        </w:tc>
        <w:tc>
          <w:tcPr>
            <w:tcW w:w="1291" w:type="dxa"/>
            <w:vAlign w:val="center"/>
          </w:tcPr>
          <w:p w:rsidR="001F0358" w:rsidRDefault="00642B9F">
            <w:pPr>
              <w:jc w:val="right"/>
            </w:pPr>
            <w:r>
              <w:rPr>
                <w:rFonts w:eastAsiaTheme="minorEastAsia"/>
                <w:color w:val="000000" w:themeColor="text1"/>
                <w:szCs w:val="21"/>
              </w:rPr>
              <w:t>0.84%</w:t>
            </w:r>
          </w:p>
        </w:tc>
        <w:tc>
          <w:tcPr>
            <w:tcW w:w="1291" w:type="dxa"/>
            <w:vAlign w:val="center"/>
          </w:tcPr>
          <w:p w:rsidR="001F0358" w:rsidRDefault="00642B9F">
            <w:pPr>
              <w:jc w:val="right"/>
            </w:pPr>
            <w:r>
              <w:rPr>
                <w:rFonts w:eastAsiaTheme="minorEastAsia"/>
                <w:color w:val="000000" w:themeColor="text1"/>
                <w:szCs w:val="21"/>
              </w:rPr>
              <w:t>-14.14%</w:t>
            </w:r>
          </w:p>
        </w:tc>
        <w:tc>
          <w:tcPr>
            <w:tcW w:w="1291" w:type="dxa"/>
            <w:vAlign w:val="center"/>
          </w:tcPr>
          <w:p w:rsidR="001F0358" w:rsidRDefault="00642B9F">
            <w:pPr>
              <w:jc w:val="right"/>
            </w:pPr>
            <w:r>
              <w:rPr>
                <w:rFonts w:eastAsiaTheme="minorEastAsia"/>
                <w:color w:val="000000" w:themeColor="text1"/>
                <w:szCs w:val="21"/>
              </w:rPr>
              <w:t>0.48%</w:t>
            </w:r>
          </w:p>
        </w:tc>
      </w:tr>
      <w:tr w:rsidR="001F0358">
        <w:tc>
          <w:tcPr>
            <w:tcW w:w="1290" w:type="dxa"/>
            <w:vAlign w:val="center"/>
          </w:tcPr>
          <w:p w:rsidR="001F0358" w:rsidRDefault="00642B9F">
            <w:pPr>
              <w:jc w:val="left"/>
            </w:pPr>
            <w:r>
              <w:rPr>
                <w:rFonts w:eastAsiaTheme="minorEastAsia"/>
                <w:color w:val="000000" w:themeColor="text1"/>
                <w:szCs w:val="21"/>
              </w:rPr>
              <w:t>过去三年</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r>
      <w:tr w:rsidR="001F0358">
        <w:tc>
          <w:tcPr>
            <w:tcW w:w="1290" w:type="dxa"/>
            <w:vAlign w:val="center"/>
          </w:tcPr>
          <w:p w:rsidR="001F0358" w:rsidRDefault="00642B9F">
            <w:pPr>
              <w:jc w:val="left"/>
            </w:pPr>
            <w:r>
              <w:rPr>
                <w:rFonts w:eastAsiaTheme="minorEastAsia"/>
                <w:color w:val="000000" w:themeColor="text1"/>
                <w:szCs w:val="21"/>
              </w:rPr>
              <w:t>过去五年</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r>
      <w:tr w:rsidR="001F0358">
        <w:tc>
          <w:tcPr>
            <w:tcW w:w="1290" w:type="dxa"/>
            <w:vAlign w:val="center"/>
          </w:tcPr>
          <w:p w:rsidR="001F0358" w:rsidRDefault="00642B9F">
            <w:pPr>
              <w:jc w:val="left"/>
            </w:pPr>
            <w:r>
              <w:rPr>
                <w:rFonts w:eastAsiaTheme="minorEastAsia"/>
                <w:color w:val="000000" w:themeColor="text1"/>
                <w:szCs w:val="21"/>
              </w:rPr>
              <w:t>自基金合同生效起至今</w:t>
            </w:r>
          </w:p>
        </w:tc>
        <w:tc>
          <w:tcPr>
            <w:tcW w:w="1291" w:type="dxa"/>
            <w:vAlign w:val="center"/>
          </w:tcPr>
          <w:p w:rsidR="001F0358" w:rsidRDefault="00642B9F">
            <w:pPr>
              <w:jc w:val="right"/>
            </w:pPr>
            <w:r>
              <w:rPr>
                <w:rFonts w:eastAsiaTheme="minorEastAsia"/>
                <w:color w:val="000000" w:themeColor="text1"/>
                <w:szCs w:val="21"/>
              </w:rPr>
              <w:t>-28.29%</w:t>
            </w:r>
          </w:p>
        </w:tc>
        <w:tc>
          <w:tcPr>
            <w:tcW w:w="1291" w:type="dxa"/>
            <w:vAlign w:val="center"/>
          </w:tcPr>
          <w:p w:rsidR="001F0358" w:rsidRDefault="00642B9F">
            <w:pPr>
              <w:jc w:val="right"/>
            </w:pPr>
            <w:r>
              <w:rPr>
                <w:rFonts w:eastAsiaTheme="minorEastAsia"/>
                <w:color w:val="000000" w:themeColor="text1"/>
                <w:szCs w:val="21"/>
              </w:rPr>
              <w:t>1.55%</w:t>
            </w:r>
          </w:p>
        </w:tc>
        <w:tc>
          <w:tcPr>
            <w:tcW w:w="1291" w:type="dxa"/>
            <w:vAlign w:val="center"/>
          </w:tcPr>
          <w:p w:rsidR="001F0358" w:rsidRDefault="00642B9F">
            <w:pPr>
              <w:jc w:val="right"/>
            </w:pPr>
            <w:r>
              <w:rPr>
                <w:rFonts w:eastAsiaTheme="minorEastAsia"/>
                <w:color w:val="000000" w:themeColor="text1"/>
                <w:szCs w:val="21"/>
              </w:rPr>
              <w:t>-21.19%</w:t>
            </w:r>
          </w:p>
        </w:tc>
        <w:tc>
          <w:tcPr>
            <w:tcW w:w="1291" w:type="dxa"/>
            <w:vAlign w:val="center"/>
          </w:tcPr>
          <w:p w:rsidR="001F0358" w:rsidRDefault="00642B9F">
            <w:pPr>
              <w:jc w:val="right"/>
            </w:pPr>
            <w:r>
              <w:rPr>
                <w:rFonts w:eastAsiaTheme="minorEastAsia"/>
                <w:color w:val="000000" w:themeColor="text1"/>
                <w:szCs w:val="21"/>
              </w:rPr>
              <w:t>0.95%</w:t>
            </w:r>
          </w:p>
        </w:tc>
        <w:tc>
          <w:tcPr>
            <w:tcW w:w="1291" w:type="dxa"/>
            <w:vAlign w:val="center"/>
          </w:tcPr>
          <w:p w:rsidR="001F0358" w:rsidRDefault="00642B9F">
            <w:pPr>
              <w:jc w:val="right"/>
            </w:pPr>
            <w:r>
              <w:rPr>
                <w:rFonts w:eastAsiaTheme="minorEastAsia"/>
                <w:color w:val="000000" w:themeColor="text1"/>
                <w:szCs w:val="21"/>
              </w:rPr>
              <w:t>-7.10%</w:t>
            </w:r>
          </w:p>
        </w:tc>
        <w:tc>
          <w:tcPr>
            <w:tcW w:w="1291" w:type="dxa"/>
            <w:vAlign w:val="center"/>
          </w:tcPr>
          <w:p w:rsidR="001F0358" w:rsidRDefault="00642B9F">
            <w:pPr>
              <w:jc w:val="right"/>
            </w:pPr>
            <w:r>
              <w:rPr>
                <w:rFonts w:eastAsiaTheme="minorEastAsia"/>
                <w:color w:val="000000" w:themeColor="text1"/>
                <w:szCs w:val="21"/>
              </w:rPr>
              <w:t>0.60%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摩根行业睿选股票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F0358">
        <w:tc>
          <w:tcPr>
            <w:tcW w:w="1290" w:type="dxa"/>
            <w:vAlign w:val="center"/>
          </w:tcPr>
          <w:p w:rsidR="001F0358" w:rsidRDefault="00642B9F">
            <w:pPr>
              <w:jc w:val="left"/>
            </w:pPr>
            <w:r>
              <w:rPr>
                <w:rFonts w:eastAsiaTheme="minorEastAsia"/>
                <w:color w:val="000000" w:themeColor="text1"/>
                <w:szCs w:val="21"/>
              </w:rPr>
              <w:t>过去三个月</w:t>
            </w:r>
          </w:p>
        </w:tc>
        <w:tc>
          <w:tcPr>
            <w:tcW w:w="1291" w:type="dxa"/>
            <w:vAlign w:val="center"/>
          </w:tcPr>
          <w:p w:rsidR="001F0358" w:rsidRDefault="00642B9F">
            <w:pPr>
              <w:jc w:val="right"/>
            </w:pPr>
            <w:r>
              <w:rPr>
                <w:rFonts w:eastAsiaTheme="minorEastAsia"/>
                <w:color w:val="000000" w:themeColor="text1"/>
                <w:szCs w:val="21"/>
              </w:rPr>
              <w:t>-3.16%</w:t>
            </w:r>
          </w:p>
        </w:tc>
        <w:tc>
          <w:tcPr>
            <w:tcW w:w="1291" w:type="dxa"/>
            <w:vAlign w:val="center"/>
          </w:tcPr>
          <w:p w:rsidR="001F0358" w:rsidRDefault="00642B9F">
            <w:pPr>
              <w:jc w:val="right"/>
            </w:pPr>
            <w:r>
              <w:rPr>
                <w:rFonts w:eastAsiaTheme="minorEastAsia"/>
                <w:color w:val="000000" w:themeColor="text1"/>
                <w:szCs w:val="21"/>
              </w:rPr>
              <w:t>1.53%</w:t>
            </w:r>
          </w:p>
        </w:tc>
        <w:tc>
          <w:tcPr>
            <w:tcW w:w="1291" w:type="dxa"/>
            <w:vAlign w:val="center"/>
          </w:tcPr>
          <w:p w:rsidR="001F0358" w:rsidRDefault="00642B9F">
            <w:pPr>
              <w:jc w:val="right"/>
            </w:pPr>
            <w:r>
              <w:rPr>
                <w:rFonts w:eastAsiaTheme="minorEastAsia"/>
                <w:color w:val="000000" w:themeColor="text1"/>
                <w:szCs w:val="21"/>
              </w:rPr>
              <w:t>-3.43%</w:t>
            </w:r>
          </w:p>
        </w:tc>
        <w:tc>
          <w:tcPr>
            <w:tcW w:w="1291" w:type="dxa"/>
            <w:vAlign w:val="center"/>
          </w:tcPr>
          <w:p w:rsidR="001F0358" w:rsidRDefault="00642B9F">
            <w:pPr>
              <w:jc w:val="right"/>
            </w:pPr>
            <w:r>
              <w:rPr>
                <w:rFonts w:eastAsiaTheme="minorEastAsia"/>
                <w:color w:val="000000" w:themeColor="text1"/>
                <w:szCs w:val="21"/>
              </w:rPr>
              <w:t>0.69%</w:t>
            </w:r>
          </w:p>
        </w:tc>
        <w:tc>
          <w:tcPr>
            <w:tcW w:w="1291" w:type="dxa"/>
            <w:vAlign w:val="center"/>
          </w:tcPr>
          <w:p w:rsidR="001F0358" w:rsidRDefault="00642B9F">
            <w:pPr>
              <w:jc w:val="right"/>
            </w:pPr>
            <w:r>
              <w:rPr>
                <w:rFonts w:eastAsiaTheme="minorEastAsia"/>
                <w:color w:val="000000" w:themeColor="text1"/>
                <w:szCs w:val="21"/>
              </w:rPr>
              <w:t>0.27%</w:t>
            </w:r>
          </w:p>
        </w:tc>
        <w:tc>
          <w:tcPr>
            <w:tcW w:w="1291" w:type="dxa"/>
            <w:vAlign w:val="center"/>
          </w:tcPr>
          <w:p w:rsidR="001F0358" w:rsidRDefault="00642B9F">
            <w:pPr>
              <w:jc w:val="right"/>
            </w:pPr>
            <w:r>
              <w:rPr>
                <w:rFonts w:eastAsiaTheme="minorEastAsia"/>
                <w:color w:val="000000" w:themeColor="text1"/>
                <w:szCs w:val="21"/>
              </w:rPr>
              <w:t>0.84%</w:t>
            </w:r>
          </w:p>
        </w:tc>
      </w:tr>
      <w:tr w:rsidR="001F0358">
        <w:tc>
          <w:tcPr>
            <w:tcW w:w="1290" w:type="dxa"/>
            <w:vAlign w:val="center"/>
          </w:tcPr>
          <w:p w:rsidR="001F0358" w:rsidRDefault="00642B9F">
            <w:pPr>
              <w:jc w:val="left"/>
            </w:pPr>
            <w:r>
              <w:rPr>
                <w:rFonts w:eastAsiaTheme="minorEastAsia"/>
                <w:color w:val="000000" w:themeColor="text1"/>
                <w:szCs w:val="21"/>
              </w:rPr>
              <w:t>过去六个月</w:t>
            </w:r>
          </w:p>
        </w:tc>
        <w:tc>
          <w:tcPr>
            <w:tcW w:w="1291" w:type="dxa"/>
            <w:vAlign w:val="center"/>
          </w:tcPr>
          <w:p w:rsidR="001F0358" w:rsidRDefault="00642B9F">
            <w:pPr>
              <w:jc w:val="right"/>
            </w:pPr>
            <w:r>
              <w:rPr>
                <w:rFonts w:eastAsiaTheme="minorEastAsia"/>
                <w:color w:val="000000" w:themeColor="text1"/>
                <w:szCs w:val="21"/>
              </w:rPr>
              <w:t>-4.95%</w:t>
            </w:r>
          </w:p>
        </w:tc>
        <w:tc>
          <w:tcPr>
            <w:tcW w:w="1291" w:type="dxa"/>
            <w:vAlign w:val="center"/>
          </w:tcPr>
          <w:p w:rsidR="001F0358" w:rsidRDefault="00642B9F">
            <w:pPr>
              <w:jc w:val="right"/>
            </w:pPr>
            <w:r>
              <w:rPr>
                <w:rFonts w:eastAsiaTheme="minorEastAsia"/>
                <w:color w:val="000000" w:themeColor="text1"/>
                <w:szCs w:val="21"/>
              </w:rPr>
              <w:t>1.31%</w:t>
            </w:r>
          </w:p>
        </w:tc>
        <w:tc>
          <w:tcPr>
            <w:tcW w:w="1291" w:type="dxa"/>
            <w:vAlign w:val="center"/>
          </w:tcPr>
          <w:p w:rsidR="001F0358" w:rsidRDefault="00642B9F">
            <w:pPr>
              <w:jc w:val="right"/>
            </w:pPr>
            <w:r>
              <w:rPr>
                <w:rFonts w:eastAsiaTheme="minorEastAsia"/>
                <w:color w:val="000000" w:themeColor="text1"/>
                <w:szCs w:val="21"/>
              </w:rPr>
              <w:t>0.06%</w:t>
            </w:r>
          </w:p>
        </w:tc>
        <w:tc>
          <w:tcPr>
            <w:tcW w:w="1291" w:type="dxa"/>
            <w:vAlign w:val="center"/>
          </w:tcPr>
          <w:p w:rsidR="001F0358" w:rsidRDefault="00642B9F">
            <w:pPr>
              <w:jc w:val="right"/>
            </w:pPr>
            <w:r>
              <w:rPr>
                <w:rFonts w:eastAsiaTheme="minorEastAsia"/>
                <w:color w:val="000000" w:themeColor="text1"/>
                <w:szCs w:val="21"/>
              </w:rPr>
              <w:t>0.69%</w:t>
            </w:r>
          </w:p>
        </w:tc>
        <w:tc>
          <w:tcPr>
            <w:tcW w:w="1291" w:type="dxa"/>
            <w:vAlign w:val="center"/>
          </w:tcPr>
          <w:p w:rsidR="001F0358" w:rsidRDefault="00642B9F">
            <w:pPr>
              <w:jc w:val="right"/>
            </w:pPr>
            <w:r>
              <w:rPr>
                <w:rFonts w:eastAsiaTheme="minorEastAsia"/>
                <w:color w:val="000000" w:themeColor="text1"/>
                <w:szCs w:val="21"/>
              </w:rPr>
              <w:t>-5.01%</w:t>
            </w:r>
          </w:p>
        </w:tc>
        <w:tc>
          <w:tcPr>
            <w:tcW w:w="1291" w:type="dxa"/>
            <w:vAlign w:val="center"/>
          </w:tcPr>
          <w:p w:rsidR="001F0358" w:rsidRDefault="00642B9F">
            <w:pPr>
              <w:jc w:val="right"/>
            </w:pPr>
            <w:r>
              <w:rPr>
                <w:rFonts w:eastAsiaTheme="minorEastAsia"/>
                <w:color w:val="000000" w:themeColor="text1"/>
                <w:szCs w:val="21"/>
              </w:rPr>
              <w:t>0.62%</w:t>
            </w:r>
          </w:p>
        </w:tc>
      </w:tr>
      <w:tr w:rsidR="001F0358">
        <w:tc>
          <w:tcPr>
            <w:tcW w:w="1290" w:type="dxa"/>
            <w:vAlign w:val="center"/>
          </w:tcPr>
          <w:p w:rsidR="001F0358" w:rsidRDefault="00642B9F">
            <w:pPr>
              <w:jc w:val="left"/>
            </w:pPr>
            <w:r>
              <w:rPr>
                <w:rFonts w:eastAsiaTheme="minorEastAsia"/>
                <w:color w:val="000000" w:themeColor="text1"/>
                <w:szCs w:val="21"/>
              </w:rPr>
              <w:t>过去一年</w:t>
            </w:r>
          </w:p>
        </w:tc>
        <w:tc>
          <w:tcPr>
            <w:tcW w:w="1291" w:type="dxa"/>
            <w:vAlign w:val="center"/>
          </w:tcPr>
          <w:p w:rsidR="001F0358" w:rsidRDefault="00642B9F">
            <w:pPr>
              <w:jc w:val="right"/>
            </w:pPr>
            <w:r>
              <w:rPr>
                <w:rFonts w:eastAsiaTheme="minorEastAsia"/>
                <w:color w:val="000000" w:themeColor="text1"/>
                <w:szCs w:val="21"/>
              </w:rPr>
              <w:t>-23.45%</w:t>
            </w:r>
          </w:p>
        </w:tc>
        <w:tc>
          <w:tcPr>
            <w:tcW w:w="1291" w:type="dxa"/>
            <w:vAlign w:val="center"/>
          </w:tcPr>
          <w:p w:rsidR="001F0358" w:rsidRDefault="00642B9F">
            <w:pPr>
              <w:jc w:val="right"/>
            </w:pPr>
            <w:r>
              <w:rPr>
                <w:rFonts w:eastAsiaTheme="minorEastAsia"/>
                <w:color w:val="000000" w:themeColor="text1"/>
                <w:szCs w:val="21"/>
              </w:rPr>
              <w:t>1.32%</w:t>
            </w:r>
          </w:p>
        </w:tc>
        <w:tc>
          <w:tcPr>
            <w:tcW w:w="1291" w:type="dxa"/>
            <w:vAlign w:val="center"/>
          </w:tcPr>
          <w:p w:rsidR="001F0358" w:rsidRDefault="00642B9F">
            <w:pPr>
              <w:jc w:val="right"/>
            </w:pPr>
            <w:r>
              <w:rPr>
                <w:rFonts w:eastAsiaTheme="minorEastAsia"/>
                <w:color w:val="000000" w:themeColor="text1"/>
                <w:szCs w:val="21"/>
              </w:rPr>
              <w:t>-8.92%</w:t>
            </w:r>
          </w:p>
        </w:tc>
        <w:tc>
          <w:tcPr>
            <w:tcW w:w="1291" w:type="dxa"/>
            <w:vAlign w:val="center"/>
          </w:tcPr>
          <w:p w:rsidR="001F0358" w:rsidRDefault="00642B9F">
            <w:pPr>
              <w:jc w:val="right"/>
            </w:pPr>
            <w:r>
              <w:rPr>
                <w:rFonts w:eastAsiaTheme="minorEastAsia"/>
                <w:color w:val="000000" w:themeColor="text1"/>
                <w:szCs w:val="21"/>
              </w:rPr>
              <w:t>0.84%</w:t>
            </w:r>
          </w:p>
        </w:tc>
        <w:tc>
          <w:tcPr>
            <w:tcW w:w="1291" w:type="dxa"/>
            <w:vAlign w:val="center"/>
          </w:tcPr>
          <w:p w:rsidR="001F0358" w:rsidRDefault="00642B9F">
            <w:pPr>
              <w:jc w:val="right"/>
            </w:pPr>
            <w:r>
              <w:rPr>
                <w:rFonts w:eastAsiaTheme="minorEastAsia"/>
                <w:color w:val="000000" w:themeColor="text1"/>
                <w:szCs w:val="21"/>
              </w:rPr>
              <w:t>-14.53%</w:t>
            </w:r>
          </w:p>
        </w:tc>
        <w:tc>
          <w:tcPr>
            <w:tcW w:w="1291" w:type="dxa"/>
            <w:vAlign w:val="center"/>
          </w:tcPr>
          <w:p w:rsidR="001F0358" w:rsidRDefault="00642B9F">
            <w:pPr>
              <w:jc w:val="right"/>
            </w:pPr>
            <w:r>
              <w:rPr>
                <w:rFonts w:eastAsiaTheme="minorEastAsia"/>
                <w:color w:val="000000" w:themeColor="text1"/>
                <w:szCs w:val="21"/>
              </w:rPr>
              <w:t>0.48%</w:t>
            </w:r>
          </w:p>
        </w:tc>
      </w:tr>
      <w:tr w:rsidR="001F0358">
        <w:tc>
          <w:tcPr>
            <w:tcW w:w="1290" w:type="dxa"/>
            <w:vAlign w:val="center"/>
          </w:tcPr>
          <w:p w:rsidR="001F0358" w:rsidRDefault="00642B9F">
            <w:pPr>
              <w:jc w:val="left"/>
            </w:pPr>
            <w:r>
              <w:rPr>
                <w:rFonts w:eastAsiaTheme="minorEastAsia"/>
                <w:color w:val="000000" w:themeColor="text1"/>
                <w:szCs w:val="21"/>
              </w:rPr>
              <w:t>过去三年</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r>
      <w:tr w:rsidR="001F0358">
        <w:tc>
          <w:tcPr>
            <w:tcW w:w="1290" w:type="dxa"/>
            <w:vAlign w:val="center"/>
          </w:tcPr>
          <w:p w:rsidR="001F0358" w:rsidRDefault="00642B9F">
            <w:pPr>
              <w:jc w:val="left"/>
            </w:pPr>
            <w:r>
              <w:rPr>
                <w:rFonts w:eastAsiaTheme="minorEastAsia"/>
                <w:color w:val="000000" w:themeColor="text1"/>
                <w:szCs w:val="21"/>
              </w:rPr>
              <w:t>过去五年</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c>
          <w:tcPr>
            <w:tcW w:w="1291" w:type="dxa"/>
            <w:vAlign w:val="center"/>
          </w:tcPr>
          <w:p w:rsidR="001F0358" w:rsidRDefault="00642B9F">
            <w:pPr>
              <w:jc w:val="right"/>
            </w:pPr>
            <w:r>
              <w:rPr>
                <w:rFonts w:eastAsiaTheme="minorEastAsia"/>
                <w:color w:val="000000" w:themeColor="text1"/>
                <w:szCs w:val="21"/>
              </w:rPr>
              <w:t>-</w:t>
            </w:r>
          </w:p>
        </w:tc>
      </w:tr>
      <w:tr w:rsidR="001F0358">
        <w:tc>
          <w:tcPr>
            <w:tcW w:w="1290" w:type="dxa"/>
            <w:vAlign w:val="center"/>
          </w:tcPr>
          <w:p w:rsidR="001F0358" w:rsidRDefault="00642B9F">
            <w:pPr>
              <w:jc w:val="left"/>
            </w:pPr>
            <w:r>
              <w:rPr>
                <w:rFonts w:eastAsiaTheme="minorEastAsia"/>
                <w:color w:val="000000" w:themeColor="text1"/>
                <w:szCs w:val="21"/>
              </w:rPr>
              <w:t>自基金合同生效起至今</w:t>
            </w:r>
          </w:p>
        </w:tc>
        <w:tc>
          <w:tcPr>
            <w:tcW w:w="1291" w:type="dxa"/>
            <w:vAlign w:val="center"/>
          </w:tcPr>
          <w:p w:rsidR="001F0358" w:rsidRDefault="00642B9F">
            <w:pPr>
              <w:jc w:val="right"/>
            </w:pPr>
            <w:r>
              <w:rPr>
                <w:rFonts w:eastAsiaTheme="minorEastAsia"/>
                <w:color w:val="000000" w:themeColor="text1"/>
                <w:szCs w:val="21"/>
              </w:rPr>
              <w:t>-29.13%</w:t>
            </w:r>
          </w:p>
        </w:tc>
        <w:tc>
          <w:tcPr>
            <w:tcW w:w="1291" w:type="dxa"/>
            <w:vAlign w:val="center"/>
          </w:tcPr>
          <w:p w:rsidR="001F0358" w:rsidRDefault="00642B9F">
            <w:pPr>
              <w:jc w:val="right"/>
            </w:pPr>
            <w:r>
              <w:rPr>
                <w:rFonts w:eastAsiaTheme="minorEastAsia"/>
                <w:color w:val="000000" w:themeColor="text1"/>
                <w:szCs w:val="21"/>
              </w:rPr>
              <w:t>1.55%</w:t>
            </w:r>
          </w:p>
        </w:tc>
        <w:tc>
          <w:tcPr>
            <w:tcW w:w="1291" w:type="dxa"/>
            <w:vAlign w:val="center"/>
          </w:tcPr>
          <w:p w:rsidR="001F0358" w:rsidRDefault="00642B9F">
            <w:pPr>
              <w:jc w:val="right"/>
            </w:pPr>
            <w:r>
              <w:rPr>
                <w:rFonts w:eastAsiaTheme="minorEastAsia"/>
                <w:color w:val="000000" w:themeColor="text1"/>
                <w:szCs w:val="21"/>
              </w:rPr>
              <w:t>-21.19%</w:t>
            </w:r>
          </w:p>
        </w:tc>
        <w:tc>
          <w:tcPr>
            <w:tcW w:w="1291" w:type="dxa"/>
            <w:vAlign w:val="center"/>
          </w:tcPr>
          <w:p w:rsidR="001F0358" w:rsidRDefault="00642B9F">
            <w:pPr>
              <w:jc w:val="right"/>
            </w:pPr>
            <w:r>
              <w:rPr>
                <w:rFonts w:eastAsiaTheme="minorEastAsia"/>
                <w:color w:val="000000" w:themeColor="text1"/>
                <w:szCs w:val="21"/>
              </w:rPr>
              <w:t>0.95%</w:t>
            </w:r>
          </w:p>
        </w:tc>
        <w:tc>
          <w:tcPr>
            <w:tcW w:w="1291" w:type="dxa"/>
            <w:vAlign w:val="center"/>
          </w:tcPr>
          <w:p w:rsidR="001F0358" w:rsidRDefault="00642B9F">
            <w:pPr>
              <w:jc w:val="right"/>
            </w:pPr>
            <w:r>
              <w:rPr>
                <w:rFonts w:eastAsiaTheme="minorEastAsia"/>
                <w:color w:val="000000" w:themeColor="text1"/>
                <w:szCs w:val="21"/>
              </w:rPr>
              <w:t>-7.94%</w:t>
            </w:r>
          </w:p>
        </w:tc>
        <w:tc>
          <w:tcPr>
            <w:tcW w:w="1291" w:type="dxa"/>
            <w:vAlign w:val="center"/>
          </w:tcPr>
          <w:p w:rsidR="001F0358" w:rsidRDefault="00642B9F">
            <w:pPr>
              <w:jc w:val="right"/>
            </w:pPr>
            <w:r>
              <w:rPr>
                <w:rFonts w:eastAsiaTheme="minorEastAsia"/>
                <w:color w:val="000000" w:themeColor="text1"/>
                <w:szCs w:val="21"/>
              </w:rPr>
              <w:t>0.60%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摩根行业睿选股票型证券投资基金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．摩根行业睿选股票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．摩根行业睿选股票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F0358">
        <w:tc>
          <w:tcPr>
            <w:tcW w:w="952" w:type="dxa"/>
            <w:vAlign w:val="center"/>
          </w:tcPr>
          <w:p w:rsidR="001F0358" w:rsidRDefault="00642B9F">
            <w:pPr>
              <w:jc w:val="center"/>
            </w:pPr>
            <w:r>
              <w:rPr>
                <w:rFonts w:eastAsiaTheme="minorEastAsia"/>
                <w:color w:val="000000" w:themeColor="text1"/>
                <w:szCs w:val="21"/>
              </w:rPr>
              <w:t>李博</w:t>
            </w:r>
          </w:p>
        </w:tc>
        <w:tc>
          <w:tcPr>
            <w:tcW w:w="930" w:type="dxa"/>
            <w:vAlign w:val="center"/>
          </w:tcPr>
          <w:p w:rsidR="001F0358" w:rsidRDefault="00642B9F">
            <w:pPr>
              <w:jc w:val="center"/>
            </w:pPr>
            <w:r>
              <w:rPr>
                <w:rFonts w:eastAsiaTheme="minorEastAsia"/>
                <w:color w:val="000000" w:themeColor="text1"/>
                <w:szCs w:val="21"/>
              </w:rPr>
              <w:t>本基金基金经理</w:t>
            </w:r>
          </w:p>
        </w:tc>
        <w:tc>
          <w:tcPr>
            <w:tcW w:w="1210" w:type="dxa"/>
            <w:vAlign w:val="center"/>
          </w:tcPr>
          <w:p w:rsidR="001F0358" w:rsidRDefault="00642B9F">
            <w:pPr>
              <w:jc w:val="center"/>
            </w:pPr>
            <w:r>
              <w:rPr>
                <w:rFonts w:eastAsiaTheme="minorEastAsia"/>
                <w:color w:val="000000" w:themeColor="text1"/>
                <w:szCs w:val="21"/>
              </w:rPr>
              <w:t>2022-08-18</w:t>
            </w:r>
          </w:p>
        </w:tc>
        <w:tc>
          <w:tcPr>
            <w:tcW w:w="1309" w:type="dxa"/>
            <w:vAlign w:val="center"/>
          </w:tcPr>
          <w:p w:rsidR="001F0358" w:rsidRDefault="00642B9F">
            <w:pPr>
              <w:jc w:val="center"/>
            </w:pPr>
            <w:r>
              <w:rPr>
                <w:rFonts w:eastAsiaTheme="minorEastAsia"/>
                <w:color w:val="000000" w:themeColor="text1"/>
                <w:szCs w:val="21"/>
              </w:rPr>
              <w:t>-</w:t>
            </w:r>
          </w:p>
        </w:tc>
        <w:tc>
          <w:tcPr>
            <w:tcW w:w="1254" w:type="dxa"/>
            <w:vAlign w:val="center"/>
          </w:tcPr>
          <w:p w:rsidR="001F0358" w:rsidRDefault="00642B9F">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1F0358" w:rsidRDefault="00642B9F">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1F0358" w:rsidRDefault="00642B9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二季度，市场主要指数小幅下跌，沪深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5.15%</w:t>
      </w:r>
      <w:r>
        <w:rPr>
          <w:rFonts w:eastAsiaTheme="minorEastAsia"/>
          <w:color w:val="000000" w:themeColor="text1"/>
          <w:szCs w:val="21"/>
        </w:rPr>
        <w:t>，创业板下跌</w:t>
      </w:r>
      <w:r>
        <w:rPr>
          <w:rFonts w:eastAsiaTheme="minorEastAsia"/>
          <w:color w:val="000000" w:themeColor="text1"/>
          <w:szCs w:val="21"/>
        </w:rPr>
        <w:t>7.69%</w:t>
      </w:r>
      <w:r>
        <w:rPr>
          <w:rFonts w:eastAsiaTheme="minorEastAsia"/>
          <w:color w:val="000000" w:themeColor="text1"/>
          <w:szCs w:val="21"/>
        </w:rPr>
        <w:t>。板块方面，结构差异较大，通信、传媒和家电领涨，建材、食品饮料和商贸零售领跌。二季度经济稳步增长，如</w:t>
      </w:r>
      <w:r>
        <w:rPr>
          <w:rFonts w:eastAsiaTheme="minorEastAsia"/>
          <w:color w:val="000000" w:themeColor="text1"/>
          <w:szCs w:val="21"/>
        </w:rPr>
        <w:t>1-5</w:t>
      </w:r>
      <w:r>
        <w:rPr>
          <w:rFonts w:eastAsiaTheme="minorEastAsia"/>
          <w:color w:val="000000" w:themeColor="text1"/>
          <w:szCs w:val="21"/>
        </w:rPr>
        <w:t>月全国规模以上工业增加值同比增长</w:t>
      </w:r>
      <w:r>
        <w:rPr>
          <w:rFonts w:eastAsiaTheme="minorEastAsia"/>
          <w:color w:val="000000" w:themeColor="text1"/>
          <w:szCs w:val="21"/>
        </w:rPr>
        <w:t>3.6%</w:t>
      </w:r>
      <w:r>
        <w:rPr>
          <w:rFonts w:eastAsiaTheme="minorEastAsia"/>
          <w:color w:val="000000" w:themeColor="text1"/>
          <w:szCs w:val="21"/>
        </w:rPr>
        <w:t>，社会消费品零售总额同比增长</w:t>
      </w:r>
      <w:r>
        <w:rPr>
          <w:rFonts w:eastAsiaTheme="minorEastAsia"/>
          <w:color w:val="000000" w:themeColor="text1"/>
          <w:szCs w:val="21"/>
        </w:rPr>
        <w:t>9.3%</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月份制造业</w:t>
      </w:r>
      <w:r>
        <w:rPr>
          <w:rFonts w:eastAsiaTheme="minorEastAsia"/>
          <w:color w:val="000000" w:themeColor="text1"/>
          <w:szCs w:val="21"/>
        </w:rPr>
        <w:t>PMI</w:t>
      </w:r>
      <w:r>
        <w:rPr>
          <w:rFonts w:eastAsiaTheme="minorEastAsia"/>
          <w:color w:val="000000" w:themeColor="text1"/>
          <w:szCs w:val="21"/>
        </w:rPr>
        <w:t>为</w:t>
      </w:r>
      <w:r>
        <w:rPr>
          <w:rFonts w:eastAsiaTheme="minorEastAsia"/>
          <w:color w:val="000000" w:themeColor="text1"/>
          <w:szCs w:val="21"/>
        </w:rPr>
        <w:t>49.0%</w:t>
      </w:r>
      <w:r>
        <w:rPr>
          <w:rFonts w:eastAsiaTheme="minorEastAsia"/>
          <w:color w:val="000000" w:themeColor="text1"/>
          <w:szCs w:val="21"/>
        </w:rPr>
        <w:t>，前值</w:t>
      </w:r>
      <w:r>
        <w:rPr>
          <w:rFonts w:eastAsiaTheme="minorEastAsia"/>
          <w:color w:val="000000" w:themeColor="text1"/>
          <w:szCs w:val="21"/>
        </w:rPr>
        <w:t>48.8%</w:t>
      </w:r>
      <w:r>
        <w:rPr>
          <w:rFonts w:eastAsiaTheme="minorEastAsia"/>
          <w:color w:val="000000" w:themeColor="text1"/>
          <w:szCs w:val="21"/>
        </w:rPr>
        <w:t>，未来经济向好趋势明显。本基金重点配置了估值和成长相匹配的个股，此外，本季度还减持了部分前期超额收益较多个股，增持了部分市场关注度不高的成长股。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进入下半年，我们判断市场机会将大于风险，</w:t>
      </w:r>
      <w:r w:rsidRPr="00B27A29">
        <w:rPr>
          <w:rFonts w:eastAsiaTheme="minorEastAsia"/>
          <w:color w:val="000000" w:themeColor="text1"/>
          <w:szCs w:val="21"/>
        </w:rPr>
        <w:t>A</w:t>
      </w:r>
      <w:r w:rsidRPr="00B27A29">
        <w:rPr>
          <w:rFonts w:eastAsiaTheme="minorEastAsia"/>
          <w:color w:val="000000" w:themeColor="text1"/>
          <w:szCs w:val="21"/>
        </w:rPr>
        <w:t>股有望呈现结构性的投资机会。市场经历了</w:t>
      </w:r>
      <w:r w:rsidRPr="00B27A29">
        <w:rPr>
          <w:rFonts w:eastAsiaTheme="minorEastAsia"/>
          <w:color w:val="000000" w:themeColor="text1"/>
          <w:szCs w:val="21"/>
        </w:rPr>
        <w:t>2022</w:t>
      </w:r>
      <w:r w:rsidRPr="00B27A29">
        <w:rPr>
          <w:rFonts w:eastAsiaTheme="minorEastAsia"/>
          <w:color w:val="000000" w:themeColor="text1"/>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本报告期摩根行业睿选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:-3.03%</w:t>
      </w:r>
      <w:r>
        <w:rPr>
          <w:rFonts w:eastAsiaTheme="minorEastAsia"/>
          <w:color w:val="000000" w:themeColor="text1"/>
          <w:szCs w:val="21"/>
        </w:rPr>
        <w:t>，同期业绩比较基准收益率为</w:t>
      </w:r>
      <w:r>
        <w:rPr>
          <w:rFonts w:eastAsiaTheme="minorEastAsia"/>
          <w:color w:val="000000" w:themeColor="text1"/>
          <w:szCs w:val="21"/>
        </w:rPr>
        <w:t>:-3.43%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摩根行业睿选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:-3.16%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:-3.43%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1,560,687,202.41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1,560,687,202.41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324,136,079.78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865,157.88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1,885,688,440.07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124808936.00</w:t>
      </w:r>
      <w:r w:rsidRPr="00B27A29">
        <w:rPr>
          <w:rFonts w:eastAsiaTheme="minorEastAsia"/>
          <w:color w:val="000000" w:themeColor="text1"/>
          <w:szCs w:val="21"/>
        </w:rPr>
        <w:t>元，占期末净值比例为</w:t>
      </w:r>
      <w:r w:rsidRPr="00B27A29">
        <w:rPr>
          <w:rFonts w:eastAsiaTheme="minorEastAsia"/>
          <w:color w:val="000000" w:themeColor="text1"/>
          <w:szCs w:val="21"/>
        </w:rPr>
        <w:t>6.64%</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1,429,655,550.77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8,140.64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6,214,575.00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1,435,878,266.41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76.37</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1F0358" w:rsidRDefault="00642B9F">
            <w:pPr>
              <w:jc w:val="center"/>
            </w:pPr>
            <w:r>
              <w:rPr>
                <w:rFonts w:eastAsiaTheme="minorEastAsia"/>
                <w:color w:val="000000" w:themeColor="text1"/>
                <w:szCs w:val="21"/>
              </w:rPr>
              <w:t>69,808,366.62</w:t>
            </w:r>
          </w:p>
        </w:tc>
        <w:tc>
          <w:tcPr>
            <w:tcW w:w="3118" w:type="dxa"/>
            <w:vAlign w:val="center"/>
          </w:tcPr>
          <w:p w:rsidR="001F0358" w:rsidRDefault="00642B9F">
            <w:pPr>
              <w:jc w:val="center"/>
            </w:pPr>
            <w:r>
              <w:rPr>
                <w:rFonts w:eastAsiaTheme="minorEastAsia"/>
                <w:color w:val="000000" w:themeColor="text1"/>
                <w:szCs w:val="21"/>
              </w:rPr>
              <w:t>3.71</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1F0358" w:rsidRDefault="00642B9F">
            <w:pPr>
              <w:jc w:val="center"/>
            </w:pPr>
            <w:r>
              <w:rPr>
                <w:rFonts w:eastAsiaTheme="minorEastAsia"/>
                <w:color w:val="000000" w:themeColor="text1"/>
                <w:szCs w:val="21"/>
              </w:rPr>
              <w:t>55,000,569.38</w:t>
            </w:r>
          </w:p>
        </w:tc>
        <w:tc>
          <w:tcPr>
            <w:tcW w:w="3118" w:type="dxa"/>
            <w:vAlign w:val="center"/>
          </w:tcPr>
          <w:p w:rsidR="001F0358" w:rsidRDefault="00642B9F">
            <w:pPr>
              <w:jc w:val="center"/>
            </w:pPr>
            <w:r>
              <w:rPr>
                <w:rFonts w:eastAsiaTheme="minorEastAsia"/>
                <w:color w:val="000000" w:themeColor="text1"/>
                <w:szCs w:val="21"/>
              </w:rPr>
              <w:t>2.93</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1F0358">
        <w:trPr>
          <w:jc w:val="center"/>
        </w:trPr>
        <w:tc>
          <w:tcPr>
            <w:tcW w:w="2397" w:type="dxa"/>
            <w:vAlign w:val="center"/>
          </w:tcPr>
          <w:p w:rsidR="001F0358" w:rsidRDefault="00642B9F">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1F0358" w:rsidRDefault="00642B9F">
            <w:pPr>
              <w:jc w:val="center"/>
            </w:pPr>
            <w:r>
              <w:rPr>
                <w:rFonts w:eastAsiaTheme="minorEastAsia"/>
                <w:color w:val="000000" w:themeColor="text1"/>
                <w:szCs w:val="21"/>
              </w:rPr>
              <w:t>-</w:t>
            </w:r>
          </w:p>
        </w:tc>
        <w:tc>
          <w:tcPr>
            <w:tcW w:w="3118" w:type="dxa"/>
            <w:vAlign w:val="center"/>
          </w:tcPr>
          <w:p w:rsidR="001F0358" w:rsidRDefault="00642B9F">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124,808,936.00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6.64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1F0358">
        <w:tc>
          <w:tcPr>
            <w:tcW w:w="817" w:type="dxa"/>
            <w:vAlign w:val="center"/>
          </w:tcPr>
          <w:p w:rsidR="001F0358" w:rsidRDefault="00642B9F">
            <w:pPr>
              <w:jc w:val="center"/>
            </w:pPr>
            <w:r>
              <w:rPr>
                <w:rFonts w:eastAsiaTheme="minorEastAsia"/>
                <w:kern w:val="0"/>
                <w:szCs w:val="21"/>
              </w:rPr>
              <w:t>1</w:t>
            </w:r>
          </w:p>
        </w:tc>
        <w:tc>
          <w:tcPr>
            <w:tcW w:w="1276" w:type="dxa"/>
            <w:vAlign w:val="center"/>
          </w:tcPr>
          <w:p w:rsidR="001F0358" w:rsidRDefault="00642B9F">
            <w:pPr>
              <w:jc w:val="center"/>
            </w:pPr>
            <w:r>
              <w:rPr>
                <w:rFonts w:eastAsiaTheme="minorEastAsia"/>
                <w:kern w:val="0"/>
                <w:szCs w:val="21"/>
              </w:rPr>
              <w:t>002475</w:t>
            </w:r>
          </w:p>
        </w:tc>
        <w:tc>
          <w:tcPr>
            <w:tcW w:w="1701" w:type="dxa"/>
            <w:vAlign w:val="center"/>
          </w:tcPr>
          <w:p w:rsidR="001F0358" w:rsidRDefault="00642B9F">
            <w:pPr>
              <w:jc w:val="center"/>
            </w:pPr>
            <w:r>
              <w:rPr>
                <w:rFonts w:eastAsiaTheme="minorEastAsia"/>
                <w:kern w:val="0"/>
                <w:szCs w:val="21"/>
              </w:rPr>
              <w:t>立讯精密</w:t>
            </w:r>
          </w:p>
        </w:tc>
        <w:tc>
          <w:tcPr>
            <w:tcW w:w="1276" w:type="dxa"/>
            <w:vAlign w:val="center"/>
          </w:tcPr>
          <w:p w:rsidR="001F0358" w:rsidRDefault="00642B9F">
            <w:pPr>
              <w:jc w:val="right"/>
            </w:pPr>
            <w:r>
              <w:rPr>
                <w:rFonts w:eastAsiaTheme="minorEastAsia"/>
                <w:kern w:val="0"/>
                <w:szCs w:val="21"/>
              </w:rPr>
              <w:t>5,468,200.00</w:t>
            </w:r>
          </w:p>
        </w:tc>
        <w:tc>
          <w:tcPr>
            <w:tcW w:w="1842" w:type="dxa"/>
            <w:vAlign w:val="center"/>
          </w:tcPr>
          <w:p w:rsidR="001F0358" w:rsidRDefault="00642B9F">
            <w:pPr>
              <w:jc w:val="right"/>
            </w:pPr>
            <w:r>
              <w:rPr>
                <w:rFonts w:eastAsiaTheme="minorEastAsia"/>
                <w:kern w:val="0"/>
                <w:szCs w:val="21"/>
              </w:rPr>
              <w:t>177,443,090.00</w:t>
            </w:r>
          </w:p>
        </w:tc>
        <w:tc>
          <w:tcPr>
            <w:tcW w:w="1616" w:type="dxa"/>
            <w:vAlign w:val="center"/>
          </w:tcPr>
          <w:p w:rsidR="001F0358" w:rsidRDefault="00642B9F">
            <w:pPr>
              <w:jc w:val="right"/>
            </w:pPr>
            <w:r>
              <w:rPr>
                <w:rFonts w:eastAsiaTheme="minorEastAsia"/>
                <w:kern w:val="0"/>
                <w:szCs w:val="21"/>
              </w:rPr>
              <w:t>9.44</w:t>
            </w:r>
          </w:p>
        </w:tc>
      </w:tr>
      <w:tr w:rsidR="001F0358">
        <w:tc>
          <w:tcPr>
            <w:tcW w:w="817" w:type="dxa"/>
            <w:vAlign w:val="center"/>
          </w:tcPr>
          <w:p w:rsidR="001F0358" w:rsidRDefault="00642B9F">
            <w:pPr>
              <w:jc w:val="center"/>
            </w:pPr>
            <w:r>
              <w:rPr>
                <w:rFonts w:eastAsiaTheme="minorEastAsia"/>
                <w:kern w:val="0"/>
                <w:szCs w:val="21"/>
              </w:rPr>
              <w:t>2</w:t>
            </w:r>
          </w:p>
        </w:tc>
        <w:tc>
          <w:tcPr>
            <w:tcW w:w="1276" w:type="dxa"/>
            <w:vAlign w:val="center"/>
          </w:tcPr>
          <w:p w:rsidR="001F0358" w:rsidRDefault="00642B9F">
            <w:pPr>
              <w:jc w:val="center"/>
            </w:pPr>
            <w:r>
              <w:rPr>
                <w:rFonts w:eastAsiaTheme="minorEastAsia"/>
                <w:kern w:val="0"/>
                <w:szCs w:val="21"/>
              </w:rPr>
              <w:t>002459</w:t>
            </w:r>
          </w:p>
        </w:tc>
        <w:tc>
          <w:tcPr>
            <w:tcW w:w="1701" w:type="dxa"/>
            <w:vAlign w:val="center"/>
          </w:tcPr>
          <w:p w:rsidR="001F0358" w:rsidRDefault="00642B9F">
            <w:pPr>
              <w:jc w:val="center"/>
            </w:pPr>
            <w:r>
              <w:rPr>
                <w:rFonts w:eastAsiaTheme="minorEastAsia"/>
                <w:kern w:val="0"/>
                <w:szCs w:val="21"/>
              </w:rPr>
              <w:t>晶澳科技</w:t>
            </w:r>
          </w:p>
        </w:tc>
        <w:tc>
          <w:tcPr>
            <w:tcW w:w="1276" w:type="dxa"/>
            <w:vAlign w:val="center"/>
          </w:tcPr>
          <w:p w:rsidR="001F0358" w:rsidRDefault="00642B9F">
            <w:pPr>
              <w:jc w:val="right"/>
            </w:pPr>
            <w:r>
              <w:rPr>
                <w:rFonts w:eastAsiaTheme="minorEastAsia"/>
                <w:kern w:val="0"/>
                <w:szCs w:val="21"/>
              </w:rPr>
              <w:t>4,242,399.00</w:t>
            </w:r>
          </w:p>
        </w:tc>
        <w:tc>
          <w:tcPr>
            <w:tcW w:w="1842" w:type="dxa"/>
            <w:vAlign w:val="center"/>
          </w:tcPr>
          <w:p w:rsidR="001F0358" w:rsidRDefault="00642B9F">
            <w:pPr>
              <w:jc w:val="right"/>
            </w:pPr>
            <w:r>
              <w:rPr>
                <w:rFonts w:eastAsiaTheme="minorEastAsia"/>
                <w:kern w:val="0"/>
                <w:szCs w:val="21"/>
              </w:rPr>
              <w:t>176,908,038.30</w:t>
            </w:r>
          </w:p>
        </w:tc>
        <w:tc>
          <w:tcPr>
            <w:tcW w:w="1616" w:type="dxa"/>
            <w:vAlign w:val="center"/>
          </w:tcPr>
          <w:p w:rsidR="001F0358" w:rsidRDefault="00642B9F">
            <w:pPr>
              <w:jc w:val="right"/>
            </w:pPr>
            <w:r>
              <w:rPr>
                <w:rFonts w:eastAsiaTheme="minorEastAsia"/>
                <w:kern w:val="0"/>
                <w:szCs w:val="21"/>
              </w:rPr>
              <w:t>9.41</w:t>
            </w:r>
          </w:p>
        </w:tc>
      </w:tr>
      <w:tr w:rsidR="001F0358">
        <w:tc>
          <w:tcPr>
            <w:tcW w:w="817" w:type="dxa"/>
            <w:vAlign w:val="center"/>
          </w:tcPr>
          <w:p w:rsidR="001F0358" w:rsidRDefault="00642B9F">
            <w:pPr>
              <w:jc w:val="center"/>
            </w:pPr>
            <w:r>
              <w:rPr>
                <w:rFonts w:eastAsiaTheme="minorEastAsia"/>
                <w:kern w:val="0"/>
                <w:szCs w:val="21"/>
              </w:rPr>
              <w:t>3</w:t>
            </w:r>
          </w:p>
        </w:tc>
        <w:tc>
          <w:tcPr>
            <w:tcW w:w="1276" w:type="dxa"/>
            <w:vAlign w:val="center"/>
          </w:tcPr>
          <w:p w:rsidR="001F0358" w:rsidRDefault="00642B9F">
            <w:pPr>
              <w:jc w:val="center"/>
            </w:pPr>
            <w:r>
              <w:rPr>
                <w:rFonts w:eastAsiaTheme="minorEastAsia"/>
                <w:kern w:val="0"/>
                <w:szCs w:val="21"/>
              </w:rPr>
              <w:t>688599</w:t>
            </w:r>
          </w:p>
        </w:tc>
        <w:tc>
          <w:tcPr>
            <w:tcW w:w="1701" w:type="dxa"/>
            <w:vAlign w:val="center"/>
          </w:tcPr>
          <w:p w:rsidR="001F0358" w:rsidRDefault="00642B9F">
            <w:pPr>
              <w:jc w:val="center"/>
            </w:pPr>
            <w:r>
              <w:rPr>
                <w:rFonts w:eastAsiaTheme="minorEastAsia"/>
                <w:kern w:val="0"/>
                <w:szCs w:val="21"/>
              </w:rPr>
              <w:t>天合光能</w:t>
            </w:r>
          </w:p>
        </w:tc>
        <w:tc>
          <w:tcPr>
            <w:tcW w:w="1276" w:type="dxa"/>
            <w:vAlign w:val="center"/>
          </w:tcPr>
          <w:p w:rsidR="001F0358" w:rsidRDefault="00642B9F">
            <w:pPr>
              <w:jc w:val="right"/>
            </w:pPr>
            <w:r>
              <w:rPr>
                <w:rFonts w:eastAsiaTheme="minorEastAsia"/>
                <w:kern w:val="0"/>
                <w:szCs w:val="21"/>
              </w:rPr>
              <w:t>3,784,242.00</w:t>
            </w:r>
          </w:p>
        </w:tc>
        <w:tc>
          <w:tcPr>
            <w:tcW w:w="1842" w:type="dxa"/>
            <w:vAlign w:val="center"/>
          </w:tcPr>
          <w:p w:rsidR="001F0358" w:rsidRDefault="00642B9F">
            <w:pPr>
              <w:jc w:val="right"/>
            </w:pPr>
            <w:r>
              <w:rPr>
                <w:rFonts w:eastAsiaTheme="minorEastAsia"/>
                <w:kern w:val="0"/>
                <w:szCs w:val="21"/>
              </w:rPr>
              <w:t>161,246,551.62</w:t>
            </w:r>
          </w:p>
        </w:tc>
        <w:tc>
          <w:tcPr>
            <w:tcW w:w="1616" w:type="dxa"/>
            <w:vAlign w:val="center"/>
          </w:tcPr>
          <w:p w:rsidR="001F0358" w:rsidRDefault="00642B9F">
            <w:pPr>
              <w:jc w:val="right"/>
            </w:pPr>
            <w:r>
              <w:rPr>
                <w:rFonts w:eastAsiaTheme="minorEastAsia"/>
                <w:kern w:val="0"/>
                <w:szCs w:val="21"/>
              </w:rPr>
              <w:t>8.58</w:t>
            </w:r>
          </w:p>
        </w:tc>
      </w:tr>
      <w:tr w:rsidR="001F0358">
        <w:tc>
          <w:tcPr>
            <w:tcW w:w="817" w:type="dxa"/>
            <w:vAlign w:val="center"/>
          </w:tcPr>
          <w:p w:rsidR="001F0358" w:rsidRDefault="00642B9F">
            <w:pPr>
              <w:jc w:val="center"/>
            </w:pPr>
            <w:r>
              <w:rPr>
                <w:rFonts w:eastAsiaTheme="minorEastAsia"/>
                <w:kern w:val="0"/>
                <w:szCs w:val="21"/>
              </w:rPr>
              <w:t>4</w:t>
            </w:r>
          </w:p>
        </w:tc>
        <w:tc>
          <w:tcPr>
            <w:tcW w:w="1276" w:type="dxa"/>
            <w:vAlign w:val="center"/>
          </w:tcPr>
          <w:p w:rsidR="001F0358" w:rsidRDefault="00642B9F">
            <w:pPr>
              <w:jc w:val="center"/>
            </w:pPr>
            <w:r>
              <w:rPr>
                <w:rFonts w:eastAsiaTheme="minorEastAsia"/>
                <w:kern w:val="0"/>
                <w:szCs w:val="21"/>
              </w:rPr>
              <w:t>300750</w:t>
            </w:r>
          </w:p>
        </w:tc>
        <w:tc>
          <w:tcPr>
            <w:tcW w:w="1701" w:type="dxa"/>
            <w:vAlign w:val="center"/>
          </w:tcPr>
          <w:p w:rsidR="001F0358" w:rsidRDefault="00642B9F">
            <w:pPr>
              <w:jc w:val="center"/>
            </w:pPr>
            <w:r>
              <w:rPr>
                <w:rFonts w:eastAsiaTheme="minorEastAsia"/>
                <w:kern w:val="0"/>
                <w:szCs w:val="21"/>
              </w:rPr>
              <w:t>宁德时代</w:t>
            </w:r>
          </w:p>
        </w:tc>
        <w:tc>
          <w:tcPr>
            <w:tcW w:w="1276" w:type="dxa"/>
            <w:vAlign w:val="center"/>
          </w:tcPr>
          <w:p w:rsidR="001F0358" w:rsidRDefault="00642B9F">
            <w:pPr>
              <w:jc w:val="right"/>
            </w:pPr>
            <w:r>
              <w:rPr>
                <w:rFonts w:eastAsiaTheme="minorEastAsia"/>
                <w:kern w:val="0"/>
                <w:szCs w:val="21"/>
              </w:rPr>
              <w:t>547,695.00</w:t>
            </w:r>
          </w:p>
        </w:tc>
        <w:tc>
          <w:tcPr>
            <w:tcW w:w="1842" w:type="dxa"/>
            <w:vAlign w:val="center"/>
          </w:tcPr>
          <w:p w:rsidR="001F0358" w:rsidRDefault="00642B9F">
            <w:pPr>
              <w:jc w:val="right"/>
            </w:pPr>
            <w:r>
              <w:rPr>
                <w:rFonts w:eastAsiaTheme="minorEastAsia"/>
                <w:kern w:val="0"/>
                <w:szCs w:val="21"/>
              </w:rPr>
              <w:t>125,307,139.05</w:t>
            </w:r>
          </w:p>
        </w:tc>
        <w:tc>
          <w:tcPr>
            <w:tcW w:w="1616" w:type="dxa"/>
            <w:vAlign w:val="center"/>
          </w:tcPr>
          <w:p w:rsidR="001F0358" w:rsidRDefault="00642B9F">
            <w:pPr>
              <w:jc w:val="right"/>
            </w:pPr>
            <w:r>
              <w:rPr>
                <w:rFonts w:eastAsiaTheme="minorEastAsia"/>
                <w:kern w:val="0"/>
                <w:szCs w:val="21"/>
              </w:rPr>
              <w:t>6.66</w:t>
            </w:r>
          </w:p>
        </w:tc>
      </w:tr>
      <w:tr w:rsidR="001F0358">
        <w:tc>
          <w:tcPr>
            <w:tcW w:w="817" w:type="dxa"/>
            <w:vAlign w:val="center"/>
          </w:tcPr>
          <w:p w:rsidR="001F0358" w:rsidRDefault="00642B9F">
            <w:pPr>
              <w:jc w:val="center"/>
            </w:pPr>
            <w:r>
              <w:rPr>
                <w:rFonts w:eastAsiaTheme="minorEastAsia"/>
                <w:kern w:val="0"/>
                <w:szCs w:val="21"/>
              </w:rPr>
              <w:t>5</w:t>
            </w:r>
          </w:p>
        </w:tc>
        <w:tc>
          <w:tcPr>
            <w:tcW w:w="1276" w:type="dxa"/>
            <w:vAlign w:val="center"/>
          </w:tcPr>
          <w:p w:rsidR="001F0358" w:rsidRDefault="00642B9F">
            <w:pPr>
              <w:jc w:val="center"/>
            </w:pPr>
            <w:r>
              <w:rPr>
                <w:rFonts w:eastAsiaTheme="minorEastAsia"/>
                <w:kern w:val="0"/>
                <w:szCs w:val="21"/>
              </w:rPr>
              <w:t>002594</w:t>
            </w:r>
          </w:p>
        </w:tc>
        <w:tc>
          <w:tcPr>
            <w:tcW w:w="1701" w:type="dxa"/>
            <w:vAlign w:val="center"/>
          </w:tcPr>
          <w:p w:rsidR="001F0358" w:rsidRDefault="00642B9F">
            <w:pPr>
              <w:jc w:val="center"/>
            </w:pPr>
            <w:r>
              <w:rPr>
                <w:rFonts w:eastAsiaTheme="minorEastAsia"/>
                <w:kern w:val="0"/>
                <w:szCs w:val="21"/>
              </w:rPr>
              <w:t>比亚迪</w:t>
            </w:r>
          </w:p>
        </w:tc>
        <w:tc>
          <w:tcPr>
            <w:tcW w:w="1276" w:type="dxa"/>
            <w:vAlign w:val="center"/>
          </w:tcPr>
          <w:p w:rsidR="001F0358" w:rsidRDefault="00642B9F">
            <w:pPr>
              <w:jc w:val="right"/>
            </w:pPr>
            <w:r>
              <w:rPr>
                <w:rFonts w:eastAsiaTheme="minorEastAsia"/>
                <w:kern w:val="0"/>
                <w:szCs w:val="21"/>
              </w:rPr>
              <w:t>256,152.00</w:t>
            </w:r>
          </w:p>
        </w:tc>
        <w:tc>
          <w:tcPr>
            <w:tcW w:w="1842" w:type="dxa"/>
            <w:vAlign w:val="center"/>
          </w:tcPr>
          <w:p w:rsidR="001F0358" w:rsidRDefault="00642B9F">
            <w:pPr>
              <w:jc w:val="right"/>
            </w:pPr>
            <w:r>
              <w:rPr>
                <w:rFonts w:eastAsiaTheme="minorEastAsia"/>
                <w:kern w:val="0"/>
                <w:szCs w:val="21"/>
              </w:rPr>
              <w:t>66,156,377.04</w:t>
            </w:r>
          </w:p>
        </w:tc>
        <w:tc>
          <w:tcPr>
            <w:tcW w:w="1616" w:type="dxa"/>
            <w:vAlign w:val="center"/>
          </w:tcPr>
          <w:p w:rsidR="001F0358" w:rsidRDefault="00642B9F">
            <w:pPr>
              <w:jc w:val="right"/>
            </w:pPr>
            <w:r>
              <w:rPr>
                <w:rFonts w:eastAsiaTheme="minorEastAsia"/>
                <w:kern w:val="0"/>
                <w:szCs w:val="21"/>
              </w:rPr>
              <w:t>3.52</w:t>
            </w:r>
          </w:p>
        </w:tc>
      </w:tr>
      <w:tr w:rsidR="001F0358">
        <w:tc>
          <w:tcPr>
            <w:tcW w:w="817" w:type="dxa"/>
            <w:vAlign w:val="center"/>
          </w:tcPr>
          <w:p w:rsidR="001F0358" w:rsidRDefault="00642B9F">
            <w:pPr>
              <w:jc w:val="center"/>
            </w:pPr>
            <w:r>
              <w:rPr>
                <w:rFonts w:eastAsiaTheme="minorEastAsia"/>
                <w:kern w:val="0"/>
                <w:szCs w:val="21"/>
              </w:rPr>
              <w:t>5</w:t>
            </w:r>
          </w:p>
        </w:tc>
        <w:tc>
          <w:tcPr>
            <w:tcW w:w="1276" w:type="dxa"/>
            <w:vAlign w:val="center"/>
          </w:tcPr>
          <w:p w:rsidR="001F0358" w:rsidRDefault="00642B9F">
            <w:pPr>
              <w:jc w:val="center"/>
            </w:pPr>
            <w:r>
              <w:rPr>
                <w:rFonts w:eastAsiaTheme="minorEastAsia"/>
                <w:kern w:val="0"/>
                <w:szCs w:val="21"/>
              </w:rPr>
              <w:t>01211</w:t>
            </w:r>
          </w:p>
        </w:tc>
        <w:tc>
          <w:tcPr>
            <w:tcW w:w="1701" w:type="dxa"/>
            <w:vAlign w:val="center"/>
          </w:tcPr>
          <w:p w:rsidR="001F0358" w:rsidRDefault="00642B9F">
            <w:pPr>
              <w:jc w:val="center"/>
            </w:pPr>
            <w:r>
              <w:rPr>
                <w:rFonts w:eastAsiaTheme="minorEastAsia"/>
                <w:kern w:val="0"/>
                <w:szCs w:val="21"/>
              </w:rPr>
              <w:t>比亚迪股份</w:t>
            </w:r>
          </w:p>
        </w:tc>
        <w:tc>
          <w:tcPr>
            <w:tcW w:w="1276" w:type="dxa"/>
            <w:vAlign w:val="center"/>
          </w:tcPr>
          <w:p w:rsidR="001F0358" w:rsidRDefault="00642B9F">
            <w:pPr>
              <w:jc w:val="right"/>
            </w:pPr>
            <w:r>
              <w:rPr>
                <w:rFonts w:eastAsiaTheme="minorEastAsia"/>
                <w:kern w:val="0"/>
                <w:szCs w:val="21"/>
              </w:rPr>
              <w:t>205,000.00</w:t>
            </w:r>
          </w:p>
        </w:tc>
        <w:tc>
          <w:tcPr>
            <w:tcW w:w="1842" w:type="dxa"/>
            <w:vAlign w:val="center"/>
          </w:tcPr>
          <w:p w:rsidR="001F0358" w:rsidRDefault="00642B9F">
            <w:pPr>
              <w:jc w:val="right"/>
            </w:pPr>
            <w:r>
              <w:rPr>
                <w:rFonts w:eastAsiaTheme="minorEastAsia"/>
                <w:kern w:val="0"/>
                <w:szCs w:val="21"/>
              </w:rPr>
              <w:t>47,251,475.00</w:t>
            </w:r>
          </w:p>
        </w:tc>
        <w:tc>
          <w:tcPr>
            <w:tcW w:w="1616" w:type="dxa"/>
            <w:vAlign w:val="center"/>
          </w:tcPr>
          <w:p w:rsidR="001F0358" w:rsidRDefault="00642B9F">
            <w:pPr>
              <w:jc w:val="right"/>
            </w:pPr>
            <w:r>
              <w:rPr>
                <w:rFonts w:eastAsiaTheme="minorEastAsia"/>
                <w:kern w:val="0"/>
                <w:szCs w:val="21"/>
              </w:rPr>
              <w:t>2.51</w:t>
            </w:r>
          </w:p>
        </w:tc>
      </w:tr>
      <w:tr w:rsidR="001F0358">
        <w:tc>
          <w:tcPr>
            <w:tcW w:w="817" w:type="dxa"/>
            <w:vAlign w:val="center"/>
          </w:tcPr>
          <w:p w:rsidR="001F0358" w:rsidRDefault="00642B9F">
            <w:pPr>
              <w:jc w:val="center"/>
            </w:pPr>
            <w:r>
              <w:rPr>
                <w:rFonts w:eastAsiaTheme="minorEastAsia"/>
                <w:kern w:val="0"/>
                <w:szCs w:val="21"/>
              </w:rPr>
              <w:t>6</w:t>
            </w:r>
          </w:p>
        </w:tc>
        <w:tc>
          <w:tcPr>
            <w:tcW w:w="1276" w:type="dxa"/>
            <w:vAlign w:val="center"/>
          </w:tcPr>
          <w:p w:rsidR="001F0358" w:rsidRDefault="00642B9F">
            <w:pPr>
              <w:jc w:val="center"/>
            </w:pPr>
            <w:r>
              <w:rPr>
                <w:rFonts w:eastAsiaTheme="minorEastAsia"/>
                <w:kern w:val="0"/>
                <w:szCs w:val="21"/>
              </w:rPr>
              <w:t>600438</w:t>
            </w:r>
          </w:p>
        </w:tc>
        <w:tc>
          <w:tcPr>
            <w:tcW w:w="1701" w:type="dxa"/>
            <w:vAlign w:val="center"/>
          </w:tcPr>
          <w:p w:rsidR="001F0358" w:rsidRDefault="00642B9F">
            <w:pPr>
              <w:jc w:val="center"/>
            </w:pPr>
            <w:r>
              <w:rPr>
                <w:rFonts w:eastAsiaTheme="minorEastAsia"/>
                <w:kern w:val="0"/>
                <w:szCs w:val="21"/>
              </w:rPr>
              <w:t>通威股份</w:t>
            </w:r>
          </w:p>
        </w:tc>
        <w:tc>
          <w:tcPr>
            <w:tcW w:w="1276" w:type="dxa"/>
            <w:vAlign w:val="center"/>
          </w:tcPr>
          <w:p w:rsidR="001F0358" w:rsidRDefault="00642B9F">
            <w:pPr>
              <w:jc w:val="right"/>
            </w:pPr>
            <w:r>
              <w:rPr>
                <w:rFonts w:eastAsiaTheme="minorEastAsia"/>
                <w:kern w:val="0"/>
                <w:szCs w:val="21"/>
              </w:rPr>
              <w:t>2,152,218.00</w:t>
            </w:r>
          </w:p>
        </w:tc>
        <w:tc>
          <w:tcPr>
            <w:tcW w:w="1842" w:type="dxa"/>
            <w:vAlign w:val="center"/>
          </w:tcPr>
          <w:p w:rsidR="001F0358" w:rsidRDefault="00642B9F">
            <w:pPr>
              <w:jc w:val="right"/>
            </w:pPr>
            <w:r>
              <w:rPr>
                <w:rFonts w:eastAsiaTheme="minorEastAsia"/>
                <w:kern w:val="0"/>
                <w:szCs w:val="21"/>
              </w:rPr>
              <w:t>73,842,599.58</w:t>
            </w:r>
          </w:p>
        </w:tc>
        <w:tc>
          <w:tcPr>
            <w:tcW w:w="1616" w:type="dxa"/>
            <w:vAlign w:val="center"/>
          </w:tcPr>
          <w:p w:rsidR="001F0358" w:rsidRDefault="00642B9F">
            <w:pPr>
              <w:jc w:val="right"/>
            </w:pPr>
            <w:r>
              <w:rPr>
                <w:rFonts w:eastAsiaTheme="minorEastAsia"/>
                <w:kern w:val="0"/>
                <w:szCs w:val="21"/>
              </w:rPr>
              <w:t>3.93</w:t>
            </w:r>
          </w:p>
        </w:tc>
      </w:tr>
      <w:tr w:rsidR="001F0358">
        <w:tc>
          <w:tcPr>
            <w:tcW w:w="817" w:type="dxa"/>
            <w:vAlign w:val="center"/>
          </w:tcPr>
          <w:p w:rsidR="001F0358" w:rsidRDefault="00642B9F">
            <w:pPr>
              <w:jc w:val="center"/>
            </w:pPr>
            <w:r>
              <w:rPr>
                <w:rFonts w:eastAsiaTheme="minorEastAsia"/>
                <w:kern w:val="0"/>
                <w:szCs w:val="21"/>
              </w:rPr>
              <w:t>7</w:t>
            </w:r>
          </w:p>
        </w:tc>
        <w:tc>
          <w:tcPr>
            <w:tcW w:w="1276" w:type="dxa"/>
            <w:vAlign w:val="center"/>
          </w:tcPr>
          <w:p w:rsidR="001F0358" w:rsidRDefault="00642B9F">
            <w:pPr>
              <w:jc w:val="center"/>
            </w:pPr>
            <w:r>
              <w:rPr>
                <w:rFonts w:eastAsiaTheme="minorEastAsia"/>
                <w:kern w:val="0"/>
                <w:szCs w:val="21"/>
              </w:rPr>
              <w:t>002384</w:t>
            </w:r>
          </w:p>
        </w:tc>
        <w:tc>
          <w:tcPr>
            <w:tcW w:w="1701" w:type="dxa"/>
            <w:vAlign w:val="center"/>
          </w:tcPr>
          <w:p w:rsidR="001F0358" w:rsidRDefault="00642B9F">
            <w:pPr>
              <w:jc w:val="center"/>
            </w:pPr>
            <w:r>
              <w:rPr>
                <w:rFonts w:eastAsiaTheme="minorEastAsia"/>
                <w:kern w:val="0"/>
                <w:szCs w:val="21"/>
              </w:rPr>
              <w:t>东山精密</w:t>
            </w:r>
          </w:p>
        </w:tc>
        <w:tc>
          <w:tcPr>
            <w:tcW w:w="1276" w:type="dxa"/>
            <w:vAlign w:val="center"/>
          </w:tcPr>
          <w:p w:rsidR="001F0358" w:rsidRDefault="00642B9F">
            <w:pPr>
              <w:jc w:val="right"/>
            </w:pPr>
            <w:r>
              <w:rPr>
                <w:rFonts w:eastAsiaTheme="minorEastAsia"/>
                <w:kern w:val="0"/>
                <w:szCs w:val="21"/>
              </w:rPr>
              <w:t>2,731,600.00</w:t>
            </w:r>
          </w:p>
        </w:tc>
        <w:tc>
          <w:tcPr>
            <w:tcW w:w="1842" w:type="dxa"/>
            <w:vAlign w:val="center"/>
          </w:tcPr>
          <w:p w:rsidR="001F0358" w:rsidRDefault="00642B9F">
            <w:pPr>
              <w:jc w:val="right"/>
            </w:pPr>
            <w:r>
              <w:rPr>
                <w:rFonts w:eastAsiaTheme="minorEastAsia"/>
                <w:kern w:val="0"/>
                <w:szCs w:val="21"/>
              </w:rPr>
              <w:t>70,748,440.00</w:t>
            </w:r>
          </w:p>
        </w:tc>
        <w:tc>
          <w:tcPr>
            <w:tcW w:w="1616" w:type="dxa"/>
            <w:vAlign w:val="center"/>
          </w:tcPr>
          <w:p w:rsidR="001F0358" w:rsidRDefault="00642B9F">
            <w:pPr>
              <w:jc w:val="right"/>
            </w:pPr>
            <w:r>
              <w:rPr>
                <w:rFonts w:eastAsiaTheme="minorEastAsia"/>
                <w:kern w:val="0"/>
                <w:szCs w:val="21"/>
              </w:rPr>
              <w:t>3.76</w:t>
            </w:r>
          </w:p>
        </w:tc>
      </w:tr>
      <w:tr w:rsidR="001F0358">
        <w:tc>
          <w:tcPr>
            <w:tcW w:w="817" w:type="dxa"/>
            <w:vAlign w:val="center"/>
          </w:tcPr>
          <w:p w:rsidR="001F0358" w:rsidRDefault="00642B9F">
            <w:pPr>
              <w:jc w:val="center"/>
            </w:pPr>
            <w:r>
              <w:rPr>
                <w:rFonts w:eastAsiaTheme="minorEastAsia"/>
                <w:kern w:val="0"/>
                <w:szCs w:val="21"/>
              </w:rPr>
              <w:t>8</w:t>
            </w:r>
          </w:p>
        </w:tc>
        <w:tc>
          <w:tcPr>
            <w:tcW w:w="1276" w:type="dxa"/>
            <w:vAlign w:val="center"/>
          </w:tcPr>
          <w:p w:rsidR="001F0358" w:rsidRDefault="00642B9F">
            <w:pPr>
              <w:jc w:val="center"/>
            </w:pPr>
            <w:r>
              <w:rPr>
                <w:rFonts w:eastAsiaTheme="minorEastAsia"/>
                <w:kern w:val="0"/>
                <w:szCs w:val="21"/>
              </w:rPr>
              <w:t>688223</w:t>
            </w:r>
          </w:p>
        </w:tc>
        <w:tc>
          <w:tcPr>
            <w:tcW w:w="1701" w:type="dxa"/>
            <w:vAlign w:val="center"/>
          </w:tcPr>
          <w:p w:rsidR="001F0358" w:rsidRDefault="00642B9F">
            <w:pPr>
              <w:jc w:val="center"/>
            </w:pPr>
            <w:r>
              <w:rPr>
                <w:rFonts w:eastAsiaTheme="minorEastAsia"/>
                <w:kern w:val="0"/>
                <w:szCs w:val="21"/>
              </w:rPr>
              <w:t>晶科能源</w:t>
            </w:r>
          </w:p>
        </w:tc>
        <w:tc>
          <w:tcPr>
            <w:tcW w:w="1276" w:type="dxa"/>
            <w:vAlign w:val="center"/>
          </w:tcPr>
          <w:p w:rsidR="001F0358" w:rsidRDefault="00642B9F">
            <w:pPr>
              <w:jc w:val="right"/>
            </w:pPr>
            <w:r>
              <w:rPr>
                <w:rFonts w:eastAsiaTheme="minorEastAsia"/>
                <w:kern w:val="0"/>
                <w:szCs w:val="21"/>
              </w:rPr>
              <w:t>4,443,718.00</w:t>
            </w:r>
          </w:p>
        </w:tc>
        <w:tc>
          <w:tcPr>
            <w:tcW w:w="1842" w:type="dxa"/>
            <w:vAlign w:val="center"/>
          </w:tcPr>
          <w:p w:rsidR="001F0358" w:rsidRDefault="00642B9F">
            <w:pPr>
              <w:jc w:val="right"/>
            </w:pPr>
            <w:r>
              <w:rPr>
                <w:rFonts w:eastAsiaTheme="minorEastAsia"/>
                <w:kern w:val="0"/>
                <w:szCs w:val="21"/>
              </w:rPr>
              <w:t>62,478,675.08</w:t>
            </w:r>
          </w:p>
        </w:tc>
        <w:tc>
          <w:tcPr>
            <w:tcW w:w="1616" w:type="dxa"/>
            <w:vAlign w:val="center"/>
          </w:tcPr>
          <w:p w:rsidR="001F0358" w:rsidRDefault="00642B9F">
            <w:pPr>
              <w:jc w:val="right"/>
            </w:pPr>
            <w:r>
              <w:rPr>
                <w:rFonts w:eastAsiaTheme="minorEastAsia"/>
                <w:kern w:val="0"/>
                <w:szCs w:val="21"/>
              </w:rPr>
              <w:t>3.32</w:t>
            </w:r>
          </w:p>
        </w:tc>
      </w:tr>
      <w:tr w:rsidR="001F0358">
        <w:tc>
          <w:tcPr>
            <w:tcW w:w="817" w:type="dxa"/>
            <w:vAlign w:val="center"/>
          </w:tcPr>
          <w:p w:rsidR="001F0358" w:rsidRDefault="00642B9F">
            <w:pPr>
              <w:jc w:val="center"/>
            </w:pPr>
            <w:r>
              <w:rPr>
                <w:rFonts w:eastAsiaTheme="minorEastAsia"/>
                <w:kern w:val="0"/>
                <w:szCs w:val="21"/>
              </w:rPr>
              <w:t>9</w:t>
            </w:r>
          </w:p>
        </w:tc>
        <w:tc>
          <w:tcPr>
            <w:tcW w:w="1276" w:type="dxa"/>
            <w:vAlign w:val="center"/>
          </w:tcPr>
          <w:p w:rsidR="001F0358" w:rsidRDefault="00642B9F">
            <w:pPr>
              <w:jc w:val="center"/>
            </w:pPr>
            <w:r>
              <w:rPr>
                <w:rFonts w:eastAsiaTheme="minorEastAsia"/>
                <w:kern w:val="0"/>
                <w:szCs w:val="21"/>
              </w:rPr>
              <w:t>300274</w:t>
            </w:r>
          </w:p>
        </w:tc>
        <w:tc>
          <w:tcPr>
            <w:tcW w:w="1701" w:type="dxa"/>
            <w:vAlign w:val="center"/>
          </w:tcPr>
          <w:p w:rsidR="001F0358" w:rsidRDefault="00642B9F">
            <w:pPr>
              <w:jc w:val="center"/>
            </w:pPr>
            <w:r>
              <w:rPr>
                <w:rFonts w:eastAsiaTheme="minorEastAsia"/>
                <w:kern w:val="0"/>
                <w:szCs w:val="21"/>
              </w:rPr>
              <w:t>阳光电源</w:t>
            </w:r>
          </w:p>
        </w:tc>
        <w:tc>
          <w:tcPr>
            <w:tcW w:w="1276" w:type="dxa"/>
            <w:vAlign w:val="center"/>
          </w:tcPr>
          <w:p w:rsidR="001F0358" w:rsidRDefault="00642B9F">
            <w:pPr>
              <w:jc w:val="right"/>
            </w:pPr>
            <w:r>
              <w:rPr>
                <w:rFonts w:eastAsiaTheme="minorEastAsia"/>
                <w:kern w:val="0"/>
                <w:szCs w:val="21"/>
              </w:rPr>
              <w:t>535,300.00</w:t>
            </w:r>
          </w:p>
        </w:tc>
        <w:tc>
          <w:tcPr>
            <w:tcW w:w="1842" w:type="dxa"/>
            <w:vAlign w:val="center"/>
          </w:tcPr>
          <w:p w:rsidR="001F0358" w:rsidRDefault="00642B9F">
            <w:pPr>
              <w:jc w:val="right"/>
            </w:pPr>
            <w:r>
              <w:rPr>
                <w:rFonts w:eastAsiaTheme="minorEastAsia"/>
                <w:kern w:val="0"/>
                <w:szCs w:val="21"/>
              </w:rPr>
              <w:t>62,432,039.00</w:t>
            </w:r>
          </w:p>
        </w:tc>
        <w:tc>
          <w:tcPr>
            <w:tcW w:w="1616" w:type="dxa"/>
            <w:vAlign w:val="center"/>
          </w:tcPr>
          <w:p w:rsidR="001F0358" w:rsidRDefault="00642B9F">
            <w:pPr>
              <w:jc w:val="right"/>
            </w:pPr>
            <w:r>
              <w:rPr>
                <w:rFonts w:eastAsiaTheme="minorEastAsia"/>
                <w:kern w:val="0"/>
                <w:szCs w:val="21"/>
              </w:rPr>
              <w:t>3.32</w:t>
            </w:r>
          </w:p>
        </w:tc>
      </w:tr>
      <w:tr w:rsidR="001F0358">
        <w:tc>
          <w:tcPr>
            <w:tcW w:w="817" w:type="dxa"/>
            <w:vAlign w:val="center"/>
          </w:tcPr>
          <w:p w:rsidR="001F0358" w:rsidRDefault="00642B9F">
            <w:pPr>
              <w:jc w:val="center"/>
            </w:pPr>
            <w:r>
              <w:rPr>
                <w:rFonts w:eastAsiaTheme="minorEastAsia"/>
                <w:kern w:val="0"/>
                <w:szCs w:val="21"/>
              </w:rPr>
              <w:t>10</w:t>
            </w:r>
          </w:p>
        </w:tc>
        <w:tc>
          <w:tcPr>
            <w:tcW w:w="1276" w:type="dxa"/>
            <w:vAlign w:val="center"/>
          </w:tcPr>
          <w:p w:rsidR="001F0358" w:rsidRDefault="00642B9F">
            <w:pPr>
              <w:jc w:val="center"/>
            </w:pPr>
            <w:r>
              <w:rPr>
                <w:rFonts w:eastAsiaTheme="minorEastAsia"/>
                <w:kern w:val="0"/>
                <w:szCs w:val="21"/>
              </w:rPr>
              <w:t>00700</w:t>
            </w:r>
          </w:p>
        </w:tc>
        <w:tc>
          <w:tcPr>
            <w:tcW w:w="1701" w:type="dxa"/>
            <w:vAlign w:val="center"/>
          </w:tcPr>
          <w:p w:rsidR="001F0358" w:rsidRDefault="00642B9F">
            <w:pPr>
              <w:jc w:val="center"/>
            </w:pPr>
            <w:r>
              <w:rPr>
                <w:rFonts w:eastAsiaTheme="minorEastAsia"/>
                <w:kern w:val="0"/>
                <w:szCs w:val="21"/>
              </w:rPr>
              <w:t>腾讯控股</w:t>
            </w:r>
          </w:p>
        </w:tc>
        <w:tc>
          <w:tcPr>
            <w:tcW w:w="1276" w:type="dxa"/>
            <w:vAlign w:val="center"/>
          </w:tcPr>
          <w:p w:rsidR="001F0358" w:rsidRDefault="00642B9F">
            <w:pPr>
              <w:jc w:val="right"/>
            </w:pPr>
            <w:r>
              <w:rPr>
                <w:rFonts w:eastAsiaTheme="minorEastAsia"/>
                <w:kern w:val="0"/>
                <w:szCs w:val="21"/>
              </w:rPr>
              <w:t>179,900.00</w:t>
            </w:r>
          </w:p>
        </w:tc>
        <w:tc>
          <w:tcPr>
            <w:tcW w:w="1842" w:type="dxa"/>
            <w:vAlign w:val="center"/>
          </w:tcPr>
          <w:p w:rsidR="001F0358" w:rsidRDefault="00642B9F">
            <w:pPr>
              <w:jc w:val="right"/>
            </w:pPr>
            <w:r>
              <w:rPr>
                <w:rFonts w:eastAsiaTheme="minorEastAsia"/>
                <w:kern w:val="0"/>
                <w:szCs w:val="21"/>
              </w:rPr>
              <w:t>55,000,569.38</w:t>
            </w:r>
          </w:p>
        </w:tc>
        <w:tc>
          <w:tcPr>
            <w:tcW w:w="1616" w:type="dxa"/>
            <w:vAlign w:val="center"/>
          </w:tcPr>
          <w:p w:rsidR="001F0358" w:rsidRDefault="00642B9F">
            <w:pPr>
              <w:jc w:val="right"/>
            </w:pPr>
            <w:r>
              <w:rPr>
                <w:rFonts w:eastAsiaTheme="minorEastAsia"/>
                <w:kern w:val="0"/>
                <w:szCs w:val="21"/>
              </w:rPr>
              <w:t>2.93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504,975.81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187,288.00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172,894.07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865,157.88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摩根行业睿选股票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摩根行业睿选股票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2,143,105,923.24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574,868,413.56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19,605,704.08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17,487,057.60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88,478,355.57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37,965,527.08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2,074,233,271.75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554,389,944.08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摩根行业睿选股票型证券投资基金基金合同</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摩根行业睿选股票型证券投资基金托管协议</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1F0358" w:rsidRDefault="00642B9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42B9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42B9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42B9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摩根行业睿选股票型证券投资基金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58"/>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03A2"/>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A4F"/>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4778"/>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B9F"/>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6AC5"/>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CC99C-001C-4F89-811B-07B4D5B0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14</Pages>
  <Words>1153</Words>
  <Characters>6575</Characters>
  <Application>Microsoft Office Word</Application>
  <DocSecurity>0</DocSecurity>
  <Lines>54</Lines>
  <Paragraphs>15</Paragraphs>
  <ScaleCrop>false</ScaleCrop>
  <Company>TRT. Ltd. Co.</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225</cp:revision>
  <cp:lastPrinted>2007-07-19T00:46:00Z</cp:lastPrinted>
  <dcterms:created xsi:type="dcterms:W3CDTF">2013-06-21T06:56:00Z</dcterms:created>
  <dcterms:modified xsi:type="dcterms:W3CDTF">2023-07-20T06:02:00Z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