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摩根远见两年持有期混合型证券投资基金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2023</w:t>
      </w:r>
      <w:r w:rsidRPr="00FF6B9A">
        <w:rPr>
          <w:rFonts w:eastAsiaTheme="minorEastAsia"/>
          <w:b/>
          <w:color w:val="000000" w:themeColor="text1"/>
          <w:sz w:val="36"/>
          <w:szCs w:val="36"/>
        </w:rPr>
        <w:t>年第</w:t>
      </w:r>
      <w:r w:rsidRPr="00FF6B9A">
        <w:rPr>
          <w:rFonts w:eastAsiaTheme="minorEastAsia"/>
          <w:b/>
          <w:color w:val="000000" w:themeColor="text1"/>
          <w:sz w:val="36"/>
          <w:szCs w:val="36"/>
        </w:rPr>
        <w:t>1</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2023</w:t>
      </w:r>
      <w:r w:rsidRPr="00FF6B9A">
        <w:rPr>
          <w:rFonts w:eastAsiaTheme="minorEastAsia"/>
          <w:b/>
          <w:color w:val="000000" w:themeColor="text1"/>
          <w:sz w:val="36"/>
          <w:szCs w:val="36"/>
        </w:rPr>
        <w:t>年</w:t>
      </w:r>
      <w:r w:rsidRPr="00FF6B9A">
        <w:rPr>
          <w:rFonts w:eastAsiaTheme="minorEastAsia"/>
          <w:b/>
          <w:color w:val="000000" w:themeColor="text1"/>
          <w:sz w:val="36"/>
          <w:szCs w:val="36"/>
        </w:rPr>
        <w:t>3</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报告送出日期：二〇二三年四月二十一日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A24BE7" w:rsidRDefault="00415387">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A24BE7" w:rsidRDefault="00415387">
      <w:pPr>
        <w:spacing w:line="360" w:lineRule="auto"/>
        <w:ind w:firstLineChars="200" w:firstLine="420"/>
        <w:rPr>
          <w:rFonts w:eastAsiaTheme="minorEastAsia"/>
          <w:color w:val="000000" w:themeColor="text1"/>
        </w:rPr>
      </w:pPr>
      <w:r>
        <w:rPr>
          <w:rFonts w:eastAsiaTheme="minorEastAsia"/>
          <w:color w:val="000000" w:themeColor="text1"/>
        </w:rPr>
        <w:t>基金托管人中国银行股份有限公司根据本基金合同规定，于</w:t>
      </w:r>
      <w:r>
        <w:rPr>
          <w:rFonts w:eastAsiaTheme="minorEastAsia"/>
          <w:color w:val="000000" w:themeColor="text1"/>
        </w:rPr>
        <w:t>2023</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w:t>
      </w:r>
      <w:r>
        <w:rPr>
          <w:rFonts w:eastAsiaTheme="minorEastAsia"/>
          <w:color w:val="000000" w:themeColor="text1"/>
        </w:rPr>
        <w:t>20</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A24BE7" w:rsidRDefault="00415387">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A24BE7" w:rsidRDefault="00415387">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A24BE7" w:rsidRDefault="00415387">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1</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3</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摩根远见两年持有期混合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2021</w:t>
            </w:r>
            <w:r w:rsidRPr="00FF6B9A">
              <w:rPr>
                <w:rFonts w:eastAsiaTheme="minorEastAsia"/>
                <w:color w:val="000000" w:themeColor="text1"/>
                <w:kern w:val="0"/>
              </w:rPr>
              <w:t>年</w:t>
            </w:r>
            <w:r w:rsidRPr="00FF6B9A">
              <w:rPr>
                <w:rFonts w:eastAsiaTheme="minorEastAsia"/>
                <w:color w:val="000000" w:themeColor="text1"/>
                <w:kern w:val="0"/>
              </w:rPr>
              <w:t>1</w:t>
            </w:r>
            <w:r w:rsidRPr="00FF6B9A">
              <w:rPr>
                <w:rFonts w:eastAsiaTheme="minorEastAsia"/>
                <w:color w:val="000000" w:themeColor="text1"/>
                <w:kern w:val="0"/>
              </w:rPr>
              <w:t>月</w:t>
            </w:r>
            <w:r w:rsidRPr="00FF6B9A">
              <w:rPr>
                <w:rFonts w:eastAsiaTheme="minorEastAsia"/>
                <w:color w:val="000000" w:themeColor="text1"/>
                <w:kern w:val="0"/>
              </w:rPr>
              <w:t>11</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5,928,004,679.55</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采用定量及定性研究方法，通过自上而下资产配置与自下而上精选个股相结合，基于严格的风险控制，力争实现基金资产的长期增值。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A24BE7" w:rsidRDefault="00415387">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A24BE7" w:rsidRDefault="00415387">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w:t>
            </w:r>
            <w:r>
              <w:rPr>
                <w:rFonts w:eastAsiaTheme="minorEastAsia"/>
                <w:color w:val="000000" w:themeColor="text1"/>
                <w:kern w:val="0"/>
              </w:rPr>
              <w:lastRenderedPageBreak/>
              <w:t xml:space="preserve">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A24BE7" w:rsidRDefault="00415387">
            <w:pPr>
              <w:adjustRightInd w:val="0"/>
              <w:spacing w:before="29" w:line="360" w:lineRule="auto"/>
              <w:ind w:left="17"/>
              <w:rPr>
                <w:rFonts w:eastAsiaTheme="minorEastAsia"/>
                <w:color w:val="000000" w:themeColor="text1"/>
              </w:rPr>
            </w:pPr>
            <w:r>
              <w:rPr>
                <w:rFonts w:eastAsiaTheme="minorEastAsia"/>
                <w:color w:val="000000" w:themeColor="text1"/>
                <w:kern w:val="0"/>
              </w:rPr>
              <w:t>在控制风险的前提下，本基金将优先配置股票资产，本基金股票资产占基金资产的投资比例为</w:t>
            </w:r>
            <w:r>
              <w:rPr>
                <w:rFonts w:eastAsiaTheme="minorEastAsia"/>
                <w:color w:val="000000" w:themeColor="text1"/>
                <w:kern w:val="0"/>
              </w:rPr>
              <w:t>60%-95%</w:t>
            </w:r>
            <w:r>
              <w:rPr>
                <w:rFonts w:eastAsiaTheme="minorEastAsia"/>
                <w:color w:val="000000" w:themeColor="text1"/>
                <w:kern w:val="0"/>
              </w:rPr>
              <w:t>，其中港股通标的股票的投资比例不超过基金资产的</w:t>
            </w:r>
            <w:r>
              <w:rPr>
                <w:rFonts w:eastAsiaTheme="minorEastAsia"/>
                <w:color w:val="000000" w:themeColor="text1"/>
                <w:kern w:val="0"/>
              </w:rPr>
              <w:t>30%</w:t>
            </w:r>
            <w:r>
              <w:rPr>
                <w:rFonts w:eastAsiaTheme="minorEastAsia"/>
                <w:color w:val="000000" w:themeColor="text1"/>
                <w:kern w:val="0"/>
              </w:rPr>
              <w:t>，且不超过股票资产的</w:t>
            </w:r>
            <w:r>
              <w:rPr>
                <w:rFonts w:eastAsiaTheme="minorEastAsia"/>
                <w:color w:val="000000" w:themeColor="text1"/>
                <w:kern w:val="0"/>
              </w:rPr>
              <w:t>50%</w:t>
            </w:r>
            <w:r>
              <w:rPr>
                <w:rFonts w:eastAsiaTheme="minorEastAsia"/>
                <w:color w:val="000000" w:themeColor="text1"/>
                <w:kern w:val="0"/>
              </w:rPr>
              <w:t>。</w:t>
            </w:r>
          </w:p>
          <w:p w:rsidR="00A24BE7" w:rsidRDefault="00415387">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A24BE7" w:rsidRDefault="00415387">
            <w:pPr>
              <w:adjustRightInd w:val="0"/>
              <w:spacing w:before="29" w:line="360" w:lineRule="auto"/>
              <w:ind w:left="17"/>
              <w:rPr>
                <w:rFonts w:eastAsiaTheme="minorEastAsia"/>
                <w:color w:val="000000" w:themeColor="text1"/>
              </w:rPr>
            </w:pPr>
            <w:r>
              <w:rPr>
                <w:rFonts w:eastAsiaTheme="minorEastAsia"/>
                <w:color w:val="000000" w:themeColor="text1"/>
                <w:kern w:val="0"/>
              </w:rPr>
              <w:t>本基金坚持</w:t>
            </w:r>
            <w:r>
              <w:rPr>
                <w:rFonts w:eastAsiaTheme="minorEastAsia"/>
                <w:color w:val="000000" w:themeColor="text1"/>
                <w:kern w:val="0"/>
              </w:rPr>
              <w:t>“</w:t>
            </w:r>
            <w:r>
              <w:rPr>
                <w:rFonts w:eastAsiaTheme="minorEastAsia"/>
                <w:color w:val="000000" w:themeColor="text1"/>
                <w:kern w:val="0"/>
              </w:rPr>
              <w:t>挖掘优势行业高成长个股</w:t>
            </w:r>
            <w:r>
              <w:rPr>
                <w:rFonts w:eastAsiaTheme="minorEastAsia"/>
                <w:color w:val="000000" w:themeColor="text1"/>
                <w:kern w:val="0"/>
              </w:rPr>
              <w:t>”</w:t>
            </w:r>
            <w:r>
              <w:rPr>
                <w:rFonts w:eastAsiaTheme="minorEastAsia"/>
                <w:color w:val="000000" w:themeColor="text1"/>
                <w:kern w:val="0"/>
              </w:rPr>
              <w:t>的选股理念，依托基金管理人的研究平台，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较基准的超额收益。</w:t>
            </w:r>
          </w:p>
          <w:p w:rsidR="00A24BE7" w:rsidRDefault="00415387">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rsidR="00A24BE7" w:rsidRDefault="00415387">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内地与香港股票市场交易互联互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A24BE7" w:rsidRDefault="00415387">
            <w:pPr>
              <w:adjustRightInd w:val="0"/>
              <w:spacing w:before="29" w:line="360" w:lineRule="auto"/>
              <w:ind w:left="17"/>
              <w:rPr>
                <w:rFonts w:eastAsiaTheme="minorEastAsia"/>
                <w:color w:val="000000" w:themeColor="text1"/>
              </w:rPr>
            </w:pPr>
            <w:r>
              <w:rPr>
                <w:rFonts w:eastAsiaTheme="minorEastAsia"/>
                <w:color w:val="000000" w:themeColor="text1"/>
                <w:kern w:val="0"/>
              </w:rPr>
              <w:t>本基金将自上而下地甄选行业，通过对行业政策、景气度、估值吸引力比较、市场预期等标准确定行业配置方案，并通过自下而上方法分析个股，结合各项定量和定性指标挑选出最具上涨潜力的标的。</w:t>
            </w:r>
          </w:p>
          <w:p w:rsidR="00A24BE7" w:rsidRDefault="00415387">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rsidR="00A24BE7" w:rsidRDefault="00415387">
            <w:pPr>
              <w:adjustRightInd w:val="0"/>
              <w:spacing w:before="29" w:line="360" w:lineRule="auto"/>
              <w:ind w:left="17"/>
              <w:rPr>
                <w:rFonts w:eastAsiaTheme="minorEastAsia"/>
                <w:color w:val="000000" w:themeColor="text1"/>
              </w:rPr>
            </w:pPr>
            <w:r>
              <w:rPr>
                <w:rFonts w:eastAsiaTheme="minorEastAsia"/>
                <w:color w:val="000000" w:themeColor="text1"/>
                <w:kern w:val="0"/>
              </w:rPr>
              <w:lastRenderedPageBreak/>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A24BE7" w:rsidRDefault="00415387">
            <w:pPr>
              <w:adjustRightInd w:val="0"/>
              <w:spacing w:before="29" w:line="360" w:lineRule="auto"/>
              <w:ind w:left="17"/>
              <w:rPr>
                <w:rFonts w:eastAsiaTheme="minorEastAsia"/>
                <w:color w:val="000000" w:themeColor="text1"/>
              </w:rPr>
            </w:pPr>
            <w:r>
              <w:rPr>
                <w:rFonts w:eastAsiaTheme="minorEastAsia"/>
                <w:color w:val="000000" w:themeColor="text1"/>
                <w:kern w:val="0"/>
              </w:rPr>
              <w:t>5</w:t>
            </w:r>
            <w:r>
              <w:rPr>
                <w:rFonts w:eastAsiaTheme="minorEastAsia"/>
                <w:color w:val="000000" w:themeColor="text1"/>
                <w:kern w:val="0"/>
              </w:rPr>
              <w:t>、其他投资策略</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包括股指期货投资策略、资产支持证券投资策略、股票期权投资策略、证券公司短期公司债券投资策略、存托凭证投资策略。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*75%+</w:t>
            </w:r>
            <w:r w:rsidRPr="00FF6B9A">
              <w:rPr>
                <w:rFonts w:eastAsiaTheme="minorEastAsia"/>
                <w:color w:val="000000" w:themeColor="text1"/>
                <w:kern w:val="0"/>
              </w:rPr>
              <w:t>中证港股通指数收益率</w:t>
            </w:r>
            <w:r w:rsidRPr="00FF6B9A">
              <w:rPr>
                <w:rFonts w:eastAsiaTheme="minorEastAsia"/>
                <w:color w:val="000000" w:themeColor="text1"/>
                <w:kern w:val="0"/>
              </w:rPr>
              <w:t>*10%+</w:t>
            </w:r>
            <w:r w:rsidRPr="00FF6B9A">
              <w:rPr>
                <w:rFonts w:eastAsiaTheme="minorEastAsia"/>
                <w:color w:val="000000" w:themeColor="text1"/>
                <w:kern w:val="0"/>
              </w:rPr>
              <w:t>上证国债指数收益率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415387" w:rsidRPr="00FF6B9A" w:rsidTr="00415387">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1</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3</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415387" w:rsidRPr="00FF6B9A" w:rsidTr="00415387">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-397,842,720.48</w:t>
            </w:r>
          </w:p>
        </w:tc>
      </w:tr>
      <w:tr w:rsidR="00415387" w:rsidRPr="00FF6B9A" w:rsidTr="00415387">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64,231,181.86</w:t>
            </w:r>
          </w:p>
        </w:tc>
      </w:tr>
      <w:tr w:rsidR="00415387" w:rsidRPr="00FF6B9A" w:rsidTr="00415387">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0.0104</w:t>
            </w:r>
          </w:p>
        </w:tc>
      </w:tr>
      <w:tr w:rsidR="00415387" w:rsidRPr="00FF6B9A" w:rsidTr="00415387">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4,457,766,949.11</w:t>
            </w:r>
          </w:p>
        </w:tc>
      </w:tr>
      <w:tr w:rsidR="00415387" w:rsidRPr="00FF6B9A" w:rsidTr="00415387">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0.7520</w:t>
            </w:r>
          </w:p>
        </w:tc>
      </w:tr>
    </w:tbl>
    <w:p w:rsidR="00A24BE7" w:rsidRDefault="00415387">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A24BE7">
        <w:tc>
          <w:tcPr>
            <w:tcW w:w="1395" w:type="dxa"/>
            <w:vAlign w:val="center"/>
          </w:tcPr>
          <w:p w:rsidR="00A24BE7" w:rsidRDefault="00415387">
            <w:pPr>
              <w:jc w:val="left"/>
            </w:pPr>
            <w:r>
              <w:rPr>
                <w:rFonts w:eastAsiaTheme="minorEastAsia"/>
                <w:color w:val="000000" w:themeColor="text1"/>
                <w:kern w:val="0"/>
              </w:rPr>
              <w:t>过去三个月</w:t>
            </w:r>
          </w:p>
        </w:tc>
        <w:tc>
          <w:tcPr>
            <w:tcW w:w="1092" w:type="dxa"/>
            <w:vAlign w:val="center"/>
          </w:tcPr>
          <w:p w:rsidR="00A24BE7" w:rsidRDefault="00415387">
            <w:pPr>
              <w:jc w:val="center"/>
            </w:pPr>
            <w:r>
              <w:rPr>
                <w:rFonts w:eastAsiaTheme="minorEastAsia"/>
                <w:color w:val="000000" w:themeColor="text1"/>
                <w:kern w:val="0"/>
              </w:rPr>
              <w:t>1.25%</w:t>
            </w:r>
          </w:p>
        </w:tc>
        <w:tc>
          <w:tcPr>
            <w:tcW w:w="1161" w:type="dxa"/>
            <w:vAlign w:val="center"/>
          </w:tcPr>
          <w:p w:rsidR="00A24BE7" w:rsidRDefault="00415387">
            <w:pPr>
              <w:jc w:val="center"/>
            </w:pPr>
            <w:r>
              <w:rPr>
                <w:rFonts w:eastAsiaTheme="minorEastAsia"/>
                <w:color w:val="000000" w:themeColor="text1"/>
                <w:kern w:val="0"/>
              </w:rPr>
              <w:t>1.02%</w:t>
            </w:r>
          </w:p>
        </w:tc>
        <w:tc>
          <w:tcPr>
            <w:tcW w:w="1181" w:type="dxa"/>
            <w:vAlign w:val="center"/>
          </w:tcPr>
          <w:p w:rsidR="00A24BE7" w:rsidRDefault="00415387">
            <w:pPr>
              <w:jc w:val="center"/>
            </w:pPr>
            <w:r>
              <w:rPr>
                <w:rFonts w:eastAsiaTheme="minorEastAsia"/>
                <w:color w:val="000000" w:themeColor="text1"/>
                <w:kern w:val="0"/>
              </w:rPr>
              <w:t>4.23%</w:t>
            </w:r>
          </w:p>
        </w:tc>
        <w:tc>
          <w:tcPr>
            <w:tcW w:w="1188" w:type="dxa"/>
            <w:vAlign w:val="center"/>
          </w:tcPr>
          <w:p w:rsidR="00A24BE7" w:rsidRDefault="00415387">
            <w:pPr>
              <w:jc w:val="center"/>
            </w:pPr>
            <w:r>
              <w:rPr>
                <w:rFonts w:eastAsiaTheme="minorEastAsia"/>
                <w:color w:val="000000" w:themeColor="text1"/>
                <w:kern w:val="0"/>
              </w:rPr>
              <w:t>0.69%</w:t>
            </w:r>
          </w:p>
        </w:tc>
        <w:tc>
          <w:tcPr>
            <w:tcW w:w="1199" w:type="dxa"/>
            <w:vAlign w:val="center"/>
          </w:tcPr>
          <w:p w:rsidR="00A24BE7" w:rsidRDefault="00415387">
            <w:pPr>
              <w:jc w:val="center"/>
            </w:pPr>
            <w:r>
              <w:rPr>
                <w:rFonts w:eastAsiaTheme="minorEastAsia"/>
                <w:color w:val="000000" w:themeColor="text1"/>
                <w:kern w:val="0"/>
              </w:rPr>
              <w:t>-2.98%</w:t>
            </w:r>
          </w:p>
        </w:tc>
        <w:tc>
          <w:tcPr>
            <w:tcW w:w="1204" w:type="dxa"/>
            <w:vAlign w:val="center"/>
          </w:tcPr>
          <w:p w:rsidR="00A24BE7" w:rsidRDefault="00415387">
            <w:pPr>
              <w:jc w:val="center"/>
            </w:pPr>
            <w:r>
              <w:rPr>
                <w:rFonts w:eastAsiaTheme="minorEastAsia"/>
                <w:color w:val="000000" w:themeColor="text1"/>
                <w:kern w:val="0"/>
              </w:rPr>
              <w:t>0.33%</w:t>
            </w:r>
          </w:p>
        </w:tc>
      </w:tr>
      <w:tr w:rsidR="00A24BE7">
        <w:tc>
          <w:tcPr>
            <w:tcW w:w="1395" w:type="dxa"/>
            <w:vAlign w:val="center"/>
          </w:tcPr>
          <w:p w:rsidR="00A24BE7" w:rsidRDefault="00415387">
            <w:pPr>
              <w:jc w:val="left"/>
            </w:pPr>
            <w:r>
              <w:rPr>
                <w:rFonts w:eastAsiaTheme="minorEastAsia"/>
                <w:color w:val="000000" w:themeColor="text1"/>
                <w:kern w:val="0"/>
              </w:rPr>
              <w:t>过去六个月</w:t>
            </w:r>
          </w:p>
        </w:tc>
        <w:tc>
          <w:tcPr>
            <w:tcW w:w="1092" w:type="dxa"/>
            <w:vAlign w:val="center"/>
          </w:tcPr>
          <w:p w:rsidR="00A24BE7" w:rsidRDefault="00415387">
            <w:pPr>
              <w:jc w:val="center"/>
            </w:pPr>
            <w:r>
              <w:rPr>
                <w:rFonts w:eastAsiaTheme="minorEastAsia"/>
                <w:color w:val="000000" w:themeColor="text1"/>
                <w:kern w:val="0"/>
              </w:rPr>
              <w:t>-6.07%</w:t>
            </w:r>
          </w:p>
        </w:tc>
        <w:tc>
          <w:tcPr>
            <w:tcW w:w="1161" w:type="dxa"/>
            <w:vAlign w:val="center"/>
          </w:tcPr>
          <w:p w:rsidR="00A24BE7" w:rsidRDefault="00415387">
            <w:pPr>
              <w:jc w:val="center"/>
            </w:pPr>
            <w:r>
              <w:rPr>
                <w:rFonts w:eastAsiaTheme="minorEastAsia"/>
                <w:color w:val="000000" w:themeColor="text1"/>
                <w:kern w:val="0"/>
              </w:rPr>
              <w:t>1.27%</w:t>
            </w:r>
          </w:p>
        </w:tc>
        <w:tc>
          <w:tcPr>
            <w:tcW w:w="1181" w:type="dxa"/>
            <w:vAlign w:val="center"/>
          </w:tcPr>
          <w:p w:rsidR="00A24BE7" w:rsidRDefault="00415387">
            <w:pPr>
              <w:jc w:val="center"/>
            </w:pPr>
            <w:r>
              <w:rPr>
                <w:rFonts w:eastAsiaTheme="minorEastAsia"/>
                <w:color w:val="000000" w:themeColor="text1"/>
                <w:kern w:val="0"/>
              </w:rPr>
              <w:t>7.37%</w:t>
            </w:r>
          </w:p>
        </w:tc>
        <w:tc>
          <w:tcPr>
            <w:tcW w:w="1188" w:type="dxa"/>
            <w:vAlign w:val="center"/>
          </w:tcPr>
          <w:p w:rsidR="00A24BE7" w:rsidRDefault="00415387">
            <w:pPr>
              <w:jc w:val="center"/>
            </w:pPr>
            <w:r>
              <w:rPr>
                <w:rFonts w:eastAsiaTheme="minorEastAsia"/>
                <w:color w:val="000000" w:themeColor="text1"/>
                <w:kern w:val="0"/>
              </w:rPr>
              <w:t>0.88%</w:t>
            </w:r>
          </w:p>
        </w:tc>
        <w:tc>
          <w:tcPr>
            <w:tcW w:w="1199" w:type="dxa"/>
            <w:vAlign w:val="center"/>
          </w:tcPr>
          <w:p w:rsidR="00A24BE7" w:rsidRDefault="00415387">
            <w:pPr>
              <w:jc w:val="center"/>
            </w:pPr>
            <w:r>
              <w:rPr>
                <w:rFonts w:eastAsiaTheme="minorEastAsia"/>
                <w:color w:val="000000" w:themeColor="text1"/>
                <w:kern w:val="0"/>
              </w:rPr>
              <w:t>-13.44%</w:t>
            </w:r>
          </w:p>
        </w:tc>
        <w:tc>
          <w:tcPr>
            <w:tcW w:w="1204" w:type="dxa"/>
            <w:vAlign w:val="center"/>
          </w:tcPr>
          <w:p w:rsidR="00A24BE7" w:rsidRDefault="00415387">
            <w:pPr>
              <w:jc w:val="center"/>
            </w:pPr>
            <w:r>
              <w:rPr>
                <w:rFonts w:eastAsiaTheme="minorEastAsia"/>
                <w:color w:val="000000" w:themeColor="text1"/>
                <w:kern w:val="0"/>
              </w:rPr>
              <w:t>0.39%</w:t>
            </w:r>
          </w:p>
        </w:tc>
      </w:tr>
      <w:tr w:rsidR="00A24BE7">
        <w:tc>
          <w:tcPr>
            <w:tcW w:w="1395" w:type="dxa"/>
            <w:vAlign w:val="center"/>
          </w:tcPr>
          <w:p w:rsidR="00A24BE7" w:rsidRDefault="00415387">
            <w:pPr>
              <w:jc w:val="left"/>
            </w:pPr>
            <w:r>
              <w:rPr>
                <w:rFonts w:eastAsiaTheme="minorEastAsia"/>
                <w:color w:val="000000" w:themeColor="text1"/>
                <w:kern w:val="0"/>
              </w:rPr>
              <w:t>过去一年</w:t>
            </w:r>
          </w:p>
        </w:tc>
        <w:tc>
          <w:tcPr>
            <w:tcW w:w="1092" w:type="dxa"/>
            <w:vAlign w:val="center"/>
          </w:tcPr>
          <w:p w:rsidR="00A24BE7" w:rsidRDefault="00415387">
            <w:pPr>
              <w:jc w:val="center"/>
            </w:pPr>
            <w:r>
              <w:rPr>
                <w:rFonts w:eastAsiaTheme="minorEastAsia"/>
                <w:color w:val="000000" w:themeColor="text1"/>
                <w:kern w:val="0"/>
              </w:rPr>
              <w:t>-15.80%</w:t>
            </w:r>
          </w:p>
        </w:tc>
        <w:tc>
          <w:tcPr>
            <w:tcW w:w="1161" w:type="dxa"/>
            <w:vAlign w:val="center"/>
          </w:tcPr>
          <w:p w:rsidR="00A24BE7" w:rsidRDefault="00415387">
            <w:pPr>
              <w:jc w:val="center"/>
            </w:pPr>
            <w:r>
              <w:rPr>
                <w:rFonts w:eastAsiaTheme="minorEastAsia"/>
                <w:color w:val="000000" w:themeColor="text1"/>
                <w:kern w:val="0"/>
              </w:rPr>
              <w:t>1.68%</w:t>
            </w:r>
          </w:p>
        </w:tc>
        <w:tc>
          <w:tcPr>
            <w:tcW w:w="1181" w:type="dxa"/>
            <w:vAlign w:val="center"/>
          </w:tcPr>
          <w:p w:rsidR="00A24BE7" w:rsidRDefault="00415387">
            <w:pPr>
              <w:jc w:val="center"/>
            </w:pPr>
            <w:r>
              <w:rPr>
                <w:rFonts w:eastAsiaTheme="minorEastAsia"/>
                <w:color w:val="000000" w:themeColor="text1"/>
                <w:kern w:val="0"/>
              </w:rPr>
              <w:t>-1.75%</w:t>
            </w:r>
          </w:p>
        </w:tc>
        <w:tc>
          <w:tcPr>
            <w:tcW w:w="1188" w:type="dxa"/>
            <w:vAlign w:val="center"/>
          </w:tcPr>
          <w:p w:rsidR="00A24BE7" w:rsidRDefault="00415387">
            <w:pPr>
              <w:jc w:val="center"/>
            </w:pPr>
            <w:r>
              <w:rPr>
                <w:rFonts w:eastAsiaTheme="minorEastAsia"/>
                <w:color w:val="000000" w:themeColor="text1"/>
                <w:kern w:val="0"/>
              </w:rPr>
              <w:t>0.95%</w:t>
            </w:r>
          </w:p>
        </w:tc>
        <w:tc>
          <w:tcPr>
            <w:tcW w:w="1199" w:type="dxa"/>
            <w:vAlign w:val="center"/>
          </w:tcPr>
          <w:p w:rsidR="00A24BE7" w:rsidRDefault="00415387">
            <w:pPr>
              <w:jc w:val="center"/>
            </w:pPr>
            <w:r>
              <w:rPr>
                <w:rFonts w:eastAsiaTheme="minorEastAsia"/>
                <w:color w:val="000000" w:themeColor="text1"/>
                <w:kern w:val="0"/>
              </w:rPr>
              <w:t>-14.05%</w:t>
            </w:r>
          </w:p>
        </w:tc>
        <w:tc>
          <w:tcPr>
            <w:tcW w:w="1204" w:type="dxa"/>
            <w:vAlign w:val="center"/>
          </w:tcPr>
          <w:p w:rsidR="00A24BE7" w:rsidRDefault="00415387">
            <w:pPr>
              <w:jc w:val="center"/>
            </w:pPr>
            <w:r>
              <w:rPr>
                <w:rFonts w:eastAsiaTheme="minorEastAsia"/>
                <w:color w:val="000000" w:themeColor="text1"/>
                <w:kern w:val="0"/>
              </w:rPr>
              <w:t>0.73%</w:t>
            </w:r>
          </w:p>
        </w:tc>
      </w:tr>
      <w:tr w:rsidR="00A24BE7">
        <w:tc>
          <w:tcPr>
            <w:tcW w:w="1395" w:type="dxa"/>
            <w:vAlign w:val="center"/>
          </w:tcPr>
          <w:p w:rsidR="00A24BE7" w:rsidRDefault="00415387">
            <w:pPr>
              <w:jc w:val="left"/>
            </w:pPr>
            <w:r>
              <w:rPr>
                <w:rFonts w:eastAsiaTheme="minorEastAsia"/>
                <w:color w:val="000000" w:themeColor="text1"/>
                <w:kern w:val="0"/>
              </w:rPr>
              <w:t>过去三年</w:t>
            </w:r>
          </w:p>
        </w:tc>
        <w:tc>
          <w:tcPr>
            <w:tcW w:w="1092" w:type="dxa"/>
            <w:vAlign w:val="center"/>
          </w:tcPr>
          <w:p w:rsidR="00A24BE7" w:rsidRDefault="00415387">
            <w:pPr>
              <w:jc w:val="center"/>
            </w:pPr>
            <w:r>
              <w:rPr>
                <w:rFonts w:eastAsiaTheme="minorEastAsia"/>
                <w:color w:val="000000" w:themeColor="text1"/>
                <w:kern w:val="0"/>
              </w:rPr>
              <w:t>-</w:t>
            </w:r>
          </w:p>
        </w:tc>
        <w:tc>
          <w:tcPr>
            <w:tcW w:w="1161" w:type="dxa"/>
            <w:vAlign w:val="center"/>
          </w:tcPr>
          <w:p w:rsidR="00A24BE7" w:rsidRDefault="00415387">
            <w:pPr>
              <w:jc w:val="center"/>
            </w:pPr>
            <w:r>
              <w:rPr>
                <w:rFonts w:eastAsiaTheme="minorEastAsia"/>
                <w:color w:val="000000" w:themeColor="text1"/>
                <w:kern w:val="0"/>
              </w:rPr>
              <w:t>-</w:t>
            </w:r>
          </w:p>
        </w:tc>
        <w:tc>
          <w:tcPr>
            <w:tcW w:w="1181" w:type="dxa"/>
            <w:vAlign w:val="center"/>
          </w:tcPr>
          <w:p w:rsidR="00A24BE7" w:rsidRDefault="00415387">
            <w:pPr>
              <w:jc w:val="center"/>
            </w:pPr>
            <w:r>
              <w:rPr>
                <w:rFonts w:eastAsiaTheme="minorEastAsia"/>
                <w:color w:val="000000" w:themeColor="text1"/>
                <w:kern w:val="0"/>
              </w:rPr>
              <w:t>-</w:t>
            </w:r>
          </w:p>
        </w:tc>
        <w:tc>
          <w:tcPr>
            <w:tcW w:w="1188" w:type="dxa"/>
            <w:vAlign w:val="center"/>
          </w:tcPr>
          <w:p w:rsidR="00A24BE7" w:rsidRDefault="00415387">
            <w:pPr>
              <w:jc w:val="center"/>
            </w:pPr>
            <w:r>
              <w:rPr>
                <w:rFonts w:eastAsiaTheme="minorEastAsia"/>
                <w:color w:val="000000" w:themeColor="text1"/>
                <w:kern w:val="0"/>
              </w:rPr>
              <w:t>-</w:t>
            </w:r>
          </w:p>
        </w:tc>
        <w:tc>
          <w:tcPr>
            <w:tcW w:w="1199" w:type="dxa"/>
            <w:vAlign w:val="center"/>
          </w:tcPr>
          <w:p w:rsidR="00A24BE7" w:rsidRDefault="00415387">
            <w:pPr>
              <w:jc w:val="center"/>
            </w:pPr>
            <w:r>
              <w:rPr>
                <w:rFonts w:eastAsiaTheme="minorEastAsia"/>
                <w:color w:val="000000" w:themeColor="text1"/>
                <w:kern w:val="0"/>
              </w:rPr>
              <w:t>-</w:t>
            </w:r>
          </w:p>
        </w:tc>
        <w:tc>
          <w:tcPr>
            <w:tcW w:w="1204" w:type="dxa"/>
            <w:vAlign w:val="center"/>
          </w:tcPr>
          <w:p w:rsidR="00A24BE7" w:rsidRDefault="00415387">
            <w:pPr>
              <w:jc w:val="center"/>
            </w:pPr>
            <w:r>
              <w:rPr>
                <w:rFonts w:eastAsiaTheme="minorEastAsia"/>
                <w:color w:val="000000" w:themeColor="text1"/>
                <w:kern w:val="0"/>
              </w:rPr>
              <w:t>-</w:t>
            </w:r>
          </w:p>
        </w:tc>
      </w:tr>
      <w:tr w:rsidR="00A24BE7">
        <w:tc>
          <w:tcPr>
            <w:tcW w:w="1395" w:type="dxa"/>
            <w:vAlign w:val="center"/>
          </w:tcPr>
          <w:p w:rsidR="00A24BE7" w:rsidRDefault="00415387">
            <w:pPr>
              <w:jc w:val="left"/>
            </w:pPr>
            <w:r>
              <w:rPr>
                <w:rFonts w:eastAsiaTheme="minorEastAsia"/>
                <w:color w:val="000000" w:themeColor="text1"/>
                <w:kern w:val="0"/>
              </w:rPr>
              <w:t>过去五年</w:t>
            </w:r>
          </w:p>
        </w:tc>
        <w:tc>
          <w:tcPr>
            <w:tcW w:w="1092" w:type="dxa"/>
            <w:vAlign w:val="center"/>
          </w:tcPr>
          <w:p w:rsidR="00A24BE7" w:rsidRDefault="00415387">
            <w:pPr>
              <w:jc w:val="center"/>
            </w:pPr>
            <w:r>
              <w:rPr>
                <w:rFonts w:eastAsiaTheme="minorEastAsia"/>
                <w:color w:val="000000" w:themeColor="text1"/>
                <w:kern w:val="0"/>
              </w:rPr>
              <w:t>-</w:t>
            </w:r>
          </w:p>
        </w:tc>
        <w:tc>
          <w:tcPr>
            <w:tcW w:w="1161" w:type="dxa"/>
            <w:vAlign w:val="center"/>
          </w:tcPr>
          <w:p w:rsidR="00A24BE7" w:rsidRDefault="00415387">
            <w:pPr>
              <w:jc w:val="center"/>
            </w:pPr>
            <w:r>
              <w:rPr>
                <w:rFonts w:eastAsiaTheme="minorEastAsia"/>
                <w:color w:val="000000" w:themeColor="text1"/>
                <w:kern w:val="0"/>
              </w:rPr>
              <w:t>-</w:t>
            </w:r>
          </w:p>
        </w:tc>
        <w:tc>
          <w:tcPr>
            <w:tcW w:w="1181" w:type="dxa"/>
            <w:vAlign w:val="center"/>
          </w:tcPr>
          <w:p w:rsidR="00A24BE7" w:rsidRDefault="00415387">
            <w:pPr>
              <w:jc w:val="center"/>
            </w:pPr>
            <w:r>
              <w:rPr>
                <w:rFonts w:eastAsiaTheme="minorEastAsia"/>
                <w:color w:val="000000" w:themeColor="text1"/>
                <w:kern w:val="0"/>
              </w:rPr>
              <w:t>-</w:t>
            </w:r>
          </w:p>
        </w:tc>
        <w:tc>
          <w:tcPr>
            <w:tcW w:w="1188" w:type="dxa"/>
            <w:vAlign w:val="center"/>
          </w:tcPr>
          <w:p w:rsidR="00A24BE7" w:rsidRDefault="00415387">
            <w:pPr>
              <w:jc w:val="center"/>
            </w:pPr>
            <w:r>
              <w:rPr>
                <w:rFonts w:eastAsiaTheme="minorEastAsia"/>
                <w:color w:val="000000" w:themeColor="text1"/>
                <w:kern w:val="0"/>
              </w:rPr>
              <w:t>-</w:t>
            </w:r>
          </w:p>
        </w:tc>
        <w:tc>
          <w:tcPr>
            <w:tcW w:w="1199" w:type="dxa"/>
            <w:vAlign w:val="center"/>
          </w:tcPr>
          <w:p w:rsidR="00A24BE7" w:rsidRDefault="00415387">
            <w:pPr>
              <w:jc w:val="center"/>
            </w:pPr>
            <w:r>
              <w:rPr>
                <w:rFonts w:eastAsiaTheme="minorEastAsia"/>
                <w:color w:val="000000" w:themeColor="text1"/>
                <w:kern w:val="0"/>
              </w:rPr>
              <w:t>-</w:t>
            </w:r>
          </w:p>
        </w:tc>
        <w:tc>
          <w:tcPr>
            <w:tcW w:w="1204" w:type="dxa"/>
            <w:vAlign w:val="center"/>
          </w:tcPr>
          <w:p w:rsidR="00A24BE7" w:rsidRDefault="00415387">
            <w:pPr>
              <w:jc w:val="center"/>
            </w:pPr>
            <w:r>
              <w:rPr>
                <w:rFonts w:eastAsiaTheme="minorEastAsia"/>
                <w:color w:val="000000" w:themeColor="text1"/>
                <w:kern w:val="0"/>
              </w:rPr>
              <w:t>-</w:t>
            </w:r>
          </w:p>
        </w:tc>
      </w:tr>
      <w:tr w:rsidR="00A24BE7">
        <w:tc>
          <w:tcPr>
            <w:tcW w:w="1395" w:type="dxa"/>
            <w:vAlign w:val="center"/>
          </w:tcPr>
          <w:p w:rsidR="00A24BE7" w:rsidRDefault="00415387">
            <w:pPr>
              <w:jc w:val="left"/>
            </w:pPr>
            <w:r>
              <w:rPr>
                <w:rFonts w:eastAsiaTheme="minorEastAsia"/>
                <w:color w:val="000000" w:themeColor="text1"/>
                <w:kern w:val="0"/>
              </w:rPr>
              <w:t>自基金合同生效起至今</w:t>
            </w:r>
          </w:p>
        </w:tc>
        <w:tc>
          <w:tcPr>
            <w:tcW w:w="1092" w:type="dxa"/>
            <w:vAlign w:val="center"/>
          </w:tcPr>
          <w:p w:rsidR="00A24BE7" w:rsidRDefault="00415387">
            <w:pPr>
              <w:jc w:val="center"/>
            </w:pPr>
            <w:r>
              <w:rPr>
                <w:rFonts w:eastAsiaTheme="minorEastAsia"/>
                <w:color w:val="000000" w:themeColor="text1"/>
                <w:kern w:val="0"/>
              </w:rPr>
              <w:t>-24.80%</w:t>
            </w:r>
          </w:p>
        </w:tc>
        <w:tc>
          <w:tcPr>
            <w:tcW w:w="1161" w:type="dxa"/>
            <w:vAlign w:val="center"/>
          </w:tcPr>
          <w:p w:rsidR="00A24BE7" w:rsidRDefault="00415387">
            <w:pPr>
              <w:jc w:val="center"/>
            </w:pPr>
            <w:r>
              <w:rPr>
                <w:rFonts w:eastAsiaTheme="minorEastAsia"/>
                <w:color w:val="000000" w:themeColor="text1"/>
                <w:kern w:val="0"/>
              </w:rPr>
              <w:t>1.73%</w:t>
            </w:r>
          </w:p>
        </w:tc>
        <w:tc>
          <w:tcPr>
            <w:tcW w:w="1181" w:type="dxa"/>
            <w:vAlign w:val="center"/>
          </w:tcPr>
          <w:p w:rsidR="00A24BE7" w:rsidRDefault="00415387">
            <w:pPr>
              <w:jc w:val="center"/>
            </w:pPr>
            <w:r>
              <w:rPr>
                <w:rFonts w:eastAsiaTheme="minorEastAsia"/>
                <w:color w:val="000000" w:themeColor="text1"/>
                <w:kern w:val="0"/>
              </w:rPr>
              <w:t>-17.35%</w:t>
            </w:r>
          </w:p>
        </w:tc>
        <w:tc>
          <w:tcPr>
            <w:tcW w:w="1188" w:type="dxa"/>
            <w:vAlign w:val="center"/>
          </w:tcPr>
          <w:p w:rsidR="00A24BE7" w:rsidRDefault="00415387">
            <w:pPr>
              <w:jc w:val="center"/>
            </w:pPr>
            <w:r>
              <w:rPr>
                <w:rFonts w:eastAsiaTheme="minorEastAsia"/>
                <w:color w:val="000000" w:themeColor="text1"/>
                <w:kern w:val="0"/>
              </w:rPr>
              <w:t>0.97%</w:t>
            </w:r>
          </w:p>
        </w:tc>
        <w:tc>
          <w:tcPr>
            <w:tcW w:w="1199" w:type="dxa"/>
            <w:vAlign w:val="center"/>
          </w:tcPr>
          <w:p w:rsidR="00A24BE7" w:rsidRDefault="00415387">
            <w:pPr>
              <w:jc w:val="center"/>
            </w:pPr>
            <w:r>
              <w:rPr>
                <w:rFonts w:eastAsiaTheme="minorEastAsia"/>
                <w:color w:val="000000" w:themeColor="text1"/>
                <w:kern w:val="0"/>
              </w:rPr>
              <w:t>-7.45%</w:t>
            </w:r>
          </w:p>
        </w:tc>
        <w:tc>
          <w:tcPr>
            <w:tcW w:w="1204" w:type="dxa"/>
            <w:vAlign w:val="center"/>
          </w:tcPr>
          <w:p w:rsidR="00A24BE7" w:rsidRDefault="00415387">
            <w:pPr>
              <w:jc w:val="center"/>
            </w:pPr>
            <w:r>
              <w:rPr>
                <w:rFonts w:eastAsiaTheme="minorEastAsia"/>
                <w:color w:val="000000" w:themeColor="text1"/>
                <w:kern w:val="0"/>
              </w:rPr>
              <w:t>0.76%</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摩根远见两年持有期混合型证券投资基金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11</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2023</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A24BE7" w:rsidRDefault="00415387">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11</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A24BE7">
        <w:tc>
          <w:tcPr>
            <w:tcW w:w="851" w:type="dxa"/>
            <w:vAlign w:val="center"/>
          </w:tcPr>
          <w:p w:rsidR="00A24BE7" w:rsidRDefault="00415387">
            <w:pPr>
              <w:jc w:val="center"/>
            </w:pPr>
            <w:r>
              <w:rPr>
                <w:rFonts w:eastAsiaTheme="minorEastAsia"/>
                <w:color w:val="000000" w:themeColor="text1"/>
              </w:rPr>
              <w:t>杜猛</w:t>
            </w:r>
          </w:p>
        </w:tc>
        <w:tc>
          <w:tcPr>
            <w:tcW w:w="850" w:type="dxa"/>
            <w:vAlign w:val="center"/>
          </w:tcPr>
          <w:p w:rsidR="00A24BE7" w:rsidRDefault="00415387">
            <w:pPr>
              <w:jc w:val="center"/>
            </w:pPr>
            <w:r>
              <w:rPr>
                <w:rFonts w:eastAsiaTheme="minorEastAsia"/>
                <w:color w:val="000000" w:themeColor="text1"/>
              </w:rPr>
              <w:t>本基金基金经理、副总经理兼投资总监</w:t>
            </w:r>
          </w:p>
        </w:tc>
        <w:tc>
          <w:tcPr>
            <w:tcW w:w="1560" w:type="dxa"/>
            <w:vAlign w:val="center"/>
          </w:tcPr>
          <w:p w:rsidR="00A24BE7" w:rsidRDefault="00415387">
            <w:pPr>
              <w:jc w:val="center"/>
            </w:pPr>
            <w:r>
              <w:rPr>
                <w:rFonts w:eastAsiaTheme="minorEastAsia"/>
                <w:color w:val="000000" w:themeColor="text1"/>
              </w:rPr>
              <w:t>2021-01-11</w:t>
            </w:r>
          </w:p>
        </w:tc>
        <w:tc>
          <w:tcPr>
            <w:tcW w:w="1559" w:type="dxa"/>
            <w:vAlign w:val="center"/>
          </w:tcPr>
          <w:p w:rsidR="00A24BE7" w:rsidRDefault="00415387">
            <w:pPr>
              <w:jc w:val="center"/>
            </w:pPr>
            <w:r>
              <w:rPr>
                <w:rFonts w:eastAsiaTheme="minorEastAsia"/>
                <w:color w:val="000000" w:themeColor="text1"/>
              </w:rPr>
              <w:t>-</w:t>
            </w:r>
          </w:p>
        </w:tc>
        <w:tc>
          <w:tcPr>
            <w:tcW w:w="1417" w:type="dxa"/>
            <w:vAlign w:val="center"/>
          </w:tcPr>
          <w:p w:rsidR="00A24BE7" w:rsidRDefault="00415387">
            <w:pPr>
              <w:jc w:val="center"/>
            </w:pPr>
            <w:r>
              <w:rPr>
                <w:rFonts w:eastAsiaTheme="minorEastAsia"/>
                <w:color w:val="000000" w:themeColor="text1"/>
              </w:rPr>
              <w:t>21</w:t>
            </w:r>
            <w:r>
              <w:rPr>
                <w:rFonts w:eastAsiaTheme="minorEastAsia"/>
                <w:color w:val="000000" w:themeColor="text1"/>
              </w:rPr>
              <w:t>年</w:t>
            </w:r>
          </w:p>
        </w:tc>
        <w:tc>
          <w:tcPr>
            <w:tcW w:w="2694" w:type="dxa"/>
            <w:vAlign w:val="center"/>
          </w:tcPr>
          <w:p w:rsidR="00A24BE7" w:rsidRDefault="00415387">
            <w:r>
              <w:rPr>
                <w:rFonts w:eastAsiaTheme="minorEastAsia"/>
                <w:color w:val="000000" w:themeColor="text1"/>
              </w:rPr>
              <w:t>杜猛先生曾任天同证券有限责任公司研究员，中原证券有限责任公司研究员，国信证券有限责任公司研究员，中银国际证券有限责任公司研究员。</w:t>
            </w:r>
            <w:r>
              <w:rPr>
                <w:rFonts w:eastAsiaTheme="minorEastAsia"/>
                <w:color w:val="000000" w:themeColor="text1"/>
              </w:rPr>
              <w:t>2007</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月起加入摩根基金管理（中国）有限公司（原上投摩根基金管理有限公司），历任行业专家、基金经理助理、基金经理、总经理助理</w:t>
            </w:r>
            <w:r>
              <w:rPr>
                <w:rFonts w:eastAsiaTheme="minorEastAsia"/>
                <w:color w:val="000000" w:themeColor="text1"/>
              </w:rPr>
              <w:t>/</w:t>
            </w:r>
            <w:r>
              <w:rPr>
                <w:rFonts w:eastAsiaTheme="minorEastAsia"/>
                <w:color w:val="000000" w:themeColor="text1"/>
              </w:rPr>
              <w:t>国内权益投资一部投资总监兼资深基金经理，现任副总经</w:t>
            </w:r>
            <w:r>
              <w:rPr>
                <w:rFonts w:eastAsiaTheme="minorEastAsia"/>
                <w:color w:val="000000" w:themeColor="text1"/>
              </w:rPr>
              <w:lastRenderedPageBreak/>
              <w:t>理兼投资总监。</w:t>
            </w:r>
          </w:p>
        </w:tc>
      </w:tr>
    </w:tbl>
    <w:p w:rsidR="00A24BE7" w:rsidRDefault="00415387">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A24BE7" w:rsidRDefault="00415387">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杜猛先生为本基金首任基金经理，其任职日期指本基金基金合同生效之日。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A24BE7" w:rsidRDefault="00415387">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24BE7" w:rsidRDefault="00415387">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A24BE7" w:rsidRDefault="00415387">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A24BE7" w:rsidRDefault="00415387">
      <w:pPr>
        <w:spacing w:line="360" w:lineRule="auto"/>
        <w:ind w:firstLineChars="200" w:firstLine="420"/>
        <w:rPr>
          <w:rFonts w:eastAsiaTheme="minorEastAsia"/>
          <w:color w:val="000000" w:themeColor="text1"/>
        </w:rPr>
      </w:pPr>
      <w:r>
        <w:rPr>
          <w:rFonts w:eastAsiaTheme="minorEastAsia"/>
          <w:color w:val="000000" w:themeColor="text1"/>
        </w:rPr>
        <w:t>2023</w:t>
      </w:r>
      <w:r>
        <w:rPr>
          <w:rFonts w:eastAsiaTheme="minorEastAsia"/>
          <w:color w:val="000000" w:themeColor="text1"/>
        </w:rPr>
        <w:t>年一季度经济缓慢复苏，出行与商业活动开始恢复正常，消费也开始回升，但在这一过程中可能会有反复，仍需继续观察。受此提振，市场信心逐步恢复，在春节前有一波较好的上涨，但并非一蹴而就，在进一步的宏观数据和经济政策出台前，市场仍然处于震荡过程中。市场的活跃程度明显提升，成交量也有一定程度的放大，但是市场结构化差异也较大。本基金基于长期成长的选股逻辑，重点投资了优势产业中的优质公司。</w:t>
      </w:r>
    </w:p>
    <w:p w:rsidR="00A24BE7" w:rsidRDefault="00415387">
      <w:pPr>
        <w:spacing w:line="360" w:lineRule="auto"/>
        <w:ind w:firstLineChars="200" w:firstLine="420"/>
        <w:rPr>
          <w:rFonts w:eastAsiaTheme="minorEastAsia"/>
          <w:color w:val="000000" w:themeColor="text1"/>
        </w:rPr>
      </w:pPr>
      <w:r>
        <w:rPr>
          <w:rFonts w:eastAsiaTheme="minorEastAsia"/>
          <w:color w:val="000000" w:themeColor="text1"/>
        </w:rPr>
        <w:t>2023</w:t>
      </w:r>
      <w:r>
        <w:rPr>
          <w:rFonts w:eastAsiaTheme="minorEastAsia"/>
          <w:color w:val="000000" w:themeColor="text1"/>
        </w:rPr>
        <w:t>年会是经济和社会复苏的一年，虽然还存在着不确定性和波折性，但是毕竟方向已经明确。对于</w:t>
      </w:r>
      <w:r>
        <w:rPr>
          <w:rFonts w:eastAsiaTheme="minorEastAsia"/>
          <w:color w:val="000000" w:themeColor="text1"/>
        </w:rPr>
        <w:t>2023</w:t>
      </w:r>
      <w:r>
        <w:rPr>
          <w:rFonts w:eastAsiaTheme="minorEastAsia"/>
          <w:color w:val="000000" w:themeColor="text1"/>
        </w:rPr>
        <w:t>年我们抱有相对乐观的预期，全力拼经济应该是全社会的主要目标。对于权益市场，经过两年的回调股票估值已经到了相当有吸引力的位置，当下是非常好的长期布局时点，信心在目前的情况下是非常重要的。</w:t>
      </w:r>
    </w:p>
    <w:p w:rsidR="00A24BE7" w:rsidRDefault="00415387">
      <w:pPr>
        <w:spacing w:line="360" w:lineRule="auto"/>
        <w:ind w:firstLineChars="200" w:firstLine="420"/>
        <w:rPr>
          <w:rFonts w:eastAsiaTheme="minorEastAsia"/>
          <w:color w:val="000000" w:themeColor="text1"/>
        </w:rPr>
      </w:pPr>
      <w:r>
        <w:rPr>
          <w:rFonts w:eastAsiaTheme="minorEastAsia"/>
          <w:color w:val="000000" w:themeColor="text1"/>
        </w:rPr>
        <w:t>我们不仅关注经济的复苏，也关注到了全球科技的突破性进展，人工智能的发展可能到了大规模应用的临界点，在未来会深刻改变人类社会和经济运行，在这当中会诞生大量的投资机会，我们会持续的保持跟踪和研究。</w:t>
      </w:r>
      <w:r>
        <w:rPr>
          <w:rFonts w:eastAsiaTheme="minorEastAsia"/>
          <w:color w:val="000000" w:themeColor="text1"/>
        </w:rPr>
        <w:t xml:space="preserve"> </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我们会努力在市场中挑选估值和成长性匹配的优质品种，寻找产业发展中长期成长的公司，力争为基金持有人创造持续稳定收益。</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本报告期本基金份额净值增长率为</w:t>
      </w:r>
      <w:r w:rsidRPr="00FF6B9A">
        <w:rPr>
          <w:rFonts w:eastAsiaTheme="minorEastAsia"/>
          <w:color w:val="000000" w:themeColor="text1"/>
        </w:rPr>
        <w:t>:1.25%</w:t>
      </w:r>
      <w:r w:rsidRPr="00FF6B9A">
        <w:rPr>
          <w:rFonts w:eastAsiaTheme="minorEastAsia"/>
          <w:color w:val="000000" w:themeColor="text1"/>
        </w:rPr>
        <w:t>，同期业绩比较基准收益率为</w:t>
      </w:r>
      <w:r w:rsidRPr="00FF6B9A">
        <w:rPr>
          <w:rFonts w:eastAsiaTheme="minorEastAsia"/>
          <w:color w:val="000000" w:themeColor="text1"/>
        </w:rPr>
        <w:t>:4.23%</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4,058,919,453.51</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89.66</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4,058,919,453.51</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89.66</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4,075,751.58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0.09</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4,075,751.58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0.09</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427,576,649.38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9.45</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36,360,466.75</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0.80</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4,526,932,321.22</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注：本基金本报告期末通过港股通交易机制投资的港股公允价值为人民币</w:t>
      </w:r>
      <w:r w:rsidRPr="00FF6B9A">
        <w:rPr>
          <w:rFonts w:eastAsiaTheme="minorEastAsia"/>
          <w:color w:val="000000" w:themeColor="text1"/>
        </w:rPr>
        <w:t>310539611.59</w:t>
      </w:r>
      <w:r w:rsidRPr="00FF6B9A">
        <w:rPr>
          <w:rFonts w:eastAsiaTheme="minorEastAsia"/>
          <w:color w:val="000000" w:themeColor="text1"/>
        </w:rPr>
        <w:t>元，占期末净值比例为</w:t>
      </w:r>
      <w:r w:rsidRPr="00FF6B9A">
        <w:rPr>
          <w:rFonts w:eastAsiaTheme="minorEastAsia"/>
          <w:color w:val="000000" w:themeColor="text1"/>
        </w:rPr>
        <w:t>6.97%</w:t>
      </w:r>
      <w:r w:rsidRPr="00FF6B9A">
        <w:rPr>
          <w:rFonts w:eastAsiaTheme="minorEastAsia"/>
          <w:color w:val="000000" w:themeColor="text1"/>
        </w:rPr>
        <w:t>。</w:t>
      </w:r>
      <w:r w:rsidRPr="00FF6B9A">
        <w:rPr>
          <w:rFonts w:eastAsiaTheme="minorEastAsia"/>
          <w:color w:val="000000" w:themeColor="text1"/>
        </w:rPr>
        <w:t xml:space="preserve">  </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72,076,451.49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1.62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190,766.40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3,197,260,451.28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71.72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178,582,421.96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4.01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296,813,638.03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6.66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2,649,808.76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806,304.00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3,748,379,841.92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84.09</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A24BE7">
        <w:trPr>
          <w:jc w:val="center"/>
        </w:trPr>
        <w:tc>
          <w:tcPr>
            <w:tcW w:w="2397" w:type="dxa"/>
            <w:vAlign w:val="center"/>
          </w:tcPr>
          <w:p w:rsidR="00A24BE7" w:rsidRDefault="00415387">
            <w:pPr>
              <w:jc w:val="center"/>
            </w:pPr>
            <w:r>
              <w:rPr>
                <w:rFonts w:eastAsiaTheme="minorEastAsia"/>
                <w:color w:val="000000" w:themeColor="text1"/>
                <w:kern w:val="0"/>
              </w:rPr>
              <w:t>A</w:t>
            </w:r>
            <w:r>
              <w:rPr>
                <w:rFonts w:eastAsiaTheme="minorEastAsia"/>
                <w:color w:val="000000" w:themeColor="text1"/>
                <w:kern w:val="0"/>
              </w:rPr>
              <w:t>基础材料</w:t>
            </w:r>
          </w:p>
        </w:tc>
        <w:tc>
          <w:tcPr>
            <w:tcW w:w="3119" w:type="dxa"/>
            <w:vAlign w:val="center"/>
          </w:tcPr>
          <w:p w:rsidR="00A24BE7" w:rsidRDefault="00415387">
            <w:pPr>
              <w:jc w:val="center"/>
            </w:pPr>
            <w:r>
              <w:rPr>
                <w:rFonts w:eastAsiaTheme="minorEastAsia"/>
                <w:color w:val="000000" w:themeColor="text1"/>
                <w:kern w:val="0"/>
              </w:rPr>
              <w:t>-</w:t>
            </w:r>
          </w:p>
        </w:tc>
        <w:tc>
          <w:tcPr>
            <w:tcW w:w="3118" w:type="dxa"/>
            <w:vAlign w:val="center"/>
          </w:tcPr>
          <w:p w:rsidR="00A24BE7" w:rsidRDefault="00415387">
            <w:pPr>
              <w:jc w:val="center"/>
            </w:pPr>
            <w:r>
              <w:rPr>
                <w:rFonts w:eastAsiaTheme="minorEastAsia"/>
                <w:color w:val="000000" w:themeColor="text1"/>
                <w:kern w:val="0"/>
              </w:rPr>
              <w:t>-</w:t>
            </w:r>
          </w:p>
        </w:tc>
      </w:tr>
      <w:tr w:rsidR="00A24BE7">
        <w:trPr>
          <w:jc w:val="center"/>
        </w:trPr>
        <w:tc>
          <w:tcPr>
            <w:tcW w:w="2397" w:type="dxa"/>
            <w:vAlign w:val="center"/>
          </w:tcPr>
          <w:p w:rsidR="00A24BE7" w:rsidRDefault="00415387">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rsidR="00A24BE7" w:rsidRDefault="00415387">
            <w:pPr>
              <w:jc w:val="center"/>
            </w:pPr>
            <w:r>
              <w:rPr>
                <w:rFonts w:eastAsiaTheme="minorEastAsia"/>
                <w:color w:val="000000" w:themeColor="text1"/>
                <w:kern w:val="0"/>
              </w:rPr>
              <w:t>734,446.23</w:t>
            </w:r>
          </w:p>
        </w:tc>
        <w:tc>
          <w:tcPr>
            <w:tcW w:w="3118" w:type="dxa"/>
            <w:vAlign w:val="center"/>
          </w:tcPr>
          <w:p w:rsidR="00A24BE7" w:rsidRDefault="00415387">
            <w:pPr>
              <w:jc w:val="center"/>
            </w:pPr>
            <w:r>
              <w:rPr>
                <w:rFonts w:eastAsiaTheme="minorEastAsia"/>
                <w:color w:val="000000" w:themeColor="text1"/>
                <w:kern w:val="0"/>
              </w:rPr>
              <w:t>0.02</w:t>
            </w:r>
          </w:p>
        </w:tc>
      </w:tr>
      <w:tr w:rsidR="00A24BE7">
        <w:trPr>
          <w:jc w:val="center"/>
        </w:trPr>
        <w:tc>
          <w:tcPr>
            <w:tcW w:w="2397" w:type="dxa"/>
            <w:vAlign w:val="center"/>
          </w:tcPr>
          <w:p w:rsidR="00A24BE7" w:rsidRDefault="00415387">
            <w:pPr>
              <w:jc w:val="center"/>
            </w:pPr>
            <w:r>
              <w:rPr>
                <w:rFonts w:eastAsiaTheme="minorEastAsia"/>
                <w:color w:val="000000" w:themeColor="text1"/>
                <w:kern w:val="0"/>
              </w:rPr>
              <w:t>C</w:t>
            </w:r>
            <w:r>
              <w:rPr>
                <w:rFonts w:eastAsiaTheme="minorEastAsia"/>
                <w:color w:val="000000" w:themeColor="text1"/>
                <w:kern w:val="0"/>
              </w:rPr>
              <w:t>消费者常用品</w:t>
            </w:r>
          </w:p>
        </w:tc>
        <w:tc>
          <w:tcPr>
            <w:tcW w:w="3119" w:type="dxa"/>
            <w:vAlign w:val="center"/>
          </w:tcPr>
          <w:p w:rsidR="00A24BE7" w:rsidRDefault="00415387">
            <w:pPr>
              <w:jc w:val="center"/>
            </w:pPr>
            <w:r>
              <w:rPr>
                <w:rFonts w:eastAsiaTheme="minorEastAsia"/>
                <w:color w:val="000000" w:themeColor="text1"/>
                <w:kern w:val="0"/>
              </w:rPr>
              <w:t>24,319,310.00</w:t>
            </w:r>
          </w:p>
        </w:tc>
        <w:tc>
          <w:tcPr>
            <w:tcW w:w="3118" w:type="dxa"/>
            <w:vAlign w:val="center"/>
          </w:tcPr>
          <w:p w:rsidR="00A24BE7" w:rsidRDefault="00415387">
            <w:pPr>
              <w:jc w:val="center"/>
            </w:pPr>
            <w:r>
              <w:rPr>
                <w:rFonts w:eastAsiaTheme="minorEastAsia"/>
                <w:color w:val="000000" w:themeColor="text1"/>
                <w:kern w:val="0"/>
              </w:rPr>
              <w:t>0.55</w:t>
            </w:r>
          </w:p>
        </w:tc>
      </w:tr>
      <w:tr w:rsidR="00A24BE7">
        <w:trPr>
          <w:jc w:val="center"/>
        </w:trPr>
        <w:tc>
          <w:tcPr>
            <w:tcW w:w="2397" w:type="dxa"/>
            <w:vAlign w:val="center"/>
          </w:tcPr>
          <w:p w:rsidR="00A24BE7" w:rsidRDefault="00415387">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rsidR="00A24BE7" w:rsidRDefault="00415387">
            <w:pPr>
              <w:jc w:val="center"/>
            </w:pPr>
            <w:r>
              <w:rPr>
                <w:rFonts w:eastAsiaTheme="minorEastAsia"/>
                <w:color w:val="000000" w:themeColor="text1"/>
                <w:kern w:val="0"/>
              </w:rPr>
              <w:t>-</w:t>
            </w:r>
          </w:p>
        </w:tc>
        <w:tc>
          <w:tcPr>
            <w:tcW w:w="3118" w:type="dxa"/>
            <w:vAlign w:val="center"/>
          </w:tcPr>
          <w:p w:rsidR="00A24BE7" w:rsidRDefault="00415387">
            <w:pPr>
              <w:jc w:val="center"/>
            </w:pPr>
            <w:r>
              <w:rPr>
                <w:rFonts w:eastAsiaTheme="minorEastAsia"/>
                <w:color w:val="000000" w:themeColor="text1"/>
                <w:kern w:val="0"/>
              </w:rPr>
              <w:t>-</w:t>
            </w:r>
          </w:p>
        </w:tc>
      </w:tr>
      <w:tr w:rsidR="00A24BE7">
        <w:trPr>
          <w:jc w:val="center"/>
        </w:trPr>
        <w:tc>
          <w:tcPr>
            <w:tcW w:w="2397" w:type="dxa"/>
            <w:vAlign w:val="center"/>
          </w:tcPr>
          <w:p w:rsidR="00A24BE7" w:rsidRDefault="00415387">
            <w:pPr>
              <w:jc w:val="center"/>
            </w:pPr>
            <w:r>
              <w:rPr>
                <w:rFonts w:eastAsiaTheme="minorEastAsia"/>
                <w:color w:val="000000" w:themeColor="text1"/>
                <w:kern w:val="0"/>
              </w:rPr>
              <w:t>E</w:t>
            </w:r>
            <w:r>
              <w:rPr>
                <w:rFonts w:eastAsiaTheme="minorEastAsia"/>
                <w:color w:val="000000" w:themeColor="text1"/>
                <w:kern w:val="0"/>
              </w:rPr>
              <w:t>金融</w:t>
            </w:r>
          </w:p>
        </w:tc>
        <w:tc>
          <w:tcPr>
            <w:tcW w:w="3119" w:type="dxa"/>
            <w:vAlign w:val="center"/>
          </w:tcPr>
          <w:p w:rsidR="00A24BE7" w:rsidRDefault="00415387">
            <w:pPr>
              <w:jc w:val="center"/>
            </w:pPr>
            <w:r>
              <w:rPr>
                <w:rFonts w:eastAsiaTheme="minorEastAsia"/>
                <w:color w:val="000000" w:themeColor="text1"/>
                <w:kern w:val="0"/>
              </w:rPr>
              <w:t>-</w:t>
            </w:r>
          </w:p>
        </w:tc>
        <w:tc>
          <w:tcPr>
            <w:tcW w:w="3118" w:type="dxa"/>
            <w:vAlign w:val="center"/>
          </w:tcPr>
          <w:p w:rsidR="00A24BE7" w:rsidRDefault="00415387">
            <w:pPr>
              <w:jc w:val="center"/>
            </w:pPr>
            <w:r>
              <w:rPr>
                <w:rFonts w:eastAsiaTheme="minorEastAsia"/>
                <w:color w:val="000000" w:themeColor="text1"/>
                <w:kern w:val="0"/>
              </w:rPr>
              <w:t>-</w:t>
            </w:r>
          </w:p>
        </w:tc>
      </w:tr>
      <w:tr w:rsidR="00A24BE7">
        <w:trPr>
          <w:jc w:val="center"/>
        </w:trPr>
        <w:tc>
          <w:tcPr>
            <w:tcW w:w="2397" w:type="dxa"/>
            <w:vAlign w:val="center"/>
          </w:tcPr>
          <w:p w:rsidR="00A24BE7" w:rsidRDefault="00415387">
            <w:pPr>
              <w:jc w:val="center"/>
            </w:pPr>
            <w:r>
              <w:rPr>
                <w:rFonts w:eastAsiaTheme="minorEastAsia"/>
                <w:color w:val="000000" w:themeColor="text1"/>
                <w:kern w:val="0"/>
              </w:rPr>
              <w:t>F</w:t>
            </w:r>
            <w:r>
              <w:rPr>
                <w:rFonts w:eastAsiaTheme="minorEastAsia"/>
                <w:color w:val="000000" w:themeColor="text1"/>
                <w:kern w:val="0"/>
              </w:rPr>
              <w:t>医疗保健</w:t>
            </w:r>
          </w:p>
        </w:tc>
        <w:tc>
          <w:tcPr>
            <w:tcW w:w="3119" w:type="dxa"/>
            <w:vAlign w:val="center"/>
          </w:tcPr>
          <w:p w:rsidR="00A24BE7" w:rsidRDefault="00415387">
            <w:pPr>
              <w:jc w:val="center"/>
            </w:pPr>
            <w:r>
              <w:rPr>
                <w:rFonts w:eastAsiaTheme="minorEastAsia"/>
                <w:color w:val="000000" w:themeColor="text1"/>
                <w:kern w:val="0"/>
              </w:rPr>
              <w:t>-</w:t>
            </w:r>
          </w:p>
        </w:tc>
        <w:tc>
          <w:tcPr>
            <w:tcW w:w="3118" w:type="dxa"/>
            <w:vAlign w:val="center"/>
          </w:tcPr>
          <w:p w:rsidR="00A24BE7" w:rsidRDefault="00415387">
            <w:pPr>
              <w:jc w:val="center"/>
            </w:pPr>
            <w:r>
              <w:rPr>
                <w:rFonts w:eastAsiaTheme="minorEastAsia"/>
                <w:color w:val="000000" w:themeColor="text1"/>
                <w:kern w:val="0"/>
              </w:rPr>
              <w:t>-</w:t>
            </w:r>
          </w:p>
        </w:tc>
      </w:tr>
      <w:tr w:rsidR="00A24BE7">
        <w:trPr>
          <w:jc w:val="center"/>
        </w:trPr>
        <w:tc>
          <w:tcPr>
            <w:tcW w:w="2397" w:type="dxa"/>
            <w:vAlign w:val="center"/>
          </w:tcPr>
          <w:p w:rsidR="00A24BE7" w:rsidRDefault="00415387">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rsidR="00A24BE7" w:rsidRDefault="00415387">
            <w:pPr>
              <w:jc w:val="center"/>
            </w:pPr>
            <w:r>
              <w:rPr>
                <w:rFonts w:eastAsiaTheme="minorEastAsia"/>
                <w:color w:val="000000" w:themeColor="text1"/>
                <w:kern w:val="0"/>
              </w:rPr>
              <w:t>-</w:t>
            </w:r>
          </w:p>
        </w:tc>
        <w:tc>
          <w:tcPr>
            <w:tcW w:w="3118" w:type="dxa"/>
            <w:vAlign w:val="center"/>
          </w:tcPr>
          <w:p w:rsidR="00A24BE7" w:rsidRDefault="00415387">
            <w:pPr>
              <w:jc w:val="center"/>
            </w:pPr>
            <w:r>
              <w:rPr>
                <w:rFonts w:eastAsiaTheme="minorEastAsia"/>
                <w:color w:val="000000" w:themeColor="text1"/>
                <w:kern w:val="0"/>
              </w:rPr>
              <w:t>-</w:t>
            </w:r>
          </w:p>
        </w:tc>
      </w:tr>
      <w:tr w:rsidR="00A24BE7">
        <w:trPr>
          <w:jc w:val="center"/>
        </w:trPr>
        <w:tc>
          <w:tcPr>
            <w:tcW w:w="2397" w:type="dxa"/>
            <w:vAlign w:val="center"/>
          </w:tcPr>
          <w:p w:rsidR="00A24BE7" w:rsidRDefault="00415387">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rsidR="00A24BE7" w:rsidRDefault="00415387">
            <w:pPr>
              <w:jc w:val="center"/>
            </w:pPr>
            <w:r>
              <w:rPr>
                <w:rFonts w:eastAsiaTheme="minorEastAsia"/>
                <w:color w:val="000000" w:themeColor="text1"/>
                <w:kern w:val="0"/>
              </w:rPr>
              <w:t>-</w:t>
            </w:r>
          </w:p>
        </w:tc>
        <w:tc>
          <w:tcPr>
            <w:tcW w:w="3118" w:type="dxa"/>
            <w:vAlign w:val="center"/>
          </w:tcPr>
          <w:p w:rsidR="00A24BE7" w:rsidRDefault="00415387">
            <w:pPr>
              <w:jc w:val="center"/>
            </w:pPr>
            <w:r>
              <w:rPr>
                <w:rFonts w:eastAsiaTheme="minorEastAsia"/>
                <w:color w:val="000000" w:themeColor="text1"/>
                <w:kern w:val="0"/>
              </w:rPr>
              <w:t>-</w:t>
            </w:r>
          </w:p>
        </w:tc>
      </w:tr>
      <w:tr w:rsidR="00A24BE7">
        <w:trPr>
          <w:jc w:val="center"/>
        </w:trPr>
        <w:tc>
          <w:tcPr>
            <w:tcW w:w="2397" w:type="dxa"/>
            <w:vAlign w:val="center"/>
          </w:tcPr>
          <w:p w:rsidR="00A24BE7" w:rsidRDefault="00415387">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rsidR="00A24BE7" w:rsidRDefault="00415387">
            <w:pPr>
              <w:jc w:val="center"/>
            </w:pPr>
            <w:r>
              <w:rPr>
                <w:rFonts w:eastAsiaTheme="minorEastAsia"/>
                <w:color w:val="000000" w:themeColor="text1"/>
                <w:kern w:val="0"/>
              </w:rPr>
              <w:t>285,485,855.36</w:t>
            </w:r>
          </w:p>
        </w:tc>
        <w:tc>
          <w:tcPr>
            <w:tcW w:w="3118" w:type="dxa"/>
            <w:vAlign w:val="center"/>
          </w:tcPr>
          <w:p w:rsidR="00A24BE7" w:rsidRDefault="00415387">
            <w:pPr>
              <w:jc w:val="center"/>
            </w:pPr>
            <w:r>
              <w:rPr>
                <w:rFonts w:eastAsiaTheme="minorEastAsia"/>
                <w:color w:val="000000" w:themeColor="text1"/>
                <w:kern w:val="0"/>
              </w:rPr>
              <w:t>6.40</w:t>
            </w:r>
          </w:p>
        </w:tc>
      </w:tr>
      <w:tr w:rsidR="00A24BE7">
        <w:trPr>
          <w:jc w:val="center"/>
        </w:trPr>
        <w:tc>
          <w:tcPr>
            <w:tcW w:w="2397" w:type="dxa"/>
            <w:vAlign w:val="center"/>
          </w:tcPr>
          <w:p w:rsidR="00A24BE7" w:rsidRDefault="00415387">
            <w:pPr>
              <w:jc w:val="center"/>
            </w:pPr>
            <w:r>
              <w:rPr>
                <w:rFonts w:eastAsiaTheme="minorEastAsia"/>
                <w:color w:val="000000" w:themeColor="text1"/>
                <w:kern w:val="0"/>
              </w:rPr>
              <w:t>J</w:t>
            </w:r>
            <w:r>
              <w:rPr>
                <w:rFonts w:eastAsiaTheme="minorEastAsia"/>
                <w:color w:val="000000" w:themeColor="text1"/>
                <w:kern w:val="0"/>
              </w:rPr>
              <w:t>公用事业</w:t>
            </w:r>
          </w:p>
        </w:tc>
        <w:tc>
          <w:tcPr>
            <w:tcW w:w="3119" w:type="dxa"/>
            <w:vAlign w:val="center"/>
          </w:tcPr>
          <w:p w:rsidR="00A24BE7" w:rsidRDefault="00415387">
            <w:pPr>
              <w:jc w:val="center"/>
            </w:pPr>
            <w:r>
              <w:rPr>
                <w:rFonts w:eastAsiaTheme="minorEastAsia"/>
                <w:color w:val="000000" w:themeColor="text1"/>
                <w:kern w:val="0"/>
              </w:rPr>
              <w:t>-</w:t>
            </w:r>
          </w:p>
        </w:tc>
        <w:tc>
          <w:tcPr>
            <w:tcW w:w="3118" w:type="dxa"/>
            <w:vAlign w:val="center"/>
          </w:tcPr>
          <w:p w:rsidR="00A24BE7" w:rsidRDefault="00415387">
            <w:pPr>
              <w:jc w:val="center"/>
            </w:pPr>
            <w:r>
              <w:rPr>
                <w:rFonts w:eastAsiaTheme="minorEastAsia"/>
                <w:color w:val="000000" w:themeColor="text1"/>
                <w:kern w:val="0"/>
              </w:rPr>
              <w:t>-</w:t>
            </w:r>
          </w:p>
        </w:tc>
      </w:tr>
      <w:tr w:rsidR="00A24BE7">
        <w:trPr>
          <w:jc w:val="center"/>
        </w:trPr>
        <w:tc>
          <w:tcPr>
            <w:tcW w:w="2397" w:type="dxa"/>
            <w:vAlign w:val="center"/>
          </w:tcPr>
          <w:p w:rsidR="00A24BE7" w:rsidRDefault="00415387">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rsidR="00A24BE7" w:rsidRDefault="00415387">
            <w:pPr>
              <w:jc w:val="center"/>
            </w:pPr>
            <w:r>
              <w:rPr>
                <w:rFonts w:eastAsiaTheme="minorEastAsia"/>
                <w:color w:val="000000" w:themeColor="text1"/>
                <w:kern w:val="0"/>
              </w:rPr>
              <w:t>-</w:t>
            </w:r>
          </w:p>
        </w:tc>
        <w:tc>
          <w:tcPr>
            <w:tcW w:w="3118" w:type="dxa"/>
            <w:vAlign w:val="center"/>
          </w:tcPr>
          <w:p w:rsidR="00A24BE7" w:rsidRDefault="00415387">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310,539,611.59</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6.97</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A24BE7">
        <w:tc>
          <w:tcPr>
            <w:tcW w:w="817" w:type="dxa"/>
            <w:vAlign w:val="center"/>
          </w:tcPr>
          <w:p w:rsidR="00A24BE7" w:rsidRDefault="00415387">
            <w:pPr>
              <w:jc w:val="center"/>
            </w:pPr>
            <w:r>
              <w:rPr>
                <w:rFonts w:eastAsiaTheme="minorEastAsia"/>
                <w:kern w:val="0"/>
                <w:sz w:val="24"/>
                <w:szCs w:val="24"/>
              </w:rPr>
              <w:t>1</w:t>
            </w:r>
          </w:p>
        </w:tc>
        <w:tc>
          <w:tcPr>
            <w:tcW w:w="1276" w:type="dxa"/>
            <w:vAlign w:val="center"/>
          </w:tcPr>
          <w:p w:rsidR="00A24BE7" w:rsidRDefault="00415387">
            <w:pPr>
              <w:jc w:val="center"/>
            </w:pPr>
            <w:r>
              <w:rPr>
                <w:rFonts w:eastAsiaTheme="minorEastAsia"/>
                <w:kern w:val="0"/>
                <w:sz w:val="24"/>
                <w:szCs w:val="24"/>
              </w:rPr>
              <w:t>002180</w:t>
            </w:r>
          </w:p>
        </w:tc>
        <w:tc>
          <w:tcPr>
            <w:tcW w:w="1701" w:type="dxa"/>
            <w:vAlign w:val="center"/>
          </w:tcPr>
          <w:p w:rsidR="00A24BE7" w:rsidRDefault="00415387">
            <w:pPr>
              <w:jc w:val="center"/>
            </w:pPr>
            <w:r>
              <w:rPr>
                <w:rFonts w:eastAsiaTheme="minorEastAsia"/>
                <w:kern w:val="0"/>
                <w:sz w:val="24"/>
                <w:szCs w:val="24"/>
              </w:rPr>
              <w:t>纳思达</w:t>
            </w:r>
          </w:p>
        </w:tc>
        <w:tc>
          <w:tcPr>
            <w:tcW w:w="1276" w:type="dxa"/>
            <w:vAlign w:val="center"/>
          </w:tcPr>
          <w:p w:rsidR="00A24BE7" w:rsidRDefault="00415387">
            <w:pPr>
              <w:jc w:val="right"/>
            </w:pPr>
            <w:r>
              <w:rPr>
                <w:rFonts w:eastAsiaTheme="minorEastAsia"/>
                <w:kern w:val="0"/>
                <w:sz w:val="24"/>
                <w:szCs w:val="24"/>
              </w:rPr>
              <w:t>7,472,155.00</w:t>
            </w:r>
          </w:p>
        </w:tc>
        <w:tc>
          <w:tcPr>
            <w:tcW w:w="1842" w:type="dxa"/>
            <w:vAlign w:val="center"/>
          </w:tcPr>
          <w:p w:rsidR="00A24BE7" w:rsidRDefault="00415387">
            <w:pPr>
              <w:jc w:val="right"/>
            </w:pPr>
            <w:r>
              <w:rPr>
                <w:rFonts w:eastAsiaTheme="minorEastAsia"/>
                <w:kern w:val="0"/>
                <w:sz w:val="24"/>
                <w:szCs w:val="24"/>
              </w:rPr>
              <w:t>334,901,987.10</w:t>
            </w:r>
          </w:p>
        </w:tc>
        <w:tc>
          <w:tcPr>
            <w:tcW w:w="1616" w:type="dxa"/>
            <w:vAlign w:val="center"/>
          </w:tcPr>
          <w:p w:rsidR="00A24BE7" w:rsidRDefault="00415387">
            <w:pPr>
              <w:jc w:val="right"/>
            </w:pPr>
            <w:r>
              <w:rPr>
                <w:rFonts w:eastAsiaTheme="minorEastAsia"/>
                <w:kern w:val="0"/>
                <w:sz w:val="24"/>
                <w:szCs w:val="24"/>
              </w:rPr>
              <w:t>7.51</w:t>
            </w:r>
          </w:p>
        </w:tc>
      </w:tr>
      <w:tr w:rsidR="00A24BE7">
        <w:tc>
          <w:tcPr>
            <w:tcW w:w="817" w:type="dxa"/>
            <w:vAlign w:val="center"/>
          </w:tcPr>
          <w:p w:rsidR="00A24BE7" w:rsidRDefault="00415387">
            <w:pPr>
              <w:jc w:val="center"/>
            </w:pPr>
            <w:r>
              <w:rPr>
                <w:rFonts w:eastAsiaTheme="minorEastAsia"/>
                <w:kern w:val="0"/>
                <w:sz w:val="24"/>
                <w:szCs w:val="24"/>
              </w:rPr>
              <w:t>2</w:t>
            </w:r>
          </w:p>
        </w:tc>
        <w:tc>
          <w:tcPr>
            <w:tcW w:w="1276" w:type="dxa"/>
            <w:vAlign w:val="center"/>
          </w:tcPr>
          <w:p w:rsidR="00A24BE7" w:rsidRDefault="00415387">
            <w:pPr>
              <w:jc w:val="center"/>
            </w:pPr>
            <w:r>
              <w:rPr>
                <w:rFonts w:eastAsiaTheme="minorEastAsia"/>
                <w:kern w:val="0"/>
                <w:sz w:val="24"/>
                <w:szCs w:val="24"/>
              </w:rPr>
              <w:t>00700</w:t>
            </w:r>
          </w:p>
        </w:tc>
        <w:tc>
          <w:tcPr>
            <w:tcW w:w="1701" w:type="dxa"/>
            <w:vAlign w:val="center"/>
          </w:tcPr>
          <w:p w:rsidR="00A24BE7" w:rsidRDefault="00415387">
            <w:pPr>
              <w:jc w:val="center"/>
            </w:pPr>
            <w:r>
              <w:rPr>
                <w:rFonts w:eastAsiaTheme="minorEastAsia"/>
                <w:kern w:val="0"/>
                <w:sz w:val="24"/>
                <w:szCs w:val="24"/>
              </w:rPr>
              <w:t>腾讯控股</w:t>
            </w:r>
          </w:p>
        </w:tc>
        <w:tc>
          <w:tcPr>
            <w:tcW w:w="1276" w:type="dxa"/>
            <w:vAlign w:val="center"/>
          </w:tcPr>
          <w:p w:rsidR="00A24BE7" w:rsidRDefault="00415387">
            <w:pPr>
              <w:jc w:val="right"/>
            </w:pPr>
            <w:r>
              <w:rPr>
                <w:rFonts w:eastAsiaTheme="minorEastAsia"/>
                <w:kern w:val="0"/>
                <w:sz w:val="24"/>
                <w:szCs w:val="24"/>
              </w:rPr>
              <w:t>845,300.00</w:t>
            </w:r>
          </w:p>
        </w:tc>
        <w:tc>
          <w:tcPr>
            <w:tcW w:w="1842" w:type="dxa"/>
            <w:vAlign w:val="center"/>
          </w:tcPr>
          <w:p w:rsidR="00A24BE7" w:rsidRDefault="00415387">
            <w:pPr>
              <w:jc w:val="right"/>
            </w:pPr>
            <w:r>
              <w:rPr>
                <w:rFonts w:eastAsiaTheme="minorEastAsia"/>
                <w:kern w:val="0"/>
                <w:sz w:val="24"/>
                <w:szCs w:val="24"/>
              </w:rPr>
              <w:t>285,485,855.36</w:t>
            </w:r>
          </w:p>
        </w:tc>
        <w:tc>
          <w:tcPr>
            <w:tcW w:w="1616" w:type="dxa"/>
            <w:vAlign w:val="center"/>
          </w:tcPr>
          <w:p w:rsidR="00A24BE7" w:rsidRDefault="00415387">
            <w:pPr>
              <w:jc w:val="right"/>
            </w:pPr>
            <w:r>
              <w:rPr>
                <w:rFonts w:eastAsiaTheme="minorEastAsia"/>
                <w:kern w:val="0"/>
                <w:sz w:val="24"/>
                <w:szCs w:val="24"/>
              </w:rPr>
              <w:t>6.40</w:t>
            </w:r>
          </w:p>
        </w:tc>
      </w:tr>
      <w:tr w:rsidR="00A24BE7">
        <w:tc>
          <w:tcPr>
            <w:tcW w:w="817" w:type="dxa"/>
            <w:vAlign w:val="center"/>
          </w:tcPr>
          <w:p w:rsidR="00A24BE7" w:rsidRDefault="00415387">
            <w:pPr>
              <w:jc w:val="center"/>
            </w:pPr>
            <w:r>
              <w:rPr>
                <w:rFonts w:eastAsiaTheme="minorEastAsia"/>
                <w:kern w:val="0"/>
                <w:sz w:val="24"/>
                <w:szCs w:val="24"/>
              </w:rPr>
              <w:t>3</w:t>
            </w:r>
          </w:p>
        </w:tc>
        <w:tc>
          <w:tcPr>
            <w:tcW w:w="1276" w:type="dxa"/>
            <w:vAlign w:val="center"/>
          </w:tcPr>
          <w:p w:rsidR="00A24BE7" w:rsidRDefault="00415387">
            <w:pPr>
              <w:jc w:val="center"/>
            </w:pPr>
            <w:r>
              <w:rPr>
                <w:rFonts w:eastAsiaTheme="minorEastAsia"/>
                <w:kern w:val="0"/>
                <w:sz w:val="24"/>
                <w:szCs w:val="24"/>
              </w:rPr>
              <w:t>002236</w:t>
            </w:r>
          </w:p>
        </w:tc>
        <w:tc>
          <w:tcPr>
            <w:tcW w:w="1701" w:type="dxa"/>
            <w:vAlign w:val="center"/>
          </w:tcPr>
          <w:p w:rsidR="00A24BE7" w:rsidRDefault="00415387">
            <w:pPr>
              <w:jc w:val="center"/>
            </w:pPr>
            <w:r>
              <w:rPr>
                <w:rFonts w:eastAsiaTheme="minorEastAsia"/>
                <w:kern w:val="0"/>
                <w:sz w:val="24"/>
                <w:szCs w:val="24"/>
              </w:rPr>
              <w:t>大华股份</w:t>
            </w:r>
          </w:p>
        </w:tc>
        <w:tc>
          <w:tcPr>
            <w:tcW w:w="1276" w:type="dxa"/>
            <w:vAlign w:val="center"/>
          </w:tcPr>
          <w:p w:rsidR="00A24BE7" w:rsidRDefault="00415387">
            <w:pPr>
              <w:jc w:val="right"/>
            </w:pPr>
            <w:r>
              <w:rPr>
                <w:rFonts w:eastAsiaTheme="minorEastAsia"/>
                <w:kern w:val="0"/>
                <w:sz w:val="24"/>
                <w:szCs w:val="24"/>
              </w:rPr>
              <w:t>11,983,600.00</w:t>
            </w:r>
          </w:p>
        </w:tc>
        <w:tc>
          <w:tcPr>
            <w:tcW w:w="1842" w:type="dxa"/>
            <w:vAlign w:val="center"/>
          </w:tcPr>
          <w:p w:rsidR="00A24BE7" w:rsidRDefault="00415387">
            <w:pPr>
              <w:jc w:val="right"/>
            </w:pPr>
            <w:r>
              <w:rPr>
                <w:rFonts w:eastAsiaTheme="minorEastAsia"/>
                <w:kern w:val="0"/>
                <w:sz w:val="24"/>
                <w:szCs w:val="24"/>
              </w:rPr>
              <w:t>270,949,196.00</w:t>
            </w:r>
          </w:p>
        </w:tc>
        <w:tc>
          <w:tcPr>
            <w:tcW w:w="1616" w:type="dxa"/>
            <w:vAlign w:val="center"/>
          </w:tcPr>
          <w:p w:rsidR="00A24BE7" w:rsidRDefault="00415387">
            <w:pPr>
              <w:jc w:val="right"/>
            </w:pPr>
            <w:r>
              <w:rPr>
                <w:rFonts w:eastAsiaTheme="minorEastAsia"/>
                <w:kern w:val="0"/>
                <w:sz w:val="24"/>
                <w:szCs w:val="24"/>
              </w:rPr>
              <w:t>6.08</w:t>
            </w:r>
          </w:p>
        </w:tc>
      </w:tr>
      <w:tr w:rsidR="00A24BE7">
        <w:tc>
          <w:tcPr>
            <w:tcW w:w="817" w:type="dxa"/>
            <w:vAlign w:val="center"/>
          </w:tcPr>
          <w:p w:rsidR="00A24BE7" w:rsidRDefault="00415387">
            <w:pPr>
              <w:jc w:val="center"/>
            </w:pPr>
            <w:r>
              <w:rPr>
                <w:rFonts w:eastAsiaTheme="minorEastAsia"/>
                <w:kern w:val="0"/>
                <w:sz w:val="24"/>
                <w:szCs w:val="24"/>
              </w:rPr>
              <w:t>4</w:t>
            </w:r>
          </w:p>
        </w:tc>
        <w:tc>
          <w:tcPr>
            <w:tcW w:w="1276" w:type="dxa"/>
            <w:vAlign w:val="center"/>
          </w:tcPr>
          <w:p w:rsidR="00A24BE7" w:rsidRDefault="00415387">
            <w:pPr>
              <w:jc w:val="center"/>
            </w:pPr>
            <w:r>
              <w:rPr>
                <w:rFonts w:eastAsiaTheme="minorEastAsia"/>
                <w:kern w:val="0"/>
                <w:sz w:val="24"/>
                <w:szCs w:val="24"/>
              </w:rPr>
              <w:t>300750</w:t>
            </w:r>
          </w:p>
        </w:tc>
        <w:tc>
          <w:tcPr>
            <w:tcW w:w="1701" w:type="dxa"/>
            <w:vAlign w:val="center"/>
          </w:tcPr>
          <w:p w:rsidR="00A24BE7" w:rsidRDefault="00415387">
            <w:pPr>
              <w:jc w:val="center"/>
            </w:pPr>
            <w:r>
              <w:rPr>
                <w:rFonts w:eastAsiaTheme="minorEastAsia"/>
                <w:kern w:val="0"/>
                <w:sz w:val="24"/>
                <w:szCs w:val="24"/>
              </w:rPr>
              <w:t>宁德时代</w:t>
            </w:r>
          </w:p>
        </w:tc>
        <w:tc>
          <w:tcPr>
            <w:tcW w:w="1276" w:type="dxa"/>
            <w:vAlign w:val="center"/>
          </w:tcPr>
          <w:p w:rsidR="00A24BE7" w:rsidRDefault="00415387">
            <w:pPr>
              <w:jc w:val="right"/>
            </w:pPr>
            <w:r>
              <w:rPr>
                <w:rFonts w:eastAsiaTheme="minorEastAsia"/>
                <w:kern w:val="0"/>
                <w:sz w:val="24"/>
                <w:szCs w:val="24"/>
              </w:rPr>
              <w:t>525,424.00</w:t>
            </w:r>
          </w:p>
        </w:tc>
        <w:tc>
          <w:tcPr>
            <w:tcW w:w="1842" w:type="dxa"/>
            <w:vAlign w:val="center"/>
          </w:tcPr>
          <w:p w:rsidR="00A24BE7" w:rsidRDefault="00415387">
            <w:pPr>
              <w:jc w:val="right"/>
            </w:pPr>
            <w:r>
              <w:rPr>
                <w:rFonts w:eastAsiaTheme="minorEastAsia"/>
                <w:kern w:val="0"/>
                <w:sz w:val="24"/>
                <w:szCs w:val="24"/>
              </w:rPr>
              <w:t>213,348,415.20</w:t>
            </w:r>
          </w:p>
        </w:tc>
        <w:tc>
          <w:tcPr>
            <w:tcW w:w="1616" w:type="dxa"/>
            <w:vAlign w:val="center"/>
          </w:tcPr>
          <w:p w:rsidR="00A24BE7" w:rsidRDefault="00415387">
            <w:pPr>
              <w:jc w:val="right"/>
            </w:pPr>
            <w:r>
              <w:rPr>
                <w:rFonts w:eastAsiaTheme="minorEastAsia"/>
                <w:kern w:val="0"/>
                <w:sz w:val="24"/>
                <w:szCs w:val="24"/>
              </w:rPr>
              <w:t>4.79</w:t>
            </w:r>
          </w:p>
        </w:tc>
      </w:tr>
      <w:tr w:rsidR="00A24BE7">
        <w:tc>
          <w:tcPr>
            <w:tcW w:w="817" w:type="dxa"/>
            <w:vAlign w:val="center"/>
          </w:tcPr>
          <w:p w:rsidR="00A24BE7" w:rsidRDefault="00415387">
            <w:pPr>
              <w:jc w:val="center"/>
            </w:pPr>
            <w:r>
              <w:rPr>
                <w:rFonts w:eastAsiaTheme="minorEastAsia"/>
                <w:kern w:val="0"/>
                <w:sz w:val="24"/>
                <w:szCs w:val="24"/>
              </w:rPr>
              <w:t>5</w:t>
            </w:r>
          </w:p>
        </w:tc>
        <w:tc>
          <w:tcPr>
            <w:tcW w:w="1276" w:type="dxa"/>
            <w:vAlign w:val="center"/>
          </w:tcPr>
          <w:p w:rsidR="00A24BE7" w:rsidRDefault="00415387">
            <w:pPr>
              <w:jc w:val="center"/>
            </w:pPr>
            <w:r>
              <w:rPr>
                <w:rFonts w:eastAsiaTheme="minorEastAsia"/>
                <w:kern w:val="0"/>
                <w:sz w:val="24"/>
                <w:szCs w:val="24"/>
              </w:rPr>
              <w:t>300014</w:t>
            </w:r>
          </w:p>
        </w:tc>
        <w:tc>
          <w:tcPr>
            <w:tcW w:w="1701" w:type="dxa"/>
            <w:vAlign w:val="center"/>
          </w:tcPr>
          <w:p w:rsidR="00A24BE7" w:rsidRDefault="00415387">
            <w:pPr>
              <w:jc w:val="center"/>
            </w:pPr>
            <w:r>
              <w:rPr>
                <w:rFonts w:eastAsiaTheme="minorEastAsia"/>
                <w:kern w:val="0"/>
                <w:sz w:val="24"/>
                <w:szCs w:val="24"/>
              </w:rPr>
              <w:t>亿纬锂能</w:t>
            </w:r>
          </w:p>
        </w:tc>
        <w:tc>
          <w:tcPr>
            <w:tcW w:w="1276" w:type="dxa"/>
            <w:vAlign w:val="center"/>
          </w:tcPr>
          <w:p w:rsidR="00A24BE7" w:rsidRDefault="00415387">
            <w:pPr>
              <w:jc w:val="right"/>
            </w:pPr>
            <w:r>
              <w:rPr>
                <w:rFonts w:eastAsiaTheme="minorEastAsia"/>
                <w:kern w:val="0"/>
                <w:sz w:val="24"/>
                <w:szCs w:val="24"/>
              </w:rPr>
              <w:t>2,934,343.00</w:t>
            </w:r>
          </w:p>
        </w:tc>
        <w:tc>
          <w:tcPr>
            <w:tcW w:w="1842" w:type="dxa"/>
            <w:vAlign w:val="center"/>
          </w:tcPr>
          <w:p w:rsidR="00A24BE7" w:rsidRDefault="00415387">
            <w:pPr>
              <w:jc w:val="right"/>
            </w:pPr>
            <w:r>
              <w:rPr>
                <w:rFonts w:eastAsiaTheme="minorEastAsia"/>
                <w:kern w:val="0"/>
                <w:sz w:val="24"/>
                <w:szCs w:val="24"/>
              </w:rPr>
              <w:t>204,523,707.10</w:t>
            </w:r>
          </w:p>
        </w:tc>
        <w:tc>
          <w:tcPr>
            <w:tcW w:w="1616" w:type="dxa"/>
            <w:vAlign w:val="center"/>
          </w:tcPr>
          <w:p w:rsidR="00A24BE7" w:rsidRDefault="00415387">
            <w:pPr>
              <w:jc w:val="right"/>
            </w:pPr>
            <w:r>
              <w:rPr>
                <w:rFonts w:eastAsiaTheme="minorEastAsia"/>
                <w:kern w:val="0"/>
                <w:sz w:val="24"/>
                <w:szCs w:val="24"/>
              </w:rPr>
              <w:t>4.59</w:t>
            </w:r>
          </w:p>
        </w:tc>
      </w:tr>
      <w:tr w:rsidR="00A24BE7">
        <w:tc>
          <w:tcPr>
            <w:tcW w:w="817" w:type="dxa"/>
            <w:vAlign w:val="center"/>
          </w:tcPr>
          <w:p w:rsidR="00A24BE7" w:rsidRDefault="00415387">
            <w:pPr>
              <w:jc w:val="center"/>
            </w:pPr>
            <w:r>
              <w:rPr>
                <w:rFonts w:eastAsiaTheme="minorEastAsia"/>
                <w:kern w:val="0"/>
                <w:sz w:val="24"/>
                <w:szCs w:val="24"/>
              </w:rPr>
              <w:t>6</w:t>
            </w:r>
          </w:p>
        </w:tc>
        <w:tc>
          <w:tcPr>
            <w:tcW w:w="1276" w:type="dxa"/>
            <w:vAlign w:val="center"/>
          </w:tcPr>
          <w:p w:rsidR="00A24BE7" w:rsidRDefault="00415387">
            <w:pPr>
              <w:jc w:val="center"/>
            </w:pPr>
            <w:r>
              <w:rPr>
                <w:rFonts w:eastAsiaTheme="minorEastAsia"/>
                <w:kern w:val="0"/>
                <w:sz w:val="24"/>
                <w:szCs w:val="24"/>
              </w:rPr>
              <w:t>002384</w:t>
            </w:r>
          </w:p>
        </w:tc>
        <w:tc>
          <w:tcPr>
            <w:tcW w:w="1701" w:type="dxa"/>
            <w:vAlign w:val="center"/>
          </w:tcPr>
          <w:p w:rsidR="00A24BE7" w:rsidRDefault="00415387">
            <w:pPr>
              <w:jc w:val="center"/>
            </w:pPr>
            <w:r>
              <w:rPr>
                <w:rFonts w:eastAsiaTheme="minorEastAsia"/>
                <w:kern w:val="0"/>
                <w:sz w:val="24"/>
                <w:szCs w:val="24"/>
              </w:rPr>
              <w:t>东山精密</w:t>
            </w:r>
          </w:p>
        </w:tc>
        <w:tc>
          <w:tcPr>
            <w:tcW w:w="1276" w:type="dxa"/>
            <w:vAlign w:val="center"/>
          </w:tcPr>
          <w:p w:rsidR="00A24BE7" w:rsidRDefault="00415387">
            <w:pPr>
              <w:jc w:val="right"/>
            </w:pPr>
            <w:r>
              <w:rPr>
                <w:rFonts w:eastAsiaTheme="minorEastAsia"/>
                <w:kern w:val="0"/>
                <w:sz w:val="24"/>
                <w:szCs w:val="24"/>
              </w:rPr>
              <w:t>6,418,418.</w:t>
            </w:r>
            <w:r>
              <w:rPr>
                <w:rFonts w:eastAsiaTheme="minorEastAsia"/>
                <w:kern w:val="0"/>
                <w:sz w:val="24"/>
                <w:szCs w:val="24"/>
              </w:rPr>
              <w:lastRenderedPageBreak/>
              <w:t>00</w:t>
            </w:r>
          </w:p>
        </w:tc>
        <w:tc>
          <w:tcPr>
            <w:tcW w:w="1842" w:type="dxa"/>
            <w:vAlign w:val="center"/>
          </w:tcPr>
          <w:p w:rsidR="00A24BE7" w:rsidRDefault="00415387">
            <w:pPr>
              <w:jc w:val="right"/>
            </w:pPr>
            <w:r>
              <w:rPr>
                <w:rFonts w:eastAsiaTheme="minorEastAsia"/>
                <w:kern w:val="0"/>
                <w:sz w:val="24"/>
                <w:szCs w:val="24"/>
              </w:rPr>
              <w:lastRenderedPageBreak/>
              <w:t>194,157,144.50</w:t>
            </w:r>
          </w:p>
        </w:tc>
        <w:tc>
          <w:tcPr>
            <w:tcW w:w="1616" w:type="dxa"/>
            <w:vAlign w:val="center"/>
          </w:tcPr>
          <w:p w:rsidR="00A24BE7" w:rsidRDefault="00415387">
            <w:pPr>
              <w:jc w:val="right"/>
            </w:pPr>
            <w:r>
              <w:rPr>
                <w:rFonts w:eastAsiaTheme="minorEastAsia"/>
                <w:kern w:val="0"/>
                <w:sz w:val="24"/>
                <w:szCs w:val="24"/>
              </w:rPr>
              <w:t>4.36</w:t>
            </w:r>
          </w:p>
        </w:tc>
      </w:tr>
      <w:tr w:rsidR="00A24BE7">
        <w:tc>
          <w:tcPr>
            <w:tcW w:w="817" w:type="dxa"/>
            <w:vAlign w:val="center"/>
          </w:tcPr>
          <w:p w:rsidR="00A24BE7" w:rsidRDefault="00415387">
            <w:pPr>
              <w:jc w:val="center"/>
            </w:pPr>
            <w:r>
              <w:rPr>
                <w:rFonts w:eastAsiaTheme="minorEastAsia"/>
                <w:kern w:val="0"/>
                <w:sz w:val="24"/>
                <w:szCs w:val="24"/>
              </w:rPr>
              <w:t>7</w:t>
            </w:r>
          </w:p>
        </w:tc>
        <w:tc>
          <w:tcPr>
            <w:tcW w:w="1276" w:type="dxa"/>
            <w:vAlign w:val="center"/>
          </w:tcPr>
          <w:p w:rsidR="00A24BE7" w:rsidRDefault="00415387">
            <w:pPr>
              <w:jc w:val="center"/>
            </w:pPr>
            <w:r>
              <w:rPr>
                <w:rFonts w:eastAsiaTheme="minorEastAsia"/>
                <w:kern w:val="0"/>
                <w:sz w:val="24"/>
                <w:szCs w:val="24"/>
              </w:rPr>
              <w:t>300390</w:t>
            </w:r>
          </w:p>
        </w:tc>
        <w:tc>
          <w:tcPr>
            <w:tcW w:w="1701" w:type="dxa"/>
            <w:vAlign w:val="center"/>
          </w:tcPr>
          <w:p w:rsidR="00A24BE7" w:rsidRDefault="00415387">
            <w:pPr>
              <w:jc w:val="center"/>
            </w:pPr>
            <w:r>
              <w:rPr>
                <w:rFonts w:eastAsiaTheme="minorEastAsia"/>
                <w:kern w:val="0"/>
                <w:sz w:val="24"/>
                <w:szCs w:val="24"/>
              </w:rPr>
              <w:t>天华新能</w:t>
            </w:r>
          </w:p>
        </w:tc>
        <w:tc>
          <w:tcPr>
            <w:tcW w:w="1276" w:type="dxa"/>
            <w:vAlign w:val="center"/>
          </w:tcPr>
          <w:p w:rsidR="00A24BE7" w:rsidRDefault="00415387">
            <w:pPr>
              <w:jc w:val="right"/>
            </w:pPr>
            <w:r>
              <w:rPr>
                <w:rFonts w:eastAsiaTheme="minorEastAsia"/>
                <w:kern w:val="0"/>
                <w:sz w:val="24"/>
                <w:szCs w:val="24"/>
              </w:rPr>
              <w:t>3,666,421.00</w:t>
            </w:r>
          </w:p>
        </w:tc>
        <w:tc>
          <w:tcPr>
            <w:tcW w:w="1842" w:type="dxa"/>
            <w:vAlign w:val="center"/>
          </w:tcPr>
          <w:p w:rsidR="00A24BE7" w:rsidRDefault="00415387">
            <w:pPr>
              <w:jc w:val="right"/>
            </w:pPr>
            <w:r>
              <w:rPr>
                <w:rFonts w:eastAsiaTheme="minorEastAsia"/>
                <w:kern w:val="0"/>
                <w:sz w:val="24"/>
                <w:szCs w:val="24"/>
              </w:rPr>
              <w:t>186,236,557.87</w:t>
            </w:r>
          </w:p>
        </w:tc>
        <w:tc>
          <w:tcPr>
            <w:tcW w:w="1616" w:type="dxa"/>
            <w:vAlign w:val="center"/>
          </w:tcPr>
          <w:p w:rsidR="00A24BE7" w:rsidRDefault="00415387">
            <w:pPr>
              <w:jc w:val="right"/>
            </w:pPr>
            <w:r>
              <w:rPr>
                <w:rFonts w:eastAsiaTheme="minorEastAsia"/>
                <w:kern w:val="0"/>
                <w:sz w:val="24"/>
                <w:szCs w:val="24"/>
              </w:rPr>
              <w:t>4.18</w:t>
            </w:r>
          </w:p>
        </w:tc>
      </w:tr>
      <w:tr w:rsidR="00A24BE7">
        <w:tc>
          <w:tcPr>
            <w:tcW w:w="817" w:type="dxa"/>
            <w:vAlign w:val="center"/>
          </w:tcPr>
          <w:p w:rsidR="00A24BE7" w:rsidRDefault="00415387">
            <w:pPr>
              <w:jc w:val="center"/>
            </w:pPr>
            <w:r>
              <w:rPr>
                <w:rFonts w:eastAsiaTheme="minorEastAsia"/>
                <w:kern w:val="0"/>
                <w:sz w:val="24"/>
                <w:szCs w:val="24"/>
              </w:rPr>
              <w:t>8</w:t>
            </w:r>
          </w:p>
        </w:tc>
        <w:tc>
          <w:tcPr>
            <w:tcW w:w="1276" w:type="dxa"/>
            <w:vAlign w:val="center"/>
          </w:tcPr>
          <w:p w:rsidR="00A24BE7" w:rsidRDefault="00415387">
            <w:pPr>
              <w:jc w:val="center"/>
            </w:pPr>
            <w:r>
              <w:rPr>
                <w:rFonts w:eastAsiaTheme="minorEastAsia"/>
                <w:kern w:val="0"/>
                <w:sz w:val="24"/>
                <w:szCs w:val="24"/>
              </w:rPr>
              <w:t>600869</w:t>
            </w:r>
          </w:p>
        </w:tc>
        <w:tc>
          <w:tcPr>
            <w:tcW w:w="1701" w:type="dxa"/>
            <w:vAlign w:val="center"/>
          </w:tcPr>
          <w:p w:rsidR="00A24BE7" w:rsidRDefault="00415387">
            <w:pPr>
              <w:jc w:val="center"/>
            </w:pPr>
            <w:r>
              <w:rPr>
                <w:rFonts w:eastAsiaTheme="minorEastAsia"/>
                <w:kern w:val="0"/>
                <w:sz w:val="24"/>
                <w:szCs w:val="24"/>
              </w:rPr>
              <w:t>远东股份</w:t>
            </w:r>
          </w:p>
        </w:tc>
        <w:tc>
          <w:tcPr>
            <w:tcW w:w="1276" w:type="dxa"/>
            <w:vAlign w:val="center"/>
          </w:tcPr>
          <w:p w:rsidR="00A24BE7" w:rsidRDefault="00415387">
            <w:pPr>
              <w:jc w:val="right"/>
            </w:pPr>
            <w:r>
              <w:rPr>
                <w:rFonts w:eastAsiaTheme="minorEastAsia"/>
                <w:kern w:val="0"/>
                <w:sz w:val="24"/>
                <w:szCs w:val="24"/>
              </w:rPr>
              <w:t>30,617,132.00</w:t>
            </w:r>
          </w:p>
        </w:tc>
        <w:tc>
          <w:tcPr>
            <w:tcW w:w="1842" w:type="dxa"/>
            <w:vAlign w:val="center"/>
          </w:tcPr>
          <w:p w:rsidR="00A24BE7" w:rsidRDefault="00415387">
            <w:pPr>
              <w:jc w:val="right"/>
            </w:pPr>
            <w:r>
              <w:rPr>
                <w:rFonts w:eastAsiaTheme="minorEastAsia"/>
                <w:kern w:val="0"/>
                <w:sz w:val="24"/>
                <w:szCs w:val="24"/>
              </w:rPr>
              <w:t>169,312,739.96</w:t>
            </w:r>
          </w:p>
        </w:tc>
        <w:tc>
          <w:tcPr>
            <w:tcW w:w="1616" w:type="dxa"/>
            <w:vAlign w:val="center"/>
          </w:tcPr>
          <w:p w:rsidR="00A24BE7" w:rsidRDefault="00415387">
            <w:pPr>
              <w:jc w:val="right"/>
            </w:pPr>
            <w:r>
              <w:rPr>
                <w:rFonts w:eastAsiaTheme="minorEastAsia"/>
                <w:kern w:val="0"/>
                <w:sz w:val="24"/>
                <w:szCs w:val="24"/>
              </w:rPr>
              <w:t>3.80</w:t>
            </w:r>
          </w:p>
        </w:tc>
      </w:tr>
      <w:tr w:rsidR="00A24BE7">
        <w:tc>
          <w:tcPr>
            <w:tcW w:w="817" w:type="dxa"/>
            <w:vAlign w:val="center"/>
          </w:tcPr>
          <w:p w:rsidR="00A24BE7" w:rsidRDefault="00415387">
            <w:pPr>
              <w:jc w:val="center"/>
            </w:pPr>
            <w:r>
              <w:rPr>
                <w:rFonts w:eastAsiaTheme="minorEastAsia"/>
                <w:kern w:val="0"/>
                <w:sz w:val="24"/>
                <w:szCs w:val="24"/>
              </w:rPr>
              <w:t>9</w:t>
            </w:r>
          </w:p>
        </w:tc>
        <w:tc>
          <w:tcPr>
            <w:tcW w:w="1276" w:type="dxa"/>
            <w:vAlign w:val="center"/>
          </w:tcPr>
          <w:p w:rsidR="00A24BE7" w:rsidRDefault="00415387">
            <w:pPr>
              <w:jc w:val="center"/>
            </w:pPr>
            <w:r>
              <w:rPr>
                <w:rFonts w:eastAsiaTheme="minorEastAsia"/>
                <w:kern w:val="0"/>
                <w:sz w:val="24"/>
                <w:szCs w:val="24"/>
              </w:rPr>
              <w:t>600481</w:t>
            </w:r>
          </w:p>
        </w:tc>
        <w:tc>
          <w:tcPr>
            <w:tcW w:w="1701" w:type="dxa"/>
            <w:vAlign w:val="center"/>
          </w:tcPr>
          <w:p w:rsidR="00A24BE7" w:rsidRDefault="00415387">
            <w:pPr>
              <w:jc w:val="center"/>
            </w:pPr>
            <w:r>
              <w:rPr>
                <w:rFonts w:eastAsiaTheme="minorEastAsia"/>
                <w:kern w:val="0"/>
                <w:sz w:val="24"/>
                <w:szCs w:val="24"/>
              </w:rPr>
              <w:t>双良节能</w:t>
            </w:r>
          </w:p>
        </w:tc>
        <w:tc>
          <w:tcPr>
            <w:tcW w:w="1276" w:type="dxa"/>
            <w:vAlign w:val="center"/>
          </w:tcPr>
          <w:p w:rsidR="00A24BE7" w:rsidRDefault="00415387">
            <w:pPr>
              <w:jc w:val="right"/>
            </w:pPr>
            <w:r>
              <w:rPr>
                <w:rFonts w:eastAsiaTheme="minorEastAsia"/>
                <w:kern w:val="0"/>
                <w:sz w:val="24"/>
                <w:szCs w:val="24"/>
              </w:rPr>
              <w:t>9,424,207.00</w:t>
            </w:r>
          </w:p>
        </w:tc>
        <w:tc>
          <w:tcPr>
            <w:tcW w:w="1842" w:type="dxa"/>
            <w:vAlign w:val="center"/>
          </w:tcPr>
          <w:p w:rsidR="00A24BE7" w:rsidRDefault="00415387">
            <w:pPr>
              <w:jc w:val="right"/>
            </w:pPr>
            <w:r>
              <w:rPr>
                <w:rFonts w:eastAsiaTheme="minorEastAsia"/>
                <w:kern w:val="0"/>
                <w:sz w:val="24"/>
                <w:szCs w:val="24"/>
              </w:rPr>
              <w:t>147,865,807.83</w:t>
            </w:r>
          </w:p>
        </w:tc>
        <w:tc>
          <w:tcPr>
            <w:tcW w:w="1616" w:type="dxa"/>
            <w:vAlign w:val="center"/>
          </w:tcPr>
          <w:p w:rsidR="00A24BE7" w:rsidRDefault="00415387">
            <w:pPr>
              <w:jc w:val="right"/>
            </w:pPr>
            <w:r>
              <w:rPr>
                <w:rFonts w:eastAsiaTheme="minorEastAsia"/>
                <w:kern w:val="0"/>
                <w:sz w:val="24"/>
                <w:szCs w:val="24"/>
              </w:rPr>
              <w:t>3.32</w:t>
            </w:r>
          </w:p>
        </w:tc>
      </w:tr>
      <w:tr w:rsidR="00A24BE7">
        <w:tc>
          <w:tcPr>
            <w:tcW w:w="817" w:type="dxa"/>
            <w:vAlign w:val="center"/>
          </w:tcPr>
          <w:p w:rsidR="00A24BE7" w:rsidRDefault="00415387">
            <w:pPr>
              <w:jc w:val="center"/>
            </w:pPr>
            <w:r>
              <w:rPr>
                <w:rFonts w:eastAsiaTheme="minorEastAsia"/>
                <w:kern w:val="0"/>
                <w:sz w:val="24"/>
                <w:szCs w:val="24"/>
              </w:rPr>
              <w:t>10</w:t>
            </w:r>
          </w:p>
        </w:tc>
        <w:tc>
          <w:tcPr>
            <w:tcW w:w="1276" w:type="dxa"/>
            <w:vAlign w:val="center"/>
          </w:tcPr>
          <w:p w:rsidR="00A24BE7" w:rsidRDefault="00415387">
            <w:pPr>
              <w:jc w:val="center"/>
            </w:pPr>
            <w:r>
              <w:rPr>
                <w:rFonts w:eastAsiaTheme="minorEastAsia"/>
                <w:kern w:val="0"/>
                <w:sz w:val="24"/>
                <w:szCs w:val="24"/>
              </w:rPr>
              <w:t>300308</w:t>
            </w:r>
          </w:p>
        </w:tc>
        <w:tc>
          <w:tcPr>
            <w:tcW w:w="1701" w:type="dxa"/>
            <w:vAlign w:val="center"/>
          </w:tcPr>
          <w:p w:rsidR="00A24BE7" w:rsidRDefault="00415387">
            <w:pPr>
              <w:jc w:val="center"/>
            </w:pPr>
            <w:r>
              <w:rPr>
                <w:rFonts w:eastAsiaTheme="minorEastAsia"/>
                <w:kern w:val="0"/>
                <w:sz w:val="24"/>
                <w:szCs w:val="24"/>
              </w:rPr>
              <w:t>中际旭创</w:t>
            </w:r>
          </w:p>
        </w:tc>
        <w:tc>
          <w:tcPr>
            <w:tcW w:w="1276" w:type="dxa"/>
            <w:vAlign w:val="center"/>
          </w:tcPr>
          <w:p w:rsidR="00A24BE7" w:rsidRDefault="00415387">
            <w:pPr>
              <w:jc w:val="right"/>
            </w:pPr>
            <w:r>
              <w:rPr>
                <w:rFonts w:eastAsiaTheme="minorEastAsia"/>
                <w:kern w:val="0"/>
                <w:sz w:val="24"/>
                <w:szCs w:val="24"/>
              </w:rPr>
              <w:t>2,366,859.00</w:t>
            </w:r>
          </w:p>
        </w:tc>
        <w:tc>
          <w:tcPr>
            <w:tcW w:w="1842" w:type="dxa"/>
            <w:vAlign w:val="center"/>
          </w:tcPr>
          <w:p w:rsidR="00A24BE7" w:rsidRDefault="00415387">
            <w:pPr>
              <w:jc w:val="right"/>
            </w:pPr>
            <w:r>
              <w:rPr>
                <w:rFonts w:eastAsiaTheme="minorEastAsia"/>
                <w:kern w:val="0"/>
                <w:sz w:val="24"/>
                <w:szCs w:val="24"/>
              </w:rPr>
              <w:t>139,407,995.10</w:t>
            </w:r>
          </w:p>
        </w:tc>
        <w:tc>
          <w:tcPr>
            <w:tcW w:w="1616" w:type="dxa"/>
            <w:vAlign w:val="center"/>
          </w:tcPr>
          <w:p w:rsidR="00A24BE7" w:rsidRDefault="00415387">
            <w:pPr>
              <w:jc w:val="right"/>
            </w:pPr>
            <w:r>
              <w:rPr>
                <w:rFonts w:eastAsiaTheme="minorEastAsia"/>
                <w:kern w:val="0"/>
                <w:sz w:val="24"/>
                <w:szCs w:val="24"/>
              </w:rPr>
              <w:t>3.13</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4,075,751.58</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0.09</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4,075,751.58</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0.09</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A24BE7">
        <w:tc>
          <w:tcPr>
            <w:tcW w:w="1252" w:type="dxa"/>
            <w:vAlign w:val="center"/>
          </w:tcPr>
          <w:p w:rsidR="00A24BE7" w:rsidRDefault="00415387">
            <w:pPr>
              <w:jc w:val="center"/>
            </w:pPr>
            <w:r>
              <w:rPr>
                <w:rFonts w:eastAsiaTheme="minorEastAsia"/>
                <w:color w:val="000000" w:themeColor="text1"/>
                <w:kern w:val="0"/>
              </w:rPr>
              <w:t>1</w:t>
            </w:r>
          </w:p>
        </w:tc>
        <w:tc>
          <w:tcPr>
            <w:tcW w:w="1310" w:type="dxa"/>
            <w:vAlign w:val="center"/>
          </w:tcPr>
          <w:p w:rsidR="00A24BE7" w:rsidRDefault="00415387">
            <w:pPr>
              <w:jc w:val="center"/>
            </w:pPr>
            <w:r>
              <w:rPr>
                <w:rFonts w:eastAsiaTheme="minorEastAsia"/>
                <w:color w:val="000000" w:themeColor="text1"/>
                <w:kern w:val="0"/>
              </w:rPr>
              <w:t>118005</w:t>
            </w:r>
          </w:p>
        </w:tc>
        <w:tc>
          <w:tcPr>
            <w:tcW w:w="1282" w:type="dxa"/>
            <w:vAlign w:val="center"/>
          </w:tcPr>
          <w:p w:rsidR="00A24BE7" w:rsidRDefault="00415387">
            <w:pPr>
              <w:jc w:val="center"/>
            </w:pPr>
            <w:r>
              <w:rPr>
                <w:rFonts w:eastAsiaTheme="minorEastAsia"/>
                <w:color w:val="000000" w:themeColor="text1"/>
                <w:kern w:val="0"/>
              </w:rPr>
              <w:t>天奈转债</w:t>
            </w:r>
          </w:p>
        </w:tc>
        <w:tc>
          <w:tcPr>
            <w:tcW w:w="1426" w:type="dxa"/>
            <w:vAlign w:val="center"/>
          </w:tcPr>
          <w:p w:rsidR="00A24BE7" w:rsidRDefault="00415387">
            <w:pPr>
              <w:jc w:val="right"/>
            </w:pPr>
            <w:r>
              <w:rPr>
                <w:rFonts w:eastAsiaTheme="minorEastAsia"/>
                <w:color w:val="000000" w:themeColor="text1"/>
                <w:kern w:val="0"/>
              </w:rPr>
              <w:t>37,840</w:t>
            </w:r>
          </w:p>
        </w:tc>
        <w:tc>
          <w:tcPr>
            <w:tcW w:w="1646" w:type="dxa"/>
            <w:vAlign w:val="center"/>
          </w:tcPr>
          <w:p w:rsidR="00A24BE7" w:rsidRDefault="00415387">
            <w:pPr>
              <w:jc w:val="right"/>
            </w:pPr>
            <w:r>
              <w:rPr>
                <w:rFonts w:eastAsiaTheme="minorEastAsia"/>
                <w:color w:val="000000" w:themeColor="text1"/>
                <w:kern w:val="0"/>
              </w:rPr>
              <w:t>4,075,751.58</w:t>
            </w:r>
          </w:p>
        </w:tc>
        <w:tc>
          <w:tcPr>
            <w:tcW w:w="1612" w:type="dxa"/>
            <w:vAlign w:val="center"/>
          </w:tcPr>
          <w:p w:rsidR="00A24BE7" w:rsidRDefault="00415387">
            <w:pPr>
              <w:jc w:val="right"/>
            </w:pPr>
            <w:r>
              <w:rPr>
                <w:rFonts w:eastAsiaTheme="minorEastAsia"/>
                <w:color w:val="000000" w:themeColor="text1"/>
                <w:kern w:val="0"/>
              </w:rPr>
              <w:t>0.09</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lastRenderedPageBreak/>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478,130.60</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35,799,878.78</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82,457.37</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lastRenderedPageBreak/>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36,360,466.75</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tbl>
      <w:tblPr>
        <w:tblStyle w:val="aff4"/>
        <w:tblW w:w="8513" w:type="dxa"/>
        <w:tblInd w:w="15" w:type="dxa"/>
        <w:tblLayout w:type="fixed"/>
        <w:tblLook w:val="04A0" w:firstRow="1" w:lastRow="0" w:firstColumn="1" w:lastColumn="0" w:noHBand="0" w:noVBand="1"/>
      </w:tblPr>
      <w:tblGrid>
        <w:gridCol w:w="1808"/>
        <w:gridCol w:w="1729"/>
        <w:gridCol w:w="1658"/>
        <w:gridCol w:w="1697"/>
        <w:gridCol w:w="1621"/>
      </w:tblGrid>
      <w:tr w:rsidR="00D06738" w:rsidRPr="00FF6B9A">
        <w:tc>
          <w:tcPr>
            <w:tcW w:w="180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65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6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21"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p>
        </w:tc>
      </w:tr>
      <w:tr w:rsidR="00A24BE7">
        <w:tc>
          <w:tcPr>
            <w:tcW w:w="1808" w:type="dxa"/>
            <w:vAlign w:val="center"/>
          </w:tcPr>
          <w:p w:rsidR="00A24BE7" w:rsidRDefault="00415387">
            <w:pPr>
              <w:jc w:val="center"/>
            </w:pPr>
            <w:r>
              <w:rPr>
                <w:rFonts w:eastAsiaTheme="minorEastAsia"/>
                <w:color w:val="000000" w:themeColor="text1"/>
                <w:kern w:val="0"/>
              </w:rPr>
              <w:t>1</w:t>
            </w:r>
          </w:p>
        </w:tc>
        <w:tc>
          <w:tcPr>
            <w:tcW w:w="1729" w:type="dxa"/>
            <w:vAlign w:val="center"/>
          </w:tcPr>
          <w:p w:rsidR="00A24BE7" w:rsidRDefault="00415387">
            <w:pPr>
              <w:jc w:val="center"/>
            </w:pPr>
            <w:r>
              <w:rPr>
                <w:rFonts w:eastAsiaTheme="minorEastAsia"/>
                <w:color w:val="000000" w:themeColor="text1"/>
                <w:kern w:val="0"/>
              </w:rPr>
              <w:t>118005</w:t>
            </w:r>
          </w:p>
        </w:tc>
        <w:tc>
          <w:tcPr>
            <w:tcW w:w="1658" w:type="dxa"/>
            <w:vAlign w:val="center"/>
          </w:tcPr>
          <w:p w:rsidR="00A24BE7" w:rsidRDefault="00415387">
            <w:pPr>
              <w:jc w:val="center"/>
            </w:pPr>
            <w:r>
              <w:rPr>
                <w:rFonts w:eastAsiaTheme="minorEastAsia"/>
                <w:color w:val="000000" w:themeColor="text1"/>
                <w:kern w:val="0"/>
              </w:rPr>
              <w:t>天奈转债</w:t>
            </w:r>
          </w:p>
        </w:tc>
        <w:tc>
          <w:tcPr>
            <w:tcW w:w="1697" w:type="dxa"/>
            <w:vAlign w:val="center"/>
          </w:tcPr>
          <w:p w:rsidR="00A24BE7" w:rsidRDefault="00415387">
            <w:pPr>
              <w:jc w:val="right"/>
            </w:pPr>
            <w:r>
              <w:rPr>
                <w:rFonts w:eastAsiaTheme="minorEastAsia"/>
                <w:color w:val="000000" w:themeColor="text1"/>
                <w:kern w:val="0"/>
              </w:rPr>
              <w:t>4,075,751.58</w:t>
            </w:r>
          </w:p>
        </w:tc>
        <w:tc>
          <w:tcPr>
            <w:tcW w:w="1621" w:type="dxa"/>
            <w:vAlign w:val="center"/>
          </w:tcPr>
          <w:p w:rsidR="00A24BE7" w:rsidRDefault="00415387">
            <w:pPr>
              <w:jc w:val="right"/>
            </w:pPr>
            <w:r>
              <w:rPr>
                <w:rFonts w:eastAsiaTheme="minorEastAsia"/>
                <w:color w:val="000000" w:themeColor="text1"/>
                <w:kern w:val="0"/>
              </w:rPr>
              <w:t>0.09</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tbl>
      <w:tblPr>
        <w:tblStyle w:val="aff4"/>
        <w:tblW w:w="8513" w:type="dxa"/>
        <w:tblInd w:w="15" w:type="dxa"/>
        <w:tblLayout w:type="fixed"/>
        <w:tblLook w:val="04A0" w:firstRow="1" w:lastRow="0" w:firstColumn="1" w:lastColumn="0" w:noHBand="0" w:noVBand="1"/>
      </w:tblPr>
      <w:tblGrid>
        <w:gridCol w:w="1083"/>
        <w:gridCol w:w="1302"/>
        <w:gridCol w:w="1301"/>
        <w:gridCol w:w="1805"/>
        <w:gridCol w:w="1655"/>
        <w:gridCol w:w="1367"/>
      </w:tblGrid>
      <w:tr w:rsidR="00D06738" w:rsidRPr="00FF6B9A">
        <w:tc>
          <w:tcPr>
            <w:tcW w:w="108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0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股票代码</w:t>
            </w:r>
          </w:p>
        </w:tc>
        <w:tc>
          <w:tcPr>
            <w:tcW w:w="1301"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股票名称</w:t>
            </w:r>
          </w:p>
        </w:tc>
        <w:tc>
          <w:tcPr>
            <w:tcW w:w="1805"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流通受限部分的公允价值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55"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p>
        </w:tc>
        <w:tc>
          <w:tcPr>
            <w:tcW w:w="136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流通受限情况说明</w:t>
            </w:r>
          </w:p>
        </w:tc>
      </w:tr>
      <w:tr w:rsidR="00A24BE7">
        <w:tc>
          <w:tcPr>
            <w:tcW w:w="1083" w:type="dxa"/>
            <w:vAlign w:val="center"/>
          </w:tcPr>
          <w:p w:rsidR="00A24BE7" w:rsidRDefault="00415387">
            <w:pPr>
              <w:jc w:val="center"/>
            </w:pPr>
            <w:r>
              <w:rPr>
                <w:rFonts w:eastAsiaTheme="minorEastAsia"/>
                <w:color w:val="000000" w:themeColor="text1"/>
                <w:kern w:val="0"/>
              </w:rPr>
              <w:t>1</w:t>
            </w:r>
          </w:p>
        </w:tc>
        <w:tc>
          <w:tcPr>
            <w:tcW w:w="1302" w:type="dxa"/>
            <w:vAlign w:val="center"/>
          </w:tcPr>
          <w:p w:rsidR="00A24BE7" w:rsidRDefault="00415387">
            <w:pPr>
              <w:jc w:val="center"/>
            </w:pPr>
            <w:r>
              <w:rPr>
                <w:rFonts w:eastAsiaTheme="minorEastAsia"/>
                <w:color w:val="000000" w:themeColor="text1"/>
                <w:kern w:val="0"/>
              </w:rPr>
              <w:t>300390</w:t>
            </w:r>
          </w:p>
        </w:tc>
        <w:tc>
          <w:tcPr>
            <w:tcW w:w="1301" w:type="dxa"/>
            <w:vAlign w:val="center"/>
          </w:tcPr>
          <w:p w:rsidR="00A24BE7" w:rsidRDefault="00415387">
            <w:pPr>
              <w:jc w:val="center"/>
            </w:pPr>
            <w:r>
              <w:rPr>
                <w:rFonts w:eastAsiaTheme="minorEastAsia"/>
                <w:color w:val="000000" w:themeColor="text1"/>
                <w:kern w:val="0"/>
              </w:rPr>
              <w:t>天华</w:t>
            </w:r>
            <w:r>
              <w:rPr>
                <w:rFonts w:eastAsiaTheme="minorEastAsia"/>
                <w:kern w:val="0"/>
                <w:sz w:val="24"/>
                <w:szCs w:val="24"/>
              </w:rPr>
              <w:t>新能</w:t>
            </w:r>
          </w:p>
        </w:tc>
        <w:tc>
          <w:tcPr>
            <w:tcW w:w="1805" w:type="dxa"/>
            <w:vAlign w:val="center"/>
          </w:tcPr>
          <w:p w:rsidR="00A24BE7" w:rsidRDefault="00415387">
            <w:pPr>
              <w:jc w:val="right"/>
            </w:pPr>
            <w:r>
              <w:rPr>
                <w:rFonts w:eastAsiaTheme="minorEastAsia"/>
                <w:color w:val="000000" w:themeColor="text1"/>
                <w:kern w:val="0"/>
              </w:rPr>
              <w:t>54,688,239.92</w:t>
            </w:r>
          </w:p>
        </w:tc>
        <w:tc>
          <w:tcPr>
            <w:tcW w:w="1655" w:type="dxa"/>
            <w:vAlign w:val="center"/>
          </w:tcPr>
          <w:p w:rsidR="00A24BE7" w:rsidRDefault="00415387">
            <w:pPr>
              <w:jc w:val="right"/>
            </w:pPr>
            <w:r>
              <w:rPr>
                <w:rFonts w:eastAsiaTheme="minorEastAsia"/>
                <w:color w:val="000000" w:themeColor="text1"/>
                <w:kern w:val="0"/>
              </w:rPr>
              <w:t>1.23</w:t>
            </w:r>
          </w:p>
        </w:tc>
        <w:tc>
          <w:tcPr>
            <w:tcW w:w="1367" w:type="dxa"/>
            <w:vAlign w:val="center"/>
          </w:tcPr>
          <w:p w:rsidR="00A24BE7" w:rsidRDefault="00415387">
            <w:pPr>
              <w:jc w:val="right"/>
            </w:pPr>
            <w:r>
              <w:rPr>
                <w:rFonts w:eastAsiaTheme="minorEastAsia"/>
              </w:rPr>
              <w:t>非公开发行流通受限</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6,427,656,295.49</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18,230,127.85</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517,881,743.79</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5,928,004,679.55</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A24BE7" w:rsidRDefault="0041538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中国证监会准予本基金募集注册的文件</w:t>
      </w:r>
    </w:p>
    <w:p w:rsidR="00A24BE7" w:rsidRDefault="0041538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摩根远见两年持有期混合型证券投资基金基金合同</w:t>
      </w:r>
    </w:p>
    <w:p w:rsidR="00A24BE7" w:rsidRDefault="0041538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摩根远见两年持有期混合型证券投资基金托管协议</w:t>
      </w:r>
    </w:p>
    <w:p w:rsidR="00A24BE7" w:rsidRDefault="0041538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A24BE7" w:rsidRDefault="0041538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A24BE7" w:rsidRDefault="0041538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A24BE7" w:rsidRDefault="0041538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二〇二三年四月二十一日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159" w:rsidRDefault="00EB2159">
      <w:r>
        <w:separator/>
      </w:r>
    </w:p>
  </w:endnote>
  <w:endnote w:type="continuationSeparator" w:id="0">
    <w:p w:rsidR="00EB2159" w:rsidRDefault="00EB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410452" w:rsidRPr="00410452">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410452">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159" w:rsidRDefault="00EB2159">
      <w:r>
        <w:separator/>
      </w:r>
    </w:p>
  </w:footnote>
  <w:footnote w:type="continuationSeparator" w:id="0">
    <w:p w:rsidR="00EB2159" w:rsidRDefault="00EB2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摩根远见两年持有期混合型证券投资基金</w:t>
    </w:r>
    <w:r>
      <w:rPr>
        <w:rFonts w:hint="eastAsia"/>
      </w:rPr>
      <w:t>2023</w:t>
    </w:r>
    <w:r>
      <w:rPr>
        <w:rFonts w:hint="eastAsia"/>
      </w:rPr>
      <w:t>年第</w:t>
    </w:r>
    <w:r>
      <w:rPr>
        <w:rFonts w:hint="eastAsia"/>
      </w:rPr>
      <w:t>1</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0452"/>
    <w:rsid w:val="004149AC"/>
    <w:rsid w:val="00415387"/>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24BE7"/>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1B61AE-FAE2-4492-B153-92D8C92A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1152</Words>
  <Characters>6573</Characters>
  <Application>Microsoft Office Word</Application>
  <DocSecurity>0</DocSecurity>
  <Lines>54</Lines>
  <Paragraphs>15</Paragraphs>
  <ScaleCrop>false</ScaleCrop>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Wang,Xiaodi@FA</cp:lastModifiedBy>
  <cp:revision>270</cp:revision>
  <dcterms:created xsi:type="dcterms:W3CDTF">2012-10-16T06:07:00Z</dcterms:created>
  <dcterms:modified xsi:type="dcterms:W3CDTF">2023-04-20T06:25:00Z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