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上投摩根远见两年持有期混合型证券投资基金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报告送出日期：二〇二二年一月二十四日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上投摩根远见两年持有期混合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6,335,111,706.04</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本基金将自上而下地甄选行业，通过对行业政策、景气度、估值吸引力比较、市场预期等标准确定行业配置方案，并通过自下而上方法分析个股，结合各项定量和定性指标挑选出最具上涨潜力的标的。</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4F7610" w:rsidRDefault="00FF387D">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FF387D" w:rsidRPr="00FF6B9A" w:rsidTr="00FF387D">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FF387D" w:rsidRPr="00FF6B9A" w:rsidTr="00FF387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67,786,632.63</w:t>
            </w:r>
          </w:p>
        </w:tc>
      </w:tr>
      <w:tr w:rsidR="00FF387D" w:rsidRPr="00FF6B9A" w:rsidTr="00FF387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-58,521,934.41</w:t>
            </w:r>
          </w:p>
        </w:tc>
      </w:tr>
      <w:tr w:rsidR="00FF387D" w:rsidRPr="00FF6B9A" w:rsidTr="00FF387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-0.0093</w:t>
            </w:r>
          </w:p>
        </w:tc>
      </w:tr>
      <w:tr w:rsidR="00FF387D" w:rsidRPr="00FF6B9A" w:rsidTr="00FF387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7,051,968,748.55</w:t>
            </w:r>
          </w:p>
        </w:tc>
      </w:tr>
      <w:tr w:rsidR="00FF387D" w:rsidRPr="00FF6B9A" w:rsidTr="00FF387D">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1.1132</w:t>
            </w:r>
          </w:p>
        </w:tc>
      </w:tr>
    </w:tbl>
    <w:p w:rsidR="004F7610" w:rsidRDefault="00FF387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4F7610">
        <w:tc>
          <w:tcPr>
            <w:tcW w:w="1395" w:type="dxa"/>
            <w:vAlign w:val="center"/>
          </w:tcPr>
          <w:p w:rsidR="004F7610" w:rsidRDefault="00FF387D">
            <w:pPr>
              <w:jc w:val="left"/>
            </w:pPr>
            <w:r>
              <w:rPr>
                <w:rFonts w:eastAsiaTheme="minorEastAsia"/>
                <w:color w:val="000000" w:themeColor="text1"/>
                <w:kern w:val="0"/>
              </w:rPr>
              <w:t>过去三个月</w:t>
            </w:r>
          </w:p>
        </w:tc>
        <w:tc>
          <w:tcPr>
            <w:tcW w:w="1092" w:type="dxa"/>
            <w:vAlign w:val="center"/>
          </w:tcPr>
          <w:p w:rsidR="004F7610" w:rsidRDefault="00FF387D">
            <w:pPr>
              <w:jc w:val="center"/>
            </w:pPr>
            <w:r>
              <w:rPr>
                <w:rFonts w:eastAsiaTheme="minorEastAsia"/>
                <w:color w:val="000000" w:themeColor="text1"/>
                <w:kern w:val="0"/>
              </w:rPr>
              <w:t>-0.79%</w:t>
            </w:r>
          </w:p>
        </w:tc>
        <w:tc>
          <w:tcPr>
            <w:tcW w:w="1161" w:type="dxa"/>
            <w:vAlign w:val="center"/>
          </w:tcPr>
          <w:p w:rsidR="004F7610" w:rsidRDefault="00FF387D">
            <w:pPr>
              <w:jc w:val="center"/>
            </w:pPr>
            <w:r>
              <w:rPr>
                <w:rFonts w:eastAsiaTheme="minorEastAsia"/>
                <w:color w:val="000000" w:themeColor="text1"/>
                <w:kern w:val="0"/>
              </w:rPr>
              <w:t>1.64%</w:t>
            </w:r>
          </w:p>
        </w:tc>
        <w:tc>
          <w:tcPr>
            <w:tcW w:w="1181" w:type="dxa"/>
            <w:vAlign w:val="center"/>
          </w:tcPr>
          <w:p w:rsidR="004F7610" w:rsidRDefault="00FF387D">
            <w:pPr>
              <w:jc w:val="center"/>
            </w:pPr>
            <w:r>
              <w:rPr>
                <w:rFonts w:eastAsiaTheme="minorEastAsia"/>
                <w:color w:val="000000" w:themeColor="text1"/>
                <w:kern w:val="0"/>
              </w:rPr>
              <w:t>1.00%</w:t>
            </w:r>
          </w:p>
        </w:tc>
        <w:tc>
          <w:tcPr>
            <w:tcW w:w="1188" w:type="dxa"/>
            <w:vAlign w:val="center"/>
          </w:tcPr>
          <w:p w:rsidR="004F7610" w:rsidRDefault="00FF387D">
            <w:pPr>
              <w:jc w:val="center"/>
            </w:pPr>
            <w:r>
              <w:rPr>
                <w:rFonts w:eastAsiaTheme="minorEastAsia"/>
                <w:color w:val="000000" w:themeColor="text1"/>
                <w:kern w:val="0"/>
              </w:rPr>
              <w:t>0.61%</w:t>
            </w:r>
          </w:p>
        </w:tc>
        <w:tc>
          <w:tcPr>
            <w:tcW w:w="1199" w:type="dxa"/>
            <w:vAlign w:val="center"/>
          </w:tcPr>
          <w:p w:rsidR="004F7610" w:rsidRDefault="00FF387D">
            <w:pPr>
              <w:jc w:val="center"/>
            </w:pPr>
            <w:r>
              <w:rPr>
                <w:rFonts w:eastAsiaTheme="minorEastAsia"/>
                <w:color w:val="000000" w:themeColor="text1"/>
                <w:kern w:val="0"/>
              </w:rPr>
              <w:t>-1.79%</w:t>
            </w:r>
          </w:p>
        </w:tc>
        <w:tc>
          <w:tcPr>
            <w:tcW w:w="1204" w:type="dxa"/>
            <w:vAlign w:val="center"/>
          </w:tcPr>
          <w:p w:rsidR="004F7610" w:rsidRDefault="00FF387D">
            <w:pPr>
              <w:jc w:val="center"/>
            </w:pPr>
            <w:r>
              <w:rPr>
                <w:rFonts w:eastAsiaTheme="minorEastAsia"/>
                <w:color w:val="000000" w:themeColor="text1"/>
                <w:kern w:val="0"/>
              </w:rPr>
              <w:t>1.03%</w:t>
            </w:r>
          </w:p>
        </w:tc>
      </w:tr>
      <w:tr w:rsidR="004F7610">
        <w:tc>
          <w:tcPr>
            <w:tcW w:w="1395" w:type="dxa"/>
            <w:vAlign w:val="center"/>
          </w:tcPr>
          <w:p w:rsidR="004F7610" w:rsidRDefault="00FF387D">
            <w:pPr>
              <w:jc w:val="left"/>
            </w:pPr>
            <w:r>
              <w:rPr>
                <w:rFonts w:eastAsiaTheme="minorEastAsia"/>
                <w:color w:val="000000" w:themeColor="text1"/>
                <w:kern w:val="0"/>
              </w:rPr>
              <w:t>过去六个月</w:t>
            </w:r>
          </w:p>
        </w:tc>
        <w:tc>
          <w:tcPr>
            <w:tcW w:w="1092" w:type="dxa"/>
            <w:vAlign w:val="center"/>
          </w:tcPr>
          <w:p w:rsidR="004F7610" w:rsidRDefault="00FF387D">
            <w:pPr>
              <w:jc w:val="center"/>
            </w:pPr>
            <w:r>
              <w:rPr>
                <w:rFonts w:eastAsiaTheme="minorEastAsia"/>
                <w:color w:val="000000" w:themeColor="text1"/>
                <w:kern w:val="0"/>
              </w:rPr>
              <w:t>4.62%</w:t>
            </w:r>
          </w:p>
        </w:tc>
        <w:tc>
          <w:tcPr>
            <w:tcW w:w="1161" w:type="dxa"/>
            <w:vAlign w:val="center"/>
          </w:tcPr>
          <w:p w:rsidR="004F7610" w:rsidRDefault="00FF387D">
            <w:pPr>
              <w:jc w:val="center"/>
            </w:pPr>
            <w:r>
              <w:rPr>
                <w:rFonts w:eastAsiaTheme="minorEastAsia"/>
                <w:color w:val="000000" w:themeColor="text1"/>
                <w:kern w:val="0"/>
              </w:rPr>
              <w:t>2.01%</w:t>
            </w:r>
          </w:p>
        </w:tc>
        <w:tc>
          <w:tcPr>
            <w:tcW w:w="1181" w:type="dxa"/>
            <w:vAlign w:val="center"/>
          </w:tcPr>
          <w:p w:rsidR="004F7610" w:rsidRDefault="00FF387D">
            <w:pPr>
              <w:jc w:val="center"/>
            </w:pPr>
            <w:r>
              <w:rPr>
                <w:rFonts w:eastAsiaTheme="minorEastAsia"/>
                <w:color w:val="000000" w:themeColor="text1"/>
                <w:kern w:val="0"/>
              </w:rPr>
              <w:t>-3.37%</w:t>
            </w:r>
          </w:p>
        </w:tc>
        <w:tc>
          <w:tcPr>
            <w:tcW w:w="1188" w:type="dxa"/>
            <w:vAlign w:val="center"/>
          </w:tcPr>
          <w:p w:rsidR="004F7610" w:rsidRDefault="00FF387D">
            <w:pPr>
              <w:jc w:val="center"/>
            </w:pPr>
            <w:r>
              <w:rPr>
                <w:rFonts w:eastAsiaTheme="minorEastAsia"/>
                <w:color w:val="000000" w:themeColor="text1"/>
                <w:kern w:val="0"/>
              </w:rPr>
              <w:t>0.79%</w:t>
            </w:r>
          </w:p>
        </w:tc>
        <w:tc>
          <w:tcPr>
            <w:tcW w:w="1199" w:type="dxa"/>
            <w:vAlign w:val="center"/>
          </w:tcPr>
          <w:p w:rsidR="004F7610" w:rsidRDefault="00FF387D">
            <w:pPr>
              <w:jc w:val="center"/>
            </w:pPr>
            <w:r>
              <w:rPr>
                <w:rFonts w:eastAsiaTheme="minorEastAsia"/>
                <w:color w:val="000000" w:themeColor="text1"/>
                <w:kern w:val="0"/>
              </w:rPr>
              <w:t>7.99%</w:t>
            </w:r>
          </w:p>
        </w:tc>
        <w:tc>
          <w:tcPr>
            <w:tcW w:w="1204" w:type="dxa"/>
            <w:vAlign w:val="center"/>
          </w:tcPr>
          <w:p w:rsidR="004F7610" w:rsidRDefault="00FF387D">
            <w:pPr>
              <w:jc w:val="center"/>
            </w:pPr>
            <w:r>
              <w:rPr>
                <w:rFonts w:eastAsiaTheme="minorEastAsia"/>
                <w:color w:val="000000" w:themeColor="text1"/>
                <w:kern w:val="0"/>
              </w:rPr>
              <w:t>1.22%</w:t>
            </w:r>
          </w:p>
        </w:tc>
      </w:tr>
      <w:tr w:rsidR="004F7610">
        <w:tc>
          <w:tcPr>
            <w:tcW w:w="1395" w:type="dxa"/>
            <w:vAlign w:val="center"/>
          </w:tcPr>
          <w:p w:rsidR="004F7610" w:rsidRDefault="00FF387D">
            <w:pPr>
              <w:jc w:val="left"/>
            </w:pPr>
            <w:r>
              <w:rPr>
                <w:rFonts w:eastAsiaTheme="minorEastAsia"/>
                <w:color w:val="000000" w:themeColor="text1"/>
                <w:kern w:val="0"/>
              </w:rPr>
              <w:t>过去一年</w:t>
            </w:r>
          </w:p>
        </w:tc>
        <w:tc>
          <w:tcPr>
            <w:tcW w:w="1092" w:type="dxa"/>
            <w:vAlign w:val="center"/>
          </w:tcPr>
          <w:p w:rsidR="004F7610" w:rsidRDefault="00FF387D">
            <w:pPr>
              <w:jc w:val="center"/>
            </w:pPr>
            <w:r>
              <w:rPr>
                <w:rFonts w:eastAsiaTheme="minorEastAsia"/>
                <w:color w:val="000000" w:themeColor="text1"/>
                <w:kern w:val="0"/>
              </w:rPr>
              <w:t>-</w:t>
            </w:r>
          </w:p>
        </w:tc>
        <w:tc>
          <w:tcPr>
            <w:tcW w:w="1161" w:type="dxa"/>
            <w:vAlign w:val="center"/>
          </w:tcPr>
          <w:p w:rsidR="004F7610" w:rsidRDefault="00FF387D">
            <w:pPr>
              <w:jc w:val="center"/>
            </w:pPr>
            <w:r>
              <w:rPr>
                <w:rFonts w:eastAsiaTheme="minorEastAsia"/>
                <w:color w:val="000000" w:themeColor="text1"/>
                <w:kern w:val="0"/>
              </w:rPr>
              <w:t>-</w:t>
            </w:r>
          </w:p>
        </w:tc>
        <w:tc>
          <w:tcPr>
            <w:tcW w:w="1181" w:type="dxa"/>
            <w:vAlign w:val="center"/>
          </w:tcPr>
          <w:p w:rsidR="004F7610" w:rsidRDefault="00FF387D">
            <w:pPr>
              <w:jc w:val="center"/>
            </w:pPr>
            <w:r>
              <w:rPr>
                <w:rFonts w:eastAsiaTheme="minorEastAsia"/>
                <w:color w:val="000000" w:themeColor="text1"/>
                <w:kern w:val="0"/>
              </w:rPr>
              <w:t>-</w:t>
            </w:r>
          </w:p>
        </w:tc>
        <w:tc>
          <w:tcPr>
            <w:tcW w:w="1188" w:type="dxa"/>
            <w:vAlign w:val="center"/>
          </w:tcPr>
          <w:p w:rsidR="004F7610" w:rsidRDefault="00FF387D">
            <w:pPr>
              <w:jc w:val="center"/>
            </w:pPr>
            <w:r>
              <w:rPr>
                <w:rFonts w:eastAsiaTheme="minorEastAsia"/>
                <w:color w:val="000000" w:themeColor="text1"/>
                <w:kern w:val="0"/>
              </w:rPr>
              <w:t>-</w:t>
            </w:r>
          </w:p>
        </w:tc>
        <w:tc>
          <w:tcPr>
            <w:tcW w:w="1199" w:type="dxa"/>
            <w:vAlign w:val="center"/>
          </w:tcPr>
          <w:p w:rsidR="004F7610" w:rsidRDefault="00FF387D">
            <w:pPr>
              <w:jc w:val="center"/>
            </w:pPr>
            <w:r>
              <w:rPr>
                <w:rFonts w:eastAsiaTheme="minorEastAsia"/>
                <w:color w:val="000000" w:themeColor="text1"/>
                <w:kern w:val="0"/>
              </w:rPr>
              <w:t>-</w:t>
            </w:r>
          </w:p>
        </w:tc>
        <w:tc>
          <w:tcPr>
            <w:tcW w:w="1204" w:type="dxa"/>
            <w:vAlign w:val="center"/>
          </w:tcPr>
          <w:p w:rsidR="004F7610" w:rsidRDefault="00FF387D">
            <w:pPr>
              <w:jc w:val="center"/>
            </w:pPr>
            <w:r>
              <w:rPr>
                <w:rFonts w:eastAsiaTheme="minorEastAsia"/>
                <w:color w:val="000000" w:themeColor="text1"/>
                <w:kern w:val="0"/>
              </w:rPr>
              <w:t>-</w:t>
            </w:r>
          </w:p>
        </w:tc>
      </w:tr>
      <w:tr w:rsidR="004F7610">
        <w:tc>
          <w:tcPr>
            <w:tcW w:w="1395" w:type="dxa"/>
            <w:vAlign w:val="center"/>
          </w:tcPr>
          <w:p w:rsidR="004F7610" w:rsidRDefault="00FF387D">
            <w:pPr>
              <w:jc w:val="left"/>
            </w:pPr>
            <w:r>
              <w:rPr>
                <w:rFonts w:eastAsiaTheme="minorEastAsia"/>
                <w:color w:val="000000" w:themeColor="text1"/>
                <w:kern w:val="0"/>
              </w:rPr>
              <w:t>过去三年</w:t>
            </w:r>
          </w:p>
        </w:tc>
        <w:tc>
          <w:tcPr>
            <w:tcW w:w="1092" w:type="dxa"/>
            <w:vAlign w:val="center"/>
          </w:tcPr>
          <w:p w:rsidR="004F7610" w:rsidRDefault="00FF387D">
            <w:pPr>
              <w:jc w:val="center"/>
            </w:pPr>
            <w:r>
              <w:rPr>
                <w:rFonts w:eastAsiaTheme="minorEastAsia"/>
                <w:color w:val="000000" w:themeColor="text1"/>
                <w:kern w:val="0"/>
              </w:rPr>
              <w:t>-</w:t>
            </w:r>
          </w:p>
        </w:tc>
        <w:tc>
          <w:tcPr>
            <w:tcW w:w="1161" w:type="dxa"/>
            <w:vAlign w:val="center"/>
          </w:tcPr>
          <w:p w:rsidR="004F7610" w:rsidRDefault="00FF387D">
            <w:pPr>
              <w:jc w:val="center"/>
            </w:pPr>
            <w:r>
              <w:rPr>
                <w:rFonts w:eastAsiaTheme="minorEastAsia"/>
                <w:color w:val="000000" w:themeColor="text1"/>
                <w:kern w:val="0"/>
              </w:rPr>
              <w:t>-</w:t>
            </w:r>
          </w:p>
        </w:tc>
        <w:tc>
          <w:tcPr>
            <w:tcW w:w="1181" w:type="dxa"/>
            <w:vAlign w:val="center"/>
          </w:tcPr>
          <w:p w:rsidR="004F7610" w:rsidRDefault="00FF387D">
            <w:pPr>
              <w:jc w:val="center"/>
            </w:pPr>
            <w:r>
              <w:rPr>
                <w:rFonts w:eastAsiaTheme="minorEastAsia"/>
                <w:color w:val="000000" w:themeColor="text1"/>
                <w:kern w:val="0"/>
              </w:rPr>
              <w:t>-</w:t>
            </w:r>
          </w:p>
        </w:tc>
        <w:tc>
          <w:tcPr>
            <w:tcW w:w="1188" w:type="dxa"/>
            <w:vAlign w:val="center"/>
          </w:tcPr>
          <w:p w:rsidR="004F7610" w:rsidRDefault="00FF387D">
            <w:pPr>
              <w:jc w:val="center"/>
            </w:pPr>
            <w:r>
              <w:rPr>
                <w:rFonts w:eastAsiaTheme="minorEastAsia"/>
                <w:color w:val="000000" w:themeColor="text1"/>
                <w:kern w:val="0"/>
              </w:rPr>
              <w:t>-</w:t>
            </w:r>
          </w:p>
        </w:tc>
        <w:tc>
          <w:tcPr>
            <w:tcW w:w="1199" w:type="dxa"/>
            <w:vAlign w:val="center"/>
          </w:tcPr>
          <w:p w:rsidR="004F7610" w:rsidRDefault="00FF387D">
            <w:pPr>
              <w:jc w:val="center"/>
            </w:pPr>
            <w:r>
              <w:rPr>
                <w:rFonts w:eastAsiaTheme="minorEastAsia"/>
                <w:color w:val="000000" w:themeColor="text1"/>
                <w:kern w:val="0"/>
              </w:rPr>
              <w:t>-</w:t>
            </w:r>
          </w:p>
        </w:tc>
        <w:tc>
          <w:tcPr>
            <w:tcW w:w="1204" w:type="dxa"/>
            <w:vAlign w:val="center"/>
          </w:tcPr>
          <w:p w:rsidR="004F7610" w:rsidRDefault="00FF387D">
            <w:pPr>
              <w:jc w:val="center"/>
            </w:pPr>
            <w:r>
              <w:rPr>
                <w:rFonts w:eastAsiaTheme="minorEastAsia"/>
                <w:color w:val="000000" w:themeColor="text1"/>
                <w:kern w:val="0"/>
              </w:rPr>
              <w:t>-</w:t>
            </w:r>
          </w:p>
        </w:tc>
      </w:tr>
      <w:tr w:rsidR="004F7610">
        <w:tc>
          <w:tcPr>
            <w:tcW w:w="1395" w:type="dxa"/>
            <w:vAlign w:val="center"/>
          </w:tcPr>
          <w:p w:rsidR="004F7610" w:rsidRDefault="00FF387D">
            <w:pPr>
              <w:jc w:val="left"/>
            </w:pPr>
            <w:r>
              <w:rPr>
                <w:rFonts w:eastAsiaTheme="minorEastAsia"/>
                <w:color w:val="000000" w:themeColor="text1"/>
                <w:kern w:val="0"/>
              </w:rPr>
              <w:t>过去五年</w:t>
            </w:r>
          </w:p>
        </w:tc>
        <w:tc>
          <w:tcPr>
            <w:tcW w:w="1092" w:type="dxa"/>
            <w:vAlign w:val="center"/>
          </w:tcPr>
          <w:p w:rsidR="004F7610" w:rsidRDefault="00FF387D">
            <w:pPr>
              <w:jc w:val="center"/>
            </w:pPr>
            <w:r>
              <w:rPr>
                <w:rFonts w:eastAsiaTheme="minorEastAsia"/>
                <w:color w:val="000000" w:themeColor="text1"/>
                <w:kern w:val="0"/>
              </w:rPr>
              <w:t>-</w:t>
            </w:r>
          </w:p>
        </w:tc>
        <w:tc>
          <w:tcPr>
            <w:tcW w:w="1161" w:type="dxa"/>
            <w:vAlign w:val="center"/>
          </w:tcPr>
          <w:p w:rsidR="004F7610" w:rsidRDefault="00FF387D">
            <w:pPr>
              <w:jc w:val="center"/>
            </w:pPr>
            <w:r>
              <w:rPr>
                <w:rFonts w:eastAsiaTheme="minorEastAsia"/>
                <w:color w:val="000000" w:themeColor="text1"/>
                <w:kern w:val="0"/>
              </w:rPr>
              <w:t>-</w:t>
            </w:r>
          </w:p>
        </w:tc>
        <w:tc>
          <w:tcPr>
            <w:tcW w:w="1181" w:type="dxa"/>
            <w:vAlign w:val="center"/>
          </w:tcPr>
          <w:p w:rsidR="004F7610" w:rsidRDefault="00FF387D">
            <w:pPr>
              <w:jc w:val="center"/>
            </w:pPr>
            <w:r>
              <w:rPr>
                <w:rFonts w:eastAsiaTheme="minorEastAsia"/>
                <w:color w:val="000000" w:themeColor="text1"/>
                <w:kern w:val="0"/>
              </w:rPr>
              <w:t>-</w:t>
            </w:r>
          </w:p>
        </w:tc>
        <w:tc>
          <w:tcPr>
            <w:tcW w:w="1188" w:type="dxa"/>
            <w:vAlign w:val="center"/>
          </w:tcPr>
          <w:p w:rsidR="004F7610" w:rsidRDefault="00FF387D">
            <w:pPr>
              <w:jc w:val="center"/>
            </w:pPr>
            <w:r>
              <w:rPr>
                <w:rFonts w:eastAsiaTheme="minorEastAsia"/>
                <w:color w:val="000000" w:themeColor="text1"/>
                <w:kern w:val="0"/>
              </w:rPr>
              <w:t>-</w:t>
            </w:r>
          </w:p>
        </w:tc>
        <w:tc>
          <w:tcPr>
            <w:tcW w:w="1199" w:type="dxa"/>
            <w:vAlign w:val="center"/>
          </w:tcPr>
          <w:p w:rsidR="004F7610" w:rsidRDefault="00FF387D">
            <w:pPr>
              <w:jc w:val="center"/>
            </w:pPr>
            <w:r>
              <w:rPr>
                <w:rFonts w:eastAsiaTheme="minorEastAsia"/>
                <w:color w:val="000000" w:themeColor="text1"/>
                <w:kern w:val="0"/>
              </w:rPr>
              <w:t>-</w:t>
            </w:r>
          </w:p>
        </w:tc>
        <w:tc>
          <w:tcPr>
            <w:tcW w:w="1204" w:type="dxa"/>
            <w:vAlign w:val="center"/>
          </w:tcPr>
          <w:p w:rsidR="004F7610" w:rsidRDefault="00FF387D">
            <w:pPr>
              <w:jc w:val="center"/>
            </w:pPr>
            <w:r>
              <w:rPr>
                <w:rFonts w:eastAsiaTheme="minorEastAsia"/>
                <w:color w:val="000000" w:themeColor="text1"/>
                <w:kern w:val="0"/>
              </w:rPr>
              <w:t>-</w:t>
            </w:r>
          </w:p>
        </w:tc>
      </w:tr>
      <w:tr w:rsidR="004F7610">
        <w:tc>
          <w:tcPr>
            <w:tcW w:w="1395" w:type="dxa"/>
            <w:vAlign w:val="center"/>
          </w:tcPr>
          <w:p w:rsidR="004F7610" w:rsidRDefault="00FF387D">
            <w:pPr>
              <w:jc w:val="left"/>
            </w:pPr>
            <w:r>
              <w:rPr>
                <w:rFonts w:eastAsiaTheme="minorEastAsia"/>
                <w:color w:val="000000" w:themeColor="text1"/>
                <w:kern w:val="0"/>
              </w:rPr>
              <w:t>自基金合同生效起至今</w:t>
            </w:r>
          </w:p>
        </w:tc>
        <w:tc>
          <w:tcPr>
            <w:tcW w:w="1092" w:type="dxa"/>
            <w:vAlign w:val="center"/>
          </w:tcPr>
          <w:p w:rsidR="004F7610" w:rsidRDefault="00FF387D">
            <w:pPr>
              <w:jc w:val="center"/>
            </w:pPr>
            <w:r>
              <w:rPr>
                <w:rFonts w:eastAsiaTheme="minorEastAsia"/>
                <w:color w:val="000000" w:themeColor="text1"/>
                <w:kern w:val="0"/>
              </w:rPr>
              <w:t>11.32%</w:t>
            </w:r>
          </w:p>
        </w:tc>
        <w:tc>
          <w:tcPr>
            <w:tcW w:w="1161" w:type="dxa"/>
            <w:vAlign w:val="center"/>
          </w:tcPr>
          <w:p w:rsidR="004F7610" w:rsidRDefault="00FF387D">
            <w:pPr>
              <w:jc w:val="center"/>
            </w:pPr>
            <w:r>
              <w:rPr>
                <w:rFonts w:eastAsiaTheme="minorEastAsia"/>
                <w:color w:val="000000" w:themeColor="text1"/>
                <w:kern w:val="0"/>
              </w:rPr>
              <w:t>1.75%</w:t>
            </w:r>
          </w:p>
        </w:tc>
        <w:tc>
          <w:tcPr>
            <w:tcW w:w="1181" w:type="dxa"/>
            <w:vAlign w:val="center"/>
          </w:tcPr>
          <w:p w:rsidR="004F7610" w:rsidRDefault="00FF387D">
            <w:pPr>
              <w:jc w:val="center"/>
            </w:pPr>
            <w:r>
              <w:rPr>
                <w:rFonts w:eastAsiaTheme="minorEastAsia"/>
                <w:color w:val="000000" w:themeColor="text1"/>
                <w:kern w:val="0"/>
              </w:rPr>
              <w:t>-5.12%</w:t>
            </w:r>
          </w:p>
        </w:tc>
        <w:tc>
          <w:tcPr>
            <w:tcW w:w="1188" w:type="dxa"/>
            <w:vAlign w:val="center"/>
          </w:tcPr>
          <w:p w:rsidR="004F7610" w:rsidRDefault="00FF387D">
            <w:pPr>
              <w:jc w:val="center"/>
            </w:pPr>
            <w:r>
              <w:rPr>
                <w:rFonts w:eastAsiaTheme="minorEastAsia"/>
                <w:color w:val="000000" w:themeColor="text1"/>
                <w:kern w:val="0"/>
              </w:rPr>
              <w:t>0.90%</w:t>
            </w:r>
          </w:p>
        </w:tc>
        <w:tc>
          <w:tcPr>
            <w:tcW w:w="1199" w:type="dxa"/>
            <w:vAlign w:val="center"/>
          </w:tcPr>
          <w:p w:rsidR="004F7610" w:rsidRDefault="00FF387D">
            <w:pPr>
              <w:jc w:val="center"/>
            </w:pPr>
            <w:r>
              <w:rPr>
                <w:rFonts w:eastAsiaTheme="minorEastAsia"/>
                <w:color w:val="000000" w:themeColor="text1"/>
                <w:kern w:val="0"/>
              </w:rPr>
              <w:t>16.44%</w:t>
            </w:r>
          </w:p>
        </w:tc>
        <w:tc>
          <w:tcPr>
            <w:tcW w:w="1204" w:type="dxa"/>
            <w:vAlign w:val="center"/>
          </w:tcPr>
          <w:p w:rsidR="004F7610" w:rsidRDefault="00FF387D">
            <w:pPr>
              <w:jc w:val="center"/>
            </w:pPr>
            <w:r>
              <w:rPr>
                <w:rFonts w:eastAsiaTheme="minorEastAsia"/>
                <w:color w:val="000000" w:themeColor="text1"/>
                <w:kern w:val="0"/>
              </w:rPr>
              <w:t>0.85%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上投摩根远见两年持有期混合型证券投资基金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FF387D">
      <w:pPr>
        <w:pStyle w:val="ae"/>
        <w:snapToGrid w:val="0"/>
        <w:spacing w:before="120" w:line="360" w:lineRule="auto"/>
        <w:jc w:val="center"/>
        <w:rPr>
          <w:rFonts w:ascii="Times New Roman" w:eastAsiaTheme="minorEastAsia" w:hAnsi="Times New Roman" w:cs="Times New Roman"/>
          <w:color w:val="000000" w:themeColor="text1"/>
          <w:sz w:val="24"/>
          <w:szCs w:val="24"/>
        </w:rPr>
      </w:pPr>
      <w:r>
        <w:rPr>
          <w:noProof/>
        </w:rPr>
        <w:lastRenderedPageBreak/>
        <w:drawing>
          <wp:inline distT="0" distB="0" distL="0" distR="0" wp14:anchorId="5611FB50" wp14:editId="0AE317D0">
            <wp:extent cx="5276850" cy="3086100"/>
            <wp:effectExtent l="0" t="0" r="0" b="0"/>
            <wp:docPr id="3" name="图片 3" descr="D:\浏览器下载\走势图柱状图\走势图1.jpg"/>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F7610" w:rsidRDefault="00FF387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日，截至本报告期末本基金合同生效未满一年。</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4F7610">
        <w:tc>
          <w:tcPr>
            <w:tcW w:w="851" w:type="dxa"/>
            <w:vAlign w:val="center"/>
          </w:tcPr>
          <w:p w:rsidR="004F7610" w:rsidRDefault="00FF387D">
            <w:pPr>
              <w:jc w:val="center"/>
            </w:pPr>
            <w:r>
              <w:rPr>
                <w:rFonts w:eastAsiaTheme="minorEastAsia"/>
                <w:color w:val="000000" w:themeColor="text1"/>
              </w:rPr>
              <w:t>杜猛</w:t>
            </w:r>
          </w:p>
        </w:tc>
        <w:tc>
          <w:tcPr>
            <w:tcW w:w="850" w:type="dxa"/>
            <w:vAlign w:val="center"/>
          </w:tcPr>
          <w:p w:rsidR="004F7610" w:rsidRDefault="00FF387D">
            <w:pPr>
              <w:jc w:val="center"/>
            </w:pPr>
            <w:r>
              <w:rPr>
                <w:rFonts w:eastAsiaTheme="minorEastAsia"/>
                <w:color w:val="000000" w:themeColor="text1"/>
              </w:rPr>
              <w:t>本基金基金经理、副总经理兼投资总监</w:t>
            </w:r>
          </w:p>
        </w:tc>
        <w:tc>
          <w:tcPr>
            <w:tcW w:w="1560" w:type="dxa"/>
            <w:vAlign w:val="center"/>
          </w:tcPr>
          <w:p w:rsidR="004F7610" w:rsidRDefault="00FF387D">
            <w:pPr>
              <w:jc w:val="center"/>
            </w:pPr>
            <w:r>
              <w:rPr>
                <w:rFonts w:eastAsiaTheme="minorEastAsia"/>
                <w:color w:val="000000" w:themeColor="text1"/>
              </w:rPr>
              <w:t>2021-01-11</w:t>
            </w:r>
          </w:p>
        </w:tc>
        <w:tc>
          <w:tcPr>
            <w:tcW w:w="1559" w:type="dxa"/>
            <w:vAlign w:val="center"/>
          </w:tcPr>
          <w:p w:rsidR="004F7610" w:rsidRDefault="00FF387D">
            <w:pPr>
              <w:jc w:val="center"/>
            </w:pPr>
            <w:r>
              <w:rPr>
                <w:rFonts w:eastAsiaTheme="minorEastAsia"/>
                <w:color w:val="000000" w:themeColor="text1"/>
              </w:rPr>
              <w:t>-</w:t>
            </w:r>
          </w:p>
        </w:tc>
        <w:tc>
          <w:tcPr>
            <w:tcW w:w="1417" w:type="dxa"/>
            <w:vAlign w:val="center"/>
          </w:tcPr>
          <w:p w:rsidR="004F7610" w:rsidRDefault="00FF387D">
            <w:pPr>
              <w:jc w:val="center"/>
            </w:pPr>
            <w:r>
              <w:rPr>
                <w:rFonts w:eastAsiaTheme="minorEastAsia"/>
                <w:color w:val="000000" w:themeColor="text1"/>
              </w:rPr>
              <w:t>20</w:t>
            </w:r>
            <w:r>
              <w:rPr>
                <w:rFonts w:eastAsiaTheme="minorEastAsia"/>
                <w:color w:val="000000" w:themeColor="text1"/>
              </w:rPr>
              <w:t>年</w:t>
            </w:r>
          </w:p>
        </w:tc>
        <w:tc>
          <w:tcPr>
            <w:tcW w:w="2694" w:type="dxa"/>
            <w:vAlign w:val="center"/>
          </w:tcPr>
          <w:p w:rsidR="004F7610" w:rsidRDefault="00FF387D">
            <w:r>
              <w:rPr>
                <w:rFonts w:eastAsiaTheme="minorEastAsia"/>
                <w:color w:val="000000" w:themeColor="text1"/>
              </w:rPr>
              <w:t>基金经理杜猛先生，南京大学经济学硕士，先后任职于天同证券、中原证券、国信证券和中银国际证券，任研究员。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月起加入上投摩根基金管理有限公司，先后担任行业专家、基金经理助理、基金经理、总经理助理</w:t>
            </w:r>
            <w:r>
              <w:rPr>
                <w:rFonts w:eastAsiaTheme="minorEastAsia"/>
                <w:color w:val="000000" w:themeColor="text1"/>
              </w:rPr>
              <w:t>/</w:t>
            </w:r>
            <w:r>
              <w:rPr>
                <w:rFonts w:eastAsiaTheme="minorEastAsia"/>
                <w:color w:val="000000" w:themeColor="text1"/>
              </w:rPr>
              <w:t>国内权益投资一部总监兼资深基金经理，现担任副总经理兼投资总监。自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月起担任上投摩根新兴动力混合型证券</w:t>
            </w:r>
            <w:r>
              <w:rPr>
                <w:rFonts w:eastAsiaTheme="minorEastAsia"/>
                <w:color w:val="000000" w:themeColor="text1"/>
              </w:rPr>
              <w:lastRenderedPageBreak/>
              <w:t>投资基金基金经理，</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月同时担任上投摩根智选</w:t>
            </w:r>
            <w:r>
              <w:rPr>
                <w:rFonts w:eastAsiaTheme="minorEastAsia"/>
                <w:color w:val="000000" w:themeColor="text1"/>
              </w:rPr>
              <w:t>30</w:t>
            </w:r>
            <w:r>
              <w:rPr>
                <w:rFonts w:eastAsiaTheme="minorEastAsia"/>
                <w:color w:val="000000" w:themeColor="text1"/>
              </w:rPr>
              <w:t>混合型证券投资基金基金经理，</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月同时担任上投摩根成长动力混合型证券投资基金基金经理，</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月同时担任上投摩根内需动力混合型证券投资基金基金经理，自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月起同时担任上投摩根中国优势证券投资基金基金经理，自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月起同时担任上投摩根远见两年持有期混合型证券投资基金基金经理。</w:t>
            </w:r>
          </w:p>
        </w:tc>
      </w:tr>
    </w:tbl>
    <w:p w:rsidR="004F7610" w:rsidRDefault="00FF387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4F7610" w:rsidRDefault="00FF387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远见两年持有期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w:t>
      </w:r>
      <w:r>
        <w:rPr>
          <w:rFonts w:eastAsiaTheme="minorEastAsia"/>
          <w:color w:val="000000" w:themeColor="text1"/>
        </w:rPr>
        <w:lastRenderedPageBreak/>
        <w:t>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四季度市场仍处于震荡状态，部分前期强势股出现回调，市场机会开始逐步均衡。之前因为双控所引起的材料供应紧张也渐渐缓和，政策开始纠偏。年底召开的中央经济工作会议把经济增长放在了重要位置，宽松的货币政策和积极的财政政策值得预期，市场逐步回到正常状态。本基金基于长期成长的选股逻辑，重点投资了各产业中的优质公司，争取为投资者在中长期获得较好的超额收益。</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展望</w:t>
      </w:r>
      <w:r>
        <w:rPr>
          <w:rFonts w:eastAsiaTheme="minorEastAsia"/>
          <w:color w:val="000000" w:themeColor="text1"/>
        </w:rPr>
        <w:t>2022</w:t>
      </w:r>
      <w:r>
        <w:rPr>
          <w:rFonts w:eastAsiaTheme="minorEastAsia"/>
          <w:color w:val="000000" w:themeColor="text1"/>
        </w:rPr>
        <w:t>年，中国经济可能会经历一个从低到高的过程，市场展望会是一个预期向上的过程。疫情依然在全球蔓延，但严重程度似乎已经开始降低，我们也希望影响能够尽快过去。</w:t>
      </w:r>
      <w:r>
        <w:rPr>
          <w:rFonts w:eastAsiaTheme="minorEastAsia"/>
          <w:color w:val="000000" w:themeColor="text1"/>
        </w:rPr>
        <w:t>2022</w:t>
      </w:r>
      <w:r>
        <w:rPr>
          <w:rFonts w:eastAsiaTheme="minorEastAsia"/>
          <w:color w:val="000000" w:themeColor="text1"/>
        </w:rPr>
        <w:t>年我们依然会看到中国的一些新兴产业继续蓬勃向上，另外在</w:t>
      </w:r>
      <w:r>
        <w:rPr>
          <w:rFonts w:eastAsiaTheme="minorEastAsia"/>
          <w:color w:val="000000" w:themeColor="text1"/>
        </w:rPr>
        <w:t>2021</w:t>
      </w:r>
      <w:r>
        <w:rPr>
          <w:rFonts w:eastAsiaTheme="minorEastAsia"/>
          <w:color w:val="000000" w:themeColor="text1"/>
        </w:rPr>
        <w:t>年受损的消费、医药和一些传统行业会出现一定程度的恢复。经过近一年的市场调整，部分高估的品种逐步回落到相对合理位置，</w:t>
      </w:r>
      <w:r>
        <w:rPr>
          <w:rFonts w:eastAsiaTheme="minorEastAsia"/>
          <w:color w:val="000000" w:themeColor="text1"/>
        </w:rPr>
        <w:t>2022</w:t>
      </w:r>
      <w:r>
        <w:rPr>
          <w:rFonts w:eastAsiaTheme="minorEastAsia"/>
          <w:color w:val="000000" w:themeColor="text1"/>
        </w:rPr>
        <w:t>年会是一个机会相对均衡的状态。</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从更长期看，消费、医药、科技有望成为中国未来</w:t>
      </w:r>
      <w:r w:rsidRPr="00FF6B9A">
        <w:rPr>
          <w:rFonts w:eastAsiaTheme="minorEastAsia"/>
          <w:color w:val="000000" w:themeColor="text1"/>
        </w:rPr>
        <w:t>10-20</w:t>
      </w:r>
      <w:r w:rsidRPr="00FF6B9A">
        <w:rPr>
          <w:rFonts w:eastAsiaTheme="minorEastAsia"/>
          <w:color w:val="000000" w:themeColor="text1"/>
        </w:rPr>
        <w:t>年经济增长的最大动力，证券市场最大的投资机会或也将来源于此。我们将充分深入研究，寻找这些产业中长期成长的公司，力争为基金持有人创造持续稳定收益。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本报告期上投摩根远见两年持有期混合份额净值增长率为</w:t>
      </w:r>
      <w:r w:rsidRPr="00FF6B9A">
        <w:rPr>
          <w:rFonts w:eastAsiaTheme="minorEastAsia"/>
          <w:color w:val="000000" w:themeColor="text1"/>
        </w:rPr>
        <w:t>:-0.79%</w:t>
      </w:r>
      <w:r w:rsidRPr="00FF6B9A">
        <w:rPr>
          <w:rFonts w:eastAsiaTheme="minorEastAsia"/>
          <w:color w:val="000000" w:themeColor="text1"/>
        </w:rPr>
        <w:t>，同期业绩比较基准收益率为</w:t>
      </w:r>
      <w:r w:rsidRPr="00FF6B9A">
        <w:rPr>
          <w:rFonts w:eastAsiaTheme="minorEastAsia"/>
          <w:color w:val="000000" w:themeColor="text1"/>
        </w:rPr>
        <w:t>:1.00%</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lastRenderedPageBreak/>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6,544,145,687.89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91.57</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6,544,145,687.89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91.57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464,514,139.86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6.50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137,775,242.53</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7,146,435,070.28</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245,312,781.76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3.48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298,474,484.35</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4.23</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5,487,043,105.08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77.81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96,787,835.57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71,475,118.10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11,485,804.77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67,498,416.00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6,278,077,545.63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89.03</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A </w:t>
            </w:r>
            <w:r>
              <w:rPr>
                <w:rFonts w:eastAsiaTheme="minorEastAsia"/>
                <w:color w:val="000000" w:themeColor="text1"/>
                <w:kern w:val="0"/>
              </w:rPr>
              <w:t>基础材料</w:t>
            </w:r>
          </w:p>
        </w:tc>
        <w:tc>
          <w:tcPr>
            <w:tcW w:w="3119" w:type="dxa"/>
            <w:vAlign w:val="center"/>
          </w:tcPr>
          <w:p w:rsidR="004F7610" w:rsidRDefault="00FF387D">
            <w:pPr>
              <w:jc w:val="center"/>
            </w:pPr>
            <w:r>
              <w:rPr>
                <w:rFonts w:eastAsiaTheme="minorEastAsia"/>
                <w:color w:val="000000" w:themeColor="text1"/>
                <w:kern w:val="0"/>
              </w:rPr>
              <w:t>-</w:t>
            </w:r>
          </w:p>
        </w:tc>
        <w:tc>
          <w:tcPr>
            <w:tcW w:w="3118" w:type="dxa"/>
            <w:vAlign w:val="center"/>
          </w:tcPr>
          <w:p w:rsidR="004F7610" w:rsidRDefault="00FF387D">
            <w:pPr>
              <w:jc w:val="center"/>
            </w:pPr>
            <w:r>
              <w:rPr>
                <w:rFonts w:eastAsiaTheme="minorEastAsia"/>
                <w:color w:val="000000" w:themeColor="text1"/>
                <w:kern w:val="0"/>
              </w:rPr>
              <w:t>-</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B </w:t>
            </w:r>
            <w:r>
              <w:rPr>
                <w:rFonts w:eastAsiaTheme="minorEastAsia"/>
                <w:color w:val="000000" w:themeColor="text1"/>
                <w:kern w:val="0"/>
              </w:rPr>
              <w:t>消费者非必需品</w:t>
            </w:r>
          </w:p>
        </w:tc>
        <w:tc>
          <w:tcPr>
            <w:tcW w:w="3119" w:type="dxa"/>
            <w:vAlign w:val="center"/>
          </w:tcPr>
          <w:p w:rsidR="004F7610" w:rsidRDefault="00FF387D">
            <w:pPr>
              <w:jc w:val="center"/>
            </w:pPr>
            <w:r>
              <w:rPr>
                <w:rFonts w:eastAsiaTheme="minorEastAsia"/>
                <w:color w:val="000000" w:themeColor="text1"/>
                <w:kern w:val="0"/>
              </w:rPr>
              <w:t>-</w:t>
            </w:r>
          </w:p>
        </w:tc>
        <w:tc>
          <w:tcPr>
            <w:tcW w:w="3118" w:type="dxa"/>
            <w:vAlign w:val="center"/>
          </w:tcPr>
          <w:p w:rsidR="004F7610" w:rsidRDefault="00FF387D">
            <w:pPr>
              <w:jc w:val="center"/>
            </w:pPr>
            <w:r>
              <w:rPr>
                <w:rFonts w:eastAsiaTheme="minorEastAsia"/>
                <w:color w:val="000000" w:themeColor="text1"/>
                <w:kern w:val="0"/>
              </w:rPr>
              <w:t>-</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C </w:t>
            </w:r>
            <w:r>
              <w:rPr>
                <w:rFonts w:eastAsiaTheme="minorEastAsia"/>
                <w:color w:val="000000" w:themeColor="text1"/>
                <w:kern w:val="0"/>
              </w:rPr>
              <w:t>消费者常用品</w:t>
            </w:r>
          </w:p>
        </w:tc>
        <w:tc>
          <w:tcPr>
            <w:tcW w:w="3119" w:type="dxa"/>
            <w:vAlign w:val="center"/>
          </w:tcPr>
          <w:p w:rsidR="004F7610" w:rsidRDefault="00FF387D">
            <w:pPr>
              <w:jc w:val="center"/>
            </w:pPr>
            <w:r>
              <w:rPr>
                <w:rFonts w:eastAsiaTheme="minorEastAsia"/>
                <w:color w:val="000000" w:themeColor="text1"/>
                <w:kern w:val="0"/>
              </w:rPr>
              <w:t>171,727,886.40</w:t>
            </w:r>
          </w:p>
        </w:tc>
        <w:tc>
          <w:tcPr>
            <w:tcW w:w="3118" w:type="dxa"/>
            <w:vAlign w:val="center"/>
          </w:tcPr>
          <w:p w:rsidR="004F7610" w:rsidRDefault="00FF387D">
            <w:pPr>
              <w:jc w:val="center"/>
            </w:pPr>
            <w:r>
              <w:rPr>
                <w:rFonts w:eastAsiaTheme="minorEastAsia"/>
                <w:color w:val="000000" w:themeColor="text1"/>
                <w:kern w:val="0"/>
              </w:rPr>
              <w:t>2.44</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D </w:t>
            </w:r>
            <w:r>
              <w:rPr>
                <w:rFonts w:eastAsiaTheme="minorEastAsia"/>
                <w:color w:val="000000" w:themeColor="text1"/>
                <w:kern w:val="0"/>
              </w:rPr>
              <w:t>能源</w:t>
            </w:r>
          </w:p>
        </w:tc>
        <w:tc>
          <w:tcPr>
            <w:tcW w:w="3119" w:type="dxa"/>
            <w:vAlign w:val="center"/>
          </w:tcPr>
          <w:p w:rsidR="004F7610" w:rsidRDefault="00FF387D">
            <w:pPr>
              <w:jc w:val="center"/>
            </w:pPr>
            <w:r>
              <w:rPr>
                <w:rFonts w:eastAsiaTheme="minorEastAsia"/>
                <w:color w:val="000000" w:themeColor="text1"/>
                <w:kern w:val="0"/>
              </w:rPr>
              <w:t>-</w:t>
            </w:r>
          </w:p>
        </w:tc>
        <w:tc>
          <w:tcPr>
            <w:tcW w:w="3118" w:type="dxa"/>
            <w:vAlign w:val="center"/>
          </w:tcPr>
          <w:p w:rsidR="004F7610" w:rsidRDefault="00FF387D">
            <w:pPr>
              <w:jc w:val="center"/>
            </w:pPr>
            <w:r>
              <w:rPr>
                <w:rFonts w:eastAsiaTheme="minorEastAsia"/>
                <w:color w:val="000000" w:themeColor="text1"/>
                <w:kern w:val="0"/>
              </w:rPr>
              <w:t>-</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E </w:t>
            </w:r>
            <w:r>
              <w:rPr>
                <w:rFonts w:eastAsiaTheme="minorEastAsia"/>
                <w:color w:val="000000" w:themeColor="text1"/>
                <w:kern w:val="0"/>
              </w:rPr>
              <w:t>金融</w:t>
            </w:r>
          </w:p>
        </w:tc>
        <w:tc>
          <w:tcPr>
            <w:tcW w:w="3119" w:type="dxa"/>
            <w:vAlign w:val="center"/>
          </w:tcPr>
          <w:p w:rsidR="004F7610" w:rsidRDefault="00FF387D">
            <w:pPr>
              <w:jc w:val="center"/>
            </w:pPr>
            <w:r>
              <w:rPr>
                <w:rFonts w:eastAsiaTheme="minorEastAsia"/>
                <w:color w:val="000000" w:themeColor="text1"/>
                <w:kern w:val="0"/>
              </w:rPr>
              <w:t>-</w:t>
            </w:r>
          </w:p>
        </w:tc>
        <w:tc>
          <w:tcPr>
            <w:tcW w:w="3118" w:type="dxa"/>
            <w:vAlign w:val="center"/>
          </w:tcPr>
          <w:p w:rsidR="004F7610" w:rsidRDefault="00FF387D">
            <w:pPr>
              <w:jc w:val="center"/>
            </w:pPr>
            <w:r>
              <w:rPr>
                <w:rFonts w:eastAsiaTheme="minorEastAsia"/>
                <w:color w:val="000000" w:themeColor="text1"/>
                <w:kern w:val="0"/>
              </w:rPr>
              <w:t>-</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F </w:t>
            </w:r>
            <w:r>
              <w:rPr>
                <w:rFonts w:eastAsiaTheme="minorEastAsia"/>
                <w:color w:val="000000" w:themeColor="text1"/>
                <w:kern w:val="0"/>
              </w:rPr>
              <w:t>医疗保健</w:t>
            </w:r>
          </w:p>
        </w:tc>
        <w:tc>
          <w:tcPr>
            <w:tcW w:w="3119" w:type="dxa"/>
            <w:vAlign w:val="center"/>
          </w:tcPr>
          <w:p w:rsidR="004F7610" w:rsidRDefault="00FF387D">
            <w:pPr>
              <w:jc w:val="center"/>
            </w:pPr>
            <w:r>
              <w:rPr>
                <w:rFonts w:eastAsiaTheme="minorEastAsia"/>
                <w:color w:val="000000" w:themeColor="text1"/>
                <w:kern w:val="0"/>
              </w:rPr>
              <w:t>3,834,339.60</w:t>
            </w:r>
          </w:p>
        </w:tc>
        <w:tc>
          <w:tcPr>
            <w:tcW w:w="3118" w:type="dxa"/>
            <w:vAlign w:val="center"/>
          </w:tcPr>
          <w:p w:rsidR="004F7610" w:rsidRDefault="00FF387D">
            <w:pPr>
              <w:jc w:val="center"/>
            </w:pPr>
            <w:r>
              <w:rPr>
                <w:rFonts w:eastAsiaTheme="minorEastAsia"/>
                <w:color w:val="000000" w:themeColor="text1"/>
                <w:kern w:val="0"/>
              </w:rPr>
              <w:t>0.05</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G </w:t>
            </w:r>
            <w:r>
              <w:rPr>
                <w:rFonts w:eastAsiaTheme="minorEastAsia"/>
                <w:color w:val="000000" w:themeColor="text1"/>
                <w:kern w:val="0"/>
              </w:rPr>
              <w:t>工业</w:t>
            </w:r>
          </w:p>
        </w:tc>
        <w:tc>
          <w:tcPr>
            <w:tcW w:w="3119" w:type="dxa"/>
            <w:vAlign w:val="center"/>
          </w:tcPr>
          <w:p w:rsidR="004F7610" w:rsidRDefault="00FF387D">
            <w:pPr>
              <w:jc w:val="center"/>
            </w:pPr>
            <w:r>
              <w:rPr>
                <w:rFonts w:eastAsiaTheme="minorEastAsia"/>
                <w:color w:val="000000" w:themeColor="text1"/>
                <w:kern w:val="0"/>
              </w:rPr>
              <w:t>-</w:t>
            </w:r>
          </w:p>
        </w:tc>
        <w:tc>
          <w:tcPr>
            <w:tcW w:w="3118" w:type="dxa"/>
            <w:vAlign w:val="center"/>
          </w:tcPr>
          <w:p w:rsidR="004F7610" w:rsidRDefault="00FF387D">
            <w:pPr>
              <w:jc w:val="center"/>
            </w:pPr>
            <w:r>
              <w:rPr>
                <w:rFonts w:eastAsiaTheme="minorEastAsia"/>
                <w:color w:val="000000" w:themeColor="text1"/>
                <w:kern w:val="0"/>
              </w:rPr>
              <w:t>-</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H </w:t>
            </w:r>
            <w:r>
              <w:rPr>
                <w:rFonts w:eastAsiaTheme="minorEastAsia"/>
                <w:color w:val="000000" w:themeColor="text1"/>
                <w:kern w:val="0"/>
              </w:rPr>
              <w:t>信息技术</w:t>
            </w:r>
          </w:p>
        </w:tc>
        <w:tc>
          <w:tcPr>
            <w:tcW w:w="3119" w:type="dxa"/>
            <w:vAlign w:val="center"/>
          </w:tcPr>
          <w:p w:rsidR="004F7610" w:rsidRDefault="00FF387D">
            <w:pPr>
              <w:jc w:val="center"/>
            </w:pPr>
            <w:r>
              <w:rPr>
                <w:rFonts w:eastAsiaTheme="minorEastAsia"/>
                <w:color w:val="000000" w:themeColor="text1"/>
                <w:kern w:val="0"/>
              </w:rPr>
              <w:t>79,861,745.38</w:t>
            </w:r>
          </w:p>
        </w:tc>
        <w:tc>
          <w:tcPr>
            <w:tcW w:w="3118" w:type="dxa"/>
            <w:vAlign w:val="center"/>
          </w:tcPr>
          <w:p w:rsidR="004F7610" w:rsidRDefault="00FF387D">
            <w:pPr>
              <w:jc w:val="center"/>
            </w:pPr>
            <w:r>
              <w:rPr>
                <w:rFonts w:eastAsiaTheme="minorEastAsia"/>
                <w:color w:val="000000" w:themeColor="text1"/>
                <w:kern w:val="0"/>
              </w:rPr>
              <w:t>1.13</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I </w:t>
            </w:r>
            <w:r>
              <w:rPr>
                <w:rFonts w:eastAsiaTheme="minorEastAsia"/>
                <w:color w:val="000000" w:themeColor="text1"/>
                <w:kern w:val="0"/>
              </w:rPr>
              <w:t>电信服务</w:t>
            </w:r>
          </w:p>
        </w:tc>
        <w:tc>
          <w:tcPr>
            <w:tcW w:w="3119" w:type="dxa"/>
            <w:vAlign w:val="center"/>
          </w:tcPr>
          <w:p w:rsidR="004F7610" w:rsidRDefault="00FF387D">
            <w:pPr>
              <w:jc w:val="center"/>
            </w:pPr>
            <w:r>
              <w:rPr>
                <w:rFonts w:eastAsiaTheme="minorEastAsia"/>
                <w:color w:val="000000" w:themeColor="text1"/>
                <w:kern w:val="0"/>
              </w:rPr>
              <w:t>10,644,170.88</w:t>
            </w:r>
          </w:p>
        </w:tc>
        <w:tc>
          <w:tcPr>
            <w:tcW w:w="3118" w:type="dxa"/>
            <w:vAlign w:val="center"/>
          </w:tcPr>
          <w:p w:rsidR="004F7610" w:rsidRDefault="00FF387D">
            <w:pPr>
              <w:jc w:val="center"/>
            </w:pPr>
            <w:r>
              <w:rPr>
                <w:rFonts w:eastAsiaTheme="minorEastAsia"/>
                <w:color w:val="000000" w:themeColor="text1"/>
                <w:kern w:val="0"/>
              </w:rPr>
              <w:t>0.15</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J </w:t>
            </w:r>
            <w:r>
              <w:rPr>
                <w:rFonts w:eastAsiaTheme="minorEastAsia"/>
                <w:color w:val="000000" w:themeColor="text1"/>
                <w:kern w:val="0"/>
              </w:rPr>
              <w:t>公用事业</w:t>
            </w:r>
          </w:p>
        </w:tc>
        <w:tc>
          <w:tcPr>
            <w:tcW w:w="3119" w:type="dxa"/>
            <w:vAlign w:val="center"/>
          </w:tcPr>
          <w:p w:rsidR="004F7610" w:rsidRDefault="00FF387D">
            <w:pPr>
              <w:jc w:val="center"/>
            </w:pPr>
            <w:r>
              <w:rPr>
                <w:rFonts w:eastAsiaTheme="minorEastAsia"/>
                <w:color w:val="000000" w:themeColor="text1"/>
                <w:kern w:val="0"/>
              </w:rPr>
              <w:t>-</w:t>
            </w:r>
          </w:p>
        </w:tc>
        <w:tc>
          <w:tcPr>
            <w:tcW w:w="3118" w:type="dxa"/>
            <w:vAlign w:val="center"/>
          </w:tcPr>
          <w:p w:rsidR="004F7610" w:rsidRDefault="00FF387D">
            <w:pPr>
              <w:jc w:val="center"/>
            </w:pPr>
            <w:r>
              <w:rPr>
                <w:rFonts w:eastAsiaTheme="minorEastAsia"/>
                <w:color w:val="000000" w:themeColor="text1"/>
                <w:kern w:val="0"/>
              </w:rPr>
              <w:t>-</w:t>
            </w:r>
          </w:p>
        </w:tc>
      </w:tr>
      <w:tr w:rsidR="004F7610">
        <w:trPr>
          <w:jc w:val="center"/>
        </w:trPr>
        <w:tc>
          <w:tcPr>
            <w:tcW w:w="2397" w:type="dxa"/>
            <w:vAlign w:val="center"/>
          </w:tcPr>
          <w:p w:rsidR="004F7610" w:rsidRDefault="00FF387D">
            <w:pPr>
              <w:jc w:val="center"/>
            </w:pPr>
            <w:r>
              <w:rPr>
                <w:rFonts w:eastAsiaTheme="minorEastAsia"/>
                <w:color w:val="000000" w:themeColor="text1"/>
                <w:kern w:val="0"/>
              </w:rPr>
              <w:t xml:space="preserve">K </w:t>
            </w:r>
            <w:r>
              <w:rPr>
                <w:rFonts w:eastAsiaTheme="minorEastAsia"/>
                <w:color w:val="000000" w:themeColor="text1"/>
                <w:kern w:val="0"/>
              </w:rPr>
              <w:t>房地产</w:t>
            </w:r>
          </w:p>
        </w:tc>
        <w:tc>
          <w:tcPr>
            <w:tcW w:w="3119" w:type="dxa"/>
            <w:vAlign w:val="center"/>
          </w:tcPr>
          <w:p w:rsidR="004F7610" w:rsidRDefault="00FF387D">
            <w:pPr>
              <w:jc w:val="center"/>
            </w:pPr>
            <w:r>
              <w:rPr>
                <w:rFonts w:eastAsiaTheme="minorEastAsia"/>
                <w:color w:val="000000" w:themeColor="text1"/>
                <w:kern w:val="0"/>
              </w:rPr>
              <w:t>-</w:t>
            </w:r>
          </w:p>
        </w:tc>
        <w:tc>
          <w:tcPr>
            <w:tcW w:w="3118" w:type="dxa"/>
            <w:vAlign w:val="center"/>
          </w:tcPr>
          <w:p w:rsidR="004F7610" w:rsidRDefault="00FF387D">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266,068,142.26</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3.77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lastRenderedPageBreak/>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4F7610">
        <w:tc>
          <w:tcPr>
            <w:tcW w:w="817" w:type="dxa"/>
            <w:vAlign w:val="center"/>
          </w:tcPr>
          <w:p w:rsidR="004F7610" w:rsidRDefault="00FF387D">
            <w:pPr>
              <w:jc w:val="center"/>
            </w:pPr>
            <w:r>
              <w:rPr>
                <w:rFonts w:eastAsiaTheme="minorEastAsia"/>
                <w:kern w:val="0"/>
                <w:sz w:val="24"/>
                <w:szCs w:val="24"/>
              </w:rPr>
              <w:t>1</w:t>
            </w:r>
          </w:p>
        </w:tc>
        <w:tc>
          <w:tcPr>
            <w:tcW w:w="1276" w:type="dxa"/>
            <w:vAlign w:val="center"/>
          </w:tcPr>
          <w:p w:rsidR="004F7610" w:rsidRDefault="00FF387D">
            <w:pPr>
              <w:jc w:val="center"/>
            </w:pPr>
            <w:r>
              <w:rPr>
                <w:rFonts w:eastAsiaTheme="minorEastAsia"/>
                <w:kern w:val="0"/>
                <w:sz w:val="24"/>
                <w:szCs w:val="24"/>
              </w:rPr>
              <w:t>300390</w:t>
            </w:r>
          </w:p>
        </w:tc>
        <w:tc>
          <w:tcPr>
            <w:tcW w:w="1701" w:type="dxa"/>
            <w:vAlign w:val="center"/>
          </w:tcPr>
          <w:p w:rsidR="004F7610" w:rsidRDefault="00FF387D">
            <w:pPr>
              <w:jc w:val="center"/>
            </w:pPr>
            <w:r>
              <w:rPr>
                <w:rFonts w:eastAsiaTheme="minorEastAsia"/>
                <w:kern w:val="0"/>
                <w:sz w:val="24"/>
                <w:szCs w:val="24"/>
              </w:rPr>
              <w:t>天华超净</w:t>
            </w:r>
          </w:p>
        </w:tc>
        <w:tc>
          <w:tcPr>
            <w:tcW w:w="1276" w:type="dxa"/>
            <w:vAlign w:val="center"/>
          </w:tcPr>
          <w:p w:rsidR="004F7610" w:rsidRDefault="00FF387D">
            <w:pPr>
              <w:jc w:val="right"/>
            </w:pPr>
            <w:r>
              <w:rPr>
                <w:rFonts w:eastAsiaTheme="minorEastAsia"/>
                <w:kern w:val="0"/>
                <w:sz w:val="24"/>
                <w:szCs w:val="24"/>
              </w:rPr>
              <w:t>6,340,826.00</w:t>
            </w:r>
          </w:p>
        </w:tc>
        <w:tc>
          <w:tcPr>
            <w:tcW w:w="1842" w:type="dxa"/>
            <w:vAlign w:val="center"/>
          </w:tcPr>
          <w:p w:rsidR="004F7610" w:rsidRDefault="00FF387D">
            <w:pPr>
              <w:jc w:val="right"/>
            </w:pPr>
            <w:r>
              <w:rPr>
                <w:rFonts w:eastAsiaTheme="minorEastAsia"/>
                <w:kern w:val="0"/>
                <w:sz w:val="24"/>
                <w:szCs w:val="24"/>
              </w:rPr>
              <w:t>513,606,906.00</w:t>
            </w:r>
          </w:p>
        </w:tc>
        <w:tc>
          <w:tcPr>
            <w:tcW w:w="1616" w:type="dxa"/>
            <w:vAlign w:val="center"/>
          </w:tcPr>
          <w:p w:rsidR="004F7610" w:rsidRDefault="00FF387D">
            <w:pPr>
              <w:jc w:val="right"/>
            </w:pPr>
            <w:r>
              <w:rPr>
                <w:rFonts w:eastAsiaTheme="minorEastAsia"/>
                <w:kern w:val="0"/>
                <w:sz w:val="24"/>
                <w:szCs w:val="24"/>
              </w:rPr>
              <w:t>7.28</w:t>
            </w:r>
          </w:p>
        </w:tc>
      </w:tr>
      <w:tr w:rsidR="004F7610">
        <w:tc>
          <w:tcPr>
            <w:tcW w:w="817" w:type="dxa"/>
            <w:vAlign w:val="center"/>
          </w:tcPr>
          <w:p w:rsidR="004F7610" w:rsidRDefault="00FF387D">
            <w:pPr>
              <w:jc w:val="center"/>
            </w:pPr>
            <w:r>
              <w:rPr>
                <w:rFonts w:eastAsiaTheme="minorEastAsia"/>
                <w:kern w:val="0"/>
                <w:sz w:val="24"/>
                <w:szCs w:val="24"/>
              </w:rPr>
              <w:t>2</w:t>
            </w:r>
          </w:p>
        </w:tc>
        <w:tc>
          <w:tcPr>
            <w:tcW w:w="1276" w:type="dxa"/>
            <w:vAlign w:val="center"/>
          </w:tcPr>
          <w:p w:rsidR="004F7610" w:rsidRDefault="00FF387D">
            <w:pPr>
              <w:jc w:val="center"/>
            </w:pPr>
            <w:r>
              <w:rPr>
                <w:rFonts w:eastAsiaTheme="minorEastAsia"/>
                <w:kern w:val="0"/>
                <w:sz w:val="24"/>
                <w:szCs w:val="24"/>
              </w:rPr>
              <w:t>300014</w:t>
            </w:r>
          </w:p>
        </w:tc>
        <w:tc>
          <w:tcPr>
            <w:tcW w:w="1701" w:type="dxa"/>
            <w:vAlign w:val="center"/>
          </w:tcPr>
          <w:p w:rsidR="004F7610" w:rsidRDefault="00FF387D">
            <w:pPr>
              <w:jc w:val="center"/>
            </w:pPr>
            <w:r>
              <w:rPr>
                <w:rFonts w:eastAsiaTheme="minorEastAsia"/>
                <w:kern w:val="0"/>
                <w:sz w:val="24"/>
                <w:szCs w:val="24"/>
              </w:rPr>
              <w:t>亿纬锂能</w:t>
            </w:r>
          </w:p>
        </w:tc>
        <w:tc>
          <w:tcPr>
            <w:tcW w:w="1276" w:type="dxa"/>
            <w:vAlign w:val="center"/>
          </w:tcPr>
          <w:p w:rsidR="004F7610" w:rsidRDefault="00FF387D">
            <w:pPr>
              <w:jc w:val="right"/>
            </w:pPr>
            <w:r>
              <w:rPr>
                <w:rFonts w:eastAsiaTheme="minorEastAsia"/>
                <w:kern w:val="0"/>
                <w:sz w:val="24"/>
                <w:szCs w:val="24"/>
              </w:rPr>
              <w:t>3,933,727.00</w:t>
            </w:r>
          </w:p>
        </w:tc>
        <w:tc>
          <w:tcPr>
            <w:tcW w:w="1842" w:type="dxa"/>
            <w:vAlign w:val="center"/>
          </w:tcPr>
          <w:p w:rsidR="004F7610" w:rsidRDefault="00FF387D">
            <w:pPr>
              <w:jc w:val="right"/>
            </w:pPr>
            <w:r>
              <w:rPr>
                <w:rFonts w:eastAsiaTheme="minorEastAsia"/>
                <w:kern w:val="0"/>
                <w:sz w:val="24"/>
                <w:szCs w:val="24"/>
              </w:rPr>
              <w:t>464,887,856.86</w:t>
            </w:r>
          </w:p>
        </w:tc>
        <w:tc>
          <w:tcPr>
            <w:tcW w:w="1616" w:type="dxa"/>
            <w:vAlign w:val="center"/>
          </w:tcPr>
          <w:p w:rsidR="004F7610" w:rsidRDefault="00FF387D">
            <w:pPr>
              <w:jc w:val="right"/>
            </w:pPr>
            <w:r>
              <w:rPr>
                <w:rFonts w:eastAsiaTheme="minorEastAsia"/>
                <w:kern w:val="0"/>
                <w:sz w:val="24"/>
                <w:szCs w:val="24"/>
              </w:rPr>
              <w:t>6.59</w:t>
            </w:r>
          </w:p>
        </w:tc>
      </w:tr>
      <w:tr w:rsidR="004F7610">
        <w:tc>
          <w:tcPr>
            <w:tcW w:w="817" w:type="dxa"/>
            <w:vAlign w:val="center"/>
          </w:tcPr>
          <w:p w:rsidR="004F7610" w:rsidRDefault="00FF387D">
            <w:pPr>
              <w:jc w:val="center"/>
            </w:pPr>
            <w:r>
              <w:rPr>
                <w:rFonts w:eastAsiaTheme="minorEastAsia"/>
                <w:kern w:val="0"/>
                <w:sz w:val="24"/>
                <w:szCs w:val="24"/>
              </w:rPr>
              <w:t>3</w:t>
            </w:r>
          </w:p>
        </w:tc>
        <w:tc>
          <w:tcPr>
            <w:tcW w:w="1276" w:type="dxa"/>
            <w:vAlign w:val="center"/>
          </w:tcPr>
          <w:p w:rsidR="004F7610" w:rsidRDefault="00FF387D">
            <w:pPr>
              <w:jc w:val="center"/>
            </w:pPr>
            <w:r>
              <w:rPr>
                <w:rFonts w:eastAsiaTheme="minorEastAsia"/>
                <w:kern w:val="0"/>
                <w:sz w:val="24"/>
                <w:szCs w:val="24"/>
              </w:rPr>
              <w:t>688169</w:t>
            </w:r>
          </w:p>
        </w:tc>
        <w:tc>
          <w:tcPr>
            <w:tcW w:w="1701" w:type="dxa"/>
            <w:vAlign w:val="center"/>
          </w:tcPr>
          <w:p w:rsidR="004F7610" w:rsidRDefault="00FF387D">
            <w:pPr>
              <w:jc w:val="center"/>
            </w:pPr>
            <w:r>
              <w:rPr>
                <w:rFonts w:eastAsiaTheme="minorEastAsia"/>
                <w:kern w:val="0"/>
                <w:sz w:val="24"/>
                <w:szCs w:val="24"/>
              </w:rPr>
              <w:t>石头科技</w:t>
            </w:r>
          </w:p>
        </w:tc>
        <w:tc>
          <w:tcPr>
            <w:tcW w:w="1276" w:type="dxa"/>
            <w:vAlign w:val="center"/>
          </w:tcPr>
          <w:p w:rsidR="004F7610" w:rsidRDefault="00FF387D">
            <w:pPr>
              <w:jc w:val="right"/>
            </w:pPr>
            <w:r>
              <w:rPr>
                <w:rFonts w:eastAsiaTheme="minorEastAsia"/>
                <w:kern w:val="0"/>
                <w:sz w:val="24"/>
                <w:szCs w:val="24"/>
              </w:rPr>
              <w:t>559,625.00</w:t>
            </w:r>
          </w:p>
        </w:tc>
        <w:tc>
          <w:tcPr>
            <w:tcW w:w="1842" w:type="dxa"/>
            <w:vAlign w:val="center"/>
          </w:tcPr>
          <w:p w:rsidR="004F7610" w:rsidRDefault="00FF387D">
            <w:pPr>
              <w:jc w:val="right"/>
            </w:pPr>
            <w:r>
              <w:rPr>
                <w:rFonts w:eastAsiaTheme="minorEastAsia"/>
                <w:kern w:val="0"/>
                <w:sz w:val="24"/>
                <w:szCs w:val="24"/>
              </w:rPr>
              <w:t>454,975,125.00</w:t>
            </w:r>
          </w:p>
        </w:tc>
        <w:tc>
          <w:tcPr>
            <w:tcW w:w="1616" w:type="dxa"/>
            <w:vAlign w:val="center"/>
          </w:tcPr>
          <w:p w:rsidR="004F7610" w:rsidRDefault="00FF387D">
            <w:pPr>
              <w:jc w:val="right"/>
            </w:pPr>
            <w:r>
              <w:rPr>
                <w:rFonts w:eastAsiaTheme="minorEastAsia"/>
                <w:kern w:val="0"/>
                <w:sz w:val="24"/>
                <w:szCs w:val="24"/>
              </w:rPr>
              <w:t>6.45</w:t>
            </w:r>
          </w:p>
        </w:tc>
      </w:tr>
      <w:tr w:rsidR="004F7610">
        <w:tc>
          <w:tcPr>
            <w:tcW w:w="817" w:type="dxa"/>
            <w:vAlign w:val="center"/>
          </w:tcPr>
          <w:p w:rsidR="004F7610" w:rsidRDefault="00FF387D">
            <w:pPr>
              <w:jc w:val="center"/>
            </w:pPr>
            <w:r>
              <w:rPr>
                <w:rFonts w:eastAsiaTheme="minorEastAsia"/>
                <w:kern w:val="0"/>
                <w:sz w:val="24"/>
                <w:szCs w:val="24"/>
              </w:rPr>
              <w:t>4</w:t>
            </w:r>
          </w:p>
        </w:tc>
        <w:tc>
          <w:tcPr>
            <w:tcW w:w="1276" w:type="dxa"/>
            <w:vAlign w:val="center"/>
          </w:tcPr>
          <w:p w:rsidR="004F7610" w:rsidRDefault="00FF387D">
            <w:pPr>
              <w:jc w:val="center"/>
            </w:pPr>
            <w:r>
              <w:rPr>
                <w:rFonts w:eastAsiaTheme="minorEastAsia"/>
                <w:kern w:val="0"/>
                <w:sz w:val="24"/>
                <w:szCs w:val="24"/>
              </w:rPr>
              <w:t>002236</w:t>
            </w:r>
          </w:p>
        </w:tc>
        <w:tc>
          <w:tcPr>
            <w:tcW w:w="1701" w:type="dxa"/>
            <w:vAlign w:val="center"/>
          </w:tcPr>
          <w:p w:rsidR="004F7610" w:rsidRDefault="00FF387D">
            <w:pPr>
              <w:jc w:val="center"/>
            </w:pPr>
            <w:r>
              <w:rPr>
                <w:rFonts w:eastAsiaTheme="minorEastAsia"/>
                <w:kern w:val="0"/>
                <w:sz w:val="24"/>
                <w:szCs w:val="24"/>
              </w:rPr>
              <w:t>大华股份</w:t>
            </w:r>
          </w:p>
        </w:tc>
        <w:tc>
          <w:tcPr>
            <w:tcW w:w="1276" w:type="dxa"/>
            <w:vAlign w:val="center"/>
          </w:tcPr>
          <w:p w:rsidR="004F7610" w:rsidRDefault="00FF387D">
            <w:pPr>
              <w:jc w:val="right"/>
            </w:pPr>
            <w:r>
              <w:rPr>
                <w:rFonts w:eastAsiaTheme="minorEastAsia"/>
                <w:kern w:val="0"/>
                <w:sz w:val="24"/>
                <w:szCs w:val="24"/>
              </w:rPr>
              <w:t>17,594,725.00</w:t>
            </w:r>
          </w:p>
        </w:tc>
        <w:tc>
          <w:tcPr>
            <w:tcW w:w="1842" w:type="dxa"/>
            <w:vAlign w:val="center"/>
          </w:tcPr>
          <w:p w:rsidR="004F7610" w:rsidRDefault="00FF387D">
            <w:pPr>
              <w:jc w:val="right"/>
            </w:pPr>
            <w:r>
              <w:rPr>
                <w:rFonts w:eastAsiaTheme="minorEastAsia"/>
                <w:kern w:val="0"/>
                <w:sz w:val="24"/>
                <w:szCs w:val="24"/>
              </w:rPr>
              <w:t>413,124,143.00</w:t>
            </w:r>
          </w:p>
        </w:tc>
        <w:tc>
          <w:tcPr>
            <w:tcW w:w="1616" w:type="dxa"/>
            <w:vAlign w:val="center"/>
          </w:tcPr>
          <w:p w:rsidR="004F7610" w:rsidRDefault="00FF387D">
            <w:pPr>
              <w:jc w:val="right"/>
            </w:pPr>
            <w:r>
              <w:rPr>
                <w:rFonts w:eastAsiaTheme="minorEastAsia"/>
                <w:kern w:val="0"/>
                <w:sz w:val="24"/>
                <w:szCs w:val="24"/>
              </w:rPr>
              <w:t>5.86</w:t>
            </w:r>
          </w:p>
        </w:tc>
      </w:tr>
      <w:tr w:rsidR="004F7610">
        <w:tc>
          <w:tcPr>
            <w:tcW w:w="817" w:type="dxa"/>
            <w:vAlign w:val="center"/>
          </w:tcPr>
          <w:p w:rsidR="004F7610" w:rsidRDefault="00FF387D">
            <w:pPr>
              <w:jc w:val="center"/>
            </w:pPr>
            <w:r>
              <w:rPr>
                <w:rFonts w:eastAsiaTheme="minorEastAsia"/>
                <w:kern w:val="0"/>
                <w:sz w:val="24"/>
                <w:szCs w:val="24"/>
              </w:rPr>
              <w:t>5</w:t>
            </w:r>
          </w:p>
        </w:tc>
        <w:tc>
          <w:tcPr>
            <w:tcW w:w="1276" w:type="dxa"/>
            <w:vAlign w:val="center"/>
          </w:tcPr>
          <w:p w:rsidR="004F7610" w:rsidRDefault="00FF387D">
            <w:pPr>
              <w:jc w:val="center"/>
            </w:pPr>
            <w:r>
              <w:rPr>
                <w:rFonts w:eastAsiaTheme="minorEastAsia"/>
                <w:kern w:val="0"/>
                <w:sz w:val="24"/>
                <w:szCs w:val="24"/>
              </w:rPr>
              <w:t>002180</w:t>
            </w:r>
          </w:p>
        </w:tc>
        <w:tc>
          <w:tcPr>
            <w:tcW w:w="1701" w:type="dxa"/>
            <w:vAlign w:val="center"/>
          </w:tcPr>
          <w:p w:rsidR="004F7610" w:rsidRDefault="00FF387D">
            <w:pPr>
              <w:jc w:val="center"/>
            </w:pPr>
            <w:r>
              <w:rPr>
                <w:rFonts w:eastAsiaTheme="minorEastAsia"/>
                <w:kern w:val="0"/>
                <w:sz w:val="24"/>
                <w:szCs w:val="24"/>
              </w:rPr>
              <w:t>纳思达</w:t>
            </w:r>
          </w:p>
        </w:tc>
        <w:tc>
          <w:tcPr>
            <w:tcW w:w="1276" w:type="dxa"/>
            <w:vAlign w:val="center"/>
          </w:tcPr>
          <w:p w:rsidR="004F7610" w:rsidRDefault="00FF387D">
            <w:pPr>
              <w:jc w:val="right"/>
            </w:pPr>
            <w:r>
              <w:rPr>
                <w:rFonts w:eastAsiaTheme="minorEastAsia"/>
                <w:kern w:val="0"/>
                <w:sz w:val="24"/>
                <w:szCs w:val="24"/>
              </w:rPr>
              <w:t>7,472,155.00</w:t>
            </w:r>
          </w:p>
        </w:tc>
        <w:tc>
          <w:tcPr>
            <w:tcW w:w="1842" w:type="dxa"/>
            <w:vAlign w:val="center"/>
          </w:tcPr>
          <w:p w:rsidR="004F7610" w:rsidRDefault="00FF387D">
            <w:pPr>
              <w:jc w:val="right"/>
            </w:pPr>
            <w:r>
              <w:rPr>
                <w:rFonts w:eastAsiaTheme="minorEastAsia"/>
                <w:kern w:val="0"/>
                <w:sz w:val="24"/>
                <w:szCs w:val="24"/>
              </w:rPr>
              <w:t>351,413,880.88</w:t>
            </w:r>
          </w:p>
        </w:tc>
        <w:tc>
          <w:tcPr>
            <w:tcW w:w="1616" w:type="dxa"/>
            <w:vAlign w:val="center"/>
          </w:tcPr>
          <w:p w:rsidR="004F7610" w:rsidRDefault="00FF387D">
            <w:pPr>
              <w:jc w:val="right"/>
            </w:pPr>
            <w:r>
              <w:rPr>
                <w:rFonts w:eastAsiaTheme="minorEastAsia"/>
                <w:kern w:val="0"/>
                <w:sz w:val="24"/>
                <w:szCs w:val="24"/>
              </w:rPr>
              <w:t>4.98</w:t>
            </w:r>
          </w:p>
        </w:tc>
      </w:tr>
      <w:tr w:rsidR="004F7610">
        <w:tc>
          <w:tcPr>
            <w:tcW w:w="817" w:type="dxa"/>
            <w:vAlign w:val="center"/>
          </w:tcPr>
          <w:p w:rsidR="004F7610" w:rsidRDefault="00FF387D">
            <w:pPr>
              <w:jc w:val="center"/>
            </w:pPr>
            <w:r>
              <w:rPr>
                <w:rFonts w:eastAsiaTheme="minorEastAsia"/>
                <w:kern w:val="0"/>
                <w:sz w:val="24"/>
                <w:szCs w:val="24"/>
              </w:rPr>
              <w:t>6</w:t>
            </w:r>
          </w:p>
        </w:tc>
        <w:tc>
          <w:tcPr>
            <w:tcW w:w="1276" w:type="dxa"/>
            <w:vAlign w:val="center"/>
          </w:tcPr>
          <w:p w:rsidR="004F7610" w:rsidRDefault="00FF387D">
            <w:pPr>
              <w:jc w:val="center"/>
            </w:pPr>
            <w:r>
              <w:rPr>
                <w:rFonts w:eastAsiaTheme="minorEastAsia"/>
                <w:kern w:val="0"/>
                <w:sz w:val="24"/>
                <w:szCs w:val="24"/>
              </w:rPr>
              <w:t>000301</w:t>
            </w:r>
          </w:p>
        </w:tc>
        <w:tc>
          <w:tcPr>
            <w:tcW w:w="1701" w:type="dxa"/>
            <w:vAlign w:val="center"/>
          </w:tcPr>
          <w:p w:rsidR="004F7610" w:rsidRDefault="00FF387D">
            <w:pPr>
              <w:jc w:val="center"/>
            </w:pPr>
            <w:r>
              <w:rPr>
                <w:rFonts w:eastAsiaTheme="minorEastAsia"/>
                <w:kern w:val="0"/>
                <w:sz w:val="24"/>
                <w:szCs w:val="24"/>
              </w:rPr>
              <w:t>东方盛虹</w:t>
            </w:r>
          </w:p>
        </w:tc>
        <w:tc>
          <w:tcPr>
            <w:tcW w:w="1276" w:type="dxa"/>
            <w:vAlign w:val="center"/>
          </w:tcPr>
          <w:p w:rsidR="004F7610" w:rsidRDefault="00FF387D">
            <w:pPr>
              <w:jc w:val="right"/>
            </w:pPr>
            <w:r>
              <w:rPr>
                <w:rFonts w:eastAsiaTheme="minorEastAsia"/>
                <w:kern w:val="0"/>
                <w:sz w:val="24"/>
                <w:szCs w:val="24"/>
              </w:rPr>
              <w:t>18,149,884.00</w:t>
            </w:r>
          </w:p>
        </w:tc>
        <w:tc>
          <w:tcPr>
            <w:tcW w:w="1842" w:type="dxa"/>
            <w:vAlign w:val="center"/>
          </w:tcPr>
          <w:p w:rsidR="004F7610" w:rsidRDefault="00FF387D">
            <w:pPr>
              <w:jc w:val="right"/>
            </w:pPr>
            <w:r>
              <w:rPr>
                <w:rFonts w:eastAsiaTheme="minorEastAsia"/>
                <w:kern w:val="0"/>
                <w:sz w:val="24"/>
                <w:szCs w:val="24"/>
              </w:rPr>
              <w:t>351,018,756.56</w:t>
            </w:r>
          </w:p>
        </w:tc>
        <w:tc>
          <w:tcPr>
            <w:tcW w:w="1616" w:type="dxa"/>
            <w:vAlign w:val="center"/>
          </w:tcPr>
          <w:p w:rsidR="004F7610" w:rsidRDefault="00FF387D">
            <w:pPr>
              <w:jc w:val="right"/>
            </w:pPr>
            <w:r>
              <w:rPr>
                <w:rFonts w:eastAsiaTheme="minorEastAsia"/>
                <w:kern w:val="0"/>
                <w:sz w:val="24"/>
                <w:szCs w:val="24"/>
              </w:rPr>
              <w:t>4.98</w:t>
            </w:r>
          </w:p>
        </w:tc>
      </w:tr>
      <w:tr w:rsidR="004F7610">
        <w:tc>
          <w:tcPr>
            <w:tcW w:w="817" w:type="dxa"/>
            <w:vAlign w:val="center"/>
          </w:tcPr>
          <w:p w:rsidR="004F7610" w:rsidRDefault="00FF387D">
            <w:pPr>
              <w:jc w:val="center"/>
            </w:pPr>
            <w:r>
              <w:rPr>
                <w:rFonts w:eastAsiaTheme="minorEastAsia"/>
                <w:kern w:val="0"/>
                <w:sz w:val="24"/>
                <w:szCs w:val="24"/>
              </w:rPr>
              <w:t>7</w:t>
            </w:r>
          </w:p>
        </w:tc>
        <w:tc>
          <w:tcPr>
            <w:tcW w:w="1276" w:type="dxa"/>
            <w:vAlign w:val="center"/>
          </w:tcPr>
          <w:p w:rsidR="004F7610" w:rsidRDefault="00FF387D">
            <w:pPr>
              <w:jc w:val="center"/>
            </w:pPr>
            <w:r>
              <w:rPr>
                <w:rFonts w:eastAsiaTheme="minorEastAsia"/>
                <w:kern w:val="0"/>
                <w:sz w:val="24"/>
                <w:szCs w:val="24"/>
              </w:rPr>
              <w:t>603501</w:t>
            </w:r>
          </w:p>
        </w:tc>
        <w:tc>
          <w:tcPr>
            <w:tcW w:w="1701" w:type="dxa"/>
            <w:vAlign w:val="center"/>
          </w:tcPr>
          <w:p w:rsidR="004F7610" w:rsidRDefault="00FF387D">
            <w:pPr>
              <w:jc w:val="center"/>
            </w:pPr>
            <w:r>
              <w:rPr>
                <w:rFonts w:eastAsiaTheme="minorEastAsia"/>
                <w:kern w:val="0"/>
                <w:sz w:val="24"/>
                <w:szCs w:val="24"/>
              </w:rPr>
              <w:t>韦尔股份</w:t>
            </w:r>
          </w:p>
        </w:tc>
        <w:tc>
          <w:tcPr>
            <w:tcW w:w="1276" w:type="dxa"/>
            <w:vAlign w:val="center"/>
          </w:tcPr>
          <w:p w:rsidR="004F7610" w:rsidRDefault="00FF387D">
            <w:pPr>
              <w:jc w:val="right"/>
            </w:pPr>
            <w:r>
              <w:rPr>
                <w:rFonts w:eastAsiaTheme="minorEastAsia"/>
                <w:kern w:val="0"/>
                <w:sz w:val="24"/>
                <w:szCs w:val="24"/>
              </w:rPr>
              <w:t>946,058.00</w:t>
            </w:r>
          </w:p>
        </w:tc>
        <w:tc>
          <w:tcPr>
            <w:tcW w:w="1842" w:type="dxa"/>
            <w:vAlign w:val="center"/>
          </w:tcPr>
          <w:p w:rsidR="004F7610" w:rsidRDefault="00FF387D">
            <w:pPr>
              <w:jc w:val="right"/>
            </w:pPr>
            <w:r>
              <w:rPr>
                <w:rFonts w:eastAsiaTheme="minorEastAsia"/>
                <w:kern w:val="0"/>
                <w:sz w:val="24"/>
                <w:szCs w:val="24"/>
              </w:rPr>
              <w:t>294,006,444.66</w:t>
            </w:r>
          </w:p>
        </w:tc>
        <w:tc>
          <w:tcPr>
            <w:tcW w:w="1616" w:type="dxa"/>
            <w:vAlign w:val="center"/>
          </w:tcPr>
          <w:p w:rsidR="004F7610" w:rsidRDefault="00FF387D">
            <w:pPr>
              <w:jc w:val="right"/>
            </w:pPr>
            <w:r>
              <w:rPr>
                <w:rFonts w:eastAsiaTheme="minorEastAsia"/>
                <w:kern w:val="0"/>
                <w:sz w:val="24"/>
                <w:szCs w:val="24"/>
              </w:rPr>
              <w:t>4.17</w:t>
            </w:r>
          </w:p>
        </w:tc>
      </w:tr>
      <w:tr w:rsidR="004F7610">
        <w:tc>
          <w:tcPr>
            <w:tcW w:w="817" w:type="dxa"/>
            <w:vAlign w:val="center"/>
          </w:tcPr>
          <w:p w:rsidR="004F7610" w:rsidRDefault="00FF387D">
            <w:pPr>
              <w:jc w:val="center"/>
            </w:pPr>
            <w:r>
              <w:rPr>
                <w:rFonts w:eastAsiaTheme="minorEastAsia"/>
                <w:kern w:val="0"/>
                <w:sz w:val="24"/>
                <w:szCs w:val="24"/>
              </w:rPr>
              <w:t>8</w:t>
            </w:r>
          </w:p>
        </w:tc>
        <w:tc>
          <w:tcPr>
            <w:tcW w:w="1276" w:type="dxa"/>
            <w:vAlign w:val="center"/>
          </w:tcPr>
          <w:p w:rsidR="004F7610" w:rsidRDefault="00FF387D">
            <w:pPr>
              <w:jc w:val="center"/>
            </w:pPr>
            <w:r>
              <w:rPr>
                <w:rFonts w:eastAsiaTheme="minorEastAsia"/>
                <w:kern w:val="0"/>
                <w:sz w:val="24"/>
                <w:szCs w:val="24"/>
              </w:rPr>
              <w:t>600338</w:t>
            </w:r>
          </w:p>
        </w:tc>
        <w:tc>
          <w:tcPr>
            <w:tcW w:w="1701" w:type="dxa"/>
            <w:vAlign w:val="center"/>
          </w:tcPr>
          <w:p w:rsidR="004F7610" w:rsidRDefault="00FF387D">
            <w:pPr>
              <w:jc w:val="center"/>
            </w:pPr>
            <w:r>
              <w:rPr>
                <w:rFonts w:eastAsiaTheme="minorEastAsia"/>
                <w:kern w:val="0"/>
                <w:sz w:val="24"/>
                <w:szCs w:val="24"/>
              </w:rPr>
              <w:t>西藏珠峰</w:t>
            </w:r>
          </w:p>
        </w:tc>
        <w:tc>
          <w:tcPr>
            <w:tcW w:w="1276" w:type="dxa"/>
            <w:vAlign w:val="center"/>
          </w:tcPr>
          <w:p w:rsidR="004F7610" w:rsidRDefault="00FF387D">
            <w:pPr>
              <w:jc w:val="right"/>
            </w:pPr>
            <w:r>
              <w:rPr>
                <w:rFonts w:eastAsiaTheme="minorEastAsia"/>
                <w:kern w:val="0"/>
                <w:sz w:val="24"/>
                <w:szCs w:val="24"/>
              </w:rPr>
              <w:t>7,739,740.00</w:t>
            </w:r>
          </w:p>
        </w:tc>
        <w:tc>
          <w:tcPr>
            <w:tcW w:w="1842" w:type="dxa"/>
            <w:vAlign w:val="center"/>
          </w:tcPr>
          <w:p w:rsidR="004F7610" w:rsidRDefault="00FF387D">
            <w:pPr>
              <w:jc w:val="right"/>
            </w:pPr>
            <w:r>
              <w:rPr>
                <w:rFonts w:eastAsiaTheme="minorEastAsia"/>
                <w:kern w:val="0"/>
                <w:sz w:val="24"/>
                <w:szCs w:val="24"/>
              </w:rPr>
              <w:t>291,478,608.40</w:t>
            </w:r>
          </w:p>
        </w:tc>
        <w:tc>
          <w:tcPr>
            <w:tcW w:w="1616" w:type="dxa"/>
            <w:vAlign w:val="center"/>
          </w:tcPr>
          <w:p w:rsidR="004F7610" w:rsidRDefault="00FF387D">
            <w:pPr>
              <w:jc w:val="right"/>
            </w:pPr>
            <w:r>
              <w:rPr>
                <w:rFonts w:eastAsiaTheme="minorEastAsia"/>
                <w:kern w:val="0"/>
                <w:sz w:val="24"/>
                <w:szCs w:val="24"/>
              </w:rPr>
              <w:t>4.13</w:t>
            </w:r>
          </w:p>
        </w:tc>
      </w:tr>
      <w:tr w:rsidR="004F7610">
        <w:tc>
          <w:tcPr>
            <w:tcW w:w="817" w:type="dxa"/>
            <w:vAlign w:val="center"/>
          </w:tcPr>
          <w:p w:rsidR="004F7610" w:rsidRDefault="00FF387D">
            <w:pPr>
              <w:jc w:val="center"/>
            </w:pPr>
            <w:r>
              <w:rPr>
                <w:rFonts w:eastAsiaTheme="minorEastAsia"/>
                <w:kern w:val="0"/>
                <w:sz w:val="24"/>
                <w:szCs w:val="24"/>
              </w:rPr>
              <w:t>9</w:t>
            </w:r>
          </w:p>
        </w:tc>
        <w:tc>
          <w:tcPr>
            <w:tcW w:w="1276" w:type="dxa"/>
            <w:vAlign w:val="center"/>
          </w:tcPr>
          <w:p w:rsidR="004F7610" w:rsidRDefault="00FF387D">
            <w:pPr>
              <w:jc w:val="center"/>
            </w:pPr>
            <w:r>
              <w:rPr>
                <w:rFonts w:eastAsiaTheme="minorEastAsia"/>
                <w:kern w:val="0"/>
                <w:sz w:val="24"/>
                <w:szCs w:val="24"/>
              </w:rPr>
              <w:t>603799</w:t>
            </w:r>
          </w:p>
        </w:tc>
        <w:tc>
          <w:tcPr>
            <w:tcW w:w="1701" w:type="dxa"/>
            <w:vAlign w:val="center"/>
          </w:tcPr>
          <w:p w:rsidR="004F7610" w:rsidRDefault="00FF387D">
            <w:pPr>
              <w:jc w:val="center"/>
            </w:pPr>
            <w:r>
              <w:rPr>
                <w:rFonts w:eastAsiaTheme="minorEastAsia"/>
                <w:kern w:val="0"/>
                <w:sz w:val="24"/>
                <w:szCs w:val="24"/>
              </w:rPr>
              <w:t>华友钴业</w:t>
            </w:r>
          </w:p>
        </w:tc>
        <w:tc>
          <w:tcPr>
            <w:tcW w:w="1276" w:type="dxa"/>
            <w:vAlign w:val="center"/>
          </w:tcPr>
          <w:p w:rsidR="004F7610" w:rsidRDefault="00FF387D">
            <w:pPr>
              <w:jc w:val="right"/>
            </w:pPr>
            <w:r>
              <w:rPr>
                <w:rFonts w:eastAsiaTheme="minorEastAsia"/>
                <w:kern w:val="0"/>
                <w:sz w:val="24"/>
                <w:szCs w:val="24"/>
              </w:rPr>
              <w:t>2,411,865.00</w:t>
            </w:r>
          </w:p>
        </w:tc>
        <w:tc>
          <w:tcPr>
            <w:tcW w:w="1842" w:type="dxa"/>
            <w:vAlign w:val="center"/>
          </w:tcPr>
          <w:p w:rsidR="004F7610" w:rsidRDefault="00FF387D">
            <w:pPr>
              <w:jc w:val="right"/>
            </w:pPr>
            <w:r>
              <w:rPr>
                <w:rFonts w:eastAsiaTheme="minorEastAsia"/>
                <w:kern w:val="0"/>
                <w:sz w:val="24"/>
                <w:szCs w:val="24"/>
              </w:rPr>
              <w:t>266,052,828.15</w:t>
            </w:r>
          </w:p>
        </w:tc>
        <w:tc>
          <w:tcPr>
            <w:tcW w:w="1616" w:type="dxa"/>
            <w:vAlign w:val="center"/>
          </w:tcPr>
          <w:p w:rsidR="004F7610" w:rsidRDefault="00FF387D">
            <w:pPr>
              <w:jc w:val="right"/>
            </w:pPr>
            <w:r>
              <w:rPr>
                <w:rFonts w:eastAsiaTheme="minorEastAsia"/>
                <w:kern w:val="0"/>
                <w:sz w:val="24"/>
                <w:szCs w:val="24"/>
              </w:rPr>
              <w:t>3.77</w:t>
            </w:r>
          </w:p>
        </w:tc>
      </w:tr>
      <w:tr w:rsidR="004F7610">
        <w:tc>
          <w:tcPr>
            <w:tcW w:w="817" w:type="dxa"/>
            <w:vAlign w:val="center"/>
          </w:tcPr>
          <w:p w:rsidR="004F7610" w:rsidRDefault="00FF387D">
            <w:pPr>
              <w:jc w:val="center"/>
            </w:pPr>
            <w:r>
              <w:rPr>
                <w:rFonts w:eastAsiaTheme="minorEastAsia"/>
                <w:kern w:val="0"/>
                <w:sz w:val="24"/>
                <w:szCs w:val="24"/>
              </w:rPr>
              <w:t>10</w:t>
            </w:r>
          </w:p>
        </w:tc>
        <w:tc>
          <w:tcPr>
            <w:tcW w:w="1276" w:type="dxa"/>
            <w:vAlign w:val="center"/>
          </w:tcPr>
          <w:p w:rsidR="004F7610" w:rsidRDefault="00FF387D">
            <w:pPr>
              <w:jc w:val="center"/>
            </w:pPr>
            <w:r>
              <w:rPr>
                <w:rFonts w:eastAsiaTheme="minorEastAsia"/>
                <w:kern w:val="0"/>
                <w:sz w:val="24"/>
                <w:szCs w:val="24"/>
              </w:rPr>
              <w:t>002714</w:t>
            </w:r>
          </w:p>
        </w:tc>
        <w:tc>
          <w:tcPr>
            <w:tcW w:w="1701" w:type="dxa"/>
            <w:vAlign w:val="center"/>
          </w:tcPr>
          <w:p w:rsidR="004F7610" w:rsidRDefault="00FF387D">
            <w:pPr>
              <w:jc w:val="center"/>
            </w:pPr>
            <w:r>
              <w:rPr>
                <w:rFonts w:eastAsiaTheme="minorEastAsia"/>
                <w:kern w:val="0"/>
                <w:sz w:val="24"/>
                <w:szCs w:val="24"/>
              </w:rPr>
              <w:t>牧原股份</w:t>
            </w:r>
          </w:p>
        </w:tc>
        <w:tc>
          <w:tcPr>
            <w:tcW w:w="1276" w:type="dxa"/>
            <w:vAlign w:val="center"/>
          </w:tcPr>
          <w:p w:rsidR="004F7610" w:rsidRDefault="00FF387D">
            <w:pPr>
              <w:jc w:val="right"/>
            </w:pPr>
            <w:r>
              <w:rPr>
                <w:rFonts w:eastAsiaTheme="minorEastAsia"/>
                <w:kern w:val="0"/>
                <w:sz w:val="24"/>
                <w:szCs w:val="24"/>
              </w:rPr>
              <w:t>4,597,316.00</w:t>
            </w:r>
          </w:p>
        </w:tc>
        <w:tc>
          <w:tcPr>
            <w:tcW w:w="1842" w:type="dxa"/>
            <w:vAlign w:val="center"/>
          </w:tcPr>
          <w:p w:rsidR="004F7610" w:rsidRDefault="00FF387D">
            <w:pPr>
              <w:jc w:val="right"/>
            </w:pPr>
            <w:r>
              <w:rPr>
                <w:rFonts w:eastAsiaTheme="minorEastAsia"/>
                <w:kern w:val="0"/>
                <w:sz w:val="24"/>
                <w:szCs w:val="24"/>
              </w:rPr>
              <w:t>245,312,781.76</w:t>
            </w:r>
          </w:p>
        </w:tc>
        <w:tc>
          <w:tcPr>
            <w:tcW w:w="1616" w:type="dxa"/>
            <w:vAlign w:val="center"/>
          </w:tcPr>
          <w:p w:rsidR="004F7610" w:rsidRDefault="00FF387D">
            <w:pPr>
              <w:jc w:val="right"/>
            </w:pPr>
            <w:r>
              <w:rPr>
                <w:rFonts w:eastAsiaTheme="minorEastAsia"/>
                <w:kern w:val="0"/>
                <w:sz w:val="24"/>
                <w:szCs w:val="24"/>
              </w:rPr>
              <w:t>3.48</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705,120.66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136,266,657.97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52,109.63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751,354.27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137,775,242.53</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5.11.5</w:t>
      </w:r>
      <w:r w:rsidRPr="00FF6B9A">
        <w:rPr>
          <w:rFonts w:eastAsiaTheme="minorEastAsia"/>
          <w:b/>
          <w:bCs/>
          <w:color w:val="000000" w:themeColor="text1"/>
          <w:kern w:val="0"/>
          <w:sz w:val="24"/>
          <w:szCs w:val="24"/>
        </w:rPr>
        <w:t>报告期末前十名股票中存在流通受限情况的说明</w:t>
      </w:r>
    </w:p>
    <w:tbl>
      <w:tblPr>
        <w:tblStyle w:val="aff4"/>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D06738" w:rsidRPr="00FF6B9A">
        <w:tc>
          <w:tcPr>
            <w:tcW w:w="108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0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股票代码</w:t>
            </w:r>
          </w:p>
        </w:tc>
        <w:tc>
          <w:tcPr>
            <w:tcW w:w="130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股票名称</w:t>
            </w:r>
          </w:p>
        </w:tc>
        <w:tc>
          <w:tcPr>
            <w:tcW w:w="180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流通受限部分的公允价值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5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c>
          <w:tcPr>
            <w:tcW w:w="136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流通受限情况说明</w:t>
            </w:r>
          </w:p>
        </w:tc>
      </w:tr>
      <w:tr w:rsidR="004F7610">
        <w:tc>
          <w:tcPr>
            <w:tcW w:w="1083" w:type="dxa"/>
            <w:vAlign w:val="center"/>
          </w:tcPr>
          <w:p w:rsidR="004F7610" w:rsidRDefault="00FF387D">
            <w:pPr>
              <w:jc w:val="center"/>
            </w:pPr>
            <w:r>
              <w:rPr>
                <w:rFonts w:eastAsiaTheme="minorEastAsia"/>
                <w:color w:val="000000" w:themeColor="text1"/>
                <w:kern w:val="0"/>
              </w:rPr>
              <w:t>1</w:t>
            </w:r>
          </w:p>
        </w:tc>
        <w:tc>
          <w:tcPr>
            <w:tcW w:w="1302" w:type="dxa"/>
            <w:vAlign w:val="center"/>
          </w:tcPr>
          <w:p w:rsidR="004F7610" w:rsidRDefault="00FF387D">
            <w:pPr>
              <w:jc w:val="center"/>
            </w:pPr>
            <w:r>
              <w:rPr>
                <w:rFonts w:eastAsiaTheme="minorEastAsia"/>
                <w:color w:val="000000" w:themeColor="text1"/>
                <w:kern w:val="0"/>
              </w:rPr>
              <w:t>002180</w:t>
            </w:r>
          </w:p>
        </w:tc>
        <w:tc>
          <w:tcPr>
            <w:tcW w:w="1301" w:type="dxa"/>
            <w:vAlign w:val="center"/>
          </w:tcPr>
          <w:p w:rsidR="004F7610" w:rsidRDefault="00FF387D">
            <w:pPr>
              <w:jc w:val="center"/>
            </w:pPr>
            <w:r>
              <w:rPr>
                <w:rFonts w:eastAsiaTheme="minorEastAsia"/>
                <w:color w:val="000000" w:themeColor="text1"/>
                <w:kern w:val="0"/>
              </w:rPr>
              <w:t>纳思达</w:t>
            </w:r>
          </w:p>
        </w:tc>
        <w:tc>
          <w:tcPr>
            <w:tcW w:w="1805" w:type="dxa"/>
            <w:vAlign w:val="center"/>
          </w:tcPr>
          <w:p w:rsidR="004F7610" w:rsidRDefault="00FF387D">
            <w:pPr>
              <w:jc w:val="right"/>
            </w:pPr>
            <w:r>
              <w:rPr>
                <w:rFonts w:eastAsiaTheme="minorEastAsia"/>
                <w:color w:val="000000" w:themeColor="text1"/>
                <w:kern w:val="0"/>
              </w:rPr>
              <w:t>83,786,947.84</w:t>
            </w:r>
          </w:p>
        </w:tc>
        <w:tc>
          <w:tcPr>
            <w:tcW w:w="1655" w:type="dxa"/>
            <w:vAlign w:val="center"/>
          </w:tcPr>
          <w:p w:rsidR="004F7610" w:rsidRDefault="00FF387D">
            <w:pPr>
              <w:jc w:val="right"/>
            </w:pPr>
            <w:r>
              <w:rPr>
                <w:rFonts w:eastAsiaTheme="minorEastAsia"/>
                <w:color w:val="000000" w:themeColor="text1"/>
                <w:kern w:val="0"/>
              </w:rPr>
              <w:t>1.19</w:t>
            </w:r>
          </w:p>
        </w:tc>
        <w:tc>
          <w:tcPr>
            <w:tcW w:w="1367" w:type="dxa"/>
            <w:vAlign w:val="center"/>
          </w:tcPr>
          <w:p w:rsidR="004F7610" w:rsidRDefault="00FF387D">
            <w:pPr>
              <w:jc w:val="right"/>
            </w:pPr>
            <w:r>
              <w:rPr>
                <w:rFonts w:eastAsiaTheme="minorEastAsia"/>
                <w:color w:val="000000" w:themeColor="text1"/>
                <w:kern w:val="0"/>
              </w:rPr>
              <w:t>非公开发行限售</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6,280,705,274.02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54,406,432.02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6,335,111,706.04</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中国证监会准予上投摩根远见两年持有期混合型证券投资基金募集注册的文件</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上投摩根远见两年持有期混合型证券投资基金基金合同</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上投摩根远见两年持有期混合型证券投资基金托管协议</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lastRenderedPageBreak/>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4F7610" w:rsidRDefault="00FF387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二〇二二年一月二十四日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252ABA" w:rsidRPr="00252ABA">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252ABA">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上投摩根远见两年持有期混合型证券投资基金</w:t>
    </w:r>
    <w:r>
      <w:rPr>
        <w:rFonts w:hint="eastAsia"/>
      </w:rPr>
      <w:t>2021</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52ABA"/>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4F7610"/>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387D"/>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05192-117F-4258-9A2A-D61110AD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269</cp:revision>
  <dcterms:created xsi:type="dcterms:W3CDTF">2012-10-16T06:07:00Z</dcterms:created>
  <dcterms:modified xsi:type="dcterms:W3CDTF">2022-01-21T05:49:00Z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