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6,280,705,274.02</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632259" w:rsidRDefault="00F55249">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55249" w:rsidRPr="00FF6B9A" w:rsidTr="00F55249">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F55249" w:rsidRPr="00FF6B9A" w:rsidTr="00F5524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50,046,751.61</w:t>
            </w:r>
          </w:p>
        </w:tc>
      </w:tr>
      <w:tr w:rsidR="00F55249" w:rsidRPr="00FF6B9A" w:rsidTr="00F5524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356,540,280.77</w:t>
            </w:r>
          </w:p>
        </w:tc>
      </w:tr>
      <w:tr w:rsidR="00F55249" w:rsidRPr="00FF6B9A" w:rsidTr="00F5524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0.0573</w:t>
            </w:r>
          </w:p>
        </w:tc>
      </w:tr>
      <w:tr w:rsidR="00F55249" w:rsidRPr="00FF6B9A" w:rsidTr="00F5524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7,047,713,313.59</w:t>
            </w:r>
          </w:p>
        </w:tc>
      </w:tr>
      <w:tr w:rsidR="00F55249" w:rsidRPr="00FF6B9A" w:rsidTr="00F55249">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1.1221</w:t>
            </w:r>
          </w:p>
        </w:tc>
      </w:tr>
    </w:tbl>
    <w:p w:rsidR="00632259" w:rsidRDefault="00F5524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bookmarkStart w:id="0" w:name="_GoBack"/>
      <w:bookmarkEnd w:id="0"/>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32259">
        <w:tc>
          <w:tcPr>
            <w:tcW w:w="1395" w:type="dxa"/>
            <w:vAlign w:val="center"/>
          </w:tcPr>
          <w:p w:rsidR="00632259" w:rsidRDefault="00F55249">
            <w:pPr>
              <w:jc w:val="left"/>
            </w:pPr>
            <w:r>
              <w:rPr>
                <w:rFonts w:eastAsiaTheme="minorEastAsia"/>
                <w:color w:val="000000" w:themeColor="text1"/>
                <w:kern w:val="0"/>
              </w:rPr>
              <w:t>过去三个月</w:t>
            </w:r>
          </w:p>
        </w:tc>
        <w:tc>
          <w:tcPr>
            <w:tcW w:w="1092" w:type="dxa"/>
            <w:vAlign w:val="center"/>
          </w:tcPr>
          <w:p w:rsidR="00632259" w:rsidRDefault="00F55249">
            <w:pPr>
              <w:jc w:val="center"/>
            </w:pPr>
            <w:r>
              <w:rPr>
                <w:rFonts w:eastAsiaTheme="minorEastAsia"/>
                <w:color w:val="000000" w:themeColor="text1"/>
                <w:kern w:val="0"/>
              </w:rPr>
              <w:t>5.46%</w:t>
            </w:r>
          </w:p>
        </w:tc>
        <w:tc>
          <w:tcPr>
            <w:tcW w:w="1161" w:type="dxa"/>
            <w:vAlign w:val="center"/>
          </w:tcPr>
          <w:p w:rsidR="00632259" w:rsidRDefault="00F55249">
            <w:pPr>
              <w:jc w:val="center"/>
            </w:pPr>
            <w:r>
              <w:rPr>
                <w:rFonts w:eastAsiaTheme="minorEastAsia"/>
                <w:color w:val="000000" w:themeColor="text1"/>
                <w:kern w:val="0"/>
              </w:rPr>
              <w:t>2.31%</w:t>
            </w:r>
          </w:p>
        </w:tc>
        <w:tc>
          <w:tcPr>
            <w:tcW w:w="1181" w:type="dxa"/>
            <w:vAlign w:val="center"/>
          </w:tcPr>
          <w:p w:rsidR="00632259" w:rsidRDefault="00F55249">
            <w:pPr>
              <w:jc w:val="center"/>
            </w:pPr>
            <w:r>
              <w:rPr>
                <w:rFonts w:eastAsiaTheme="minorEastAsia"/>
                <w:color w:val="000000" w:themeColor="text1"/>
                <w:kern w:val="0"/>
              </w:rPr>
              <w:t>-4.39%</w:t>
            </w:r>
          </w:p>
        </w:tc>
        <w:tc>
          <w:tcPr>
            <w:tcW w:w="1188" w:type="dxa"/>
            <w:vAlign w:val="center"/>
          </w:tcPr>
          <w:p w:rsidR="00632259" w:rsidRDefault="00F55249">
            <w:pPr>
              <w:jc w:val="center"/>
            </w:pPr>
            <w:r>
              <w:rPr>
                <w:rFonts w:eastAsiaTheme="minorEastAsia"/>
                <w:color w:val="000000" w:themeColor="text1"/>
                <w:kern w:val="0"/>
              </w:rPr>
              <w:t>0.94%</w:t>
            </w:r>
          </w:p>
        </w:tc>
        <w:tc>
          <w:tcPr>
            <w:tcW w:w="1199" w:type="dxa"/>
            <w:vAlign w:val="center"/>
          </w:tcPr>
          <w:p w:rsidR="00632259" w:rsidRDefault="00F55249">
            <w:pPr>
              <w:jc w:val="center"/>
            </w:pPr>
            <w:r>
              <w:rPr>
                <w:rFonts w:eastAsiaTheme="minorEastAsia"/>
                <w:color w:val="000000" w:themeColor="text1"/>
                <w:kern w:val="0"/>
              </w:rPr>
              <w:t>9.85%</w:t>
            </w:r>
          </w:p>
        </w:tc>
        <w:tc>
          <w:tcPr>
            <w:tcW w:w="1204" w:type="dxa"/>
            <w:vAlign w:val="center"/>
          </w:tcPr>
          <w:p w:rsidR="00632259" w:rsidRDefault="00F55249">
            <w:pPr>
              <w:jc w:val="center"/>
            </w:pPr>
            <w:r>
              <w:rPr>
                <w:rFonts w:eastAsiaTheme="minorEastAsia"/>
                <w:color w:val="000000" w:themeColor="text1"/>
                <w:kern w:val="0"/>
              </w:rPr>
              <w:t>1.37%</w:t>
            </w:r>
          </w:p>
        </w:tc>
      </w:tr>
      <w:tr w:rsidR="00632259">
        <w:tc>
          <w:tcPr>
            <w:tcW w:w="1395" w:type="dxa"/>
            <w:vAlign w:val="center"/>
          </w:tcPr>
          <w:p w:rsidR="00632259" w:rsidRDefault="00F55249">
            <w:pPr>
              <w:jc w:val="left"/>
            </w:pPr>
            <w:r>
              <w:rPr>
                <w:rFonts w:eastAsiaTheme="minorEastAsia"/>
                <w:color w:val="000000" w:themeColor="text1"/>
                <w:kern w:val="0"/>
              </w:rPr>
              <w:t>过去六个月</w:t>
            </w:r>
          </w:p>
        </w:tc>
        <w:tc>
          <w:tcPr>
            <w:tcW w:w="1092" w:type="dxa"/>
            <w:vAlign w:val="center"/>
          </w:tcPr>
          <w:p w:rsidR="00632259" w:rsidRDefault="00F55249">
            <w:pPr>
              <w:jc w:val="center"/>
            </w:pPr>
            <w:r>
              <w:rPr>
                <w:rFonts w:eastAsiaTheme="minorEastAsia"/>
                <w:color w:val="000000" w:themeColor="text1"/>
                <w:kern w:val="0"/>
              </w:rPr>
              <w:t>20.38%</w:t>
            </w:r>
          </w:p>
        </w:tc>
        <w:tc>
          <w:tcPr>
            <w:tcW w:w="1161" w:type="dxa"/>
            <w:vAlign w:val="center"/>
          </w:tcPr>
          <w:p w:rsidR="00632259" w:rsidRDefault="00F55249">
            <w:pPr>
              <w:jc w:val="center"/>
            </w:pPr>
            <w:r>
              <w:rPr>
                <w:rFonts w:eastAsiaTheme="minorEastAsia"/>
                <w:color w:val="000000" w:themeColor="text1"/>
                <w:kern w:val="0"/>
              </w:rPr>
              <w:t>1.88%</w:t>
            </w:r>
          </w:p>
        </w:tc>
        <w:tc>
          <w:tcPr>
            <w:tcW w:w="1181" w:type="dxa"/>
            <w:vAlign w:val="center"/>
          </w:tcPr>
          <w:p w:rsidR="00632259" w:rsidRDefault="00F55249">
            <w:pPr>
              <w:jc w:val="center"/>
            </w:pPr>
            <w:r>
              <w:rPr>
                <w:rFonts w:eastAsiaTheme="minorEastAsia"/>
                <w:color w:val="000000" w:themeColor="text1"/>
                <w:kern w:val="0"/>
              </w:rPr>
              <w:t>-0.85%</w:t>
            </w:r>
          </w:p>
        </w:tc>
        <w:tc>
          <w:tcPr>
            <w:tcW w:w="1188" w:type="dxa"/>
            <w:vAlign w:val="center"/>
          </w:tcPr>
          <w:p w:rsidR="00632259" w:rsidRDefault="00F55249">
            <w:pPr>
              <w:jc w:val="center"/>
            </w:pPr>
            <w:r>
              <w:rPr>
                <w:rFonts w:eastAsiaTheme="minorEastAsia"/>
                <w:color w:val="000000" w:themeColor="text1"/>
                <w:kern w:val="0"/>
              </w:rPr>
              <w:t>0.84%</w:t>
            </w:r>
          </w:p>
        </w:tc>
        <w:tc>
          <w:tcPr>
            <w:tcW w:w="1199" w:type="dxa"/>
            <w:vAlign w:val="center"/>
          </w:tcPr>
          <w:p w:rsidR="00632259" w:rsidRDefault="00F55249">
            <w:pPr>
              <w:jc w:val="center"/>
            </w:pPr>
            <w:r>
              <w:rPr>
                <w:rFonts w:eastAsiaTheme="minorEastAsia"/>
                <w:color w:val="000000" w:themeColor="text1"/>
                <w:kern w:val="0"/>
              </w:rPr>
              <w:t>21.23%</w:t>
            </w:r>
          </w:p>
        </w:tc>
        <w:tc>
          <w:tcPr>
            <w:tcW w:w="1204" w:type="dxa"/>
            <w:vAlign w:val="center"/>
          </w:tcPr>
          <w:p w:rsidR="00632259" w:rsidRDefault="00F55249">
            <w:pPr>
              <w:jc w:val="center"/>
            </w:pPr>
            <w:r>
              <w:rPr>
                <w:rFonts w:eastAsiaTheme="minorEastAsia"/>
                <w:color w:val="000000" w:themeColor="text1"/>
                <w:kern w:val="0"/>
              </w:rPr>
              <w:t>1.04%</w:t>
            </w:r>
          </w:p>
        </w:tc>
      </w:tr>
      <w:tr w:rsidR="00632259">
        <w:tc>
          <w:tcPr>
            <w:tcW w:w="1395" w:type="dxa"/>
            <w:vAlign w:val="center"/>
          </w:tcPr>
          <w:p w:rsidR="00632259" w:rsidRDefault="00F55249">
            <w:pPr>
              <w:jc w:val="left"/>
            </w:pPr>
            <w:r>
              <w:rPr>
                <w:rFonts w:eastAsiaTheme="minorEastAsia"/>
                <w:color w:val="000000" w:themeColor="text1"/>
                <w:kern w:val="0"/>
              </w:rPr>
              <w:t>过去一年</w:t>
            </w:r>
          </w:p>
        </w:tc>
        <w:tc>
          <w:tcPr>
            <w:tcW w:w="1092" w:type="dxa"/>
            <w:vAlign w:val="center"/>
          </w:tcPr>
          <w:p w:rsidR="00632259" w:rsidRDefault="00F55249">
            <w:pPr>
              <w:jc w:val="center"/>
            </w:pPr>
            <w:r>
              <w:rPr>
                <w:rFonts w:eastAsiaTheme="minorEastAsia"/>
                <w:color w:val="000000" w:themeColor="text1"/>
                <w:kern w:val="0"/>
              </w:rPr>
              <w:t>-</w:t>
            </w:r>
          </w:p>
        </w:tc>
        <w:tc>
          <w:tcPr>
            <w:tcW w:w="1161" w:type="dxa"/>
            <w:vAlign w:val="center"/>
          </w:tcPr>
          <w:p w:rsidR="00632259" w:rsidRDefault="00F55249">
            <w:pPr>
              <w:jc w:val="center"/>
            </w:pPr>
            <w:r>
              <w:rPr>
                <w:rFonts w:eastAsiaTheme="minorEastAsia"/>
                <w:color w:val="000000" w:themeColor="text1"/>
                <w:kern w:val="0"/>
              </w:rPr>
              <w:t>-</w:t>
            </w:r>
          </w:p>
        </w:tc>
        <w:tc>
          <w:tcPr>
            <w:tcW w:w="1181" w:type="dxa"/>
            <w:vAlign w:val="center"/>
          </w:tcPr>
          <w:p w:rsidR="00632259" w:rsidRDefault="00F55249">
            <w:pPr>
              <w:jc w:val="center"/>
            </w:pPr>
            <w:r>
              <w:rPr>
                <w:rFonts w:eastAsiaTheme="minorEastAsia"/>
                <w:color w:val="000000" w:themeColor="text1"/>
                <w:kern w:val="0"/>
              </w:rPr>
              <w:t>-</w:t>
            </w:r>
          </w:p>
        </w:tc>
        <w:tc>
          <w:tcPr>
            <w:tcW w:w="1188" w:type="dxa"/>
            <w:vAlign w:val="center"/>
          </w:tcPr>
          <w:p w:rsidR="00632259" w:rsidRDefault="00F55249">
            <w:pPr>
              <w:jc w:val="center"/>
            </w:pPr>
            <w:r>
              <w:rPr>
                <w:rFonts w:eastAsiaTheme="minorEastAsia"/>
                <w:color w:val="000000" w:themeColor="text1"/>
                <w:kern w:val="0"/>
              </w:rPr>
              <w:t>-</w:t>
            </w:r>
          </w:p>
        </w:tc>
        <w:tc>
          <w:tcPr>
            <w:tcW w:w="1199" w:type="dxa"/>
            <w:vAlign w:val="center"/>
          </w:tcPr>
          <w:p w:rsidR="00632259" w:rsidRDefault="00F55249">
            <w:pPr>
              <w:jc w:val="center"/>
            </w:pPr>
            <w:r>
              <w:rPr>
                <w:rFonts w:eastAsiaTheme="minorEastAsia"/>
                <w:color w:val="000000" w:themeColor="text1"/>
                <w:kern w:val="0"/>
              </w:rPr>
              <w:t>-</w:t>
            </w:r>
          </w:p>
        </w:tc>
        <w:tc>
          <w:tcPr>
            <w:tcW w:w="1204" w:type="dxa"/>
            <w:vAlign w:val="center"/>
          </w:tcPr>
          <w:p w:rsidR="00632259" w:rsidRDefault="00F55249">
            <w:pPr>
              <w:jc w:val="center"/>
            </w:pPr>
            <w:r>
              <w:rPr>
                <w:rFonts w:eastAsiaTheme="minorEastAsia"/>
                <w:color w:val="000000" w:themeColor="text1"/>
                <w:kern w:val="0"/>
              </w:rPr>
              <w:t>-</w:t>
            </w:r>
          </w:p>
        </w:tc>
      </w:tr>
      <w:tr w:rsidR="00632259">
        <w:tc>
          <w:tcPr>
            <w:tcW w:w="1395" w:type="dxa"/>
            <w:vAlign w:val="center"/>
          </w:tcPr>
          <w:p w:rsidR="00632259" w:rsidRDefault="00F55249">
            <w:pPr>
              <w:jc w:val="left"/>
            </w:pPr>
            <w:r>
              <w:rPr>
                <w:rFonts w:eastAsiaTheme="minorEastAsia"/>
                <w:color w:val="000000" w:themeColor="text1"/>
                <w:kern w:val="0"/>
              </w:rPr>
              <w:t>过去三年</w:t>
            </w:r>
          </w:p>
        </w:tc>
        <w:tc>
          <w:tcPr>
            <w:tcW w:w="1092" w:type="dxa"/>
            <w:vAlign w:val="center"/>
          </w:tcPr>
          <w:p w:rsidR="00632259" w:rsidRDefault="00F55249">
            <w:pPr>
              <w:jc w:val="center"/>
            </w:pPr>
            <w:r>
              <w:rPr>
                <w:rFonts w:eastAsiaTheme="minorEastAsia"/>
                <w:color w:val="000000" w:themeColor="text1"/>
                <w:kern w:val="0"/>
              </w:rPr>
              <w:t>-</w:t>
            </w:r>
          </w:p>
        </w:tc>
        <w:tc>
          <w:tcPr>
            <w:tcW w:w="1161" w:type="dxa"/>
            <w:vAlign w:val="center"/>
          </w:tcPr>
          <w:p w:rsidR="00632259" w:rsidRDefault="00F55249">
            <w:pPr>
              <w:jc w:val="center"/>
            </w:pPr>
            <w:r>
              <w:rPr>
                <w:rFonts w:eastAsiaTheme="minorEastAsia"/>
                <w:color w:val="000000" w:themeColor="text1"/>
                <w:kern w:val="0"/>
              </w:rPr>
              <w:t>-</w:t>
            </w:r>
          </w:p>
        </w:tc>
        <w:tc>
          <w:tcPr>
            <w:tcW w:w="1181" w:type="dxa"/>
            <w:vAlign w:val="center"/>
          </w:tcPr>
          <w:p w:rsidR="00632259" w:rsidRDefault="00F55249">
            <w:pPr>
              <w:jc w:val="center"/>
            </w:pPr>
            <w:r>
              <w:rPr>
                <w:rFonts w:eastAsiaTheme="minorEastAsia"/>
                <w:color w:val="000000" w:themeColor="text1"/>
                <w:kern w:val="0"/>
              </w:rPr>
              <w:t>-</w:t>
            </w:r>
          </w:p>
        </w:tc>
        <w:tc>
          <w:tcPr>
            <w:tcW w:w="1188" w:type="dxa"/>
            <w:vAlign w:val="center"/>
          </w:tcPr>
          <w:p w:rsidR="00632259" w:rsidRDefault="00F55249">
            <w:pPr>
              <w:jc w:val="center"/>
            </w:pPr>
            <w:r>
              <w:rPr>
                <w:rFonts w:eastAsiaTheme="minorEastAsia"/>
                <w:color w:val="000000" w:themeColor="text1"/>
                <w:kern w:val="0"/>
              </w:rPr>
              <w:t>-</w:t>
            </w:r>
          </w:p>
        </w:tc>
        <w:tc>
          <w:tcPr>
            <w:tcW w:w="1199" w:type="dxa"/>
            <w:vAlign w:val="center"/>
          </w:tcPr>
          <w:p w:rsidR="00632259" w:rsidRDefault="00F55249">
            <w:pPr>
              <w:jc w:val="center"/>
            </w:pPr>
            <w:r>
              <w:rPr>
                <w:rFonts w:eastAsiaTheme="minorEastAsia"/>
                <w:color w:val="000000" w:themeColor="text1"/>
                <w:kern w:val="0"/>
              </w:rPr>
              <w:t>-</w:t>
            </w:r>
          </w:p>
        </w:tc>
        <w:tc>
          <w:tcPr>
            <w:tcW w:w="1204" w:type="dxa"/>
            <w:vAlign w:val="center"/>
          </w:tcPr>
          <w:p w:rsidR="00632259" w:rsidRDefault="00F55249">
            <w:pPr>
              <w:jc w:val="center"/>
            </w:pPr>
            <w:r>
              <w:rPr>
                <w:rFonts w:eastAsiaTheme="minorEastAsia"/>
                <w:color w:val="000000" w:themeColor="text1"/>
                <w:kern w:val="0"/>
              </w:rPr>
              <w:t>-</w:t>
            </w:r>
          </w:p>
        </w:tc>
      </w:tr>
      <w:tr w:rsidR="00632259">
        <w:tc>
          <w:tcPr>
            <w:tcW w:w="1395" w:type="dxa"/>
            <w:vAlign w:val="center"/>
          </w:tcPr>
          <w:p w:rsidR="00632259" w:rsidRDefault="00F55249">
            <w:pPr>
              <w:jc w:val="left"/>
            </w:pPr>
            <w:r>
              <w:rPr>
                <w:rFonts w:eastAsiaTheme="minorEastAsia"/>
                <w:color w:val="000000" w:themeColor="text1"/>
                <w:kern w:val="0"/>
              </w:rPr>
              <w:t>过去五年</w:t>
            </w:r>
          </w:p>
        </w:tc>
        <w:tc>
          <w:tcPr>
            <w:tcW w:w="1092" w:type="dxa"/>
            <w:vAlign w:val="center"/>
          </w:tcPr>
          <w:p w:rsidR="00632259" w:rsidRDefault="00F55249">
            <w:pPr>
              <w:jc w:val="center"/>
            </w:pPr>
            <w:r>
              <w:rPr>
                <w:rFonts w:eastAsiaTheme="minorEastAsia"/>
                <w:color w:val="000000" w:themeColor="text1"/>
                <w:kern w:val="0"/>
              </w:rPr>
              <w:t>-</w:t>
            </w:r>
          </w:p>
        </w:tc>
        <w:tc>
          <w:tcPr>
            <w:tcW w:w="1161" w:type="dxa"/>
            <w:vAlign w:val="center"/>
          </w:tcPr>
          <w:p w:rsidR="00632259" w:rsidRDefault="00F55249">
            <w:pPr>
              <w:jc w:val="center"/>
            </w:pPr>
            <w:r>
              <w:rPr>
                <w:rFonts w:eastAsiaTheme="minorEastAsia"/>
                <w:color w:val="000000" w:themeColor="text1"/>
                <w:kern w:val="0"/>
              </w:rPr>
              <w:t>-</w:t>
            </w:r>
          </w:p>
        </w:tc>
        <w:tc>
          <w:tcPr>
            <w:tcW w:w="1181" w:type="dxa"/>
            <w:vAlign w:val="center"/>
          </w:tcPr>
          <w:p w:rsidR="00632259" w:rsidRDefault="00F55249">
            <w:pPr>
              <w:jc w:val="center"/>
            </w:pPr>
            <w:r>
              <w:rPr>
                <w:rFonts w:eastAsiaTheme="minorEastAsia"/>
                <w:color w:val="000000" w:themeColor="text1"/>
                <w:kern w:val="0"/>
              </w:rPr>
              <w:t>-</w:t>
            </w:r>
          </w:p>
        </w:tc>
        <w:tc>
          <w:tcPr>
            <w:tcW w:w="1188" w:type="dxa"/>
            <w:vAlign w:val="center"/>
          </w:tcPr>
          <w:p w:rsidR="00632259" w:rsidRDefault="00F55249">
            <w:pPr>
              <w:jc w:val="center"/>
            </w:pPr>
            <w:r>
              <w:rPr>
                <w:rFonts w:eastAsiaTheme="minorEastAsia"/>
                <w:color w:val="000000" w:themeColor="text1"/>
                <w:kern w:val="0"/>
              </w:rPr>
              <w:t>-</w:t>
            </w:r>
          </w:p>
        </w:tc>
        <w:tc>
          <w:tcPr>
            <w:tcW w:w="1199" w:type="dxa"/>
            <w:vAlign w:val="center"/>
          </w:tcPr>
          <w:p w:rsidR="00632259" w:rsidRDefault="00F55249">
            <w:pPr>
              <w:jc w:val="center"/>
            </w:pPr>
            <w:r>
              <w:rPr>
                <w:rFonts w:eastAsiaTheme="minorEastAsia"/>
                <w:color w:val="000000" w:themeColor="text1"/>
                <w:kern w:val="0"/>
              </w:rPr>
              <w:t>-</w:t>
            </w:r>
          </w:p>
        </w:tc>
        <w:tc>
          <w:tcPr>
            <w:tcW w:w="1204" w:type="dxa"/>
            <w:vAlign w:val="center"/>
          </w:tcPr>
          <w:p w:rsidR="00632259" w:rsidRDefault="00F55249">
            <w:pPr>
              <w:jc w:val="center"/>
            </w:pPr>
            <w:r>
              <w:rPr>
                <w:rFonts w:eastAsiaTheme="minorEastAsia"/>
                <w:color w:val="000000" w:themeColor="text1"/>
                <w:kern w:val="0"/>
              </w:rPr>
              <w:t>-</w:t>
            </w:r>
          </w:p>
        </w:tc>
      </w:tr>
      <w:tr w:rsidR="00632259">
        <w:tc>
          <w:tcPr>
            <w:tcW w:w="1395" w:type="dxa"/>
            <w:vAlign w:val="center"/>
          </w:tcPr>
          <w:p w:rsidR="00632259" w:rsidRDefault="00F55249">
            <w:pPr>
              <w:jc w:val="left"/>
            </w:pPr>
            <w:r>
              <w:rPr>
                <w:rFonts w:eastAsiaTheme="minorEastAsia"/>
                <w:color w:val="000000" w:themeColor="text1"/>
                <w:kern w:val="0"/>
              </w:rPr>
              <w:t>自基金合同生效起至今</w:t>
            </w:r>
          </w:p>
        </w:tc>
        <w:tc>
          <w:tcPr>
            <w:tcW w:w="1092" w:type="dxa"/>
            <w:vAlign w:val="center"/>
          </w:tcPr>
          <w:p w:rsidR="00632259" w:rsidRDefault="00F55249">
            <w:pPr>
              <w:jc w:val="center"/>
            </w:pPr>
            <w:r>
              <w:rPr>
                <w:rFonts w:eastAsiaTheme="minorEastAsia"/>
                <w:color w:val="000000" w:themeColor="text1"/>
                <w:kern w:val="0"/>
              </w:rPr>
              <w:t>12.21%</w:t>
            </w:r>
          </w:p>
        </w:tc>
        <w:tc>
          <w:tcPr>
            <w:tcW w:w="1161" w:type="dxa"/>
            <w:vAlign w:val="center"/>
          </w:tcPr>
          <w:p w:rsidR="00632259" w:rsidRDefault="00F55249">
            <w:pPr>
              <w:jc w:val="center"/>
            </w:pPr>
            <w:r>
              <w:rPr>
                <w:rFonts w:eastAsiaTheme="minorEastAsia"/>
                <w:color w:val="000000" w:themeColor="text1"/>
                <w:kern w:val="0"/>
              </w:rPr>
              <w:t>1.79%</w:t>
            </w:r>
          </w:p>
        </w:tc>
        <w:tc>
          <w:tcPr>
            <w:tcW w:w="1181" w:type="dxa"/>
            <w:vAlign w:val="center"/>
          </w:tcPr>
          <w:p w:rsidR="00632259" w:rsidRDefault="00F55249">
            <w:pPr>
              <w:jc w:val="center"/>
            </w:pPr>
            <w:r>
              <w:rPr>
                <w:rFonts w:eastAsiaTheme="minorEastAsia"/>
                <w:color w:val="000000" w:themeColor="text1"/>
                <w:kern w:val="0"/>
              </w:rPr>
              <w:t>-6.08%</w:t>
            </w:r>
          </w:p>
        </w:tc>
        <w:tc>
          <w:tcPr>
            <w:tcW w:w="1188" w:type="dxa"/>
            <w:vAlign w:val="center"/>
          </w:tcPr>
          <w:p w:rsidR="00632259" w:rsidRDefault="00F55249">
            <w:pPr>
              <w:jc w:val="center"/>
            </w:pPr>
            <w:r>
              <w:rPr>
                <w:rFonts w:eastAsiaTheme="minorEastAsia"/>
                <w:color w:val="000000" w:themeColor="text1"/>
                <w:kern w:val="0"/>
              </w:rPr>
              <w:t>0.98%</w:t>
            </w:r>
          </w:p>
        </w:tc>
        <w:tc>
          <w:tcPr>
            <w:tcW w:w="1199" w:type="dxa"/>
            <w:vAlign w:val="center"/>
          </w:tcPr>
          <w:p w:rsidR="00632259" w:rsidRDefault="00F55249">
            <w:pPr>
              <w:jc w:val="center"/>
            </w:pPr>
            <w:r>
              <w:rPr>
                <w:rFonts w:eastAsiaTheme="minorEastAsia"/>
                <w:color w:val="000000" w:themeColor="text1"/>
                <w:kern w:val="0"/>
              </w:rPr>
              <w:t>18.29%</w:t>
            </w:r>
          </w:p>
        </w:tc>
        <w:tc>
          <w:tcPr>
            <w:tcW w:w="1204" w:type="dxa"/>
            <w:vAlign w:val="center"/>
          </w:tcPr>
          <w:p w:rsidR="00632259" w:rsidRDefault="00F55249">
            <w:pPr>
              <w:jc w:val="center"/>
            </w:pPr>
            <w:r>
              <w:rPr>
                <w:rFonts w:eastAsiaTheme="minorEastAsia"/>
                <w:color w:val="000000" w:themeColor="text1"/>
                <w:kern w:val="0"/>
              </w:rPr>
              <w:t>0.81%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32259" w:rsidRDefault="00F5524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632259">
        <w:tc>
          <w:tcPr>
            <w:tcW w:w="851" w:type="dxa"/>
            <w:vAlign w:val="center"/>
          </w:tcPr>
          <w:p w:rsidR="00632259" w:rsidRDefault="00F55249">
            <w:pPr>
              <w:jc w:val="center"/>
            </w:pPr>
            <w:r>
              <w:rPr>
                <w:rFonts w:eastAsiaTheme="minorEastAsia"/>
                <w:color w:val="000000" w:themeColor="text1"/>
              </w:rPr>
              <w:t>杜猛</w:t>
            </w:r>
          </w:p>
        </w:tc>
        <w:tc>
          <w:tcPr>
            <w:tcW w:w="850" w:type="dxa"/>
            <w:vAlign w:val="center"/>
          </w:tcPr>
          <w:p w:rsidR="00632259" w:rsidRDefault="00F55249">
            <w:pPr>
              <w:jc w:val="center"/>
            </w:pPr>
            <w:r>
              <w:rPr>
                <w:rFonts w:eastAsiaTheme="minorEastAsia"/>
                <w:color w:val="000000" w:themeColor="text1"/>
              </w:rPr>
              <w:t>本基金基金经理、副总经理兼投资总监</w:t>
            </w:r>
          </w:p>
        </w:tc>
        <w:tc>
          <w:tcPr>
            <w:tcW w:w="1560" w:type="dxa"/>
            <w:vAlign w:val="center"/>
          </w:tcPr>
          <w:p w:rsidR="00632259" w:rsidRDefault="00F55249">
            <w:pPr>
              <w:jc w:val="center"/>
            </w:pPr>
            <w:r>
              <w:rPr>
                <w:rFonts w:eastAsiaTheme="minorEastAsia"/>
                <w:color w:val="000000" w:themeColor="text1"/>
              </w:rPr>
              <w:t>2021-01-11</w:t>
            </w:r>
          </w:p>
        </w:tc>
        <w:tc>
          <w:tcPr>
            <w:tcW w:w="1559" w:type="dxa"/>
            <w:vAlign w:val="center"/>
          </w:tcPr>
          <w:p w:rsidR="00632259" w:rsidRDefault="00F55249">
            <w:pPr>
              <w:jc w:val="center"/>
            </w:pPr>
            <w:r>
              <w:rPr>
                <w:rFonts w:eastAsiaTheme="minorEastAsia"/>
                <w:color w:val="000000" w:themeColor="text1"/>
              </w:rPr>
              <w:t>-</w:t>
            </w:r>
          </w:p>
        </w:tc>
        <w:tc>
          <w:tcPr>
            <w:tcW w:w="1417" w:type="dxa"/>
            <w:vAlign w:val="center"/>
          </w:tcPr>
          <w:p w:rsidR="00632259" w:rsidRDefault="00F55249">
            <w:pPr>
              <w:jc w:val="center"/>
            </w:pPr>
            <w:r>
              <w:rPr>
                <w:rFonts w:eastAsiaTheme="minorEastAsia"/>
                <w:color w:val="000000" w:themeColor="text1"/>
              </w:rPr>
              <w:t>19</w:t>
            </w:r>
            <w:r>
              <w:rPr>
                <w:rFonts w:eastAsiaTheme="minorEastAsia"/>
                <w:color w:val="000000" w:themeColor="text1"/>
              </w:rPr>
              <w:t>年</w:t>
            </w:r>
          </w:p>
        </w:tc>
        <w:tc>
          <w:tcPr>
            <w:tcW w:w="2694" w:type="dxa"/>
            <w:vAlign w:val="center"/>
          </w:tcPr>
          <w:p w:rsidR="00632259" w:rsidRDefault="00F55249">
            <w:r>
              <w:rPr>
                <w:rFonts w:eastAsiaTheme="minorEastAsia"/>
                <w:color w:val="000000" w:themeColor="text1"/>
              </w:rPr>
              <w:t>基金经理杜猛先生，南京大学经济学硕士，先后任职于天同证券、中原证券、国信证券和中银国际证券，任研究员。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月起加入上投摩根基金管理有限公司，先后担任行业专家、基金经理助理、基金经理、总经理助理</w:t>
            </w:r>
            <w:r>
              <w:rPr>
                <w:rFonts w:eastAsiaTheme="minorEastAsia"/>
                <w:color w:val="000000" w:themeColor="text1"/>
              </w:rPr>
              <w:t>/</w:t>
            </w:r>
            <w:r>
              <w:rPr>
                <w:rFonts w:eastAsiaTheme="minorEastAsia"/>
                <w:color w:val="000000" w:themeColor="text1"/>
              </w:rPr>
              <w:t>国内权益投资一部总监兼资深基金经理，现担任副总经理兼投资总监。自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月起担任上投摩根新兴动力混合型证券</w:t>
            </w:r>
            <w:r>
              <w:rPr>
                <w:rFonts w:eastAsiaTheme="minorEastAsia"/>
                <w:color w:val="000000" w:themeColor="text1"/>
              </w:rPr>
              <w:lastRenderedPageBreak/>
              <w:t>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月同时担任上投摩根智选</w:t>
            </w:r>
            <w:r>
              <w:rPr>
                <w:rFonts w:eastAsiaTheme="minorEastAsia"/>
                <w:color w:val="000000" w:themeColor="text1"/>
              </w:rPr>
              <w:t>30</w:t>
            </w:r>
            <w:r>
              <w:rPr>
                <w:rFonts w:eastAsiaTheme="minorEastAsia"/>
                <w:color w:val="000000" w:themeColor="text1"/>
              </w:rPr>
              <w:t>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月同时担任上投摩根成长动力混合型证券投资基金基金经理，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月同时担任上投摩根内需动力混合型证券投资基金基金经理，自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月起同时担任上投摩根中国优势证券投资基金基金经理，自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月起同时担任上投摩根远见两年持有期混合型证券投资基金基金经理。</w:t>
            </w:r>
          </w:p>
        </w:tc>
      </w:tr>
    </w:tbl>
    <w:p w:rsidR="00632259" w:rsidRDefault="00F5524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632259" w:rsidRDefault="00F5524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年三季度市场处于震荡状态，其中中证</w:t>
      </w:r>
      <w:r>
        <w:rPr>
          <w:rFonts w:eastAsiaTheme="minorEastAsia"/>
          <w:color w:val="000000" w:themeColor="text1"/>
        </w:rPr>
        <w:t>500</w:t>
      </w:r>
      <w:r>
        <w:rPr>
          <w:rFonts w:eastAsiaTheme="minorEastAsia"/>
          <w:color w:val="000000" w:themeColor="text1"/>
        </w:rPr>
        <w:t>表现优异，中小市值公司逐渐得到市场关注。在此期间，部分原材料价格大幅上涨，其中有需求推动的原因，也有供给受限的原因，因此引发了市场对于经济滞涨的担忧。但我们认为本轮周期与过往不同，并非是完全的货币现象。本基金基于长期成长的选股逻辑，重点投资了各产业中的优质公司，争取为投资者在中长期获得较好的超额收益。</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2021</w:t>
      </w:r>
      <w:r>
        <w:rPr>
          <w:rFonts w:eastAsiaTheme="minorEastAsia"/>
          <w:color w:val="000000" w:themeColor="text1"/>
        </w:rPr>
        <w:t>年四季度以及</w:t>
      </w:r>
      <w:r>
        <w:rPr>
          <w:rFonts w:eastAsiaTheme="minorEastAsia"/>
          <w:color w:val="000000" w:themeColor="text1"/>
        </w:rPr>
        <w:t>2022</w:t>
      </w:r>
      <w:r>
        <w:rPr>
          <w:rFonts w:eastAsiaTheme="minorEastAsia"/>
          <w:color w:val="000000" w:themeColor="text1"/>
        </w:rPr>
        <w:t>年，疫情虽在，但全球的重新联接应该是大趋势，我们可能需要考虑这种因素。虽然可能会面临诸多挑战，但我们要看到经济的韧性，以及部分新兴产业成长的趋势。不用过多纠结市场风格的切换或是其他，市场上行的动力来自于上市公司盈利的增长，更主要的是全社会资产配置向权益市场的转移。</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年最后一个季度以及以后的</w:t>
      </w:r>
      <w:r>
        <w:rPr>
          <w:rFonts w:eastAsiaTheme="minorEastAsia"/>
          <w:color w:val="000000" w:themeColor="text1"/>
        </w:rPr>
        <w:t>2022</w:t>
      </w:r>
      <w:r>
        <w:rPr>
          <w:rFonts w:eastAsiaTheme="minorEastAsia"/>
          <w:color w:val="000000" w:themeColor="text1"/>
        </w:rPr>
        <w:t>年，甚至更长一段时间，</w:t>
      </w:r>
      <w:r>
        <w:rPr>
          <w:rFonts w:eastAsiaTheme="minorEastAsia"/>
          <w:color w:val="000000" w:themeColor="text1"/>
        </w:rPr>
        <w:t>A</w:t>
      </w:r>
      <w:r>
        <w:rPr>
          <w:rFonts w:eastAsiaTheme="minorEastAsia"/>
          <w:color w:val="000000" w:themeColor="text1"/>
        </w:rPr>
        <w:t>股市场是一个回报相对正常的市场，不用过度悲观也无须过度乐观。市场整体估值仍在合理范畴，仍然能寻找到估值和业绩增速匹配的公司进行中长期投资。与此同时，一些新兴行业的成长趋势已经不可阻挡，中国一批优秀公司正在快速崛起并在全球获得主导地位，对此我们充满信心。</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从更长期看，消费、医药、科技将成为中国未来</w:t>
      </w:r>
      <w:r w:rsidRPr="00FF6B9A">
        <w:rPr>
          <w:rFonts w:eastAsiaTheme="minorEastAsia"/>
          <w:color w:val="000000" w:themeColor="text1"/>
        </w:rPr>
        <w:t>10-20</w:t>
      </w:r>
      <w:r w:rsidRPr="00FF6B9A">
        <w:rPr>
          <w:rFonts w:eastAsiaTheme="minorEastAsia"/>
          <w:color w:val="000000" w:themeColor="text1"/>
        </w:rPr>
        <w:t>年经济增长的最大动力之一，证券市场最大的投资机会或也将来源于此。我们将充分深入研究，寻找这些产业中长期成长的</w:t>
      </w:r>
      <w:r w:rsidRPr="00FF6B9A">
        <w:rPr>
          <w:rFonts w:eastAsiaTheme="minorEastAsia"/>
          <w:color w:val="000000" w:themeColor="text1"/>
        </w:rPr>
        <w:lastRenderedPageBreak/>
        <w:t>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本报告期上投摩根远见两年持有期混合份额净值增长率为</w:t>
      </w:r>
      <w:r w:rsidRPr="00FF6B9A">
        <w:rPr>
          <w:rFonts w:eastAsiaTheme="minorEastAsia"/>
          <w:color w:val="000000" w:themeColor="text1"/>
        </w:rPr>
        <w:t>:5.46%</w:t>
      </w:r>
      <w:r w:rsidRPr="00FF6B9A">
        <w:rPr>
          <w:rFonts w:eastAsiaTheme="minorEastAsia"/>
          <w:color w:val="000000" w:themeColor="text1"/>
        </w:rPr>
        <w:t>，同期业绩比较基准收益率为</w:t>
      </w:r>
      <w:r w:rsidRPr="00FF6B9A">
        <w:rPr>
          <w:rFonts w:eastAsiaTheme="minorEastAsia"/>
          <w:color w:val="000000" w:themeColor="text1"/>
        </w:rPr>
        <w:t>:-4.39%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6,518,814,876.22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92.26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6,518,814,876.22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92.26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539,268,343.62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7,374,178.08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7,065,457,397.92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238,600,700.40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308,383,524.20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5,491,400,144.77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77.92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74,648,857.99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115,815.18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73,822,085.68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913,606.04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71,944.32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60,704,383.00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6,248,661,061.58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88.66</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632259" w:rsidRDefault="00F55249">
            <w:pPr>
              <w:jc w:val="center"/>
            </w:pPr>
            <w:r>
              <w:rPr>
                <w:rFonts w:eastAsiaTheme="minorEastAsia"/>
                <w:color w:val="000000" w:themeColor="text1"/>
                <w:kern w:val="0"/>
              </w:rPr>
              <w:t>89,208,230.10</w:t>
            </w:r>
          </w:p>
        </w:tc>
        <w:tc>
          <w:tcPr>
            <w:tcW w:w="3118" w:type="dxa"/>
            <w:vAlign w:val="center"/>
          </w:tcPr>
          <w:p w:rsidR="00632259" w:rsidRDefault="00F55249">
            <w:pPr>
              <w:jc w:val="center"/>
            </w:pPr>
            <w:r>
              <w:rPr>
                <w:rFonts w:eastAsiaTheme="minorEastAsia"/>
                <w:color w:val="000000" w:themeColor="text1"/>
                <w:kern w:val="0"/>
              </w:rPr>
              <w:t>1.27</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632259" w:rsidRDefault="00F55249">
            <w:pPr>
              <w:jc w:val="center"/>
            </w:pPr>
            <w:r>
              <w:rPr>
                <w:rFonts w:eastAsiaTheme="minorEastAsia"/>
                <w:color w:val="000000" w:themeColor="text1"/>
                <w:kern w:val="0"/>
              </w:rPr>
              <w:t>4,598,053.84</w:t>
            </w:r>
          </w:p>
        </w:tc>
        <w:tc>
          <w:tcPr>
            <w:tcW w:w="3118" w:type="dxa"/>
            <w:vAlign w:val="center"/>
          </w:tcPr>
          <w:p w:rsidR="00632259" w:rsidRDefault="00F55249">
            <w:pPr>
              <w:jc w:val="center"/>
            </w:pPr>
            <w:r>
              <w:rPr>
                <w:rFonts w:eastAsiaTheme="minorEastAsia"/>
                <w:color w:val="000000" w:themeColor="text1"/>
                <w:kern w:val="0"/>
              </w:rPr>
              <w:t>0.07</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632259" w:rsidRDefault="00F55249">
            <w:pPr>
              <w:jc w:val="center"/>
            </w:pPr>
            <w:r>
              <w:rPr>
                <w:rFonts w:eastAsiaTheme="minorEastAsia"/>
                <w:color w:val="000000" w:themeColor="text1"/>
                <w:kern w:val="0"/>
              </w:rPr>
              <w:t>67,578,893.52</w:t>
            </w:r>
          </w:p>
        </w:tc>
        <w:tc>
          <w:tcPr>
            <w:tcW w:w="3118" w:type="dxa"/>
            <w:vAlign w:val="center"/>
          </w:tcPr>
          <w:p w:rsidR="00632259" w:rsidRDefault="00F55249">
            <w:pPr>
              <w:jc w:val="center"/>
            </w:pPr>
            <w:r>
              <w:rPr>
                <w:rFonts w:eastAsiaTheme="minorEastAsia"/>
                <w:color w:val="000000" w:themeColor="text1"/>
                <w:kern w:val="0"/>
              </w:rPr>
              <w:t>0.96</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632259" w:rsidRDefault="00F55249">
            <w:pPr>
              <w:jc w:val="center"/>
            </w:pPr>
            <w:r>
              <w:rPr>
                <w:rFonts w:eastAsiaTheme="minorEastAsia"/>
                <w:color w:val="000000" w:themeColor="text1"/>
                <w:kern w:val="0"/>
              </w:rPr>
              <w:t>108,768,637.18</w:t>
            </w:r>
          </w:p>
        </w:tc>
        <w:tc>
          <w:tcPr>
            <w:tcW w:w="3118" w:type="dxa"/>
            <w:vAlign w:val="center"/>
          </w:tcPr>
          <w:p w:rsidR="00632259" w:rsidRDefault="00F55249">
            <w:pPr>
              <w:jc w:val="center"/>
            </w:pPr>
            <w:r>
              <w:rPr>
                <w:rFonts w:eastAsiaTheme="minorEastAsia"/>
                <w:color w:val="000000" w:themeColor="text1"/>
                <w:kern w:val="0"/>
              </w:rPr>
              <w:t>1.54</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632259">
        <w:trPr>
          <w:jc w:val="center"/>
        </w:trPr>
        <w:tc>
          <w:tcPr>
            <w:tcW w:w="2397" w:type="dxa"/>
            <w:vAlign w:val="center"/>
          </w:tcPr>
          <w:p w:rsidR="00632259" w:rsidRDefault="00F55249">
            <w:pPr>
              <w:jc w:val="center"/>
            </w:pPr>
            <w:r>
              <w:rPr>
                <w:rFonts w:eastAsiaTheme="minorEastAsia"/>
                <w:color w:val="000000" w:themeColor="text1"/>
                <w:kern w:val="0"/>
              </w:rPr>
              <w:lastRenderedPageBreak/>
              <w:t xml:space="preserve">K </w:t>
            </w:r>
            <w:r>
              <w:rPr>
                <w:rFonts w:eastAsiaTheme="minorEastAsia"/>
                <w:color w:val="000000" w:themeColor="text1"/>
                <w:kern w:val="0"/>
              </w:rPr>
              <w:t>房地产</w:t>
            </w:r>
          </w:p>
        </w:tc>
        <w:tc>
          <w:tcPr>
            <w:tcW w:w="3119" w:type="dxa"/>
            <w:vAlign w:val="center"/>
          </w:tcPr>
          <w:p w:rsidR="00632259" w:rsidRDefault="00F55249">
            <w:pPr>
              <w:jc w:val="center"/>
            </w:pPr>
            <w:r>
              <w:rPr>
                <w:rFonts w:eastAsiaTheme="minorEastAsia"/>
                <w:color w:val="000000" w:themeColor="text1"/>
                <w:kern w:val="0"/>
              </w:rPr>
              <w:t>-</w:t>
            </w:r>
          </w:p>
        </w:tc>
        <w:tc>
          <w:tcPr>
            <w:tcW w:w="3118" w:type="dxa"/>
            <w:vAlign w:val="center"/>
          </w:tcPr>
          <w:p w:rsidR="00632259" w:rsidRDefault="00F55249">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270,153,814.64</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3.83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32259">
        <w:tc>
          <w:tcPr>
            <w:tcW w:w="817" w:type="dxa"/>
            <w:vAlign w:val="center"/>
          </w:tcPr>
          <w:p w:rsidR="00632259" w:rsidRDefault="00F55249">
            <w:pPr>
              <w:jc w:val="center"/>
            </w:pPr>
            <w:r>
              <w:rPr>
                <w:rFonts w:eastAsiaTheme="minorEastAsia"/>
                <w:kern w:val="0"/>
                <w:sz w:val="24"/>
                <w:szCs w:val="24"/>
              </w:rPr>
              <w:t>1</w:t>
            </w:r>
          </w:p>
        </w:tc>
        <w:tc>
          <w:tcPr>
            <w:tcW w:w="1276" w:type="dxa"/>
            <w:vAlign w:val="center"/>
          </w:tcPr>
          <w:p w:rsidR="00632259" w:rsidRDefault="00F55249">
            <w:pPr>
              <w:jc w:val="center"/>
            </w:pPr>
            <w:r>
              <w:rPr>
                <w:rFonts w:eastAsiaTheme="minorEastAsia"/>
                <w:kern w:val="0"/>
                <w:sz w:val="24"/>
                <w:szCs w:val="24"/>
              </w:rPr>
              <w:t>300390</w:t>
            </w:r>
          </w:p>
        </w:tc>
        <w:tc>
          <w:tcPr>
            <w:tcW w:w="1701" w:type="dxa"/>
            <w:vAlign w:val="center"/>
          </w:tcPr>
          <w:p w:rsidR="00632259" w:rsidRDefault="00F55249">
            <w:pPr>
              <w:jc w:val="center"/>
            </w:pPr>
            <w:r>
              <w:rPr>
                <w:rFonts w:eastAsiaTheme="minorEastAsia"/>
                <w:kern w:val="0"/>
                <w:sz w:val="24"/>
                <w:szCs w:val="24"/>
              </w:rPr>
              <w:t>天华超净</w:t>
            </w:r>
          </w:p>
        </w:tc>
        <w:tc>
          <w:tcPr>
            <w:tcW w:w="1276" w:type="dxa"/>
            <w:vAlign w:val="center"/>
          </w:tcPr>
          <w:p w:rsidR="00632259" w:rsidRDefault="00F55249">
            <w:pPr>
              <w:jc w:val="right"/>
            </w:pPr>
            <w:r>
              <w:rPr>
                <w:rFonts w:eastAsiaTheme="minorEastAsia"/>
                <w:kern w:val="0"/>
                <w:sz w:val="24"/>
                <w:szCs w:val="24"/>
              </w:rPr>
              <w:t>6,340,826.00</w:t>
            </w:r>
          </w:p>
        </w:tc>
        <w:tc>
          <w:tcPr>
            <w:tcW w:w="1842" w:type="dxa"/>
            <w:vAlign w:val="center"/>
          </w:tcPr>
          <w:p w:rsidR="00632259" w:rsidRDefault="00F55249">
            <w:pPr>
              <w:jc w:val="right"/>
            </w:pPr>
            <w:r>
              <w:rPr>
                <w:rFonts w:eastAsiaTheme="minorEastAsia"/>
                <w:kern w:val="0"/>
                <w:sz w:val="24"/>
                <w:szCs w:val="24"/>
              </w:rPr>
              <w:t>665,605,013.90</w:t>
            </w:r>
          </w:p>
        </w:tc>
        <w:tc>
          <w:tcPr>
            <w:tcW w:w="1616" w:type="dxa"/>
            <w:vAlign w:val="center"/>
          </w:tcPr>
          <w:p w:rsidR="00632259" w:rsidRDefault="00F55249">
            <w:pPr>
              <w:jc w:val="right"/>
            </w:pPr>
            <w:r>
              <w:rPr>
                <w:rFonts w:eastAsiaTheme="minorEastAsia"/>
                <w:kern w:val="0"/>
                <w:sz w:val="24"/>
                <w:szCs w:val="24"/>
              </w:rPr>
              <w:t>9.44</w:t>
            </w:r>
          </w:p>
        </w:tc>
      </w:tr>
      <w:tr w:rsidR="00632259">
        <w:tc>
          <w:tcPr>
            <w:tcW w:w="817" w:type="dxa"/>
            <w:vAlign w:val="center"/>
          </w:tcPr>
          <w:p w:rsidR="00632259" w:rsidRDefault="00F55249">
            <w:pPr>
              <w:jc w:val="center"/>
            </w:pPr>
            <w:r>
              <w:rPr>
                <w:rFonts w:eastAsiaTheme="minorEastAsia"/>
                <w:kern w:val="0"/>
                <w:sz w:val="24"/>
                <w:szCs w:val="24"/>
              </w:rPr>
              <w:t>2</w:t>
            </w:r>
          </w:p>
        </w:tc>
        <w:tc>
          <w:tcPr>
            <w:tcW w:w="1276" w:type="dxa"/>
            <w:vAlign w:val="center"/>
          </w:tcPr>
          <w:p w:rsidR="00632259" w:rsidRDefault="00F55249">
            <w:pPr>
              <w:jc w:val="center"/>
            </w:pPr>
            <w:r>
              <w:rPr>
                <w:rFonts w:eastAsiaTheme="minorEastAsia"/>
                <w:kern w:val="0"/>
                <w:sz w:val="24"/>
                <w:szCs w:val="24"/>
              </w:rPr>
              <w:t>002236</w:t>
            </w:r>
          </w:p>
        </w:tc>
        <w:tc>
          <w:tcPr>
            <w:tcW w:w="1701" w:type="dxa"/>
            <w:vAlign w:val="center"/>
          </w:tcPr>
          <w:p w:rsidR="00632259" w:rsidRDefault="00F55249">
            <w:pPr>
              <w:jc w:val="center"/>
            </w:pPr>
            <w:r>
              <w:rPr>
                <w:rFonts w:eastAsiaTheme="minorEastAsia"/>
                <w:kern w:val="0"/>
                <w:sz w:val="24"/>
                <w:szCs w:val="24"/>
              </w:rPr>
              <w:t>大华股份</w:t>
            </w:r>
          </w:p>
        </w:tc>
        <w:tc>
          <w:tcPr>
            <w:tcW w:w="1276" w:type="dxa"/>
            <w:vAlign w:val="center"/>
          </w:tcPr>
          <w:p w:rsidR="00632259" w:rsidRDefault="00F55249">
            <w:pPr>
              <w:jc w:val="right"/>
            </w:pPr>
            <w:r>
              <w:rPr>
                <w:rFonts w:eastAsiaTheme="minorEastAsia"/>
                <w:kern w:val="0"/>
                <w:sz w:val="24"/>
                <w:szCs w:val="24"/>
              </w:rPr>
              <w:t>18,977,348.00</w:t>
            </w:r>
          </w:p>
        </w:tc>
        <w:tc>
          <w:tcPr>
            <w:tcW w:w="1842" w:type="dxa"/>
            <w:vAlign w:val="center"/>
          </w:tcPr>
          <w:p w:rsidR="00632259" w:rsidRDefault="00F55249">
            <w:pPr>
              <w:jc w:val="right"/>
            </w:pPr>
            <w:r>
              <w:rPr>
                <w:rFonts w:eastAsiaTheme="minorEastAsia"/>
                <w:kern w:val="0"/>
                <w:sz w:val="24"/>
                <w:szCs w:val="24"/>
              </w:rPr>
              <w:t>450,142,694.56</w:t>
            </w:r>
          </w:p>
        </w:tc>
        <w:tc>
          <w:tcPr>
            <w:tcW w:w="1616" w:type="dxa"/>
            <w:vAlign w:val="center"/>
          </w:tcPr>
          <w:p w:rsidR="00632259" w:rsidRDefault="00F55249">
            <w:pPr>
              <w:jc w:val="right"/>
            </w:pPr>
            <w:r>
              <w:rPr>
                <w:rFonts w:eastAsiaTheme="minorEastAsia"/>
                <w:kern w:val="0"/>
                <w:sz w:val="24"/>
                <w:szCs w:val="24"/>
              </w:rPr>
              <w:t>6.39</w:t>
            </w:r>
          </w:p>
        </w:tc>
      </w:tr>
      <w:tr w:rsidR="00632259">
        <w:tc>
          <w:tcPr>
            <w:tcW w:w="817" w:type="dxa"/>
            <w:vAlign w:val="center"/>
          </w:tcPr>
          <w:p w:rsidR="00632259" w:rsidRDefault="00F55249">
            <w:pPr>
              <w:jc w:val="center"/>
            </w:pPr>
            <w:r>
              <w:rPr>
                <w:rFonts w:eastAsiaTheme="minorEastAsia"/>
                <w:kern w:val="0"/>
                <w:sz w:val="24"/>
                <w:szCs w:val="24"/>
              </w:rPr>
              <w:t>3</w:t>
            </w:r>
          </w:p>
        </w:tc>
        <w:tc>
          <w:tcPr>
            <w:tcW w:w="1276" w:type="dxa"/>
            <w:vAlign w:val="center"/>
          </w:tcPr>
          <w:p w:rsidR="00632259" w:rsidRDefault="00F55249">
            <w:pPr>
              <w:jc w:val="center"/>
            </w:pPr>
            <w:r>
              <w:rPr>
                <w:rFonts w:eastAsiaTheme="minorEastAsia"/>
                <w:kern w:val="0"/>
                <w:sz w:val="24"/>
                <w:szCs w:val="24"/>
              </w:rPr>
              <w:t>688169</w:t>
            </w:r>
          </w:p>
        </w:tc>
        <w:tc>
          <w:tcPr>
            <w:tcW w:w="1701" w:type="dxa"/>
            <w:vAlign w:val="center"/>
          </w:tcPr>
          <w:p w:rsidR="00632259" w:rsidRDefault="00F55249">
            <w:pPr>
              <w:jc w:val="center"/>
            </w:pPr>
            <w:r>
              <w:rPr>
                <w:rFonts w:eastAsiaTheme="minorEastAsia"/>
                <w:kern w:val="0"/>
                <w:sz w:val="24"/>
                <w:szCs w:val="24"/>
              </w:rPr>
              <w:t>石头科技</w:t>
            </w:r>
          </w:p>
        </w:tc>
        <w:tc>
          <w:tcPr>
            <w:tcW w:w="1276" w:type="dxa"/>
            <w:vAlign w:val="center"/>
          </w:tcPr>
          <w:p w:rsidR="00632259" w:rsidRDefault="00F55249">
            <w:pPr>
              <w:jc w:val="right"/>
            </w:pPr>
            <w:r>
              <w:rPr>
                <w:rFonts w:eastAsiaTheme="minorEastAsia"/>
                <w:kern w:val="0"/>
                <w:sz w:val="24"/>
                <w:szCs w:val="24"/>
              </w:rPr>
              <w:t>559,625.00</w:t>
            </w:r>
          </w:p>
        </w:tc>
        <w:tc>
          <w:tcPr>
            <w:tcW w:w="1842" w:type="dxa"/>
            <w:vAlign w:val="center"/>
          </w:tcPr>
          <w:p w:rsidR="00632259" w:rsidRDefault="00F55249">
            <w:pPr>
              <w:jc w:val="right"/>
            </w:pPr>
            <w:r>
              <w:rPr>
                <w:rFonts w:eastAsiaTheme="minorEastAsia"/>
                <w:kern w:val="0"/>
                <w:sz w:val="24"/>
                <w:szCs w:val="24"/>
              </w:rPr>
              <w:t>395,615,701.25</w:t>
            </w:r>
          </w:p>
        </w:tc>
        <w:tc>
          <w:tcPr>
            <w:tcW w:w="1616" w:type="dxa"/>
            <w:vAlign w:val="center"/>
          </w:tcPr>
          <w:p w:rsidR="00632259" w:rsidRDefault="00F55249">
            <w:pPr>
              <w:jc w:val="right"/>
            </w:pPr>
            <w:r>
              <w:rPr>
                <w:rFonts w:eastAsiaTheme="minorEastAsia"/>
                <w:kern w:val="0"/>
                <w:sz w:val="24"/>
                <w:szCs w:val="24"/>
              </w:rPr>
              <w:t>5.61</w:t>
            </w:r>
          </w:p>
        </w:tc>
      </w:tr>
      <w:tr w:rsidR="00632259">
        <w:tc>
          <w:tcPr>
            <w:tcW w:w="817" w:type="dxa"/>
            <w:vAlign w:val="center"/>
          </w:tcPr>
          <w:p w:rsidR="00632259" w:rsidRDefault="00F55249">
            <w:pPr>
              <w:jc w:val="center"/>
            </w:pPr>
            <w:r>
              <w:rPr>
                <w:rFonts w:eastAsiaTheme="minorEastAsia"/>
                <w:kern w:val="0"/>
                <w:sz w:val="24"/>
                <w:szCs w:val="24"/>
              </w:rPr>
              <w:t>4</w:t>
            </w:r>
          </w:p>
        </w:tc>
        <w:tc>
          <w:tcPr>
            <w:tcW w:w="1276" w:type="dxa"/>
            <w:vAlign w:val="center"/>
          </w:tcPr>
          <w:p w:rsidR="00632259" w:rsidRDefault="00F55249">
            <w:pPr>
              <w:jc w:val="center"/>
            </w:pPr>
            <w:r>
              <w:rPr>
                <w:rFonts w:eastAsiaTheme="minorEastAsia"/>
                <w:kern w:val="0"/>
                <w:sz w:val="24"/>
                <w:szCs w:val="24"/>
              </w:rPr>
              <w:t>300014</w:t>
            </w:r>
          </w:p>
        </w:tc>
        <w:tc>
          <w:tcPr>
            <w:tcW w:w="1701" w:type="dxa"/>
            <w:vAlign w:val="center"/>
          </w:tcPr>
          <w:p w:rsidR="00632259" w:rsidRDefault="00F55249">
            <w:pPr>
              <w:jc w:val="center"/>
            </w:pPr>
            <w:r>
              <w:rPr>
                <w:rFonts w:eastAsiaTheme="minorEastAsia"/>
                <w:kern w:val="0"/>
                <w:sz w:val="24"/>
                <w:szCs w:val="24"/>
              </w:rPr>
              <w:t>亿纬锂能</w:t>
            </w:r>
          </w:p>
        </w:tc>
        <w:tc>
          <w:tcPr>
            <w:tcW w:w="1276" w:type="dxa"/>
            <w:vAlign w:val="center"/>
          </w:tcPr>
          <w:p w:rsidR="00632259" w:rsidRDefault="00F55249">
            <w:pPr>
              <w:jc w:val="right"/>
            </w:pPr>
            <w:r>
              <w:rPr>
                <w:rFonts w:eastAsiaTheme="minorEastAsia"/>
                <w:kern w:val="0"/>
                <w:sz w:val="24"/>
                <w:szCs w:val="24"/>
              </w:rPr>
              <w:t>3,770,427.00</w:t>
            </w:r>
          </w:p>
        </w:tc>
        <w:tc>
          <w:tcPr>
            <w:tcW w:w="1842" w:type="dxa"/>
            <w:vAlign w:val="center"/>
          </w:tcPr>
          <w:p w:rsidR="00632259" w:rsidRDefault="00F55249">
            <w:pPr>
              <w:jc w:val="right"/>
            </w:pPr>
            <w:r>
              <w:rPr>
                <w:rFonts w:eastAsiaTheme="minorEastAsia"/>
                <w:kern w:val="0"/>
                <w:sz w:val="24"/>
                <w:szCs w:val="24"/>
              </w:rPr>
              <w:t>373,385,385.81</w:t>
            </w:r>
          </w:p>
        </w:tc>
        <w:tc>
          <w:tcPr>
            <w:tcW w:w="1616" w:type="dxa"/>
            <w:vAlign w:val="center"/>
          </w:tcPr>
          <w:p w:rsidR="00632259" w:rsidRDefault="00F55249">
            <w:pPr>
              <w:jc w:val="right"/>
            </w:pPr>
            <w:r>
              <w:rPr>
                <w:rFonts w:eastAsiaTheme="minorEastAsia"/>
                <w:kern w:val="0"/>
                <w:sz w:val="24"/>
                <w:szCs w:val="24"/>
              </w:rPr>
              <w:t>5.30</w:t>
            </w:r>
          </w:p>
        </w:tc>
      </w:tr>
      <w:tr w:rsidR="00632259">
        <w:tc>
          <w:tcPr>
            <w:tcW w:w="817" w:type="dxa"/>
            <w:vAlign w:val="center"/>
          </w:tcPr>
          <w:p w:rsidR="00632259" w:rsidRDefault="00F55249">
            <w:pPr>
              <w:jc w:val="center"/>
            </w:pPr>
            <w:r>
              <w:rPr>
                <w:rFonts w:eastAsiaTheme="minorEastAsia"/>
                <w:kern w:val="0"/>
                <w:sz w:val="24"/>
                <w:szCs w:val="24"/>
              </w:rPr>
              <w:t>5</w:t>
            </w:r>
          </w:p>
        </w:tc>
        <w:tc>
          <w:tcPr>
            <w:tcW w:w="1276" w:type="dxa"/>
            <w:vAlign w:val="center"/>
          </w:tcPr>
          <w:p w:rsidR="00632259" w:rsidRDefault="00F55249">
            <w:pPr>
              <w:jc w:val="center"/>
            </w:pPr>
            <w:r>
              <w:rPr>
                <w:rFonts w:eastAsiaTheme="minorEastAsia"/>
                <w:kern w:val="0"/>
                <w:sz w:val="24"/>
                <w:szCs w:val="24"/>
              </w:rPr>
              <w:t>600438</w:t>
            </w:r>
          </w:p>
        </w:tc>
        <w:tc>
          <w:tcPr>
            <w:tcW w:w="1701" w:type="dxa"/>
            <w:vAlign w:val="center"/>
          </w:tcPr>
          <w:p w:rsidR="00632259" w:rsidRDefault="00F55249">
            <w:pPr>
              <w:jc w:val="center"/>
            </w:pPr>
            <w:r>
              <w:rPr>
                <w:rFonts w:eastAsiaTheme="minorEastAsia"/>
                <w:kern w:val="0"/>
                <w:sz w:val="24"/>
                <w:szCs w:val="24"/>
              </w:rPr>
              <w:t>通威股份</w:t>
            </w:r>
          </w:p>
        </w:tc>
        <w:tc>
          <w:tcPr>
            <w:tcW w:w="1276" w:type="dxa"/>
            <w:vAlign w:val="center"/>
          </w:tcPr>
          <w:p w:rsidR="00632259" w:rsidRDefault="00F55249">
            <w:pPr>
              <w:jc w:val="right"/>
            </w:pPr>
            <w:r>
              <w:rPr>
                <w:rFonts w:eastAsiaTheme="minorEastAsia"/>
                <w:kern w:val="0"/>
                <w:sz w:val="24"/>
                <w:szCs w:val="24"/>
              </w:rPr>
              <w:t>5,034,985.00</w:t>
            </w:r>
          </w:p>
        </w:tc>
        <w:tc>
          <w:tcPr>
            <w:tcW w:w="1842" w:type="dxa"/>
            <w:vAlign w:val="center"/>
          </w:tcPr>
          <w:p w:rsidR="00632259" w:rsidRDefault="00F55249">
            <w:pPr>
              <w:jc w:val="right"/>
            </w:pPr>
            <w:r>
              <w:rPr>
                <w:rFonts w:eastAsiaTheme="minorEastAsia"/>
                <w:kern w:val="0"/>
                <w:sz w:val="24"/>
                <w:szCs w:val="24"/>
              </w:rPr>
              <w:t>256,482,135.90</w:t>
            </w:r>
          </w:p>
        </w:tc>
        <w:tc>
          <w:tcPr>
            <w:tcW w:w="1616" w:type="dxa"/>
            <w:vAlign w:val="center"/>
          </w:tcPr>
          <w:p w:rsidR="00632259" w:rsidRDefault="00F55249">
            <w:pPr>
              <w:jc w:val="right"/>
            </w:pPr>
            <w:r>
              <w:rPr>
                <w:rFonts w:eastAsiaTheme="minorEastAsia"/>
                <w:kern w:val="0"/>
                <w:sz w:val="24"/>
                <w:szCs w:val="24"/>
              </w:rPr>
              <w:t>3.64</w:t>
            </w:r>
          </w:p>
        </w:tc>
      </w:tr>
      <w:tr w:rsidR="00632259">
        <w:tc>
          <w:tcPr>
            <w:tcW w:w="817" w:type="dxa"/>
            <w:vAlign w:val="center"/>
          </w:tcPr>
          <w:p w:rsidR="00632259" w:rsidRDefault="00F55249">
            <w:pPr>
              <w:jc w:val="center"/>
            </w:pPr>
            <w:r>
              <w:rPr>
                <w:rFonts w:eastAsiaTheme="minorEastAsia"/>
                <w:kern w:val="0"/>
                <w:sz w:val="24"/>
                <w:szCs w:val="24"/>
              </w:rPr>
              <w:t>6</w:t>
            </w:r>
          </w:p>
        </w:tc>
        <w:tc>
          <w:tcPr>
            <w:tcW w:w="1276" w:type="dxa"/>
            <w:vAlign w:val="center"/>
          </w:tcPr>
          <w:p w:rsidR="00632259" w:rsidRDefault="00F55249">
            <w:pPr>
              <w:jc w:val="center"/>
            </w:pPr>
            <w:r>
              <w:rPr>
                <w:rFonts w:eastAsiaTheme="minorEastAsia"/>
                <w:kern w:val="0"/>
                <w:sz w:val="24"/>
                <w:szCs w:val="24"/>
              </w:rPr>
              <w:t>300432</w:t>
            </w:r>
          </w:p>
        </w:tc>
        <w:tc>
          <w:tcPr>
            <w:tcW w:w="1701" w:type="dxa"/>
            <w:vAlign w:val="center"/>
          </w:tcPr>
          <w:p w:rsidR="00632259" w:rsidRDefault="00F55249">
            <w:pPr>
              <w:jc w:val="center"/>
            </w:pPr>
            <w:r>
              <w:rPr>
                <w:rFonts w:eastAsiaTheme="minorEastAsia"/>
                <w:kern w:val="0"/>
                <w:sz w:val="24"/>
                <w:szCs w:val="24"/>
              </w:rPr>
              <w:t>富临精工</w:t>
            </w:r>
          </w:p>
        </w:tc>
        <w:tc>
          <w:tcPr>
            <w:tcW w:w="1276" w:type="dxa"/>
            <w:vAlign w:val="center"/>
          </w:tcPr>
          <w:p w:rsidR="00632259" w:rsidRDefault="00F55249">
            <w:pPr>
              <w:jc w:val="right"/>
            </w:pPr>
            <w:r>
              <w:rPr>
                <w:rFonts w:eastAsiaTheme="minorEastAsia"/>
                <w:kern w:val="0"/>
                <w:sz w:val="24"/>
                <w:szCs w:val="24"/>
              </w:rPr>
              <w:t>6,225,728.00</w:t>
            </w:r>
          </w:p>
        </w:tc>
        <w:tc>
          <w:tcPr>
            <w:tcW w:w="1842" w:type="dxa"/>
            <w:vAlign w:val="center"/>
          </w:tcPr>
          <w:p w:rsidR="00632259" w:rsidRDefault="00F55249">
            <w:pPr>
              <w:jc w:val="right"/>
            </w:pPr>
            <w:r>
              <w:rPr>
                <w:rFonts w:eastAsiaTheme="minorEastAsia"/>
                <w:kern w:val="0"/>
                <w:sz w:val="24"/>
                <w:szCs w:val="24"/>
              </w:rPr>
              <w:t>254,258,731.52</w:t>
            </w:r>
          </w:p>
        </w:tc>
        <w:tc>
          <w:tcPr>
            <w:tcW w:w="1616" w:type="dxa"/>
            <w:vAlign w:val="center"/>
          </w:tcPr>
          <w:p w:rsidR="00632259" w:rsidRDefault="00F55249">
            <w:pPr>
              <w:jc w:val="right"/>
            </w:pPr>
            <w:r>
              <w:rPr>
                <w:rFonts w:eastAsiaTheme="minorEastAsia"/>
                <w:kern w:val="0"/>
                <w:sz w:val="24"/>
                <w:szCs w:val="24"/>
              </w:rPr>
              <w:t>3.61</w:t>
            </w:r>
          </w:p>
        </w:tc>
      </w:tr>
      <w:tr w:rsidR="00632259">
        <w:tc>
          <w:tcPr>
            <w:tcW w:w="817" w:type="dxa"/>
            <w:vAlign w:val="center"/>
          </w:tcPr>
          <w:p w:rsidR="00632259" w:rsidRDefault="00F55249">
            <w:pPr>
              <w:jc w:val="center"/>
            </w:pPr>
            <w:r>
              <w:rPr>
                <w:rFonts w:eastAsiaTheme="minorEastAsia"/>
                <w:kern w:val="0"/>
                <w:sz w:val="24"/>
                <w:szCs w:val="24"/>
              </w:rPr>
              <w:t>7</w:t>
            </w:r>
          </w:p>
        </w:tc>
        <w:tc>
          <w:tcPr>
            <w:tcW w:w="1276" w:type="dxa"/>
            <w:vAlign w:val="center"/>
          </w:tcPr>
          <w:p w:rsidR="00632259" w:rsidRDefault="00F55249">
            <w:pPr>
              <w:jc w:val="center"/>
            </w:pPr>
            <w:r>
              <w:rPr>
                <w:rFonts w:eastAsiaTheme="minorEastAsia"/>
                <w:kern w:val="0"/>
                <w:sz w:val="24"/>
                <w:szCs w:val="24"/>
              </w:rPr>
              <w:t>000301</w:t>
            </w:r>
          </w:p>
        </w:tc>
        <w:tc>
          <w:tcPr>
            <w:tcW w:w="1701" w:type="dxa"/>
            <w:vAlign w:val="center"/>
          </w:tcPr>
          <w:p w:rsidR="00632259" w:rsidRDefault="00F55249">
            <w:pPr>
              <w:jc w:val="center"/>
            </w:pPr>
            <w:r>
              <w:rPr>
                <w:rFonts w:eastAsiaTheme="minorEastAsia"/>
                <w:kern w:val="0"/>
                <w:sz w:val="24"/>
                <w:szCs w:val="24"/>
              </w:rPr>
              <w:t>东方盛虹</w:t>
            </w:r>
          </w:p>
        </w:tc>
        <w:tc>
          <w:tcPr>
            <w:tcW w:w="1276" w:type="dxa"/>
            <w:vAlign w:val="center"/>
          </w:tcPr>
          <w:p w:rsidR="00632259" w:rsidRDefault="00F55249">
            <w:pPr>
              <w:jc w:val="right"/>
            </w:pPr>
            <w:r>
              <w:rPr>
                <w:rFonts w:eastAsiaTheme="minorEastAsia"/>
                <w:kern w:val="0"/>
                <w:sz w:val="24"/>
                <w:szCs w:val="24"/>
              </w:rPr>
              <w:t>8,918,032.00</w:t>
            </w:r>
          </w:p>
        </w:tc>
        <w:tc>
          <w:tcPr>
            <w:tcW w:w="1842" w:type="dxa"/>
            <w:vAlign w:val="center"/>
          </w:tcPr>
          <w:p w:rsidR="00632259" w:rsidRDefault="00F55249">
            <w:pPr>
              <w:jc w:val="right"/>
            </w:pPr>
            <w:r>
              <w:rPr>
                <w:rFonts w:eastAsiaTheme="minorEastAsia"/>
                <w:kern w:val="0"/>
                <w:sz w:val="24"/>
                <w:szCs w:val="24"/>
              </w:rPr>
              <w:t>250,775,059.84</w:t>
            </w:r>
          </w:p>
        </w:tc>
        <w:tc>
          <w:tcPr>
            <w:tcW w:w="1616" w:type="dxa"/>
            <w:vAlign w:val="center"/>
          </w:tcPr>
          <w:p w:rsidR="00632259" w:rsidRDefault="00F55249">
            <w:pPr>
              <w:jc w:val="right"/>
            </w:pPr>
            <w:r>
              <w:rPr>
                <w:rFonts w:eastAsiaTheme="minorEastAsia"/>
                <w:kern w:val="0"/>
                <w:sz w:val="24"/>
                <w:szCs w:val="24"/>
              </w:rPr>
              <w:t>3.56</w:t>
            </w:r>
          </w:p>
        </w:tc>
      </w:tr>
      <w:tr w:rsidR="00632259">
        <w:tc>
          <w:tcPr>
            <w:tcW w:w="817" w:type="dxa"/>
            <w:vAlign w:val="center"/>
          </w:tcPr>
          <w:p w:rsidR="00632259" w:rsidRDefault="00F55249">
            <w:pPr>
              <w:jc w:val="center"/>
            </w:pPr>
            <w:r>
              <w:rPr>
                <w:rFonts w:eastAsiaTheme="minorEastAsia"/>
                <w:kern w:val="0"/>
                <w:sz w:val="24"/>
                <w:szCs w:val="24"/>
              </w:rPr>
              <w:t>8</w:t>
            </w:r>
          </w:p>
        </w:tc>
        <w:tc>
          <w:tcPr>
            <w:tcW w:w="1276" w:type="dxa"/>
            <w:vAlign w:val="center"/>
          </w:tcPr>
          <w:p w:rsidR="00632259" w:rsidRDefault="00F55249">
            <w:pPr>
              <w:jc w:val="center"/>
            </w:pPr>
            <w:r>
              <w:rPr>
                <w:rFonts w:eastAsiaTheme="minorEastAsia"/>
                <w:kern w:val="0"/>
                <w:sz w:val="24"/>
                <w:szCs w:val="24"/>
              </w:rPr>
              <w:t>603799</w:t>
            </w:r>
          </w:p>
        </w:tc>
        <w:tc>
          <w:tcPr>
            <w:tcW w:w="1701" w:type="dxa"/>
            <w:vAlign w:val="center"/>
          </w:tcPr>
          <w:p w:rsidR="00632259" w:rsidRDefault="00F55249">
            <w:pPr>
              <w:jc w:val="center"/>
            </w:pPr>
            <w:r>
              <w:rPr>
                <w:rFonts w:eastAsiaTheme="minorEastAsia"/>
                <w:kern w:val="0"/>
                <w:sz w:val="24"/>
                <w:szCs w:val="24"/>
              </w:rPr>
              <w:t>华友钴业</w:t>
            </w:r>
          </w:p>
        </w:tc>
        <w:tc>
          <w:tcPr>
            <w:tcW w:w="1276" w:type="dxa"/>
            <w:vAlign w:val="center"/>
          </w:tcPr>
          <w:p w:rsidR="00632259" w:rsidRDefault="00F55249">
            <w:pPr>
              <w:jc w:val="right"/>
            </w:pPr>
            <w:r>
              <w:rPr>
                <w:rFonts w:eastAsiaTheme="minorEastAsia"/>
                <w:kern w:val="0"/>
                <w:sz w:val="24"/>
                <w:szCs w:val="24"/>
              </w:rPr>
              <w:t>2,411,865.00</w:t>
            </w:r>
          </w:p>
        </w:tc>
        <w:tc>
          <w:tcPr>
            <w:tcW w:w="1842" w:type="dxa"/>
            <w:vAlign w:val="center"/>
          </w:tcPr>
          <w:p w:rsidR="00632259" w:rsidRDefault="00F55249">
            <w:pPr>
              <w:jc w:val="right"/>
            </w:pPr>
            <w:r>
              <w:rPr>
                <w:rFonts w:eastAsiaTheme="minorEastAsia"/>
                <w:kern w:val="0"/>
                <w:sz w:val="24"/>
                <w:szCs w:val="24"/>
              </w:rPr>
              <w:t>249,386,841.00</w:t>
            </w:r>
          </w:p>
        </w:tc>
        <w:tc>
          <w:tcPr>
            <w:tcW w:w="1616" w:type="dxa"/>
            <w:vAlign w:val="center"/>
          </w:tcPr>
          <w:p w:rsidR="00632259" w:rsidRDefault="00F55249">
            <w:pPr>
              <w:jc w:val="right"/>
            </w:pPr>
            <w:r>
              <w:rPr>
                <w:rFonts w:eastAsiaTheme="minorEastAsia"/>
                <w:kern w:val="0"/>
                <w:sz w:val="24"/>
                <w:szCs w:val="24"/>
              </w:rPr>
              <w:t>3.54</w:t>
            </w:r>
          </w:p>
        </w:tc>
      </w:tr>
      <w:tr w:rsidR="00632259">
        <w:tc>
          <w:tcPr>
            <w:tcW w:w="817" w:type="dxa"/>
            <w:vAlign w:val="center"/>
          </w:tcPr>
          <w:p w:rsidR="00632259" w:rsidRDefault="00F55249">
            <w:pPr>
              <w:jc w:val="center"/>
            </w:pPr>
            <w:r>
              <w:rPr>
                <w:rFonts w:eastAsiaTheme="minorEastAsia"/>
                <w:kern w:val="0"/>
                <w:sz w:val="24"/>
                <w:szCs w:val="24"/>
              </w:rPr>
              <w:t>9</w:t>
            </w:r>
          </w:p>
        </w:tc>
        <w:tc>
          <w:tcPr>
            <w:tcW w:w="1276" w:type="dxa"/>
            <w:vAlign w:val="center"/>
          </w:tcPr>
          <w:p w:rsidR="00632259" w:rsidRDefault="00F55249">
            <w:pPr>
              <w:jc w:val="center"/>
            </w:pPr>
            <w:r>
              <w:rPr>
                <w:rFonts w:eastAsiaTheme="minorEastAsia"/>
                <w:kern w:val="0"/>
                <w:sz w:val="24"/>
                <w:szCs w:val="24"/>
              </w:rPr>
              <w:t>002714</w:t>
            </w:r>
          </w:p>
        </w:tc>
        <w:tc>
          <w:tcPr>
            <w:tcW w:w="1701" w:type="dxa"/>
            <w:vAlign w:val="center"/>
          </w:tcPr>
          <w:p w:rsidR="00632259" w:rsidRDefault="00F55249">
            <w:pPr>
              <w:jc w:val="center"/>
            </w:pPr>
            <w:r>
              <w:rPr>
                <w:rFonts w:eastAsiaTheme="minorEastAsia"/>
                <w:kern w:val="0"/>
                <w:sz w:val="24"/>
                <w:szCs w:val="24"/>
              </w:rPr>
              <w:t>牧原股份</w:t>
            </w:r>
          </w:p>
        </w:tc>
        <w:tc>
          <w:tcPr>
            <w:tcW w:w="1276" w:type="dxa"/>
            <w:vAlign w:val="center"/>
          </w:tcPr>
          <w:p w:rsidR="00632259" w:rsidRDefault="00F55249">
            <w:pPr>
              <w:jc w:val="right"/>
            </w:pPr>
            <w:r>
              <w:rPr>
                <w:rFonts w:eastAsiaTheme="minorEastAsia"/>
                <w:kern w:val="0"/>
                <w:sz w:val="24"/>
                <w:szCs w:val="24"/>
              </w:rPr>
              <w:t>4,597,316.00</w:t>
            </w:r>
          </w:p>
        </w:tc>
        <w:tc>
          <w:tcPr>
            <w:tcW w:w="1842" w:type="dxa"/>
            <w:vAlign w:val="center"/>
          </w:tcPr>
          <w:p w:rsidR="00632259" w:rsidRDefault="00F55249">
            <w:pPr>
              <w:jc w:val="right"/>
            </w:pPr>
            <w:r>
              <w:rPr>
                <w:rFonts w:eastAsiaTheme="minorEastAsia"/>
                <w:kern w:val="0"/>
                <w:sz w:val="24"/>
                <w:szCs w:val="24"/>
              </w:rPr>
              <w:t>238,600,700.40</w:t>
            </w:r>
          </w:p>
        </w:tc>
        <w:tc>
          <w:tcPr>
            <w:tcW w:w="1616" w:type="dxa"/>
            <w:vAlign w:val="center"/>
          </w:tcPr>
          <w:p w:rsidR="00632259" w:rsidRDefault="00F55249">
            <w:pPr>
              <w:jc w:val="right"/>
            </w:pPr>
            <w:r>
              <w:rPr>
                <w:rFonts w:eastAsiaTheme="minorEastAsia"/>
                <w:kern w:val="0"/>
                <w:sz w:val="24"/>
                <w:szCs w:val="24"/>
              </w:rPr>
              <w:t>3.39</w:t>
            </w:r>
          </w:p>
        </w:tc>
      </w:tr>
      <w:tr w:rsidR="00632259">
        <w:tc>
          <w:tcPr>
            <w:tcW w:w="817" w:type="dxa"/>
            <w:vAlign w:val="center"/>
          </w:tcPr>
          <w:p w:rsidR="00632259" w:rsidRDefault="00F55249">
            <w:pPr>
              <w:jc w:val="center"/>
            </w:pPr>
            <w:r>
              <w:rPr>
                <w:rFonts w:eastAsiaTheme="minorEastAsia"/>
                <w:kern w:val="0"/>
                <w:sz w:val="24"/>
                <w:szCs w:val="24"/>
              </w:rPr>
              <w:t>10</w:t>
            </w:r>
          </w:p>
        </w:tc>
        <w:tc>
          <w:tcPr>
            <w:tcW w:w="1276" w:type="dxa"/>
            <w:vAlign w:val="center"/>
          </w:tcPr>
          <w:p w:rsidR="00632259" w:rsidRDefault="00F55249">
            <w:pPr>
              <w:jc w:val="center"/>
            </w:pPr>
            <w:r>
              <w:rPr>
                <w:rFonts w:eastAsiaTheme="minorEastAsia"/>
                <w:kern w:val="0"/>
                <w:sz w:val="24"/>
                <w:szCs w:val="24"/>
              </w:rPr>
              <w:t>603501</w:t>
            </w:r>
          </w:p>
        </w:tc>
        <w:tc>
          <w:tcPr>
            <w:tcW w:w="1701" w:type="dxa"/>
            <w:vAlign w:val="center"/>
          </w:tcPr>
          <w:p w:rsidR="00632259" w:rsidRDefault="00F55249">
            <w:pPr>
              <w:jc w:val="center"/>
            </w:pPr>
            <w:r>
              <w:rPr>
                <w:rFonts w:eastAsiaTheme="minorEastAsia"/>
                <w:kern w:val="0"/>
                <w:sz w:val="24"/>
                <w:szCs w:val="24"/>
              </w:rPr>
              <w:t>韦尔股份</w:t>
            </w:r>
          </w:p>
        </w:tc>
        <w:tc>
          <w:tcPr>
            <w:tcW w:w="1276" w:type="dxa"/>
            <w:vAlign w:val="center"/>
          </w:tcPr>
          <w:p w:rsidR="00632259" w:rsidRDefault="00F55249">
            <w:pPr>
              <w:jc w:val="right"/>
            </w:pPr>
            <w:r>
              <w:rPr>
                <w:rFonts w:eastAsiaTheme="minorEastAsia"/>
                <w:kern w:val="0"/>
                <w:sz w:val="24"/>
                <w:szCs w:val="24"/>
              </w:rPr>
              <w:t>946,058.00</w:t>
            </w:r>
          </w:p>
        </w:tc>
        <w:tc>
          <w:tcPr>
            <w:tcW w:w="1842" w:type="dxa"/>
            <w:vAlign w:val="center"/>
          </w:tcPr>
          <w:p w:rsidR="00632259" w:rsidRDefault="00F55249">
            <w:pPr>
              <w:jc w:val="right"/>
            </w:pPr>
            <w:r>
              <w:rPr>
                <w:rFonts w:eastAsiaTheme="minorEastAsia"/>
                <w:kern w:val="0"/>
                <w:sz w:val="24"/>
                <w:szCs w:val="24"/>
              </w:rPr>
              <w:t>229,523,131.38</w:t>
            </w:r>
          </w:p>
        </w:tc>
        <w:tc>
          <w:tcPr>
            <w:tcW w:w="1616" w:type="dxa"/>
            <w:vAlign w:val="center"/>
          </w:tcPr>
          <w:p w:rsidR="00632259" w:rsidRDefault="00F55249">
            <w:pPr>
              <w:jc w:val="right"/>
            </w:pPr>
            <w:r>
              <w:rPr>
                <w:rFonts w:eastAsiaTheme="minorEastAsia"/>
                <w:kern w:val="0"/>
                <w:sz w:val="24"/>
                <w:szCs w:val="24"/>
              </w:rPr>
              <w:t>3.26</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609,978.90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4,879,522.02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55,435.74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1,829,241.42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7,374,178.08</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632259">
        <w:tc>
          <w:tcPr>
            <w:tcW w:w="1083" w:type="dxa"/>
            <w:vAlign w:val="center"/>
          </w:tcPr>
          <w:p w:rsidR="00632259" w:rsidRDefault="00F55249">
            <w:pPr>
              <w:jc w:val="center"/>
            </w:pPr>
            <w:r>
              <w:rPr>
                <w:rFonts w:eastAsiaTheme="minorEastAsia"/>
                <w:color w:val="000000" w:themeColor="text1"/>
                <w:kern w:val="0"/>
              </w:rPr>
              <w:t>1</w:t>
            </w:r>
          </w:p>
        </w:tc>
        <w:tc>
          <w:tcPr>
            <w:tcW w:w="1302" w:type="dxa"/>
            <w:vAlign w:val="center"/>
          </w:tcPr>
          <w:p w:rsidR="00632259" w:rsidRDefault="00F55249">
            <w:pPr>
              <w:jc w:val="center"/>
            </w:pPr>
            <w:r>
              <w:rPr>
                <w:rFonts w:eastAsiaTheme="minorEastAsia"/>
                <w:color w:val="000000" w:themeColor="text1"/>
                <w:kern w:val="0"/>
              </w:rPr>
              <w:t>300390</w:t>
            </w:r>
          </w:p>
        </w:tc>
        <w:tc>
          <w:tcPr>
            <w:tcW w:w="1301" w:type="dxa"/>
            <w:vAlign w:val="center"/>
          </w:tcPr>
          <w:p w:rsidR="00632259" w:rsidRDefault="00F55249">
            <w:pPr>
              <w:jc w:val="center"/>
            </w:pPr>
            <w:r>
              <w:rPr>
                <w:rFonts w:eastAsiaTheme="minorEastAsia"/>
                <w:color w:val="000000" w:themeColor="text1"/>
                <w:kern w:val="0"/>
              </w:rPr>
              <w:t>天华超净</w:t>
            </w:r>
          </w:p>
        </w:tc>
        <w:tc>
          <w:tcPr>
            <w:tcW w:w="1805" w:type="dxa"/>
            <w:vAlign w:val="center"/>
          </w:tcPr>
          <w:p w:rsidR="00632259" w:rsidRDefault="00F55249">
            <w:pPr>
              <w:jc w:val="right"/>
            </w:pPr>
            <w:r>
              <w:rPr>
                <w:rFonts w:eastAsiaTheme="minorEastAsia"/>
                <w:color w:val="000000" w:themeColor="text1"/>
                <w:kern w:val="0"/>
              </w:rPr>
              <w:t>176,303,069.80</w:t>
            </w:r>
          </w:p>
        </w:tc>
        <w:tc>
          <w:tcPr>
            <w:tcW w:w="1655" w:type="dxa"/>
            <w:vAlign w:val="center"/>
          </w:tcPr>
          <w:p w:rsidR="00632259" w:rsidRDefault="00F55249">
            <w:pPr>
              <w:jc w:val="right"/>
            </w:pPr>
            <w:r>
              <w:rPr>
                <w:rFonts w:eastAsiaTheme="minorEastAsia"/>
                <w:color w:val="000000" w:themeColor="text1"/>
                <w:kern w:val="0"/>
              </w:rPr>
              <w:t>2.50</w:t>
            </w:r>
          </w:p>
        </w:tc>
        <w:tc>
          <w:tcPr>
            <w:tcW w:w="1367" w:type="dxa"/>
            <w:vAlign w:val="center"/>
          </w:tcPr>
          <w:p w:rsidR="00632259" w:rsidRDefault="00F55249">
            <w:pPr>
              <w:jc w:val="right"/>
            </w:pPr>
            <w:r>
              <w:rPr>
                <w:rFonts w:eastAsiaTheme="minorEastAsia"/>
                <w:color w:val="000000" w:themeColor="text1"/>
                <w:kern w:val="0"/>
              </w:rPr>
              <w:t>非公开发行限售</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6,153,673,020.18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127,032,253.84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6,280,705,274.02</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中国证监会准予上投摩根远见两年持有期混合型证券投资基金募集注册的文件</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上投摩根远见两年持有期混合型证券投资基金基金合同</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上投摩根远见两年持有期混合型证券投资基金托管协议</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632259" w:rsidRDefault="00F5524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93E13" w:rsidRPr="00A93E1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93E13">
      <w:rPr>
        <w:rStyle w:val="aff"/>
        <w:noProof/>
      </w:rPr>
      <w:t>5</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2259"/>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3E13"/>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55249"/>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AAD87-6435-4B86-AD11-B7B05CB7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2021-10-26T03:04:00Z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