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6,153,673,020.18</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5C3FF4" w:rsidRDefault="000A5A68">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w:t>
            </w:r>
            <w:r>
              <w:rPr>
                <w:rFonts w:eastAsiaTheme="minorEastAsia"/>
                <w:color w:val="000000" w:themeColor="text1"/>
                <w:kern w:val="0"/>
              </w:rPr>
              <w:lastRenderedPageBreak/>
              <w:t>最具有投资价值和成长性的上市公司；通过行业配置与个股选择，获取超越业绩比较基准的超额收益。</w:t>
            </w:r>
          </w:p>
          <w:p w:rsidR="005C3FF4" w:rsidRDefault="000A5A68">
            <w:pPr>
              <w:adjustRightInd w:val="0"/>
              <w:spacing w:before="29" w:line="360" w:lineRule="auto"/>
              <w:ind w:left="17"/>
              <w:rPr>
                <w:rFonts w:eastAsiaTheme="minorEastAsia"/>
                <w:color w:val="000000" w:themeColor="text1"/>
              </w:rPr>
            </w:pPr>
            <w:r>
              <w:rPr>
                <w:rFonts w:eastAsiaTheme="minorEastAsia"/>
                <w:color w:val="000000" w:themeColor="text1"/>
                <w:kern w:val="0"/>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A5A68" w:rsidRPr="00FF6B9A" w:rsidTr="000A5A68">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0A5A68" w:rsidRPr="00FF6B9A" w:rsidTr="000A5A6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-110,488,133.60</w:t>
            </w:r>
          </w:p>
        </w:tc>
      </w:tr>
      <w:tr w:rsidR="000A5A68" w:rsidRPr="00FF6B9A" w:rsidTr="000A5A6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808,023,063.69</w:t>
            </w:r>
          </w:p>
        </w:tc>
      </w:tr>
      <w:tr w:rsidR="000A5A68" w:rsidRPr="00FF6B9A" w:rsidTr="000A5A6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0.1322</w:t>
            </w:r>
          </w:p>
        </w:tc>
      </w:tr>
      <w:tr w:rsidR="000A5A68" w:rsidRPr="00FF6B9A" w:rsidTr="000A5A6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6,547,521,109.75</w:t>
            </w:r>
          </w:p>
        </w:tc>
      </w:tr>
      <w:tr w:rsidR="000A5A68" w:rsidRPr="00FF6B9A" w:rsidTr="000A5A68">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1.0640</w:t>
            </w:r>
          </w:p>
        </w:tc>
      </w:tr>
    </w:tbl>
    <w:p w:rsidR="005C3FF4" w:rsidRDefault="000A5A6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5C3FF4">
        <w:tc>
          <w:tcPr>
            <w:tcW w:w="1395" w:type="dxa"/>
            <w:vAlign w:val="center"/>
          </w:tcPr>
          <w:p w:rsidR="005C3FF4" w:rsidRDefault="000A5A68">
            <w:pPr>
              <w:jc w:val="left"/>
            </w:pPr>
            <w:r>
              <w:rPr>
                <w:rFonts w:eastAsiaTheme="minorEastAsia"/>
                <w:color w:val="000000" w:themeColor="text1"/>
                <w:kern w:val="0"/>
              </w:rPr>
              <w:t>过去三个月</w:t>
            </w:r>
          </w:p>
        </w:tc>
        <w:tc>
          <w:tcPr>
            <w:tcW w:w="1092" w:type="dxa"/>
            <w:vAlign w:val="center"/>
          </w:tcPr>
          <w:p w:rsidR="005C3FF4" w:rsidRDefault="000A5A68">
            <w:pPr>
              <w:jc w:val="center"/>
            </w:pPr>
            <w:r>
              <w:rPr>
                <w:rFonts w:eastAsiaTheme="minorEastAsia"/>
                <w:color w:val="000000" w:themeColor="text1"/>
                <w:kern w:val="0"/>
              </w:rPr>
              <w:t>14.15%</w:t>
            </w:r>
          </w:p>
        </w:tc>
        <w:tc>
          <w:tcPr>
            <w:tcW w:w="1161" w:type="dxa"/>
            <w:vAlign w:val="center"/>
          </w:tcPr>
          <w:p w:rsidR="005C3FF4" w:rsidRDefault="000A5A68">
            <w:pPr>
              <w:jc w:val="center"/>
            </w:pPr>
            <w:r>
              <w:rPr>
                <w:rFonts w:eastAsiaTheme="minorEastAsia"/>
                <w:color w:val="000000" w:themeColor="text1"/>
                <w:kern w:val="0"/>
              </w:rPr>
              <w:t>1.28%</w:t>
            </w:r>
          </w:p>
        </w:tc>
        <w:tc>
          <w:tcPr>
            <w:tcW w:w="1181" w:type="dxa"/>
            <w:vAlign w:val="center"/>
          </w:tcPr>
          <w:p w:rsidR="005C3FF4" w:rsidRDefault="000A5A68">
            <w:pPr>
              <w:jc w:val="center"/>
            </w:pPr>
            <w:r>
              <w:rPr>
                <w:rFonts w:eastAsiaTheme="minorEastAsia"/>
                <w:color w:val="000000" w:themeColor="text1"/>
                <w:kern w:val="0"/>
              </w:rPr>
              <w:t>3.70%</w:t>
            </w:r>
          </w:p>
        </w:tc>
        <w:tc>
          <w:tcPr>
            <w:tcW w:w="1188" w:type="dxa"/>
            <w:vAlign w:val="center"/>
          </w:tcPr>
          <w:p w:rsidR="005C3FF4" w:rsidRDefault="000A5A68">
            <w:pPr>
              <w:jc w:val="center"/>
            </w:pPr>
            <w:r>
              <w:rPr>
                <w:rFonts w:eastAsiaTheme="minorEastAsia"/>
                <w:color w:val="000000" w:themeColor="text1"/>
                <w:kern w:val="0"/>
              </w:rPr>
              <w:t>0.72%</w:t>
            </w:r>
          </w:p>
        </w:tc>
        <w:tc>
          <w:tcPr>
            <w:tcW w:w="1199" w:type="dxa"/>
            <w:vAlign w:val="center"/>
          </w:tcPr>
          <w:p w:rsidR="005C3FF4" w:rsidRDefault="000A5A68">
            <w:pPr>
              <w:jc w:val="center"/>
            </w:pPr>
            <w:r>
              <w:rPr>
                <w:rFonts w:eastAsiaTheme="minorEastAsia"/>
                <w:color w:val="000000" w:themeColor="text1"/>
                <w:kern w:val="0"/>
              </w:rPr>
              <w:t>10.45%</w:t>
            </w:r>
          </w:p>
        </w:tc>
        <w:tc>
          <w:tcPr>
            <w:tcW w:w="1204" w:type="dxa"/>
            <w:vAlign w:val="center"/>
          </w:tcPr>
          <w:p w:rsidR="005C3FF4" w:rsidRDefault="000A5A68">
            <w:pPr>
              <w:jc w:val="center"/>
            </w:pPr>
            <w:r>
              <w:rPr>
                <w:rFonts w:eastAsiaTheme="minorEastAsia"/>
                <w:color w:val="000000" w:themeColor="text1"/>
                <w:kern w:val="0"/>
              </w:rPr>
              <w:t>0.56%</w:t>
            </w:r>
          </w:p>
        </w:tc>
      </w:tr>
      <w:tr w:rsidR="005C3FF4">
        <w:tc>
          <w:tcPr>
            <w:tcW w:w="1395" w:type="dxa"/>
            <w:vAlign w:val="center"/>
          </w:tcPr>
          <w:p w:rsidR="005C3FF4" w:rsidRDefault="000A5A68">
            <w:pPr>
              <w:jc w:val="left"/>
            </w:pPr>
            <w:r>
              <w:rPr>
                <w:rFonts w:eastAsiaTheme="minorEastAsia"/>
                <w:color w:val="000000" w:themeColor="text1"/>
                <w:kern w:val="0"/>
              </w:rPr>
              <w:t>过去六个月</w:t>
            </w:r>
          </w:p>
        </w:tc>
        <w:tc>
          <w:tcPr>
            <w:tcW w:w="1092" w:type="dxa"/>
            <w:vAlign w:val="center"/>
          </w:tcPr>
          <w:p w:rsidR="005C3FF4" w:rsidRDefault="000A5A68">
            <w:pPr>
              <w:jc w:val="center"/>
            </w:pPr>
            <w:r>
              <w:rPr>
                <w:rFonts w:eastAsiaTheme="minorEastAsia"/>
                <w:color w:val="000000" w:themeColor="text1"/>
                <w:kern w:val="0"/>
              </w:rPr>
              <w:t>-</w:t>
            </w:r>
          </w:p>
        </w:tc>
        <w:tc>
          <w:tcPr>
            <w:tcW w:w="1161" w:type="dxa"/>
            <w:vAlign w:val="center"/>
          </w:tcPr>
          <w:p w:rsidR="005C3FF4" w:rsidRDefault="000A5A68">
            <w:pPr>
              <w:jc w:val="center"/>
            </w:pPr>
            <w:r>
              <w:rPr>
                <w:rFonts w:eastAsiaTheme="minorEastAsia"/>
                <w:color w:val="000000" w:themeColor="text1"/>
                <w:kern w:val="0"/>
              </w:rPr>
              <w:t>-</w:t>
            </w:r>
          </w:p>
        </w:tc>
        <w:tc>
          <w:tcPr>
            <w:tcW w:w="1181" w:type="dxa"/>
            <w:vAlign w:val="center"/>
          </w:tcPr>
          <w:p w:rsidR="005C3FF4" w:rsidRDefault="000A5A68">
            <w:pPr>
              <w:jc w:val="center"/>
            </w:pPr>
            <w:r>
              <w:rPr>
                <w:rFonts w:eastAsiaTheme="minorEastAsia"/>
                <w:color w:val="000000" w:themeColor="text1"/>
                <w:kern w:val="0"/>
              </w:rPr>
              <w:t>-</w:t>
            </w:r>
          </w:p>
        </w:tc>
        <w:tc>
          <w:tcPr>
            <w:tcW w:w="1188" w:type="dxa"/>
            <w:vAlign w:val="center"/>
          </w:tcPr>
          <w:p w:rsidR="005C3FF4" w:rsidRDefault="000A5A68">
            <w:pPr>
              <w:jc w:val="center"/>
            </w:pPr>
            <w:r>
              <w:rPr>
                <w:rFonts w:eastAsiaTheme="minorEastAsia"/>
                <w:color w:val="000000" w:themeColor="text1"/>
                <w:kern w:val="0"/>
              </w:rPr>
              <w:t>-</w:t>
            </w:r>
          </w:p>
        </w:tc>
        <w:tc>
          <w:tcPr>
            <w:tcW w:w="1199" w:type="dxa"/>
            <w:vAlign w:val="center"/>
          </w:tcPr>
          <w:p w:rsidR="005C3FF4" w:rsidRDefault="000A5A68">
            <w:pPr>
              <w:jc w:val="center"/>
            </w:pPr>
            <w:r>
              <w:rPr>
                <w:rFonts w:eastAsiaTheme="minorEastAsia"/>
                <w:color w:val="000000" w:themeColor="text1"/>
                <w:kern w:val="0"/>
              </w:rPr>
              <w:t>-</w:t>
            </w:r>
          </w:p>
        </w:tc>
        <w:tc>
          <w:tcPr>
            <w:tcW w:w="1204" w:type="dxa"/>
            <w:vAlign w:val="center"/>
          </w:tcPr>
          <w:p w:rsidR="005C3FF4" w:rsidRDefault="000A5A68">
            <w:pPr>
              <w:jc w:val="center"/>
            </w:pPr>
            <w:r>
              <w:rPr>
                <w:rFonts w:eastAsiaTheme="minorEastAsia"/>
                <w:color w:val="000000" w:themeColor="text1"/>
                <w:kern w:val="0"/>
              </w:rPr>
              <w:t>-</w:t>
            </w:r>
          </w:p>
        </w:tc>
      </w:tr>
      <w:tr w:rsidR="005C3FF4">
        <w:tc>
          <w:tcPr>
            <w:tcW w:w="1395" w:type="dxa"/>
            <w:vAlign w:val="center"/>
          </w:tcPr>
          <w:p w:rsidR="005C3FF4" w:rsidRDefault="000A5A68">
            <w:pPr>
              <w:jc w:val="left"/>
            </w:pPr>
            <w:r>
              <w:rPr>
                <w:rFonts w:eastAsiaTheme="minorEastAsia"/>
                <w:color w:val="000000" w:themeColor="text1"/>
                <w:kern w:val="0"/>
              </w:rPr>
              <w:t>过去一年</w:t>
            </w:r>
          </w:p>
        </w:tc>
        <w:tc>
          <w:tcPr>
            <w:tcW w:w="1092" w:type="dxa"/>
            <w:vAlign w:val="center"/>
          </w:tcPr>
          <w:p w:rsidR="005C3FF4" w:rsidRDefault="000A5A68">
            <w:pPr>
              <w:jc w:val="center"/>
            </w:pPr>
            <w:r>
              <w:rPr>
                <w:rFonts w:eastAsiaTheme="minorEastAsia"/>
                <w:color w:val="000000" w:themeColor="text1"/>
                <w:kern w:val="0"/>
              </w:rPr>
              <w:t>-</w:t>
            </w:r>
          </w:p>
        </w:tc>
        <w:tc>
          <w:tcPr>
            <w:tcW w:w="1161" w:type="dxa"/>
            <w:vAlign w:val="center"/>
          </w:tcPr>
          <w:p w:rsidR="005C3FF4" w:rsidRDefault="000A5A68">
            <w:pPr>
              <w:jc w:val="center"/>
            </w:pPr>
            <w:r>
              <w:rPr>
                <w:rFonts w:eastAsiaTheme="minorEastAsia"/>
                <w:color w:val="000000" w:themeColor="text1"/>
                <w:kern w:val="0"/>
              </w:rPr>
              <w:t>-</w:t>
            </w:r>
          </w:p>
        </w:tc>
        <w:tc>
          <w:tcPr>
            <w:tcW w:w="1181" w:type="dxa"/>
            <w:vAlign w:val="center"/>
          </w:tcPr>
          <w:p w:rsidR="005C3FF4" w:rsidRDefault="000A5A68">
            <w:pPr>
              <w:jc w:val="center"/>
            </w:pPr>
            <w:r>
              <w:rPr>
                <w:rFonts w:eastAsiaTheme="minorEastAsia"/>
                <w:color w:val="000000" w:themeColor="text1"/>
                <w:kern w:val="0"/>
              </w:rPr>
              <w:t>-</w:t>
            </w:r>
          </w:p>
        </w:tc>
        <w:tc>
          <w:tcPr>
            <w:tcW w:w="1188" w:type="dxa"/>
            <w:vAlign w:val="center"/>
          </w:tcPr>
          <w:p w:rsidR="005C3FF4" w:rsidRDefault="000A5A68">
            <w:pPr>
              <w:jc w:val="center"/>
            </w:pPr>
            <w:r>
              <w:rPr>
                <w:rFonts w:eastAsiaTheme="minorEastAsia"/>
                <w:color w:val="000000" w:themeColor="text1"/>
                <w:kern w:val="0"/>
              </w:rPr>
              <w:t>-</w:t>
            </w:r>
          </w:p>
        </w:tc>
        <w:tc>
          <w:tcPr>
            <w:tcW w:w="1199" w:type="dxa"/>
            <w:vAlign w:val="center"/>
          </w:tcPr>
          <w:p w:rsidR="005C3FF4" w:rsidRDefault="000A5A68">
            <w:pPr>
              <w:jc w:val="center"/>
            </w:pPr>
            <w:r>
              <w:rPr>
                <w:rFonts w:eastAsiaTheme="minorEastAsia"/>
                <w:color w:val="000000" w:themeColor="text1"/>
                <w:kern w:val="0"/>
              </w:rPr>
              <w:t>-</w:t>
            </w:r>
          </w:p>
        </w:tc>
        <w:tc>
          <w:tcPr>
            <w:tcW w:w="1204" w:type="dxa"/>
            <w:vAlign w:val="center"/>
          </w:tcPr>
          <w:p w:rsidR="005C3FF4" w:rsidRDefault="000A5A68">
            <w:pPr>
              <w:jc w:val="center"/>
            </w:pPr>
            <w:r>
              <w:rPr>
                <w:rFonts w:eastAsiaTheme="minorEastAsia"/>
                <w:color w:val="000000" w:themeColor="text1"/>
                <w:kern w:val="0"/>
              </w:rPr>
              <w:t>-</w:t>
            </w:r>
          </w:p>
        </w:tc>
      </w:tr>
      <w:tr w:rsidR="005C3FF4">
        <w:tc>
          <w:tcPr>
            <w:tcW w:w="1395" w:type="dxa"/>
            <w:vAlign w:val="center"/>
          </w:tcPr>
          <w:p w:rsidR="005C3FF4" w:rsidRDefault="000A5A68">
            <w:pPr>
              <w:jc w:val="left"/>
            </w:pPr>
            <w:r>
              <w:rPr>
                <w:rFonts w:eastAsiaTheme="minorEastAsia"/>
                <w:color w:val="000000" w:themeColor="text1"/>
                <w:kern w:val="0"/>
              </w:rPr>
              <w:t>过去三年</w:t>
            </w:r>
          </w:p>
        </w:tc>
        <w:tc>
          <w:tcPr>
            <w:tcW w:w="1092" w:type="dxa"/>
            <w:vAlign w:val="center"/>
          </w:tcPr>
          <w:p w:rsidR="005C3FF4" w:rsidRDefault="000A5A68">
            <w:pPr>
              <w:jc w:val="center"/>
            </w:pPr>
            <w:r>
              <w:rPr>
                <w:rFonts w:eastAsiaTheme="minorEastAsia"/>
                <w:color w:val="000000" w:themeColor="text1"/>
                <w:kern w:val="0"/>
              </w:rPr>
              <w:t>-</w:t>
            </w:r>
          </w:p>
        </w:tc>
        <w:tc>
          <w:tcPr>
            <w:tcW w:w="1161" w:type="dxa"/>
            <w:vAlign w:val="center"/>
          </w:tcPr>
          <w:p w:rsidR="005C3FF4" w:rsidRDefault="000A5A68">
            <w:pPr>
              <w:jc w:val="center"/>
            </w:pPr>
            <w:r>
              <w:rPr>
                <w:rFonts w:eastAsiaTheme="minorEastAsia"/>
                <w:color w:val="000000" w:themeColor="text1"/>
                <w:kern w:val="0"/>
              </w:rPr>
              <w:t>-</w:t>
            </w:r>
          </w:p>
        </w:tc>
        <w:tc>
          <w:tcPr>
            <w:tcW w:w="1181" w:type="dxa"/>
            <w:vAlign w:val="center"/>
          </w:tcPr>
          <w:p w:rsidR="005C3FF4" w:rsidRDefault="000A5A68">
            <w:pPr>
              <w:jc w:val="center"/>
            </w:pPr>
            <w:r>
              <w:rPr>
                <w:rFonts w:eastAsiaTheme="minorEastAsia"/>
                <w:color w:val="000000" w:themeColor="text1"/>
                <w:kern w:val="0"/>
              </w:rPr>
              <w:t>-</w:t>
            </w:r>
          </w:p>
        </w:tc>
        <w:tc>
          <w:tcPr>
            <w:tcW w:w="1188" w:type="dxa"/>
            <w:vAlign w:val="center"/>
          </w:tcPr>
          <w:p w:rsidR="005C3FF4" w:rsidRDefault="000A5A68">
            <w:pPr>
              <w:jc w:val="center"/>
            </w:pPr>
            <w:r>
              <w:rPr>
                <w:rFonts w:eastAsiaTheme="minorEastAsia"/>
                <w:color w:val="000000" w:themeColor="text1"/>
                <w:kern w:val="0"/>
              </w:rPr>
              <w:t>-</w:t>
            </w:r>
          </w:p>
        </w:tc>
        <w:tc>
          <w:tcPr>
            <w:tcW w:w="1199" w:type="dxa"/>
            <w:vAlign w:val="center"/>
          </w:tcPr>
          <w:p w:rsidR="005C3FF4" w:rsidRDefault="000A5A68">
            <w:pPr>
              <w:jc w:val="center"/>
            </w:pPr>
            <w:r>
              <w:rPr>
                <w:rFonts w:eastAsiaTheme="minorEastAsia"/>
                <w:color w:val="000000" w:themeColor="text1"/>
                <w:kern w:val="0"/>
              </w:rPr>
              <w:t>-</w:t>
            </w:r>
          </w:p>
        </w:tc>
        <w:tc>
          <w:tcPr>
            <w:tcW w:w="1204" w:type="dxa"/>
            <w:vAlign w:val="center"/>
          </w:tcPr>
          <w:p w:rsidR="005C3FF4" w:rsidRDefault="000A5A68">
            <w:pPr>
              <w:jc w:val="center"/>
            </w:pPr>
            <w:r>
              <w:rPr>
                <w:rFonts w:eastAsiaTheme="minorEastAsia"/>
                <w:color w:val="000000" w:themeColor="text1"/>
                <w:kern w:val="0"/>
              </w:rPr>
              <w:t>-</w:t>
            </w:r>
          </w:p>
        </w:tc>
      </w:tr>
      <w:tr w:rsidR="005C3FF4">
        <w:tc>
          <w:tcPr>
            <w:tcW w:w="1395" w:type="dxa"/>
            <w:vAlign w:val="center"/>
          </w:tcPr>
          <w:p w:rsidR="005C3FF4" w:rsidRDefault="000A5A68">
            <w:pPr>
              <w:jc w:val="left"/>
            </w:pPr>
            <w:r>
              <w:rPr>
                <w:rFonts w:eastAsiaTheme="minorEastAsia"/>
                <w:color w:val="000000" w:themeColor="text1"/>
                <w:kern w:val="0"/>
              </w:rPr>
              <w:t>过去五年</w:t>
            </w:r>
          </w:p>
        </w:tc>
        <w:tc>
          <w:tcPr>
            <w:tcW w:w="1092" w:type="dxa"/>
            <w:vAlign w:val="center"/>
          </w:tcPr>
          <w:p w:rsidR="005C3FF4" w:rsidRDefault="000A5A68">
            <w:pPr>
              <w:jc w:val="center"/>
            </w:pPr>
            <w:r>
              <w:rPr>
                <w:rFonts w:eastAsiaTheme="minorEastAsia"/>
                <w:color w:val="000000" w:themeColor="text1"/>
                <w:kern w:val="0"/>
              </w:rPr>
              <w:t>-</w:t>
            </w:r>
          </w:p>
        </w:tc>
        <w:tc>
          <w:tcPr>
            <w:tcW w:w="1161" w:type="dxa"/>
            <w:vAlign w:val="center"/>
          </w:tcPr>
          <w:p w:rsidR="005C3FF4" w:rsidRDefault="000A5A68">
            <w:pPr>
              <w:jc w:val="center"/>
            </w:pPr>
            <w:r>
              <w:rPr>
                <w:rFonts w:eastAsiaTheme="minorEastAsia"/>
                <w:color w:val="000000" w:themeColor="text1"/>
                <w:kern w:val="0"/>
              </w:rPr>
              <w:t>-</w:t>
            </w:r>
          </w:p>
        </w:tc>
        <w:tc>
          <w:tcPr>
            <w:tcW w:w="1181" w:type="dxa"/>
            <w:vAlign w:val="center"/>
          </w:tcPr>
          <w:p w:rsidR="005C3FF4" w:rsidRDefault="000A5A68">
            <w:pPr>
              <w:jc w:val="center"/>
            </w:pPr>
            <w:r>
              <w:rPr>
                <w:rFonts w:eastAsiaTheme="minorEastAsia"/>
                <w:color w:val="000000" w:themeColor="text1"/>
                <w:kern w:val="0"/>
              </w:rPr>
              <w:t>-</w:t>
            </w:r>
          </w:p>
        </w:tc>
        <w:tc>
          <w:tcPr>
            <w:tcW w:w="1188" w:type="dxa"/>
            <w:vAlign w:val="center"/>
          </w:tcPr>
          <w:p w:rsidR="005C3FF4" w:rsidRDefault="000A5A68">
            <w:pPr>
              <w:jc w:val="center"/>
            </w:pPr>
            <w:r>
              <w:rPr>
                <w:rFonts w:eastAsiaTheme="minorEastAsia"/>
                <w:color w:val="000000" w:themeColor="text1"/>
                <w:kern w:val="0"/>
              </w:rPr>
              <w:t>-</w:t>
            </w:r>
          </w:p>
        </w:tc>
        <w:tc>
          <w:tcPr>
            <w:tcW w:w="1199" w:type="dxa"/>
            <w:vAlign w:val="center"/>
          </w:tcPr>
          <w:p w:rsidR="005C3FF4" w:rsidRDefault="000A5A68">
            <w:pPr>
              <w:jc w:val="center"/>
            </w:pPr>
            <w:r>
              <w:rPr>
                <w:rFonts w:eastAsiaTheme="minorEastAsia"/>
                <w:color w:val="000000" w:themeColor="text1"/>
                <w:kern w:val="0"/>
              </w:rPr>
              <w:t>-</w:t>
            </w:r>
          </w:p>
        </w:tc>
        <w:tc>
          <w:tcPr>
            <w:tcW w:w="1204" w:type="dxa"/>
            <w:vAlign w:val="center"/>
          </w:tcPr>
          <w:p w:rsidR="005C3FF4" w:rsidRDefault="000A5A68">
            <w:pPr>
              <w:jc w:val="center"/>
            </w:pPr>
            <w:r>
              <w:rPr>
                <w:rFonts w:eastAsiaTheme="minorEastAsia"/>
                <w:color w:val="000000" w:themeColor="text1"/>
                <w:kern w:val="0"/>
              </w:rPr>
              <w:t>-</w:t>
            </w:r>
          </w:p>
        </w:tc>
      </w:tr>
      <w:tr w:rsidR="005C3FF4">
        <w:tc>
          <w:tcPr>
            <w:tcW w:w="1395" w:type="dxa"/>
            <w:vAlign w:val="center"/>
          </w:tcPr>
          <w:p w:rsidR="005C3FF4" w:rsidRDefault="000A5A68">
            <w:pPr>
              <w:jc w:val="left"/>
            </w:pPr>
            <w:r>
              <w:rPr>
                <w:rFonts w:eastAsiaTheme="minorEastAsia"/>
                <w:color w:val="000000" w:themeColor="text1"/>
                <w:kern w:val="0"/>
              </w:rPr>
              <w:t>自基金合同生效起至今</w:t>
            </w:r>
          </w:p>
        </w:tc>
        <w:tc>
          <w:tcPr>
            <w:tcW w:w="1092" w:type="dxa"/>
            <w:vAlign w:val="center"/>
          </w:tcPr>
          <w:p w:rsidR="005C3FF4" w:rsidRDefault="000A5A68">
            <w:pPr>
              <w:jc w:val="center"/>
            </w:pPr>
            <w:r>
              <w:rPr>
                <w:rFonts w:eastAsiaTheme="minorEastAsia"/>
                <w:color w:val="000000" w:themeColor="text1"/>
                <w:kern w:val="0"/>
              </w:rPr>
              <w:t>6.40%</w:t>
            </w:r>
          </w:p>
        </w:tc>
        <w:tc>
          <w:tcPr>
            <w:tcW w:w="1161" w:type="dxa"/>
            <w:vAlign w:val="center"/>
          </w:tcPr>
          <w:p w:rsidR="005C3FF4" w:rsidRDefault="000A5A68">
            <w:pPr>
              <w:jc w:val="center"/>
            </w:pPr>
            <w:r>
              <w:rPr>
                <w:rFonts w:eastAsiaTheme="minorEastAsia"/>
                <w:color w:val="000000" w:themeColor="text1"/>
                <w:kern w:val="0"/>
              </w:rPr>
              <w:t>1.43%</w:t>
            </w:r>
          </w:p>
        </w:tc>
        <w:tc>
          <w:tcPr>
            <w:tcW w:w="1181" w:type="dxa"/>
            <w:vAlign w:val="center"/>
          </w:tcPr>
          <w:p w:rsidR="005C3FF4" w:rsidRDefault="000A5A68">
            <w:pPr>
              <w:jc w:val="center"/>
            </w:pPr>
            <w:r>
              <w:rPr>
                <w:rFonts w:eastAsiaTheme="minorEastAsia"/>
                <w:color w:val="000000" w:themeColor="text1"/>
                <w:kern w:val="0"/>
              </w:rPr>
              <w:t>-1.76%</w:t>
            </w:r>
          </w:p>
        </w:tc>
        <w:tc>
          <w:tcPr>
            <w:tcW w:w="1188" w:type="dxa"/>
            <w:vAlign w:val="center"/>
          </w:tcPr>
          <w:p w:rsidR="005C3FF4" w:rsidRDefault="000A5A68">
            <w:pPr>
              <w:jc w:val="center"/>
            </w:pPr>
            <w:r>
              <w:rPr>
                <w:rFonts w:eastAsiaTheme="minorEastAsia"/>
                <w:color w:val="000000" w:themeColor="text1"/>
                <w:kern w:val="0"/>
              </w:rPr>
              <w:t>1.01%</w:t>
            </w:r>
          </w:p>
        </w:tc>
        <w:tc>
          <w:tcPr>
            <w:tcW w:w="1199" w:type="dxa"/>
            <w:vAlign w:val="center"/>
          </w:tcPr>
          <w:p w:rsidR="005C3FF4" w:rsidRDefault="000A5A68">
            <w:pPr>
              <w:jc w:val="center"/>
            </w:pPr>
            <w:r>
              <w:rPr>
                <w:rFonts w:eastAsiaTheme="minorEastAsia"/>
                <w:color w:val="000000" w:themeColor="text1"/>
                <w:kern w:val="0"/>
              </w:rPr>
              <w:t>8.16%</w:t>
            </w:r>
          </w:p>
        </w:tc>
        <w:tc>
          <w:tcPr>
            <w:tcW w:w="1204" w:type="dxa"/>
            <w:vAlign w:val="center"/>
          </w:tcPr>
          <w:p w:rsidR="005C3FF4" w:rsidRDefault="000A5A68">
            <w:pPr>
              <w:jc w:val="center"/>
            </w:pPr>
            <w:r>
              <w:rPr>
                <w:rFonts w:eastAsiaTheme="minorEastAsia"/>
                <w:color w:val="000000" w:themeColor="text1"/>
                <w:kern w:val="0"/>
              </w:rPr>
              <w:t>0.42%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C3FF4" w:rsidRDefault="000A5A6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日，截至本报告期末本基金合同生效未满一年。</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个月，截至本报告期末本基金仍处于建仓期。</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5C3FF4">
        <w:tc>
          <w:tcPr>
            <w:tcW w:w="851" w:type="dxa"/>
            <w:vAlign w:val="center"/>
          </w:tcPr>
          <w:p w:rsidR="005C3FF4" w:rsidRDefault="000A5A68">
            <w:pPr>
              <w:jc w:val="center"/>
            </w:pPr>
            <w:r>
              <w:rPr>
                <w:rFonts w:eastAsiaTheme="minorEastAsia"/>
                <w:color w:val="000000" w:themeColor="text1"/>
              </w:rPr>
              <w:t>杜猛</w:t>
            </w:r>
          </w:p>
        </w:tc>
        <w:tc>
          <w:tcPr>
            <w:tcW w:w="850" w:type="dxa"/>
            <w:vAlign w:val="center"/>
          </w:tcPr>
          <w:p w:rsidR="005C3FF4" w:rsidRDefault="000A5A68">
            <w:pPr>
              <w:jc w:val="center"/>
            </w:pPr>
            <w:r>
              <w:rPr>
                <w:rFonts w:eastAsiaTheme="minorEastAsia"/>
                <w:color w:val="000000" w:themeColor="text1"/>
              </w:rPr>
              <w:t>本基金基金经理、副总经理兼投资总监</w:t>
            </w:r>
          </w:p>
        </w:tc>
        <w:tc>
          <w:tcPr>
            <w:tcW w:w="1560" w:type="dxa"/>
            <w:vAlign w:val="center"/>
          </w:tcPr>
          <w:p w:rsidR="005C3FF4" w:rsidRDefault="000A5A68">
            <w:pPr>
              <w:jc w:val="center"/>
            </w:pPr>
            <w:r>
              <w:rPr>
                <w:rFonts w:eastAsiaTheme="minorEastAsia"/>
                <w:color w:val="000000" w:themeColor="text1"/>
              </w:rPr>
              <w:t>2021-01-11</w:t>
            </w:r>
          </w:p>
        </w:tc>
        <w:tc>
          <w:tcPr>
            <w:tcW w:w="1559" w:type="dxa"/>
            <w:vAlign w:val="center"/>
          </w:tcPr>
          <w:p w:rsidR="005C3FF4" w:rsidRDefault="000A5A68">
            <w:pPr>
              <w:jc w:val="center"/>
            </w:pPr>
            <w:r>
              <w:rPr>
                <w:rFonts w:eastAsiaTheme="minorEastAsia"/>
                <w:color w:val="000000" w:themeColor="text1"/>
              </w:rPr>
              <w:t>-</w:t>
            </w:r>
          </w:p>
        </w:tc>
        <w:tc>
          <w:tcPr>
            <w:tcW w:w="1417" w:type="dxa"/>
            <w:vAlign w:val="center"/>
          </w:tcPr>
          <w:p w:rsidR="005C3FF4" w:rsidRDefault="000A5A68">
            <w:pPr>
              <w:jc w:val="center"/>
            </w:pPr>
            <w:r>
              <w:rPr>
                <w:rFonts w:eastAsiaTheme="minorEastAsia"/>
                <w:color w:val="000000" w:themeColor="text1"/>
              </w:rPr>
              <w:t>19</w:t>
            </w:r>
            <w:r>
              <w:rPr>
                <w:rFonts w:eastAsiaTheme="minorEastAsia"/>
                <w:color w:val="000000" w:themeColor="text1"/>
              </w:rPr>
              <w:t>年</w:t>
            </w:r>
          </w:p>
        </w:tc>
        <w:tc>
          <w:tcPr>
            <w:tcW w:w="2694" w:type="dxa"/>
            <w:vAlign w:val="center"/>
          </w:tcPr>
          <w:p w:rsidR="005C3FF4" w:rsidRDefault="000A5A68">
            <w:r>
              <w:rPr>
                <w:rFonts w:eastAsiaTheme="minorEastAsia"/>
                <w:color w:val="000000" w:themeColor="text1"/>
              </w:rPr>
              <w:t>基金经理杜猛先生，南京大学经济学硕士，先后任职于天同证券、中原证券、国信证券和中银国际证券，任研究员。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月起加入上投摩根基金管理有限公司，先后担任行业专家、基金经理助理、基金经理、总经理助理</w:t>
            </w:r>
            <w:r>
              <w:rPr>
                <w:rFonts w:eastAsiaTheme="minorEastAsia"/>
                <w:color w:val="000000" w:themeColor="text1"/>
              </w:rPr>
              <w:t>/</w:t>
            </w:r>
            <w:r>
              <w:rPr>
                <w:rFonts w:eastAsiaTheme="minorEastAsia"/>
                <w:color w:val="000000" w:themeColor="text1"/>
              </w:rPr>
              <w:t>国内权益投资一部总监兼资深基金经理，现担任副总经理兼投资总监。自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月起担任上投摩根新兴动力混合型证券投资基金基金经理，</w:t>
            </w:r>
            <w:r>
              <w:rPr>
                <w:rFonts w:eastAsiaTheme="minorEastAsia"/>
                <w:color w:val="000000" w:themeColor="text1"/>
              </w:rPr>
              <w:t>2013</w:t>
            </w:r>
            <w:r>
              <w:rPr>
                <w:rFonts w:eastAsiaTheme="minorEastAsia"/>
                <w:color w:val="000000" w:themeColor="text1"/>
              </w:rPr>
              <w:lastRenderedPageBreak/>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月同时担任上投摩根智选</w:t>
            </w:r>
            <w:r>
              <w:rPr>
                <w:rFonts w:eastAsiaTheme="minorEastAsia"/>
                <w:color w:val="000000" w:themeColor="text1"/>
              </w:rPr>
              <w:t>30</w:t>
            </w:r>
            <w:r>
              <w:rPr>
                <w:rFonts w:eastAsiaTheme="minorEastAsia"/>
                <w:color w:val="000000" w:themeColor="text1"/>
              </w:rPr>
              <w:t>混合型证券投资基金基金经理，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月同时担任上投摩根成长动力混合型证券投资基金基金经理，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月同时担任上投摩根内需动力混合型证券投资基金基金经理，自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月起同时担任上投摩根中国优势证券投资基金基金经理，自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月起同时担任上投摩根远见两年持有期混合型证券投资基金基金经理。</w:t>
            </w:r>
          </w:p>
        </w:tc>
      </w:tr>
    </w:tbl>
    <w:p w:rsidR="005C3FF4" w:rsidRDefault="000A5A6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5C3FF4" w:rsidRDefault="000A5A6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远见两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w:t>
      </w:r>
      <w:r>
        <w:rPr>
          <w:rFonts w:eastAsiaTheme="minorEastAsia"/>
          <w:color w:val="000000" w:themeColor="text1"/>
        </w:rPr>
        <w:lastRenderedPageBreak/>
        <w:t>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06738"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二季度市场处于震荡状态，创业板表现优良，科技类公司的景气仍在延伸。在此阶段，市场在担心通货膨胀是否会超预期，以及全球流动性是否会收紧，但是我们认为这并不是主要矛盾，经济的复苏和企业盈利的大幅上行对市场形成了较好的支撑。海外疫情仍在蔓延，新的变异新冠病毒传播甚广，对全球经济的复苏有一定的影响，我们也将重点关注。本基金基于长期成长的选股逻辑，重点投资了各产业中的优质公司，争取为投资者在中长期获得较好的超额收益。</w:t>
      </w:r>
    </w:p>
    <w:p w:rsidR="000A5A68" w:rsidRDefault="000A5A68" w:rsidP="000A5A68">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2021</w:t>
      </w:r>
      <w:r>
        <w:rPr>
          <w:rFonts w:eastAsiaTheme="minorEastAsia"/>
          <w:color w:val="000000" w:themeColor="text1"/>
        </w:rPr>
        <w:t>年，疫情仍在反复，但已经不构成主要的影响因素。</w:t>
      </w:r>
      <w:r>
        <w:rPr>
          <w:rFonts w:eastAsiaTheme="minorEastAsia"/>
          <w:color w:val="000000" w:themeColor="text1"/>
        </w:rPr>
        <w:t>2021</w:t>
      </w:r>
      <w:r>
        <w:rPr>
          <w:rFonts w:eastAsiaTheme="minorEastAsia"/>
          <w:color w:val="000000" w:themeColor="text1"/>
        </w:rPr>
        <w:t>年面临的不确定性来自于可能出现的通胀环境下的流动性恢复常态，但我们认为并不会对市场构成太大的冲击，市场上行的动力来自于上市公司盈利的增长，更主要的是全社会资产配置向权益市场的转移。</w:t>
      </w:r>
    </w:p>
    <w:p w:rsidR="000A5A68" w:rsidRDefault="000A5A68" w:rsidP="000A5A68">
      <w:pPr>
        <w:spacing w:line="360" w:lineRule="auto"/>
        <w:ind w:firstLineChars="200" w:firstLine="420"/>
        <w:rPr>
          <w:rFonts w:eastAsiaTheme="minorEastAsia"/>
          <w:color w:val="000000" w:themeColor="text1"/>
        </w:rPr>
      </w:pPr>
      <w:r>
        <w:rPr>
          <w:rFonts w:eastAsiaTheme="minorEastAsia"/>
          <w:color w:val="000000" w:themeColor="text1"/>
        </w:rPr>
        <w:t>对于</w:t>
      </w:r>
      <w:r>
        <w:rPr>
          <w:rFonts w:eastAsiaTheme="minorEastAsia"/>
          <w:color w:val="000000" w:themeColor="text1"/>
        </w:rPr>
        <w:t>2021</w:t>
      </w:r>
      <w:r>
        <w:rPr>
          <w:rFonts w:eastAsiaTheme="minorEastAsia"/>
          <w:color w:val="000000" w:themeColor="text1"/>
        </w:rPr>
        <w:t>年的股票市场，不用过度悲观也无须过度乐观。市场担心的主要是部分长期看好的优质公司的估值偏高，在流动性恢复常态的过程中可能出现估值下移的趋势。我们认为这一过程也许难以避免，估值和业绩增长的匹配是股票能否长期上行的必然规律。在此过程中，我们会严格的选择那些长期景气上行，估值和增长匹配度较高的公司进行中长期投资。</w:t>
      </w:r>
    </w:p>
    <w:p w:rsidR="000A5A68" w:rsidRPr="00FF6B9A" w:rsidRDefault="000A5A68" w:rsidP="000A5A68">
      <w:pPr>
        <w:spacing w:line="360" w:lineRule="auto"/>
        <w:ind w:firstLineChars="200" w:firstLine="420"/>
        <w:rPr>
          <w:rFonts w:eastAsiaTheme="minorEastAsia"/>
          <w:color w:val="000000" w:themeColor="text1"/>
        </w:rPr>
      </w:pPr>
      <w:r w:rsidRPr="00FF6B9A">
        <w:rPr>
          <w:rFonts w:eastAsiaTheme="minorEastAsia"/>
          <w:color w:val="000000" w:themeColor="text1"/>
        </w:rPr>
        <w:t>从更长期看，消费、医药、科技将成为中国未来</w:t>
      </w:r>
      <w:r w:rsidRPr="00FF6B9A">
        <w:rPr>
          <w:rFonts w:eastAsiaTheme="minorEastAsia"/>
          <w:color w:val="000000" w:themeColor="text1"/>
        </w:rPr>
        <w:t>10-20</w:t>
      </w:r>
      <w:r w:rsidRPr="00FF6B9A">
        <w:rPr>
          <w:rFonts w:eastAsiaTheme="minorEastAsia"/>
          <w:color w:val="000000" w:themeColor="text1"/>
        </w:rPr>
        <w:t>年经济增长的最大动力，证券市场最大的投资机会或将来源于此。我们将充分深入研究，寻找这些产业中长期成长的公司，力争为基金持有人创造持续稳定收益。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本报告期上投摩根远见两年持有期混合份额净值增长率为</w:t>
      </w:r>
      <w:r w:rsidRPr="00FF6B9A">
        <w:rPr>
          <w:rFonts w:eastAsiaTheme="minorEastAsia"/>
          <w:color w:val="000000" w:themeColor="text1"/>
        </w:rPr>
        <w:t>:14.15%</w:t>
      </w:r>
      <w:r w:rsidRPr="00FF6B9A">
        <w:rPr>
          <w:rFonts w:eastAsiaTheme="minorEastAsia"/>
          <w:color w:val="000000" w:themeColor="text1"/>
        </w:rPr>
        <w:t>，同期业绩比较基准</w:t>
      </w:r>
      <w:r w:rsidRPr="00FF6B9A">
        <w:rPr>
          <w:rFonts w:eastAsiaTheme="minorEastAsia"/>
          <w:color w:val="000000" w:themeColor="text1"/>
        </w:rPr>
        <w:lastRenderedPageBreak/>
        <w:t>收益率为</w:t>
      </w:r>
      <w:r w:rsidRPr="00FF6B9A">
        <w:rPr>
          <w:rFonts w:eastAsiaTheme="minorEastAsia"/>
          <w:color w:val="000000" w:themeColor="text1"/>
        </w:rPr>
        <w:t>:3.70%</w:t>
      </w:r>
      <w:r w:rsidRPr="00FF6B9A">
        <w:rPr>
          <w:rFonts w:eastAsiaTheme="minorEastAsia"/>
          <w:color w:val="000000" w:themeColor="text1"/>
        </w:rPr>
        <w:t>。</w:t>
      </w:r>
    </w:p>
    <w:p w:rsidR="00D06738" w:rsidRPr="00FF6B9A" w:rsidRDefault="00D06738">
      <w:pPr>
        <w:spacing w:line="360" w:lineRule="auto"/>
        <w:rPr>
          <w:rFonts w:eastAsiaTheme="minorEastAsia"/>
          <w:color w:val="000000" w:themeColor="text1"/>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w:t>
      </w:r>
      <w:r w:rsidR="005A17B5">
        <w:rPr>
          <w:rFonts w:eastAsiaTheme="minorEastAsia"/>
          <w:b/>
          <w:color w:val="000000" w:themeColor="text1"/>
          <w:kern w:val="0"/>
          <w:sz w:val="24"/>
          <w:szCs w:val="24"/>
        </w:rPr>
        <w:t>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5,942,254,395.84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90.58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5,942,254,395.84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90.58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555,266,520.36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8.46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62,929,542.09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6,560,450,458.29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181,765,192.32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2.78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31,590,466.00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0.48</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4,471,548,397.85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68.29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109,880,346.80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161,723.90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39,928,059.72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88,330.56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4,834,962,517.15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73.84</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5C3FF4" w:rsidRDefault="000A5A68">
            <w:pPr>
              <w:jc w:val="center"/>
            </w:pPr>
            <w:r>
              <w:rPr>
                <w:rFonts w:eastAsiaTheme="minorEastAsia"/>
                <w:color w:val="000000" w:themeColor="text1"/>
                <w:kern w:val="0"/>
              </w:rPr>
              <w:t>25,002,339.84</w:t>
            </w:r>
          </w:p>
        </w:tc>
        <w:tc>
          <w:tcPr>
            <w:tcW w:w="3118" w:type="dxa"/>
            <w:vAlign w:val="center"/>
          </w:tcPr>
          <w:p w:rsidR="005C3FF4" w:rsidRDefault="000A5A68">
            <w:pPr>
              <w:jc w:val="center"/>
            </w:pPr>
            <w:r>
              <w:rPr>
                <w:rFonts w:eastAsiaTheme="minorEastAsia"/>
                <w:color w:val="000000" w:themeColor="text1"/>
                <w:kern w:val="0"/>
              </w:rPr>
              <w:t>0.38</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5C3FF4" w:rsidRDefault="000A5A68">
            <w:pPr>
              <w:jc w:val="center"/>
            </w:pPr>
            <w:r>
              <w:rPr>
                <w:rFonts w:eastAsiaTheme="minorEastAsia"/>
                <w:color w:val="000000" w:themeColor="text1"/>
                <w:kern w:val="0"/>
              </w:rPr>
              <w:t>284,993,873.58</w:t>
            </w:r>
          </w:p>
        </w:tc>
        <w:tc>
          <w:tcPr>
            <w:tcW w:w="3118" w:type="dxa"/>
            <w:vAlign w:val="center"/>
          </w:tcPr>
          <w:p w:rsidR="005C3FF4" w:rsidRDefault="000A5A68">
            <w:pPr>
              <w:jc w:val="center"/>
            </w:pPr>
            <w:r>
              <w:rPr>
                <w:rFonts w:eastAsiaTheme="minorEastAsia"/>
                <w:color w:val="000000" w:themeColor="text1"/>
                <w:kern w:val="0"/>
              </w:rPr>
              <w:t>4.35</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5C3FF4" w:rsidRDefault="000A5A68">
            <w:pPr>
              <w:jc w:val="center"/>
            </w:pPr>
            <w:r>
              <w:rPr>
                <w:rFonts w:eastAsiaTheme="minorEastAsia"/>
                <w:color w:val="000000" w:themeColor="text1"/>
                <w:kern w:val="0"/>
              </w:rPr>
              <w:t>797,295,665.27</w:t>
            </w:r>
          </w:p>
        </w:tc>
        <w:tc>
          <w:tcPr>
            <w:tcW w:w="3118" w:type="dxa"/>
            <w:vAlign w:val="center"/>
          </w:tcPr>
          <w:p w:rsidR="005C3FF4" w:rsidRDefault="000A5A68">
            <w:pPr>
              <w:jc w:val="center"/>
            </w:pPr>
            <w:r>
              <w:rPr>
                <w:rFonts w:eastAsiaTheme="minorEastAsia"/>
                <w:color w:val="000000" w:themeColor="text1"/>
                <w:kern w:val="0"/>
              </w:rPr>
              <w:t>12.18</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5C3FF4">
        <w:trPr>
          <w:jc w:val="center"/>
        </w:trPr>
        <w:tc>
          <w:tcPr>
            <w:tcW w:w="2397" w:type="dxa"/>
            <w:vAlign w:val="center"/>
          </w:tcPr>
          <w:p w:rsidR="005C3FF4" w:rsidRDefault="000A5A68">
            <w:pPr>
              <w:jc w:val="center"/>
            </w:pPr>
            <w:r>
              <w:rPr>
                <w:rFonts w:eastAsiaTheme="minorEastAsia"/>
                <w:color w:val="000000" w:themeColor="text1"/>
                <w:kern w:val="0"/>
              </w:rPr>
              <w:t xml:space="preserve">K </w:t>
            </w:r>
            <w:r>
              <w:rPr>
                <w:rFonts w:eastAsiaTheme="minorEastAsia"/>
                <w:color w:val="000000" w:themeColor="text1"/>
                <w:kern w:val="0"/>
              </w:rPr>
              <w:t>房地产</w:t>
            </w:r>
          </w:p>
        </w:tc>
        <w:tc>
          <w:tcPr>
            <w:tcW w:w="3119" w:type="dxa"/>
            <w:vAlign w:val="center"/>
          </w:tcPr>
          <w:p w:rsidR="005C3FF4" w:rsidRDefault="000A5A68">
            <w:pPr>
              <w:jc w:val="center"/>
            </w:pPr>
            <w:r>
              <w:rPr>
                <w:rFonts w:eastAsiaTheme="minorEastAsia"/>
                <w:color w:val="000000" w:themeColor="text1"/>
                <w:kern w:val="0"/>
              </w:rPr>
              <w:t>-</w:t>
            </w:r>
          </w:p>
        </w:tc>
        <w:tc>
          <w:tcPr>
            <w:tcW w:w="3118" w:type="dxa"/>
            <w:vAlign w:val="center"/>
          </w:tcPr>
          <w:p w:rsidR="005C3FF4" w:rsidRDefault="000A5A68">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1,107,291,878.69</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16.91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lastRenderedPageBreak/>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C3FF4">
        <w:tc>
          <w:tcPr>
            <w:tcW w:w="817" w:type="dxa"/>
            <w:vAlign w:val="center"/>
          </w:tcPr>
          <w:p w:rsidR="005C3FF4" w:rsidRDefault="000A5A68">
            <w:pPr>
              <w:jc w:val="center"/>
            </w:pPr>
            <w:r>
              <w:rPr>
                <w:rFonts w:eastAsiaTheme="minorEastAsia"/>
                <w:kern w:val="0"/>
                <w:sz w:val="24"/>
                <w:szCs w:val="24"/>
              </w:rPr>
              <w:t>1</w:t>
            </w:r>
          </w:p>
        </w:tc>
        <w:tc>
          <w:tcPr>
            <w:tcW w:w="1276" w:type="dxa"/>
            <w:vAlign w:val="center"/>
          </w:tcPr>
          <w:p w:rsidR="005C3FF4" w:rsidRDefault="000A5A68">
            <w:pPr>
              <w:jc w:val="center"/>
            </w:pPr>
            <w:r>
              <w:rPr>
                <w:rFonts w:eastAsiaTheme="minorEastAsia"/>
                <w:kern w:val="0"/>
                <w:sz w:val="24"/>
                <w:szCs w:val="24"/>
              </w:rPr>
              <w:t>00700</w:t>
            </w:r>
          </w:p>
        </w:tc>
        <w:tc>
          <w:tcPr>
            <w:tcW w:w="1701" w:type="dxa"/>
            <w:vAlign w:val="center"/>
          </w:tcPr>
          <w:p w:rsidR="005C3FF4" w:rsidRDefault="000A5A68">
            <w:pPr>
              <w:jc w:val="center"/>
            </w:pPr>
            <w:r>
              <w:rPr>
                <w:rFonts w:eastAsiaTheme="minorEastAsia"/>
                <w:kern w:val="0"/>
                <w:sz w:val="24"/>
                <w:szCs w:val="24"/>
              </w:rPr>
              <w:t>腾讯控股</w:t>
            </w:r>
          </w:p>
        </w:tc>
        <w:tc>
          <w:tcPr>
            <w:tcW w:w="1276" w:type="dxa"/>
            <w:vAlign w:val="center"/>
          </w:tcPr>
          <w:p w:rsidR="005C3FF4" w:rsidRDefault="000A5A68">
            <w:pPr>
              <w:jc w:val="right"/>
            </w:pPr>
            <w:r>
              <w:rPr>
                <w:rFonts w:eastAsiaTheme="minorEastAsia"/>
                <w:kern w:val="0"/>
                <w:sz w:val="24"/>
                <w:szCs w:val="24"/>
              </w:rPr>
              <w:t>1,053,200.00</w:t>
            </w:r>
          </w:p>
        </w:tc>
        <w:tc>
          <w:tcPr>
            <w:tcW w:w="1842" w:type="dxa"/>
            <w:vAlign w:val="center"/>
          </w:tcPr>
          <w:p w:rsidR="005C3FF4" w:rsidRDefault="000A5A68">
            <w:pPr>
              <w:jc w:val="right"/>
            </w:pPr>
            <w:r>
              <w:rPr>
                <w:rFonts w:eastAsiaTheme="minorEastAsia"/>
                <w:kern w:val="0"/>
                <w:sz w:val="24"/>
                <w:szCs w:val="24"/>
              </w:rPr>
              <w:t>511,786,447.10</w:t>
            </w:r>
          </w:p>
        </w:tc>
        <w:tc>
          <w:tcPr>
            <w:tcW w:w="1616" w:type="dxa"/>
            <w:vAlign w:val="center"/>
          </w:tcPr>
          <w:p w:rsidR="005C3FF4" w:rsidRDefault="000A5A68">
            <w:pPr>
              <w:jc w:val="right"/>
            </w:pPr>
            <w:r>
              <w:rPr>
                <w:rFonts w:eastAsiaTheme="minorEastAsia"/>
                <w:kern w:val="0"/>
                <w:sz w:val="24"/>
                <w:szCs w:val="24"/>
              </w:rPr>
              <w:t>7.82</w:t>
            </w:r>
          </w:p>
        </w:tc>
      </w:tr>
      <w:tr w:rsidR="005C3FF4">
        <w:tc>
          <w:tcPr>
            <w:tcW w:w="817" w:type="dxa"/>
            <w:vAlign w:val="center"/>
          </w:tcPr>
          <w:p w:rsidR="005C3FF4" w:rsidRDefault="000A5A68">
            <w:pPr>
              <w:jc w:val="center"/>
            </w:pPr>
            <w:r>
              <w:rPr>
                <w:rFonts w:eastAsiaTheme="minorEastAsia"/>
                <w:kern w:val="0"/>
                <w:sz w:val="24"/>
                <w:szCs w:val="24"/>
              </w:rPr>
              <w:t>2</w:t>
            </w:r>
          </w:p>
        </w:tc>
        <w:tc>
          <w:tcPr>
            <w:tcW w:w="1276" w:type="dxa"/>
            <w:vAlign w:val="center"/>
          </w:tcPr>
          <w:p w:rsidR="005C3FF4" w:rsidRDefault="000A5A68">
            <w:pPr>
              <w:jc w:val="center"/>
            </w:pPr>
            <w:r>
              <w:rPr>
                <w:rFonts w:eastAsiaTheme="minorEastAsia"/>
                <w:kern w:val="0"/>
                <w:sz w:val="24"/>
                <w:szCs w:val="24"/>
              </w:rPr>
              <w:t>601012</w:t>
            </w:r>
          </w:p>
        </w:tc>
        <w:tc>
          <w:tcPr>
            <w:tcW w:w="1701" w:type="dxa"/>
            <w:vAlign w:val="center"/>
          </w:tcPr>
          <w:p w:rsidR="005C3FF4" w:rsidRDefault="000A5A68">
            <w:pPr>
              <w:jc w:val="center"/>
            </w:pPr>
            <w:r>
              <w:rPr>
                <w:rFonts w:eastAsiaTheme="minorEastAsia"/>
                <w:kern w:val="0"/>
                <w:sz w:val="24"/>
                <w:szCs w:val="24"/>
              </w:rPr>
              <w:t>隆基股份</w:t>
            </w:r>
          </w:p>
        </w:tc>
        <w:tc>
          <w:tcPr>
            <w:tcW w:w="1276" w:type="dxa"/>
            <w:vAlign w:val="center"/>
          </w:tcPr>
          <w:p w:rsidR="005C3FF4" w:rsidRDefault="000A5A68">
            <w:pPr>
              <w:jc w:val="right"/>
            </w:pPr>
            <w:r>
              <w:rPr>
                <w:rFonts w:eastAsiaTheme="minorEastAsia"/>
                <w:kern w:val="0"/>
                <w:sz w:val="24"/>
                <w:szCs w:val="24"/>
              </w:rPr>
              <w:t>5,281,738.00</w:t>
            </w:r>
          </w:p>
        </w:tc>
        <w:tc>
          <w:tcPr>
            <w:tcW w:w="1842" w:type="dxa"/>
            <w:vAlign w:val="center"/>
          </w:tcPr>
          <w:p w:rsidR="005C3FF4" w:rsidRDefault="000A5A68">
            <w:pPr>
              <w:jc w:val="right"/>
            </w:pPr>
            <w:r>
              <w:rPr>
                <w:rFonts w:eastAsiaTheme="minorEastAsia"/>
                <w:kern w:val="0"/>
                <w:sz w:val="24"/>
                <w:szCs w:val="24"/>
              </w:rPr>
              <w:t>469,229,603.92</w:t>
            </w:r>
          </w:p>
        </w:tc>
        <w:tc>
          <w:tcPr>
            <w:tcW w:w="1616" w:type="dxa"/>
            <w:vAlign w:val="center"/>
          </w:tcPr>
          <w:p w:rsidR="005C3FF4" w:rsidRDefault="000A5A68">
            <w:pPr>
              <w:jc w:val="right"/>
            </w:pPr>
            <w:r>
              <w:rPr>
                <w:rFonts w:eastAsiaTheme="minorEastAsia"/>
                <w:kern w:val="0"/>
                <w:sz w:val="24"/>
                <w:szCs w:val="24"/>
              </w:rPr>
              <w:t>7.17</w:t>
            </w:r>
          </w:p>
        </w:tc>
      </w:tr>
      <w:tr w:rsidR="005C3FF4">
        <w:tc>
          <w:tcPr>
            <w:tcW w:w="817" w:type="dxa"/>
            <w:vAlign w:val="center"/>
          </w:tcPr>
          <w:p w:rsidR="005C3FF4" w:rsidRDefault="000A5A68">
            <w:pPr>
              <w:jc w:val="center"/>
            </w:pPr>
            <w:r>
              <w:rPr>
                <w:rFonts w:eastAsiaTheme="minorEastAsia"/>
                <w:kern w:val="0"/>
                <w:sz w:val="24"/>
                <w:szCs w:val="24"/>
              </w:rPr>
              <w:t>3</w:t>
            </w:r>
          </w:p>
        </w:tc>
        <w:tc>
          <w:tcPr>
            <w:tcW w:w="1276" w:type="dxa"/>
            <w:vAlign w:val="center"/>
          </w:tcPr>
          <w:p w:rsidR="005C3FF4" w:rsidRDefault="000A5A68">
            <w:pPr>
              <w:jc w:val="center"/>
            </w:pPr>
            <w:r>
              <w:rPr>
                <w:rFonts w:eastAsiaTheme="minorEastAsia"/>
                <w:kern w:val="0"/>
                <w:sz w:val="24"/>
                <w:szCs w:val="24"/>
              </w:rPr>
              <w:t>688169</w:t>
            </w:r>
          </w:p>
        </w:tc>
        <w:tc>
          <w:tcPr>
            <w:tcW w:w="1701" w:type="dxa"/>
            <w:vAlign w:val="center"/>
          </w:tcPr>
          <w:p w:rsidR="005C3FF4" w:rsidRDefault="000A5A68">
            <w:pPr>
              <w:jc w:val="center"/>
            </w:pPr>
            <w:r>
              <w:rPr>
                <w:rFonts w:eastAsiaTheme="minorEastAsia"/>
                <w:kern w:val="0"/>
                <w:sz w:val="24"/>
                <w:szCs w:val="24"/>
              </w:rPr>
              <w:t>石头科技</w:t>
            </w:r>
          </w:p>
        </w:tc>
        <w:tc>
          <w:tcPr>
            <w:tcW w:w="1276" w:type="dxa"/>
            <w:vAlign w:val="center"/>
          </w:tcPr>
          <w:p w:rsidR="005C3FF4" w:rsidRDefault="000A5A68">
            <w:pPr>
              <w:jc w:val="right"/>
            </w:pPr>
            <w:r>
              <w:rPr>
                <w:rFonts w:eastAsiaTheme="minorEastAsia"/>
                <w:kern w:val="0"/>
                <w:sz w:val="24"/>
                <w:szCs w:val="24"/>
              </w:rPr>
              <w:t>333,279.00</w:t>
            </w:r>
          </w:p>
        </w:tc>
        <w:tc>
          <w:tcPr>
            <w:tcW w:w="1842" w:type="dxa"/>
            <w:vAlign w:val="center"/>
          </w:tcPr>
          <w:p w:rsidR="005C3FF4" w:rsidRDefault="000A5A68">
            <w:pPr>
              <w:jc w:val="right"/>
            </w:pPr>
            <w:r>
              <w:rPr>
                <w:rFonts w:eastAsiaTheme="minorEastAsia"/>
                <w:kern w:val="0"/>
                <w:sz w:val="24"/>
                <w:szCs w:val="24"/>
              </w:rPr>
              <w:t>420,264,819.00</w:t>
            </w:r>
          </w:p>
        </w:tc>
        <w:tc>
          <w:tcPr>
            <w:tcW w:w="1616" w:type="dxa"/>
            <w:vAlign w:val="center"/>
          </w:tcPr>
          <w:p w:rsidR="005C3FF4" w:rsidRDefault="000A5A68">
            <w:pPr>
              <w:jc w:val="right"/>
            </w:pPr>
            <w:r>
              <w:rPr>
                <w:rFonts w:eastAsiaTheme="minorEastAsia"/>
                <w:kern w:val="0"/>
                <w:sz w:val="24"/>
                <w:szCs w:val="24"/>
              </w:rPr>
              <w:t>6.42</w:t>
            </w:r>
          </w:p>
        </w:tc>
      </w:tr>
      <w:tr w:rsidR="005C3FF4">
        <w:tc>
          <w:tcPr>
            <w:tcW w:w="817" w:type="dxa"/>
            <w:vAlign w:val="center"/>
          </w:tcPr>
          <w:p w:rsidR="005C3FF4" w:rsidRDefault="000A5A68">
            <w:pPr>
              <w:jc w:val="center"/>
            </w:pPr>
            <w:r>
              <w:rPr>
                <w:rFonts w:eastAsiaTheme="minorEastAsia"/>
                <w:kern w:val="0"/>
                <w:sz w:val="24"/>
                <w:szCs w:val="24"/>
              </w:rPr>
              <w:t>4</w:t>
            </w:r>
          </w:p>
        </w:tc>
        <w:tc>
          <w:tcPr>
            <w:tcW w:w="1276" w:type="dxa"/>
            <w:vAlign w:val="center"/>
          </w:tcPr>
          <w:p w:rsidR="005C3FF4" w:rsidRDefault="000A5A68">
            <w:pPr>
              <w:jc w:val="center"/>
            </w:pPr>
            <w:r>
              <w:rPr>
                <w:rFonts w:eastAsiaTheme="minorEastAsia"/>
                <w:kern w:val="0"/>
                <w:sz w:val="24"/>
                <w:szCs w:val="24"/>
              </w:rPr>
              <w:t>300390</w:t>
            </w:r>
          </w:p>
        </w:tc>
        <w:tc>
          <w:tcPr>
            <w:tcW w:w="1701" w:type="dxa"/>
            <w:vAlign w:val="center"/>
          </w:tcPr>
          <w:p w:rsidR="005C3FF4" w:rsidRDefault="000A5A68">
            <w:pPr>
              <w:jc w:val="center"/>
            </w:pPr>
            <w:r>
              <w:rPr>
                <w:rFonts w:eastAsiaTheme="minorEastAsia"/>
                <w:kern w:val="0"/>
                <w:sz w:val="24"/>
                <w:szCs w:val="24"/>
              </w:rPr>
              <w:t>天华超净</w:t>
            </w:r>
          </w:p>
        </w:tc>
        <w:tc>
          <w:tcPr>
            <w:tcW w:w="1276" w:type="dxa"/>
            <w:vAlign w:val="center"/>
          </w:tcPr>
          <w:p w:rsidR="005C3FF4" w:rsidRDefault="000A5A68">
            <w:pPr>
              <w:jc w:val="right"/>
            </w:pPr>
            <w:r>
              <w:rPr>
                <w:rFonts w:eastAsiaTheme="minorEastAsia"/>
                <w:kern w:val="0"/>
                <w:sz w:val="24"/>
                <w:szCs w:val="24"/>
              </w:rPr>
              <w:t>7,711,756.00</w:t>
            </w:r>
          </w:p>
        </w:tc>
        <w:tc>
          <w:tcPr>
            <w:tcW w:w="1842" w:type="dxa"/>
            <w:vAlign w:val="center"/>
          </w:tcPr>
          <w:p w:rsidR="005C3FF4" w:rsidRDefault="000A5A68">
            <w:pPr>
              <w:jc w:val="right"/>
            </w:pPr>
            <w:r>
              <w:rPr>
                <w:rFonts w:eastAsiaTheme="minorEastAsia"/>
                <w:kern w:val="0"/>
                <w:sz w:val="24"/>
                <w:szCs w:val="24"/>
              </w:rPr>
              <w:t>362,640,373.68</w:t>
            </w:r>
          </w:p>
        </w:tc>
        <w:tc>
          <w:tcPr>
            <w:tcW w:w="1616" w:type="dxa"/>
            <w:vAlign w:val="center"/>
          </w:tcPr>
          <w:p w:rsidR="005C3FF4" w:rsidRDefault="000A5A68">
            <w:pPr>
              <w:jc w:val="right"/>
            </w:pPr>
            <w:r>
              <w:rPr>
                <w:rFonts w:eastAsiaTheme="minorEastAsia"/>
                <w:kern w:val="0"/>
                <w:sz w:val="24"/>
                <w:szCs w:val="24"/>
              </w:rPr>
              <w:t>5.54</w:t>
            </w:r>
          </w:p>
        </w:tc>
      </w:tr>
      <w:tr w:rsidR="005C3FF4">
        <w:tc>
          <w:tcPr>
            <w:tcW w:w="817" w:type="dxa"/>
            <w:vAlign w:val="center"/>
          </w:tcPr>
          <w:p w:rsidR="005C3FF4" w:rsidRDefault="000A5A68">
            <w:pPr>
              <w:jc w:val="center"/>
            </w:pPr>
            <w:r>
              <w:rPr>
                <w:rFonts w:eastAsiaTheme="minorEastAsia"/>
                <w:kern w:val="0"/>
                <w:sz w:val="24"/>
                <w:szCs w:val="24"/>
              </w:rPr>
              <w:t>5</w:t>
            </w:r>
          </w:p>
        </w:tc>
        <w:tc>
          <w:tcPr>
            <w:tcW w:w="1276" w:type="dxa"/>
            <w:vAlign w:val="center"/>
          </w:tcPr>
          <w:p w:rsidR="005C3FF4" w:rsidRDefault="000A5A68">
            <w:pPr>
              <w:jc w:val="center"/>
            </w:pPr>
            <w:r>
              <w:rPr>
                <w:rFonts w:eastAsiaTheme="minorEastAsia"/>
                <w:kern w:val="0"/>
                <w:sz w:val="24"/>
                <w:szCs w:val="24"/>
              </w:rPr>
              <w:t>300014</w:t>
            </w:r>
          </w:p>
        </w:tc>
        <w:tc>
          <w:tcPr>
            <w:tcW w:w="1701" w:type="dxa"/>
            <w:vAlign w:val="center"/>
          </w:tcPr>
          <w:p w:rsidR="005C3FF4" w:rsidRDefault="000A5A68">
            <w:pPr>
              <w:jc w:val="center"/>
            </w:pPr>
            <w:r>
              <w:rPr>
                <w:rFonts w:eastAsiaTheme="minorEastAsia"/>
                <w:kern w:val="0"/>
                <w:sz w:val="24"/>
                <w:szCs w:val="24"/>
              </w:rPr>
              <w:t>亿纬锂能</w:t>
            </w:r>
          </w:p>
        </w:tc>
        <w:tc>
          <w:tcPr>
            <w:tcW w:w="1276" w:type="dxa"/>
            <w:vAlign w:val="center"/>
          </w:tcPr>
          <w:p w:rsidR="005C3FF4" w:rsidRDefault="000A5A68">
            <w:pPr>
              <w:jc w:val="right"/>
            </w:pPr>
            <w:r>
              <w:rPr>
                <w:rFonts w:eastAsiaTheme="minorEastAsia"/>
                <w:kern w:val="0"/>
                <w:sz w:val="24"/>
                <w:szCs w:val="24"/>
              </w:rPr>
              <w:t>3,455,927.00</w:t>
            </w:r>
          </w:p>
        </w:tc>
        <w:tc>
          <w:tcPr>
            <w:tcW w:w="1842" w:type="dxa"/>
            <w:vAlign w:val="center"/>
          </w:tcPr>
          <w:p w:rsidR="005C3FF4" w:rsidRDefault="000A5A68">
            <w:pPr>
              <w:jc w:val="right"/>
            </w:pPr>
            <w:r>
              <w:rPr>
                <w:rFonts w:eastAsiaTheme="minorEastAsia"/>
                <w:kern w:val="0"/>
                <w:sz w:val="24"/>
                <w:szCs w:val="24"/>
              </w:rPr>
              <w:t>359,174,493.11</w:t>
            </w:r>
          </w:p>
        </w:tc>
        <w:tc>
          <w:tcPr>
            <w:tcW w:w="1616" w:type="dxa"/>
            <w:vAlign w:val="center"/>
          </w:tcPr>
          <w:p w:rsidR="005C3FF4" w:rsidRDefault="000A5A68">
            <w:pPr>
              <w:jc w:val="right"/>
            </w:pPr>
            <w:r>
              <w:rPr>
                <w:rFonts w:eastAsiaTheme="minorEastAsia"/>
                <w:kern w:val="0"/>
                <w:sz w:val="24"/>
                <w:szCs w:val="24"/>
              </w:rPr>
              <w:t>5.49</w:t>
            </w:r>
          </w:p>
        </w:tc>
      </w:tr>
      <w:tr w:rsidR="005C3FF4">
        <w:tc>
          <w:tcPr>
            <w:tcW w:w="817" w:type="dxa"/>
            <w:vAlign w:val="center"/>
          </w:tcPr>
          <w:p w:rsidR="005C3FF4" w:rsidRDefault="000A5A68">
            <w:pPr>
              <w:jc w:val="center"/>
            </w:pPr>
            <w:r>
              <w:rPr>
                <w:rFonts w:eastAsiaTheme="minorEastAsia"/>
                <w:kern w:val="0"/>
                <w:sz w:val="24"/>
                <w:szCs w:val="24"/>
              </w:rPr>
              <w:t>6</w:t>
            </w:r>
          </w:p>
        </w:tc>
        <w:tc>
          <w:tcPr>
            <w:tcW w:w="1276" w:type="dxa"/>
            <w:vAlign w:val="center"/>
          </w:tcPr>
          <w:p w:rsidR="005C3FF4" w:rsidRDefault="000A5A68">
            <w:pPr>
              <w:jc w:val="center"/>
            </w:pPr>
            <w:r>
              <w:rPr>
                <w:rFonts w:eastAsiaTheme="minorEastAsia"/>
                <w:kern w:val="0"/>
                <w:sz w:val="24"/>
                <w:szCs w:val="24"/>
              </w:rPr>
              <w:t>002236</w:t>
            </w:r>
          </w:p>
        </w:tc>
        <w:tc>
          <w:tcPr>
            <w:tcW w:w="1701" w:type="dxa"/>
            <w:vAlign w:val="center"/>
          </w:tcPr>
          <w:p w:rsidR="005C3FF4" w:rsidRDefault="000A5A68">
            <w:pPr>
              <w:jc w:val="center"/>
            </w:pPr>
            <w:r>
              <w:rPr>
                <w:rFonts w:eastAsiaTheme="minorEastAsia"/>
                <w:kern w:val="0"/>
                <w:sz w:val="24"/>
                <w:szCs w:val="24"/>
              </w:rPr>
              <w:t>大华股份</w:t>
            </w:r>
          </w:p>
        </w:tc>
        <w:tc>
          <w:tcPr>
            <w:tcW w:w="1276" w:type="dxa"/>
            <w:vAlign w:val="center"/>
          </w:tcPr>
          <w:p w:rsidR="005C3FF4" w:rsidRDefault="000A5A68">
            <w:pPr>
              <w:jc w:val="right"/>
            </w:pPr>
            <w:r>
              <w:rPr>
                <w:rFonts w:eastAsiaTheme="minorEastAsia"/>
                <w:kern w:val="0"/>
                <w:sz w:val="24"/>
                <w:szCs w:val="24"/>
              </w:rPr>
              <w:t>13,617,248.00</w:t>
            </w:r>
          </w:p>
        </w:tc>
        <w:tc>
          <w:tcPr>
            <w:tcW w:w="1842" w:type="dxa"/>
            <w:vAlign w:val="center"/>
          </w:tcPr>
          <w:p w:rsidR="005C3FF4" w:rsidRDefault="000A5A68">
            <w:pPr>
              <w:jc w:val="right"/>
            </w:pPr>
            <w:r>
              <w:rPr>
                <w:rFonts w:eastAsiaTheme="minorEastAsia"/>
                <w:kern w:val="0"/>
                <w:sz w:val="24"/>
                <w:szCs w:val="24"/>
              </w:rPr>
              <w:t>287,323,932.80</w:t>
            </w:r>
          </w:p>
        </w:tc>
        <w:tc>
          <w:tcPr>
            <w:tcW w:w="1616" w:type="dxa"/>
            <w:vAlign w:val="center"/>
          </w:tcPr>
          <w:p w:rsidR="005C3FF4" w:rsidRDefault="000A5A68">
            <w:pPr>
              <w:jc w:val="right"/>
            </w:pPr>
            <w:r>
              <w:rPr>
                <w:rFonts w:eastAsiaTheme="minorEastAsia"/>
                <w:kern w:val="0"/>
                <w:sz w:val="24"/>
                <w:szCs w:val="24"/>
              </w:rPr>
              <w:t>4.39</w:t>
            </w:r>
          </w:p>
        </w:tc>
      </w:tr>
      <w:tr w:rsidR="005C3FF4">
        <w:tc>
          <w:tcPr>
            <w:tcW w:w="817" w:type="dxa"/>
            <w:vAlign w:val="center"/>
          </w:tcPr>
          <w:p w:rsidR="005C3FF4" w:rsidRDefault="000A5A68">
            <w:pPr>
              <w:jc w:val="center"/>
            </w:pPr>
            <w:r>
              <w:rPr>
                <w:rFonts w:eastAsiaTheme="minorEastAsia"/>
                <w:kern w:val="0"/>
                <w:sz w:val="24"/>
                <w:szCs w:val="24"/>
              </w:rPr>
              <w:t>7</w:t>
            </w:r>
          </w:p>
        </w:tc>
        <w:tc>
          <w:tcPr>
            <w:tcW w:w="1276" w:type="dxa"/>
            <w:vAlign w:val="center"/>
          </w:tcPr>
          <w:p w:rsidR="005C3FF4" w:rsidRDefault="000A5A68">
            <w:pPr>
              <w:jc w:val="center"/>
            </w:pPr>
            <w:r>
              <w:rPr>
                <w:rFonts w:eastAsiaTheme="minorEastAsia"/>
                <w:kern w:val="0"/>
                <w:sz w:val="24"/>
                <w:szCs w:val="24"/>
              </w:rPr>
              <w:t>00941</w:t>
            </w:r>
          </w:p>
        </w:tc>
        <w:tc>
          <w:tcPr>
            <w:tcW w:w="1701" w:type="dxa"/>
            <w:vAlign w:val="center"/>
          </w:tcPr>
          <w:p w:rsidR="005C3FF4" w:rsidRDefault="000A5A68">
            <w:pPr>
              <w:jc w:val="center"/>
            </w:pPr>
            <w:r>
              <w:rPr>
                <w:rFonts w:eastAsiaTheme="minorEastAsia"/>
                <w:kern w:val="0"/>
                <w:sz w:val="24"/>
                <w:szCs w:val="24"/>
              </w:rPr>
              <w:t>中国移动</w:t>
            </w:r>
          </w:p>
        </w:tc>
        <w:tc>
          <w:tcPr>
            <w:tcW w:w="1276" w:type="dxa"/>
            <w:vAlign w:val="center"/>
          </w:tcPr>
          <w:p w:rsidR="005C3FF4" w:rsidRDefault="000A5A68">
            <w:pPr>
              <w:jc w:val="right"/>
            </w:pPr>
            <w:r>
              <w:rPr>
                <w:rFonts w:eastAsiaTheme="minorEastAsia"/>
                <w:kern w:val="0"/>
                <w:sz w:val="24"/>
                <w:szCs w:val="24"/>
              </w:rPr>
              <w:t>7,067,500.00</w:t>
            </w:r>
          </w:p>
        </w:tc>
        <w:tc>
          <w:tcPr>
            <w:tcW w:w="1842" w:type="dxa"/>
            <w:vAlign w:val="center"/>
          </w:tcPr>
          <w:p w:rsidR="005C3FF4" w:rsidRDefault="000A5A68">
            <w:pPr>
              <w:jc w:val="right"/>
            </w:pPr>
            <w:r>
              <w:rPr>
                <w:rFonts w:eastAsiaTheme="minorEastAsia"/>
                <w:kern w:val="0"/>
                <w:sz w:val="24"/>
                <w:szCs w:val="24"/>
              </w:rPr>
              <w:t>285,509,218.17</w:t>
            </w:r>
          </w:p>
        </w:tc>
        <w:tc>
          <w:tcPr>
            <w:tcW w:w="1616" w:type="dxa"/>
            <w:vAlign w:val="center"/>
          </w:tcPr>
          <w:p w:rsidR="005C3FF4" w:rsidRDefault="000A5A68">
            <w:pPr>
              <w:jc w:val="right"/>
            </w:pPr>
            <w:r>
              <w:rPr>
                <w:rFonts w:eastAsiaTheme="minorEastAsia"/>
                <w:kern w:val="0"/>
                <w:sz w:val="24"/>
                <w:szCs w:val="24"/>
              </w:rPr>
              <w:t>4.36</w:t>
            </w:r>
          </w:p>
        </w:tc>
      </w:tr>
      <w:tr w:rsidR="005C3FF4">
        <w:tc>
          <w:tcPr>
            <w:tcW w:w="817" w:type="dxa"/>
            <w:vAlign w:val="center"/>
          </w:tcPr>
          <w:p w:rsidR="005C3FF4" w:rsidRDefault="000A5A68">
            <w:pPr>
              <w:jc w:val="center"/>
            </w:pPr>
            <w:r>
              <w:rPr>
                <w:rFonts w:eastAsiaTheme="minorEastAsia"/>
                <w:kern w:val="0"/>
                <w:sz w:val="24"/>
                <w:szCs w:val="24"/>
              </w:rPr>
              <w:t>8</w:t>
            </w:r>
          </w:p>
        </w:tc>
        <w:tc>
          <w:tcPr>
            <w:tcW w:w="1276" w:type="dxa"/>
            <w:vAlign w:val="center"/>
          </w:tcPr>
          <w:p w:rsidR="005C3FF4" w:rsidRDefault="000A5A68">
            <w:pPr>
              <w:jc w:val="center"/>
            </w:pPr>
            <w:r>
              <w:rPr>
                <w:rFonts w:eastAsiaTheme="minorEastAsia"/>
                <w:kern w:val="0"/>
                <w:sz w:val="24"/>
                <w:szCs w:val="24"/>
              </w:rPr>
              <w:t>603799</w:t>
            </w:r>
          </w:p>
        </w:tc>
        <w:tc>
          <w:tcPr>
            <w:tcW w:w="1701" w:type="dxa"/>
            <w:vAlign w:val="center"/>
          </w:tcPr>
          <w:p w:rsidR="005C3FF4" w:rsidRDefault="000A5A68">
            <w:pPr>
              <w:jc w:val="center"/>
            </w:pPr>
            <w:r>
              <w:rPr>
                <w:rFonts w:eastAsiaTheme="minorEastAsia"/>
                <w:kern w:val="0"/>
                <w:sz w:val="24"/>
                <w:szCs w:val="24"/>
              </w:rPr>
              <w:t>华友钴业</w:t>
            </w:r>
          </w:p>
        </w:tc>
        <w:tc>
          <w:tcPr>
            <w:tcW w:w="1276" w:type="dxa"/>
            <w:vAlign w:val="center"/>
          </w:tcPr>
          <w:p w:rsidR="005C3FF4" w:rsidRDefault="000A5A68">
            <w:pPr>
              <w:jc w:val="right"/>
            </w:pPr>
            <w:r>
              <w:rPr>
                <w:rFonts w:eastAsiaTheme="minorEastAsia"/>
                <w:kern w:val="0"/>
                <w:sz w:val="24"/>
                <w:szCs w:val="24"/>
              </w:rPr>
              <w:t>2,411,865.00</w:t>
            </w:r>
          </w:p>
        </w:tc>
        <w:tc>
          <w:tcPr>
            <w:tcW w:w="1842" w:type="dxa"/>
            <w:vAlign w:val="center"/>
          </w:tcPr>
          <w:p w:rsidR="005C3FF4" w:rsidRDefault="000A5A68">
            <w:pPr>
              <w:jc w:val="right"/>
            </w:pPr>
            <w:r>
              <w:rPr>
                <w:rFonts w:eastAsiaTheme="minorEastAsia"/>
                <w:kern w:val="0"/>
                <w:sz w:val="24"/>
                <w:szCs w:val="24"/>
              </w:rPr>
              <w:t>273,627,795.94</w:t>
            </w:r>
          </w:p>
        </w:tc>
        <w:tc>
          <w:tcPr>
            <w:tcW w:w="1616" w:type="dxa"/>
            <w:vAlign w:val="center"/>
          </w:tcPr>
          <w:p w:rsidR="005C3FF4" w:rsidRDefault="000A5A68">
            <w:pPr>
              <w:jc w:val="right"/>
            </w:pPr>
            <w:r>
              <w:rPr>
                <w:rFonts w:eastAsiaTheme="minorEastAsia"/>
                <w:kern w:val="0"/>
                <w:sz w:val="24"/>
                <w:szCs w:val="24"/>
              </w:rPr>
              <w:t>4.18</w:t>
            </w:r>
          </w:p>
        </w:tc>
      </w:tr>
      <w:tr w:rsidR="005C3FF4">
        <w:tc>
          <w:tcPr>
            <w:tcW w:w="817" w:type="dxa"/>
            <w:vAlign w:val="center"/>
          </w:tcPr>
          <w:p w:rsidR="005C3FF4" w:rsidRDefault="000A5A68">
            <w:pPr>
              <w:jc w:val="center"/>
            </w:pPr>
            <w:r>
              <w:rPr>
                <w:rFonts w:eastAsiaTheme="minorEastAsia"/>
                <w:kern w:val="0"/>
                <w:sz w:val="24"/>
                <w:szCs w:val="24"/>
              </w:rPr>
              <w:t>9</w:t>
            </w:r>
          </w:p>
        </w:tc>
        <w:tc>
          <w:tcPr>
            <w:tcW w:w="1276" w:type="dxa"/>
            <w:vAlign w:val="center"/>
          </w:tcPr>
          <w:p w:rsidR="005C3FF4" w:rsidRDefault="000A5A68">
            <w:pPr>
              <w:jc w:val="center"/>
            </w:pPr>
            <w:r>
              <w:rPr>
                <w:rFonts w:eastAsiaTheme="minorEastAsia"/>
                <w:kern w:val="0"/>
                <w:sz w:val="24"/>
                <w:szCs w:val="24"/>
              </w:rPr>
              <w:t>603501</w:t>
            </w:r>
          </w:p>
        </w:tc>
        <w:tc>
          <w:tcPr>
            <w:tcW w:w="1701" w:type="dxa"/>
            <w:vAlign w:val="center"/>
          </w:tcPr>
          <w:p w:rsidR="005C3FF4" w:rsidRDefault="000A5A68">
            <w:pPr>
              <w:jc w:val="center"/>
            </w:pPr>
            <w:r>
              <w:rPr>
                <w:rFonts w:eastAsiaTheme="minorEastAsia"/>
                <w:kern w:val="0"/>
                <w:sz w:val="24"/>
                <w:szCs w:val="24"/>
              </w:rPr>
              <w:t>韦尔股份</w:t>
            </w:r>
          </w:p>
        </w:tc>
        <w:tc>
          <w:tcPr>
            <w:tcW w:w="1276" w:type="dxa"/>
            <w:vAlign w:val="center"/>
          </w:tcPr>
          <w:p w:rsidR="005C3FF4" w:rsidRDefault="000A5A68">
            <w:pPr>
              <w:jc w:val="right"/>
            </w:pPr>
            <w:r>
              <w:rPr>
                <w:rFonts w:eastAsiaTheme="minorEastAsia"/>
                <w:kern w:val="0"/>
                <w:sz w:val="24"/>
                <w:szCs w:val="24"/>
              </w:rPr>
              <w:t>681,358.00</w:t>
            </w:r>
          </w:p>
        </w:tc>
        <w:tc>
          <w:tcPr>
            <w:tcW w:w="1842" w:type="dxa"/>
            <w:vAlign w:val="center"/>
          </w:tcPr>
          <w:p w:rsidR="005C3FF4" w:rsidRDefault="000A5A68">
            <w:pPr>
              <w:jc w:val="right"/>
            </w:pPr>
            <w:r>
              <w:rPr>
                <w:rFonts w:eastAsiaTheme="minorEastAsia"/>
                <w:kern w:val="0"/>
                <w:sz w:val="24"/>
                <w:szCs w:val="24"/>
              </w:rPr>
              <w:t>219,397,276.00</w:t>
            </w:r>
          </w:p>
        </w:tc>
        <w:tc>
          <w:tcPr>
            <w:tcW w:w="1616" w:type="dxa"/>
            <w:vAlign w:val="center"/>
          </w:tcPr>
          <w:p w:rsidR="005C3FF4" w:rsidRDefault="000A5A68">
            <w:pPr>
              <w:jc w:val="right"/>
            </w:pPr>
            <w:r>
              <w:rPr>
                <w:rFonts w:eastAsiaTheme="minorEastAsia"/>
                <w:kern w:val="0"/>
                <w:sz w:val="24"/>
                <w:szCs w:val="24"/>
              </w:rPr>
              <w:t>3.35</w:t>
            </w:r>
          </w:p>
        </w:tc>
      </w:tr>
      <w:tr w:rsidR="005C3FF4">
        <w:tc>
          <w:tcPr>
            <w:tcW w:w="817" w:type="dxa"/>
            <w:vAlign w:val="center"/>
          </w:tcPr>
          <w:p w:rsidR="005C3FF4" w:rsidRDefault="000A5A68">
            <w:pPr>
              <w:jc w:val="center"/>
            </w:pPr>
            <w:r>
              <w:rPr>
                <w:rFonts w:eastAsiaTheme="minorEastAsia"/>
                <w:kern w:val="0"/>
                <w:sz w:val="24"/>
                <w:szCs w:val="24"/>
              </w:rPr>
              <w:t>10</w:t>
            </w:r>
          </w:p>
        </w:tc>
        <w:tc>
          <w:tcPr>
            <w:tcW w:w="1276" w:type="dxa"/>
            <w:vAlign w:val="center"/>
          </w:tcPr>
          <w:p w:rsidR="005C3FF4" w:rsidRDefault="000A5A68">
            <w:pPr>
              <w:jc w:val="center"/>
            </w:pPr>
            <w:r>
              <w:rPr>
                <w:rFonts w:eastAsiaTheme="minorEastAsia"/>
                <w:kern w:val="0"/>
                <w:sz w:val="24"/>
                <w:szCs w:val="24"/>
              </w:rPr>
              <w:t>600438</w:t>
            </w:r>
          </w:p>
        </w:tc>
        <w:tc>
          <w:tcPr>
            <w:tcW w:w="1701" w:type="dxa"/>
            <w:vAlign w:val="center"/>
          </w:tcPr>
          <w:p w:rsidR="005C3FF4" w:rsidRDefault="000A5A68">
            <w:pPr>
              <w:jc w:val="center"/>
            </w:pPr>
            <w:r>
              <w:rPr>
                <w:rFonts w:eastAsiaTheme="minorEastAsia"/>
                <w:kern w:val="0"/>
                <w:sz w:val="24"/>
                <w:szCs w:val="24"/>
              </w:rPr>
              <w:t>通威股份</w:t>
            </w:r>
          </w:p>
        </w:tc>
        <w:tc>
          <w:tcPr>
            <w:tcW w:w="1276" w:type="dxa"/>
            <w:vAlign w:val="center"/>
          </w:tcPr>
          <w:p w:rsidR="005C3FF4" w:rsidRDefault="000A5A68">
            <w:pPr>
              <w:jc w:val="right"/>
            </w:pPr>
            <w:r>
              <w:rPr>
                <w:rFonts w:eastAsiaTheme="minorEastAsia"/>
                <w:kern w:val="0"/>
                <w:sz w:val="24"/>
                <w:szCs w:val="24"/>
              </w:rPr>
              <w:t>5,034,985.00</w:t>
            </w:r>
          </w:p>
        </w:tc>
        <w:tc>
          <w:tcPr>
            <w:tcW w:w="1842" w:type="dxa"/>
            <w:vAlign w:val="center"/>
          </w:tcPr>
          <w:p w:rsidR="005C3FF4" w:rsidRDefault="000A5A68">
            <w:pPr>
              <w:jc w:val="right"/>
            </w:pPr>
            <w:r>
              <w:rPr>
                <w:rFonts w:eastAsiaTheme="minorEastAsia"/>
                <w:kern w:val="0"/>
                <w:sz w:val="24"/>
                <w:szCs w:val="24"/>
              </w:rPr>
              <w:t>217,863,800.95</w:t>
            </w:r>
          </w:p>
        </w:tc>
        <w:tc>
          <w:tcPr>
            <w:tcW w:w="1616" w:type="dxa"/>
            <w:vAlign w:val="center"/>
          </w:tcPr>
          <w:p w:rsidR="005C3FF4" w:rsidRDefault="000A5A68">
            <w:pPr>
              <w:jc w:val="right"/>
            </w:pPr>
            <w:r>
              <w:rPr>
                <w:rFonts w:eastAsiaTheme="minorEastAsia"/>
                <w:kern w:val="0"/>
                <w:sz w:val="24"/>
                <w:szCs w:val="24"/>
              </w:rPr>
              <w:t>3.33</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w:t>
      </w:r>
      <w:r w:rsidRPr="00FF6B9A">
        <w:rPr>
          <w:rFonts w:eastAsiaTheme="minorEastAsia"/>
          <w:b/>
          <w:bCs/>
          <w:color w:val="000000" w:themeColor="text1"/>
          <w:kern w:val="0"/>
          <w:sz w:val="24"/>
          <w:szCs w:val="24"/>
        </w:rPr>
        <w:lastRenderedPageBreak/>
        <w:t>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1,922,437.16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59,992,765.20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50,223.68</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964,116.05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62,929,542.09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5C3FF4">
        <w:tc>
          <w:tcPr>
            <w:tcW w:w="1083" w:type="dxa"/>
            <w:vAlign w:val="center"/>
          </w:tcPr>
          <w:p w:rsidR="005C3FF4" w:rsidRDefault="000A5A68">
            <w:pPr>
              <w:jc w:val="center"/>
            </w:pPr>
            <w:r>
              <w:rPr>
                <w:rFonts w:eastAsiaTheme="minorEastAsia"/>
                <w:color w:val="000000" w:themeColor="text1"/>
                <w:kern w:val="0"/>
              </w:rPr>
              <w:t>1</w:t>
            </w:r>
          </w:p>
        </w:tc>
        <w:tc>
          <w:tcPr>
            <w:tcW w:w="1302" w:type="dxa"/>
            <w:vAlign w:val="center"/>
          </w:tcPr>
          <w:p w:rsidR="005C3FF4" w:rsidRDefault="000A5A68">
            <w:pPr>
              <w:jc w:val="center"/>
            </w:pPr>
            <w:r>
              <w:rPr>
                <w:rFonts w:eastAsiaTheme="minorEastAsia"/>
                <w:color w:val="000000" w:themeColor="text1"/>
                <w:kern w:val="0"/>
              </w:rPr>
              <w:t>300390</w:t>
            </w:r>
          </w:p>
        </w:tc>
        <w:tc>
          <w:tcPr>
            <w:tcW w:w="1301" w:type="dxa"/>
            <w:vAlign w:val="center"/>
          </w:tcPr>
          <w:p w:rsidR="005C3FF4" w:rsidRDefault="000A5A68">
            <w:pPr>
              <w:jc w:val="center"/>
            </w:pPr>
            <w:r>
              <w:rPr>
                <w:rFonts w:eastAsiaTheme="minorEastAsia"/>
                <w:color w:val="000000" w:themeColor="text1"/>
                <w:kern w:val="0"/>
              </w:rPr>
              <w:t>天华超净</w:t>
            </w:r>
          </w:p>
        </w:tc>
        <w:tc>
          <w:tcPr>
            <w:tcW w:w="1805" w:type="dxa"/>
            <w:vAlign w:val="center"/>
          </w:tcPr>
          <w:p w:rsidR="005C3FF4" w:rsidRDefault="000A5A68">
            <w:pPr>
              <w:jc w:val="right"/>
            </w:pPr>
            <w:r>
              <w:rPr>
                <w:rFonts w:eastAsiaTheme="minorEastAsia"/>
                <w:color w:val="000000" w:themeColor="text1"/>
                <w:kern w:val="0"/>
              </w:rPr>
              <w:t>77,873,577.60</w:t>
            </w:r>
          </w:p>
        </w:tc>
        <w:tc>
          <w:tcPr>
            <w:tcW w:w="1655" w:type="dxa"/>
            <w:vAlign w:val="center"/>
          </w:tcPr>
          <w:p w:rsidR="005C3FF4" w:rsidRDefault="000A5A68">
            <w:pPr>
              <w:jc w:val="right"/>
            </w:pPr>
            <w:r>
              <w:rPr>
                <w:rFonts w:eastAsiaTheme="minorEastAsia"/>
                <w:color w:val="000000" w:themeColor="text1"/>
                <w:kern w:val="0"/>
              </w:rPr>
              <w:t>1.19</w:t>
            </w:r>
          </w:p>
        </w:tc>
        <w:tc>
          <w:tcPr>
            <w:tcW w:w="1367" w:type="dxa"/>
            <w:vAlign w:val="center"/>
          </w:tcPr>
          <w:p w:rsidR="005C3FF4" w:rsidRDefault="000A5A68">
            <w:pPr>
              <w:jc w:val="right"/>
            </w:pPr>
            <w:r>
              <w:rPr>
                <w:rFonts w:eastAsiaTheme="minorEastAsia"/>
                <w:color w:val="000000" w:themeColor="text1"/>
                <w:kern w:val="0"/>
              </w:rPr>
              <w:t>非公开发行限售</w:t>
            </w:r>
          </w:p>
        </w:tc>
      </w:tr>
      <w:tr w:rsidR="005C3FF4">
        <w:tc>
          <w:tcPr>
            <w:tcW w:w="1083" w:type="dxa"/>
            <w:vAlign w:val="center"/>
          </w:tcPr>
          <w:p w:rsidR="005C3FF4" w:rsidRDefault="000A5A68">
            <w:pPr>
              <w:jc w:val="center"/>
            </w:pPr>
            <w:r>
              <w:rPr>
                <w:rFonts w:eastAsiaTheme="minorEastAsia"/>
                <w:color w:val="000000" w:themeColor="text1"/>
                <w:kern w:val="0"/>
              </w:rPr>
              <w:t>2</w:t>
            </w:r>
          </w:p>
        </w:tc>
        <w:tc>
          <w:tcPr>
            <w:tcW w:w="1302" w:type="dxa"/>
            <w:vAlign w:val="center"/>
          </w:tcPr>
          <w:p w:rsidR="005C3FF4" w:rsidRDefault="000A5A68">
            <w:pPr>
              <w:jc w:val="center"/>
            </w:pPr>
            <w:r>
              <w:rPr>
                <w:rFonts w:eastAsiaTheme="minorEastAsia"/>
                <w:color w:val="000000" w:themeColor="text1"/>
                <w:kern w:val="0"/>
              </w:rPr>
              <w:t>603799</w:t>
            </w:r>
          </w:p>
        </w:tc>
        <w:tc>
          <w:tcPr>
            <w:tcW w:w="1301" w:type="dxa"/>
            <w:vAlign w:val="center"/>
          </w:tcPr>
          <w:p w:rsidR="005C3FF4" w:rsidRDefault="000A5A68">
            <w:pPr>
              <w:jc w:val="center"/>
            </w:pPr>
            <w:r>
              <w:rPr>
                <w:rFonts w:eastAsiaTheme="minorEastAsia"/>
                <w:color w:val="000000" w:themeColor="text1"/>
                <w:kern w:val="0"/>
              </w:rPr>
              <w:t>华友钴业</w:t>
            </w:r>
          </w:p>
        </w:tc>
        <w:tc>
          <w:tcPr>
            <w:tcW w:w="1805" w:type="dxa"/>
            <w:vAlign w:val="center"/>
          </w:tcPr>
          <w:p w:rsidR="005C3FF4" w:rsidRDefault="000A5A68">
            <w:pPr>
              <w:jc w:val="right"/>
            </w:pPr>
            <w:r>
              <w:rPr>
                <w:rFonts w:eastAsiaTheme="minorEastAsia"/>
                <w:color w:val="000000" w:themeColor="text1"/>
                <w:kern w:val="0"/>
              </w:rPr>
              <w:t>34,655,845.14</w:t>
            </w:r>
          </w:p>
        </w:tc>
        <w:tc>
          <w:tcPr>
            <w:tcW w:w="1655" w:type="dxa"/>
            <w:vAlign w:val="center"/>
          </w:tcPr>
          <w:p w:rsidR="005C3FF4" w:rsidRDefault="000A5A68">
            <w:pPr>
              <w:jc w:val="right"/>
            </w:pPr>
            <w:r>
              <w:rPr>
                <w:rFonts w:eastAsiaTheme="minorEastAsia"/>
                <w:color w:val="000000" w:themeColor="text1"/>
                <w:kern w:val="0"/>
              </w:rPr>
              <w:t>0.53</w:t>
            </w:r>
          </w:p>
        </w:tc>
        <w:tc>
          <w:tcPr>
            <w:tcW w:w="1367" w:type="dxa"/>
            <w:vAlign w:val="center"/>
          </w:tcPr>
          <w:p w:rsidR="005C3FF4" w:rsidRDefault="000A5A68">
            <w:pPr>
              <w:jc w:val="right"/>
            </w:pPr>
            <w:r>
              <w:rPr>
                <w:rFonts w:eastAsiaTheme="minorEastAsia"/>
                <w:color w:val="000000" w:themeColor="text1"/>
                <w:kern w:val="0"/>
              </w:rPr>
              <w:t>非公开发行限售</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6,071,073,362.02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82,599,658.16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6,153,673,020.18</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中国证监会准予上投摩根远见两年持有期混合型证券投资基金募集注册的文件</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上投摩根远见两年持有期混合型证券投资基金基金合同</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上投摩根远见两年持有期混合型证券投资基金托管协议</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5C3FF4" w:rsidRDefault="000A5A68">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881BA5" w:rsidRPr="00881BA5">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881BA5">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上投摩根远见两年持有期混合型证券投资基金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A5A68"/>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17B5"/>
    <w:rsid w:val="005A6675"/>
    <w:rsid w:val="005B2E9C"/>
    <w:rsid w:val="005B4F93"/>
    <w:rsid w:val="005B73D2"/>
    <w:rsid w:val="005C3FF4"/>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81BA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93402-A790-4E99-8E8A-DA3F59A1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270</cp:revision>
  <dcterms:created xsi:type="dcterms:W3CDTF">2012-10-16T06:07:00Z</dcterms:created>
  <dcterms:modified xsi:type="dcterms:W3CDTF">2021-07-20T03:16:00Z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