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上投摩根远见两年持有期混合型证券投资基金</w:t>
      </w: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2021年第1季度报告</w:t>
      </w:r>
    </w:p>
    <w:p w:rsidR="00D06738" w:rsidRDefault="00454D20">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2021年3月31日</w:t>
      </w: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rPr>
          <w:rFonts w:asciiTheme="minorEastAsia" w:eastAsiaTheme="minorEastAsia" w:hAnsiTheme="minorEastAsia"/>
          <w:b/>
          <w:bCs/>
          <w:color w:val="000000" w:themeColor="text1"/>
          <w:sz w:val="24"/>
          <w:szCs w:val="24"/>
        </w:rPr>
      </w:pP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中国银行股份有限公司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sectPr w:rsidR="00D06738">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二〇二一年四月二十二日</w:t>
      </w:r>
    </w:p>
    <w:p w:rsidR="00D06738" w:rsidRDefault="00454D20">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基金管理人的董事会及董事保证本报告所载资料不存在虚假记载、误导性陈述或重大遗漏，并对其内容的真实性、准确性和完整性承担个别及连带责任。 </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基金托管人中国银行股份有限公司根据本基金合同规定，于2021年4月21日复核了本报告中的财务指标、净值表现和投资组合报告等内容，保证复核内容不存在虚假记载、误导性陈述或者重大遗漏。 </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基金管理人承诺以诚实信用、勤勉尽责的原则管理和运用基金资产，但不保证基金一定盈利。 </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基金的过往业绩并不代表其未来表现。投资有风险，投资者在作出投资决策前应仔细阅读本基金的招募说明书。 </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本报告期自2021年1月11日起至3月31日止。</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上投摩根远见两年持有期混合</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010610</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010610</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2021年1月11日</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6,071,073,362.02</w:t>
            </w:r>
            <w:r>
              <w:rPr>
                <w:rFonts w:asciiTheme="minorEastAsia" w:eastAsiaTheme="minorEastAsia" w:hAnsiTheme="minorEastAsia" w:hint="eastAsia"/>
                <w:color w:val="000000" w:themeColor="text1"/>
                <w:kern w:val="0"/>
              </w:rPr>
              <w:t>份</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采用定量及定性研究方法，通过自上而下资产配置与自下而上精选个股相结合，基于严格的风险控制，力争实现基金资产的长期增值。</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B0624C" w:rsidRDefault="00B226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坚持“挖掘优势行业高成长个股”的选股理念，依托基金管理人的研究平台，自上而下形成行业配置观点，选择中长期有较大发展空间的优势行业进行重点配置；同时自下而上形成个股配置观点，挖掘并灵活投资于各行业</w:t>
            </w:r>
            <w:r>
              <w:rPr>
                <w:rFonts w:asciiTheme="minorEastAsia" w:eastAsiaTheme="minorEastAsia" w:hAnsiTheme="minorEastAsia"/>
                <w:color w:val="000000" w:themeColor="text1"/>
                <w:kern w:val="0"/>
              </w:rPr>
              <w:lastRenderedPageBreak/>
              <w:t>中最具有投资价值和成长性的上市公司；通过行业配置与个股选择，获取超越业绩比较基准的超额收益。</w:t>
            </w:r>
          </w:p>
          <w:p w:rsidR="00B0624C" w:rsidRDefault="00B226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行业配置上，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行业景气度、行业竞争格局等多角度，综合评估各个行业的投资价值，并相应确定不同行业的配置权重。</w:t>
            </w:r>
          </w:p>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个股选择上，基金管理人依托本公司研究平台，基于对上市公司系统、全面、细致的基本面研究，重点投资于盈利质量较高、公司治理良好且具有较高增长潜力的公司。在具体操作上，综合运用定量分析与定性分析的手段，获取个股的超额收益。</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中证800指数收益率*75%+中证港股通指数收益率*10%+上证国债指数收益率*15%</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本基金属于混合型基金产品，预期风险和收益水平高于债券型基金和货币市场基金，低于股票型基金。</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中国银行股份有限公司</w:t>
            </w:r>
          </w:p>
        </w:tc>
      </w:tr>
    </w:tbl>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B22611" w:rsidTr="00B22611">
        <w:tc>
          <w:tcPr>
            <w:tcW w:w="3402" w:type="dxa"/>
            <w:vAlign w:val="center"/>
          </w:tcPr>
          <w:p w:rsidR="00D06738" w:rsidRDefault="00454D20">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D06738" w:rsidRDefault="00454D20">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D06738" w:rsidRDefault="00454D20">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2021年1月11日（基金合同生效日）-2021年3月31日</w:t>
            </w:r>
            <w:r>
              <w:rPr>
                <w:rFonts w:asciiTheme="minorEastAsia" w:eastAsiaTheme="minorEastAsia" w:hAnsiTheme="minorEastAsia" w:cs="宋体" w:hint="eastAsia"/>
                <w:color w:val="000000" w:themeColor="text1"/>
              </w:rPr>
              <w:t>)</w:t>
            </w:r>
          </w:p>
        </w:tc>
      </w:tr>
      <w:tr w:rsidR="00B22611" w:rsidTr="00B22611">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lastRenderedPageBreak/>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-79,550,185.22</w:t>
            </w:r>
          </w:p>
        </w:tc>
      </w:tr>
      <w:tr w:rsidR="00B22611" w:rsidTr="00B22611">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-411,910,500.06</w:t>
            </w:r>
          </w:p>
        </w:tc>
      </w:tr>
      <w:tr w:rsidR="00B22611" w:rsidTr="00B22611">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-0.0687</w:t>
            </w:r>
          </w:p>
        </w:tc>
      </w:tr>
      <w:tr w:rsidR="00B22611" w:rsidTr="00B22611">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5,658,994,114.15</w:t>
            </w:r>
          </w:p>
        </w:tc>
      </w:tr>
      <w:tr w:rsidR="00B22611" w:rsidTr="00B22611">
        <w:trPr>
          <w:trHeight w:val="158"/>
        </w:trPr>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0.9321</w:t>
            </w:r>
          </w:p>
        </w:tc>
      </w:tr>
    </w:tbl>
    <w:p w:rsidR="00B0624C" w:rsidRDefault="00B2261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注：本期已实现收益指基金本期利息收入、投资收益、其他收入(不含公允价值变动收益)扣除相关费用后的余额，本期利润为本期已实现收益加上本期公允价值变动收益。 </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D06738" w:rsidRDefault="00454D20">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tc>
          <w:tcPr>
            <w:tcW w:w="139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B0624C">
        <w:tc>
          <w:tcPr>
            <w:tcW w:w="1395" w:type="dxa"/>
            <w:vAlign w:val="center"/>
          </w:tcPr>
          <w:p w:rsidR="00B0624C" w:rsidRDefault="00B22611">
            <w:pPr>
              <w:jc w:val="left"/>
            </w:pPr>
            <w:r>
              <w:rPr>
                <w:rFonts w:asciiTheme="minorEastAsia" w:eastAsiaTheme="minorEastAsia" w:hAnsiTheme="minorEastAsia"/>
                <w:color w:val="000000" w:themeColor="text1"/>
                <w:kern w:val="0"/>
              </w:rPr>
              <w:t>过去三个月</w:t>
            </w:r>
          </w:p>
        </w:tc>
        <w:tc>
          <w:tcPr>
            <w:tcW w:w="1092"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61"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81"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88"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99" w:type="dxa"/>
            <w:vAlign w:val="center"/>
          </w:tcPr>
          <w:p w:rsidR="00B0624C" w:rsidRDefault="00B22611">
            <w:pPr>
              <w:jc w:val="center"/>
            </w:pPr>
            <w:r>
              <w:rPr>
                <w:rFonts w:asciiTheme="minorEastAsia" w:eastAsiaTheme="minorEastAsia" w:hAnsiTheme="minorEastAsia"/>
                <w:color w:val="000000" w:themeColor="text1"/>
                <w:kern w:val="0"/>
              </w:rPr>
              <w:t>-</w:t>
            </w:r>
          </w:p>
        </w:tc>
        <w:tc>
          <w:tcPr>
            <w:tcW w:w="1204" w:type="dxa"/>
            <w:vAlign w:val="center"/>
          </w:tcPr>
          <w:p w:rsidR="00B0624C" w:rsidRDefault="00B22611">
            <w:pPr>
              <w:jc w:val="center"/>
            </w:pPr>
            <w:r>
              <w:rPr>
                <w:rFonts w:asciiTheme="minorEastAsia" w:eastAsiaTheme="minorEastAsia" w:hAnsiTheme="minorEastAsia"/>
                <w:color w:val="000000" w:themeColor="text1"/>
                <w:kern w:val="0"/>
              </w:rPr>
              <w:t>-</w:t>
            </w:r>
          </w:p>
        </w:tc>
      </w:tr>
      <w:tr w:rsidR="00B0624C">
        <w:tc>
          <w:tcPr>
            <w:tcW w:w="1395" w:type="dxa"/>
            <w:vAlign w:val="center"/>
          </w:tcPr>
          <w:p w:rsidR="00B0624C" w:rsidRDefault="00B22611">
            <w:pPr>
              <w:jc w:val="left"/>
            </w:pPr>
            <w:r>
              <w:rPr>
                <w:rFonts w:asciiTheme="minorEastAsia" w:eastAsiaTheme="minorEastAsia" w:hAnsiTheme="minorEastAsia"/>
                <w:color w:val="000000" w:themeColor="text1"/>
                <w:kern w:val="0"/>
              </w:rPr>
              <w:t>过去六个月</w:t>
            </w:r>
          </w:p>
        </w:tc>
        <w:tc>
          <w:tcPr>
            <w:tcW w:w="1092"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61"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81"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88"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99" w:type="dxa"/>
            <w:vAlign w:val="center"/>
          </w:tcPr>
          <w:p w:rsidR="00B0624C" w:rsidRDefault="00B22611">
            <w:pPr>
              <w:jc w:val="center"/>
            </w:pPr>
            <w:r>
              <w:rPr>
                <w:rFonts w:asciiTheme="minorEastAsia" w:eastAsiaTheme="minorEastAsia" w:hAnsiTheme="minorEastAsia"/>
                <w:color w:val="000000" w:themeColor="text1"/>
                <w:kern w:val="0"/>
              </w:rPr>
              <w:t>-</w:t>
            </w:r>
          </w:p>
        </w:tc>
        <w:tc>
          <w:tcPr>
            <w:tcW w:w="1204" w:type="dxa"/>
            <w:vAlign w:val="center"/>
          </w:tcPr>
          <w:p w:rsidR="00B0624C" w:rsidRDefault="00B22611">
            <w:pPr>
              <w:jc w:val="center"/>
            </w:pPr>
            <w:r>
              <w:rPr>
                <w:rFonts w:asciiTheme="minorEastAsia" w:eastAsiaTheme="minorEastAsia" w:hAnsiTheme="minorEastAsia"/>
                <w:color w:val="000000" w:themeColor="text1"/>
                <w:kern w:val="0"/>
              </w:rPr>
              <w:t>-</w:t>
            </w:r>
          </w:p>
        </w:tc>
      </w:tr>
      <w:tr w:rsidR="00B0624C">
        <w:tc>
          <w:tcPr>
            <w:tcW w:w="1395" w:type="dxa"/>
            <w:vAlign w:val="center"/>
          </w:tcPr>
          <w:p w:rsidR="00B0624C" w:rsidRDefault="00B22611">
            <w:pPr>
              <w:jc w:val="left"/>
            </w:pPr>
            <w:r>
              <w:rPr>
                <w:rFonts w:asciiTheme="minorEastAsia" w:eastAsiaTheme="minorEastAsia" w:hAnsiTheme="minorEastAsia"/>
                <w:color w:val="000000" w:themeColor="text1"/>
                <w:kern w:val="0"/>
              </w:rPr>
              <w:t>过去一年</w:t>
            </w:r>
          </w:p>
        </w:tc>
        <w:tc>
          <w:tcPr>
            <w:tcW w:w="1092"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61"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81"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88"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99" w:type="dxa"/>
            <w:vAlign w:val="center"/>
          </w:tcPr>
          <w:p w:rsidR="00B0624C" w:rsidRDefault="00B22611">
            <w:pPr>
              <w:jc w:val="center"/>
            </w:pPr>
            <w:r>
              <w:rPr>
                <w:rFonts w:asciiTheme="minorEastAsia" w:eastAsiaTheme="minorEastAsia" w:hAnsiTheme="minorEastAsia"/>
                <w:color w:val="000000" w:themeColor="text1"/>
                <w:kern w:val="0"/>
              </w:rPr>
              <w:t>-</w:t>
            </w:r>
          </w:p>
        </w:tc>
        <w:tc>
          <w:tcPr>
            <w:tcW w:w="1204" w:type="dxa"/>
            <w:vAlign w:val="center"/>
          </w:tcPr>
          <w:p w:rsidR="00B0624C" w:rsidRDefault="00B22611">
            <w:pPr>
              <w:jc w:val="center"/>
            </w:pPr>
            <w:r>
              <w:rPr>
                <w:rFonts w:asciiTheme="minorEastAsia" w:eastAsiaTheme="minorEastAsia" w:hAnsiTheme="minorEastAsia"/>
                <w:color w:val="000000" w:themeColor="text1"/>
                <w:kern w:val="0"/>
              </w:rPr>
              <w:t>-</w:t>
            </w:r>
          </w:p>
        </w:tc>
      </w:tr>
      <w:tr w:rsidR="00B0624C">
        <w:tc>
          <w:tcPr>
            <w:tcW w:w="1395" w:type="dxa"/>
            <w:vAlign w:val="center"/>
          </w:tcPr>
          <w:p w:rsidR="00B0624C" w:rsidRDefault="00B22611">
            <w:pPr>
              <w:jc w:val="left"/>
            </w:pPr>
            <w:r>
              <w:rPr>
                <w:rFonts w:asciiTheme="minorEastAsia" w:eastAsiaTheme="minorEastAsia" w:hAnsiTheme="minorEastAsia"/>
                <w:color w:val="000000" w:themeColor="text1"/>
                <w:kern w:val="0"/>
              </w:rPr>
              <w:t>过去三年</w:t>
            </w:r>
          </w:p>
        </w:tc>
        <w:tc>
          <w:tcPr>
            <w:tcW w:w="1092"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61"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81"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88"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99" w:type="dxa"/>
            <w:vAlign w:val="center"/>
          </w:tcPr>
          <w:p w:rsidR="00B0624C" w:rsidRDefault="00B22611">
            <w:pPr>
              <w:jc w:val="center"/>
            </w:pPr>
            <w:r>
              <w:rPr>
                <w:rFonts w:asciiTheme="minorEastAsia" w:eastAsiaTheme="minorEastAsia" w:hAnsiTheme="minorEastAsia"/>
                <w:color w:val="000000" w:themeColor="text1"/>
                <w:kern w:val="0"/>
              </w:rPr>
              <w:t>-</w:t>
            </w:r>
          </w:p>
        </w:tc>
        <w:tc>
          <w:tcPr>
            <w:tcW w:w="1204" w:type="dxa"/>
            <w:vAlign w:val="center"/>
          </w:tcPr>
          <w:p w:rsidR="00B0624C" w:rsidRDefault="00B22611">
            <w:pPr>
              <w:jc w:val="center"/>
            </w:pPr>
            <w:r>
              <w:rPr>
                <w:rFonts w:asciiTheme="minorEastAsia" w:eastAsiaTheme="minorEastAsia" w:hAnsiTheme="minorEastAsia"/>
                <w:color w:val="000000" w:themeColor="text1"/>
                <w:kern w:val="0"/>
              </w:rPr>
              <w:t>-</w:t>
            </w:r>
          </w:p>
        </w:tc>
      </w:tr>
      <w:tr w:rsidR="00B0624C">
        <w:tc>
          <w:tcPr>
            <w:tcW w:w="1395" w:type="dxa"/>
            <w:vAlign w:val="center"/>
          </w:tcPr>
          <w:p w:rsidR="00B0624C" w:rsidRDefault="00B22611">
            <w:pPr>
              <w:jc w:val="left"/>
            </w:pPr>
            <w:r>
              <w:rPr>
                <w:rFonts w:asciiTheme="minorEastAsia" w:eastAsiaTheme="minorEastAsia" w:hAnsiTheme="minorEastAsia"/>
                <w:color w:val="000000" w:themeColor="text1"/>
                <w:kern w:val="0"/>
              </w:rPr>
              <w:t>过去五年</w:t>
            </w:r>
          </w:p>
        </w:tc>
        <w:tc>
          <w:tcPr>
            <w:tcW w:w="1092"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61"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81"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88" w:type="dxa"/>
            <w:vAlign w:val="center"/>
          </w:tcPr>
          <w:p w:rsidR="00B0624C" w:rsidRDefault="00B22611">
            <w:pPr>
              <w:jc w:val="center"/>
            </w:pPr>
            <w:r>
              <w:rPr>
                <w:rFonts w:asciiTheme="minorEastAsia" w:eastAsiaTheme="minorEastAsia" w:hAnsiTheme="minorEastAsia"/>
                <w:color w:val="000000" w:themeColor="text1"/>
                <w:kern w:val="0"/>
              </w:rPr>
              <w:t>-</w:t>
            </w:r>
          </w:p>
        </w:tc>
        <w:tc>
          <w:tcPr>
            <w:tcW w:w="1199" w:type="dxa"/>
            <w:vAlign w:val="center"/>
          </w:tcPr>
          <w:p w:rsidR="00B0624C" w:rsidRDefault="00B22611">
            <w:pPr>
              <w:jc w:val="center"/>
            </w:pPr>
            <w:r>
              <w:rPr>
                <w:rFonts w:asciiTheme="minorEastAsia" w:eastAsiaTheme="minorEastAsia" w:hAnsiTheme="minorEastAsia"/>
                <w:color w:val="000000" w:themeColor="text1"/>
                <w:kern w:val="0"/>
              </w:rPr>
              <w:t>-</w:t>
            </w:r>
          </w:p>
        </w:tc>
        <w:tc>
          <w:tcPr>
            <w:tcW w:w="1204" w:type="dxa"/>
            <w:vAlign w:val="center"/>
          </w:tcPr>
          <w:p w:rsidR="00B0624C" w:rsidRDefault="00B22611">
            <w:pPr>
              <w:jc w:val="center"/>
            </w:pPr>
            <w:r>
              <w:rPr>
                <w:rFonts w:asciiTheme="minorEastAsia" w:eastAsiaTheme="minorEastAsia" w:hAnsiTheme="minorEastAsia"/>
                <w:color w:val="000000" w:themeColor="text1"/>
                <w:kern w:val="0"/>
              </w:rPr>
              <w:t>-</w:t>
            </w:r>
          </w:p>
        </w:tc>
      </w:tr>
      <w:tr w:rsidR="00B0624C">
        <w:tc>
          <w:tcPr>
            <w:tcW w:w="1395" w:type="dxa"/>
            <w:vAlign w:val="center"/>
          </w:tcPr>
          <w:p w:rsidR="00B0624C" w:rsidRDefault="00B22611">
            <w:pPr>
              <w:jc w:val="left"/>
            </w:pPr>
            <w:r>
              <w:rPr>
                <w:rFonts w:asciiTheme="minorEastAsia" w:eastAsiaTheme="minorEastAsia" w:hAnsiTheme="minorEastAsia"/>
                <w:color w:val="000000" w:themeColor="text1"/>
                <w:kern w:val="0"/>
              </w:rPr>
              <w:t>自基金合同生效起至今</w:t>
            </w:r>
          </w:p>
        </w:tc>
        <w:tc>
          <w:tcPr>
            <w:tcW w:w="1092" w:type="dxa"/>
            <w:vAlign w:val="center"/>
          </w:tcPr>
          <w:p w:rsidR="00B0624C" w:rsidRDefault="00B22611">
            <w:pPr>
              <w:jc w:val="center"/>
            </w:pPr>
            <w:r>
              <w:rPr>
                <w:rFonts w:asciiTheme="minorEastAsia" w:eastAsiaTheme="minorEastAsia" w:hAnsiTheme="minorEastAsia"/>
                <w:color w:val="000000" w:themeColor="text1"/>
                <w:kern w:val="0"/>
              </w:rPr>
              <w:t>-6.79%</w:t>
            </w:r>
          </w:p>
        </w:tc>
        <w:tc>
          <w:tcPr>
            <w:tcW w:w="1161" w:type="dxa"/>
            <w:vAlign w:val="center"/>
          </w:tcPr>
          <w:p w:rsidR="00B0624C" w:rsidRDefault="00B22611">
            <w:pPr>
              <w:jc w:val="center"/>
            </w:pPr>
            <w:r>
              <w:rPr>
                <w:rFonts w:asciiTheme="minorEastAsia" w:eastAsiaTheme="minorEastAsia" w:hAnsiTheme="minorEastAsia"/>
                <w:color w:val="000000" w:themeColor="text1"/>
                <w:kern w:val="0"/>
              </w:rPr>
              <w:t>1.57%</w:t>
            </w:r>
          </w:p>
        </w:tc>
        <w:tc>
          <w:tcPr>
            <w:tcW w:w="1181" w:type="dxa"/>
            <w:vAlign w:val="center"/>
          </w:tcPr>
          <w:p w:rsidR="00B0624C" w:rsidRDefault="00B22611">
            <w:pPr>
              <w:jc w:val="center"/>
            </w:pPr>
            <w:r>
              <w:rPr>
                <w:rFonts w:asciiTheme="minorEastAsia" w:eastAsiaTheme="minorEastAsia" w:hAnsiTheme="minorEastAsia"/>
                <w:color w:val="000000" w:themeColor="text1"/>
                <w:kern w:val="0"/>
              </w:rPr>
              <w:t>-5.20%</w:t>
            </w:r>
          </w:p>
        </w:tc>
        <w:tc>
          <w:tcPr>
            <w:tcW w:w="1188" w:type="dxa"/>
            <w:vAlign w:val="center"/>
          </w:tcPr>
          <w:p w:rsidR="00B0624C" w:rsidRDefault="00B22611">
            <w:pPr>
              <w:jc w:val="center"/>
            </w:pPr>
            <w:r>
              <w:rPr>
                <w:rFonts w:asciiTheme="minorEastAsia" w:eastAsiaTheme="minorEastAsia" w:hAnsiTheme="minorEastAsia"/>
                <w:color w:val="000000" w:themeColor="text1"/>
                <w:kern w:val="0"/>
              </w:rPr>
              <w:t>1.26%</w:t>
            </w:r>
          </w:p>
        </w:tc>
        <w:tc>
          <w:tcPr>
            <w:tcW w:w="1199" w:type="dxa"/>
            <w:vAlign w:val="center"/>
          </w:tcPr>
          <w:p w:rsidR="00B0624C" w:rsidRDefault="00B22611">
            <w:pPr>
              <w:jc w:val="center"/>
            </w:pPr>
            <w:r>
              <w:rPr>
                <w:rFonts w:asciiTheme="minorEastAsia" w:eastAsiaTheme="minorEastAsia" w:hAnsiTheme="minorEastAsia"/>
                <w:color w:val="000000" w:themeColor="text1"/>
                <w:kern w:val="0"/>
              </w:rPr>
              <w:t>-1.59%</w:t>
            </w:r>
          </w:p>
        </w:tc>
        <w:tc>
          <w:tcPr>
            <w:tcW w:w="1204" w:type="dxa"/>
            <w:vAlign w:val="center"/>
          </w:tcPr>
          <w:p w:rsidR="00B0624C" w:rsidRDefault="00B22611">
            <w:pPr>
              <w:jc w:val="center"/>
            </w:pPr>
            <w:r>
              <w:rPr>
                <w:rFonts w:asciiTheme="minorEastAsia" w:eastAsiaTheme="minorEastAsia" w:hAnsiTheme="minorEastAsia"/>
                <w:color w:val="000000" w:themeColor="text1"/>
                <w:kern w:val="0"/>
              </w:rPr>
              <w:t>0.31%</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D06738" w:rsidRDefault="00454D20">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上投摩根远见两年持有期混合型证券投资基金</w:t>
      </w:r>
    </w:p>
    <w:p w:rsidR="00D06738" w:rsidRDefault="00454D20">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D06738" w:rsidRDefault="00454D20">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2021年1月11日</w:t>
      </w:r>
      <w:r>
        <w:rPr>
          <w:rFonts w:asciiTheme="minorEastAsia" w:eastAsiaTheme="minorEastAsia" w:hAnsiTheme="minorEastAsia" w:hint="eastAsia"/>
          <w:color w:val="000000" w:themeColor="text1"/>
        </w:rPr>
        <w:t>至2021年3月31日)</w:t>
      </w:r>
    </w:p>
    <w:p w:rsidR="00D06738" w:rsidRDefault="00454D20">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B0624C" w:rsidRDefault="00B2261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注：本基金合同生效日为2021年1月11日，截至本报告期末本基金合同生效未满一年。</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本基金建仓期为本基金合同生效日起 6 个月，截至本报告期末本基金仍处于建仓期。</w:t>
      </w:r>
    </w:p>
    <w:p w:rsidR="00D06738" w:rsidRDefault="00D06738">
      <w:pPr>
        <w:tabs>
          <w:tab w:val="left" w:pos="1800"/>
        </w:tabs>
        <w:spacing w:line="360" w:lineRule="auto"/>
        <w:rPr>
          <w:rFonts w:asciiTheme="minorEastAsia" w:eastAsiaTheme="minorEastAsia" w:hAnsiTheme="minorEastAsia"/>
          <w:color w:val="000000" w:themeColor="text1"/>
          <w:sz w:val="24"/>
          <w:szCs w:val="24"/>
        </w:rPr>
      </w:pPr>
    </w:p>
    <w:p w:rsidR="00D06738" w:rsidRDefault="00D06738">
      <w:pPr>
        <w:tabs>
          <w:tab w:val="left" w:pos="1800"/>
        </w:tabs>
        <w:spacing w:line="288" w:lineRule="auto"/>
        <w:rPr>
          <w:rFonts w:asciiTheme="minorEastAsia" w:eastAsiaTheme="minorEastAsia" w:hAnsiTheme="minorEastAsia"/>
          <w:color w:val="000000" w:themeColor="text1"/>
          <w:sz w:val="24"/>
          <w:szCs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trPr>
          <w:cantSplit/>
          <w:trHeight w:val="292"/>
        </w:trPr>
        <w:tc>
          <w:tcPr>
            <w:tcW w:w="851"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D06738">
        <w:trPr>
          <w:cantSplit/>
        </w:trPr>
        <w:tc>
          <w:tcPr>
            <w:tcW w:w="851"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r>
      <w:tr w:rsidR="00B0624C">
        <w:tc>
          <w:tcPr>
            <w:tcW w:w="851" w:type="dxa"/>
            <w:vAlign w:val="center"/>
          </w:tcPr>
          <w:p w:rsidR="00B0624C" w:rsidRDefault="00B22611">
            <w:pPr>
              <w:jc w:val="center"/>
            </w:pPr>
            <w:r>
              <w:rPr>
                <w:rFonts w:asciiTheme="minorEastAsia" w:eastAsiaTheme="minorEastAsia" w:hAnsiTheme="minorEastAsia"/>
                <w:color w:val="000000" w:themeColor="text1"/>
              </w:rPr>
              <w:t>杜猛</w:t>
            </w:r>
          </w:p>
        </w:tc>
        <w:tc>
          <w:tcPr>
            <w:tcW w:w="850" w:type="dxa"/>
            <w:vAlign w:val="center"/>
          </w:tcPr>
          <w:p w:rsidR="00B0624C" w:rsidRDefault="00B22611">
            <w:pPr>
              <w:jc w:val="center"/>
            </w:pPr>
            <w:r>
              <w:rPr>
                <w:rFonts w:asciiTheme="minorEastAsia" w:eastAsiaTheme="minorEastAsia" w:hAnsiTheme="minorEastAsia"/>
                <w:color w:val="000000" w:themeColor="text1"/>
              </w:rPr>
              <w:t>本基金基金经理、副总经理兼投资总监</w:t>
            </w:r>
          </w:p>
        </w:tc>
        <w:tc>
          <w:tcPr>
            <w:tcW w:w="1560" w:type="dxa"/>
            <w:vAlign w:val="center"/>
          </w:tcPr>
          <w:p w:rsidR="00B0624C" w:rsidRDefault="00B22611">
            <w:pPr>
              <w:jc w:val="center"/>
            </w:pPr>
            <w:r>
              <w:rPr>
                <w:rFonts w:asciiTheme="minorEastAsia" w:eastAsiaTheme="minorEastAsia" w:hAnsiTheme="minorEastAsia"/>
                <w:color w:val="000000" w:themeColor="text1"/>
              </w:rPr>
              <w:t>2021-01-11</w:t>
            </w:r>
          </w:p>
        </w:tc>
        <w:tc>
          <w:tcPr>
            <w:tcW w:w="1559" w:type="dxa"/>
            <w:vAlign w:val="center"/>
          </w:tcPr>
          <w:p w:rsidR="00B0624C" w:rsidRDefault="00B22611">
            <w:pPr>
              <w:jc w:val="center"/>
            </w:pPr>
            <w:r>
              <w:rPr>
                <w:rFonts w:asciiTheme="minorEastAsia" w:eastAsiaTheme="minorEastAsia" w:hAnsiTheme="minorEastAsia"/>
                <w:color w:val="000000" w:themeColor="text1"/>
              </w:rPr>
              <w:t>-</w:t>
            </w:r>
          </w:p>
        </w:tc>
        <w:tc>
          <w:tcPr>
            <w:tcW w:w="1417" w:type="dxa"/>
            <w:vAlign w:val="center"/>
          </w:tcPr>
          <w:p w:rsidR="00B0624C" w:rsidRDefault="00B22611">
            <w:pPr>
              <w:jc w:val="center"/>
            </w:pPr>
            <w:r>
              <w:rPr>
                <w:rFonts w:asciiTheme="minorEastAsia" w:eastAsiaTheme="minorEastAsia" w:hAnsiTheme="minorEastAsia"/>
                <w:color w:val="000000" w:themeColor="text1"/>
              </w:rPr>
              <w:t>19年</w:t>
            </w:r>
          </w:p>
        </w:tc>
        <w:tc>
          <w:tcPr>
            <w:tcW w:w="2694" w:type="dxa"/>
            <w:vAlign w:val="center"/>
          </w:tcPr>
          <w:p w:rsidR="00B0624C" w:rsidRDefault="00B22611">
            <w:r>
              <w:rPr>
                <w:rFonts w:asciiTheme="minorEastAsia" w:eastAsiaTheme="minorEastAsia" w:hAnsiTheme="minorEastAsia"/>
                <w:color w:val="000000" w:themeColor="text1"/>
              </w:rPr>
              <w:t>基金经理杜猛先生，南京大学经济学硕士，先后任职于天同证券、中原证券、国信证券和中银国际证券，任研究员。2007年10月起加入上投摩根基金管理有限公司，先后担任行业专家、基金经理助理、基金经理、总经理助理/国内权益投资一部总监兼资深基金经理，现担任副总经理兼投资总监。自2011年7月起担任上投摩根新兴动力混合型证券投资基金基金经理，2013</w:t>
            </w:r>
            <w:r>
              <w:rPr>
                <w:rFonts w:asciiTheme="minorEastAsia" w:eastAsiaTheme="minorEastAsia" w:hAnsiTheme="minorEastAsia"/>
                <w:color w:val="000000" w:themeColor="text1"/>
              </w:rPr>
              <w:lastRenderedPageBreak/>
              <w:t>年3月至2015年9月同时担任上投摩根智选30混合型证券投资基金基金经理，2013年5月至2014年12月同时担任上投摩根成长动力混合型证券投资基金基金经理，2014年12月至2019年4月同时担任上投摩根内需动力混合型证券投资基金基金经理，自2019年3月起同时担任上投摩根中国优势证券投资基金基金经理，自2021年1月起同时担任上投摩根远见两年持有期混合型证券投资基金基金经理。</w:t>
            </w:r>
          </w:p>
        </w:tc>
      </w:tr>
    </w:tbl>
    <w:p w:rsidR="00B0624C" w:rsidRDefault="00B2261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注：1.任职日期和离任日期均指根据公司决定确定的聘任日期和解聘日期。</w:t>
      </w:r>
    </w:p>
    <w:p w:rsidR="00B0624C" w:rsidRDefault="00B2261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2.杜猛先生为本基金首任基金经理，其任职日期指本基金基金合同生效之日。 </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3.证券从业的含义遵从行业协会《证券业从业人员资格管理办法》的相关规定。</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远见两年持有期混合型证券投资基金基金合同》的规定。基金经理对个股和投资组合的比例遵循了投资决策委员会的授权限制，基金投资比例符合基金合同和法律法规的要求。</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w:t>
      </w:r>
      <w:r>
        <w:rPr>
          <w:rFonts w:asciiTheme="minorEastAsia" w:eastAsiaTheme="minorEastAsia" w:hAnsiTheme="minorEastAsia"/>
          <w:color w:val="000000" w:themeColor="text1"/>
        </w:rPr>
        <w:lastRenderedPageBreak/>
        <w:t>对于申购投资行为，本公司遵循价格优先、比例分配的原则，根据事前独立申报的价格和数量对交易结果进行公平分配。</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2021年一季度市场先抑后扬，春节后出现大幅回落，部分高估值股票回调幅度较大。随着疫情的逐步缓解，市场开始担心宽松的货币政策会逐步退出，从而影响市场的流动性。海外疫情仍在蔓延，预期随着疫苗的逐步接种有望得到缓解，全球经济复苏是可预期的，但这一过程可能有些反复。本基金基于长期成长的选股逻辑，重点投资了各产业中的优质公司。</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2021年，疫情虽有反复，已经不构成主要的影响因素。2021年面临的不确定性来自于可能出现的通胀环境下的流动性恢复常态，但我们认为并不会对市场构成太大的冲击，市场上行的动力来自于上市公司盈利的增长，更主要的是全社会资产配置向权益市场的转移。</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目前市场担心的主要是部分长期看好的优质公司的估值偏高，在流动性恢复常态的过程中可能出现估值下移的趋势。我们认为这一过程也许难以避免，估值和业绩增长的匹配是股票能否长期上行的必然规律。在此过程中，我们会严格的选择那些长期景气上行，估值和增长匹配度较高的公司进行中长期投资。</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从更长期看，消费、医药、科技将成为中国未来10-20年经济增长的最大动力，证券市场最大的投资机会或将来源于此。我们将充分深入研究，寻找这些产业中长期成长的公司，力争为基金持有人创造持续稳定的收益。</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本报告期上投摩根远见两年持有期混合份额净值增长率为:-6.79%，同期业绩比较基准收益率为:-5.20%。</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5,043,030,062.29</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88.10</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5,043,030,062.29</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88.10</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49,650,000.00</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0.87</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49,650,000.00</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0.87</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D06738" w:rsidRDefault="00454D20">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629,684,597.09</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11.00</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2,124,967.40</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0.04</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5,724,489,626.78</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D06738" w:rsidRDefault="00454D20">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168,511,538.30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2.98</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9,500,837.06</w:t>
            </w:r>
          </w:p>
          <w:p w:rsidR="00D06738" w:rsidRDefault="00D06738">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0.17</w:t>
            </w:r>
          </w:p>
          <w:p w:rsidR="00D06738" w:rsidRDefault="00D06738">
            <w:pPr>
              <w:jc w:val="right"/>
              <w:rPr>
                <w:rFonts w:asciiTheme="minorEastAsia" w:eastAsiaTheme="minorEastAsia" w:hAnsiTheme="minorEastAsia" w:cs="宋体"/>
                <w:color w:val="000000" w:themeColor="text1"/>
                <w:kern w:val="0"/>
              </w:rPr>
            </w:pP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3,307,496,845.99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58.45</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337,537,458.83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5.96</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56,876,670.00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1.01</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D06738">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3,879,923,350.18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68.56</w:t>
            </w:r>
          </w:p>
        </w:tc>
      </w:tr>
    </w:tbl>
    <w:p w:rsidR="00D06738" w:rsidRDefault="00454D20">
      <w:pPr>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 5.2.2报告期末按行业分类的港股通投资股票投资组合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trPr>
          <w:jc w:val="center"/>
        </w:trPr>
        <w:tc>
          <w:tcPr>
            <w:tcW w:w="239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行业类别</w:t>
            </w:r>
          </w:p>
        </w:tc>
        <w:tc>
          <w:tcPr>
            <w:tcW w:w="3119"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公允价值（人民币）</w:t>
            </w:r>
          </w:p>
        </w:tc>
        <w:tc>
          <w:tcPr>
            <w:tcW w:w="3118"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B0624C">
        <w:trPr>
          <w:jc w:val="center"/>
        </w:trPr>
        <w:tc>
          <w:tcPr>
            <w:tcW w:w="2397" w:type="dxa"/>
            <w:vAlign w:val="center"/>
          </w:tcPr>
          <w:p w:rsidR="00B0624C" w:rsidRDefault="00B22611">
            <w:pPr>
              <w:jc w:val="center"/>
            </w:pPr>
            <w:r>
              <w:rPr>
                <w:rFonts w:asciiTheme="minorEastAsia" w:eastAsiaTheme="minorEastAsia" w:hAnsiTheme="minorEastAsia" w:cs="宋体"/>
                <w:color w:val="000000" w:themeColor="text1"/>
                <w:kern w:val="0"/>
              </w:rPr>
              <w:t>A 基础材料</w:t>
            </w:r>
          </w:p>
        </w:tc>
        <w:tc>
          <w:tcPr>
            <w:tcW w:w="3119" w:type="dxa"/>
            <w:vAlign w:val="center"/>
          </w:tcPr>
          <w:p w:rsidR="00B0624C" w:rsidRDefault="00B22611">
            <w:pPr>
              <w:jc w:val="center"/>
            </w:pPr>
            <w:r>
              <w:rPr>
                <w:rFonts w:asciiTheme="minorEastAsia" w:eastAsiaTheme="minorEastAsia" w:hAnsiTheme="minorEastAsia" w:cs="宋体"/>
                <w:color w:val="000000" w:themeColor="text1"/>
                <w:kern w:val="0"/>
              </w:rPr>
              <w:t>-</w:t>
            </w:r>
          </w:p>
        </w:tc>
        <w:tc>
          <w:tcPr>
            <w:tcW w:w="3118" w:type="dxa"/>
            <w:vAlign w:val="center"/>
          </w:tcPr>
          <w:p w:rsidR="00B0624C" w:rsidRDefault="00B22611">
            <w:pPr>
              <w:jc w:val="center"/>
            </w:pPr>
            <w:r>
              <w:rPr>
                <w:rFonts w:asciiTheme="minorEastAsia" w:eastAsiaTheme="minorEastAsia" w:hAnsiTheme="minorEastAsia" w:cs="宋体"/>
                <w:color w:val="000000" w:themeColor="text1"/>
                <w:kern w:val="0"/>
              </w:rPr>
              <w:t>-</w:t>
            </w:r>
          </w:p>
        </w:tc>
      </w:tr>
      <w:tr w:rsidR="00B0624C">
        <w:trPr>
          <w:jc w:val="center"/>
        </w:trPr>
        <w:tc>
          <w:tcPr>
            <w:tcW w:w="2397" w:type="dxa"/>
            <w:vAlign w:val="center"/>
          </w:tcPr>
          <w:p w:rsidR="00B0624C" w:rsidRDefault="00B22611">
            <w:pPr>
              <w:jc w:val="center"/>
            </w:pPr>
            <w:r>
              <w:rPr>
                <w:rFonts w:asciiTheme="minorEastAsia" w:eastAsiaTheme="minorEastAsia" w:hAnsiTheme="minorEastAsia" w:cs="宋体"/>
                <w:color w:val="000000" w:themeColor="text1"/>
                <w:kern w:val="0"/>
              </w:rPr>
              <w:t>B 消费者非必需品</w:t>
            </w:r>
          </w:p>
        </w:tc>
        <w:tc>
          <w:tcPr>
            <w:tcW w:w="3119" w:type="dxa"/>
            <w:vAlign w:val="center"/>
          </w:tcPr>
          <w:p w:rsidR="00B0624C" w:rsidRDefault="00B22611">
            <w:pPr>
              <w:jc w:val="center"/>
            </w:pPr>
            <w:r>
              <w:rPr>
                <w:rFonts w:asciiTheme="minorEastAsia" w:eastAsiaTheme="minorEastAsia" w:hAnsiTheme="minorEastAsia" w:cs="宋体"/>
                <w:color w:val="000000" w:themeColor="text1"/>
                <w:kern w:val="0"/>
              </w:rPr>
              <w:t>323,724,562.39</w:t>
            </w:r>
          </w:p>
        </w:tc>
        <w:tc>
          <w:tcPr>
            <w:tcW w:w="3118" w:type="dxa"/>
            <w:vAlign w:val="center"/>
          </w:tcPr>
          <w:p w:rsidR="00B0624C" w:rsidRDefault="00B22611">
            <w:pPr>
              <w:jc w:val="center"/>
            </w:pPr>
            <w:r>
              <w:rPr>
                <w:rFonts w:asciiTheme="minorEastAsia" w:eastAsiaTheme="minorEastAsia" w:hAnsiTheme="minorEastAsia" w:cs="宋体"/>
                <w:color w:val="000000" w:themeColor="text1"/>
                <w:kern w:val="0"/>
              </w:rPr>
              <w:t>5.72</w:t>
            </w:r>
          </w:p>
        </w:tc>
      </w:tr>
      <w:tr w:rsidR="00B0624C">
        <w:trPr>
          <w:jc w:val="center"/>
        </w:trPr>
        <w:tc>
          <w:tcPr>
            <w:tcW w:w="2397" w:type="dxa"/>
            <w:vAlign w:val="center"/>
          </w:tcPr>
          <w:p w:rsidR="00B0624C" w:rsidRDefault="00B22611">
            <w:pPr>
              <w:jc w:val="center"/>
            </w:pPr>
            <w:r>
              <w:rPr>
                <w:rFonts w:asciiTheme="minorEastAsia" w:eastAsiaTheme="minorEastAsia" w:hAnsiTheme="minorEastAsia" w:cs="宋体"/>
                <w:color w:val="000000" w:themeColor="text1"/>
                <w:kern w:val="0"/>
              </w:rPr>
              <w:t>C 消费者常用品</w:t>
            </w:r>
          </w:p>
        </w:tc>
        <w:tc>
          <w:tcPr>
            <w:tcW w:w="3119" w:type="dxa"/>
            <w:vAlign w:val="center"/>
          </w:tcPr>
          <w:p w:rsidR="00B0624C" w:rsidRDefault="00B22611">
            <w:pPr>
              <w:jc w:val="center"/>
            </w:pPr>
            <w:r>
              <w:rPr>
                <w:rFonts w:asciiTheme="minorEastAsia" w:eastAsiaTheme="minorEastAsia" w:hAnsiTheme="minorEastAsia" w:cs="宋体"/>
                <w:color w:val="000000" w:themeColor="text1"/>
                <w:kern w:val="0"/>
              </w:rPr>
              <w:t>-</w:t>
            </w:r>
          </w:p>
        </w:tc>
        <w:tc>
          <w:tcPr>
            <w:tcW w:w="3118" w:type="dxa"/>
            <w:vAlign w:val="center"/>
          </w:tcPr>
          <w:p w:rsidR="00B0624C" w:rsidRDefault="00B22611">
            <w:pPr>
              <w:jc w:val="center"/>
            </w:pPr>
            <w:r>
              <w:rPr>
                <w:rFonts w:asciiTheme="minorEastAsia" w:eastAsiaTheme="minorEastAsia" w:hAnsiTheme="minorEastAsia" w:cs="宋体"/>
                <w:color w:val="000000" w:themeColor="text1"/>
                <w:kern w:val="0"/>
              </w:rPr>
              <w:t>-</w:t>
            </w:r>
          </w:p>
        </w:tc>
      </w:tr>
      <w:tr w:rsidR="00B0624C">
        <w:trPr>
          <w:jc w:val="center"/>
        </w:trPr>
        <w:tc>
          <w:tcPr>
            <w:tcW w:w="2397" w:type="dxa"/>
            <w:vAlign w:val="center"/>
          </w:tcPr>
          <w:p w:rsidR="00B0624C" w:rsidRDefault="00B22611">
            <w:pPr>
              <w:jc w:val="center"/>
            </w:pPr>
            <w:r>
              <w:rPr>
                <w:rFonts w:asciiTheme="minorEastAsia" w:eastAsiaTheme="minorEastAsia" w:hAnsiTheme="minorEastAsia" w:cs="宋体"/>
                <w:color w:val="000000" w:themeColor="text1"/>
                <w:kern w:val="0"/>
              </w:rPr>
              <w:t>D 能源</w:t>
            </w:r>
          </w:p>
        </w:tc>
        <w:tc>
          <w:tcPr>
            <w:tcW w:w="3119" w:type="dxa"/>
            <w:vAlign w:val="center"/>
          </w:tcPr>
          <w:p w:rsidR="00B0624C" w:rsidRDefault="00B22611">
            <w:pPr>
              <w:jc w:val="center"/>
            </w:pPr>
            <w:r>
              <w:rPr>
                <w:rFonts w:asciiTheme="minorEastAsia" w:eastAsiaTheme="minorEastAsia" w:hAnsiTheme="minorEastAsia" w:cs="宋体"/>
                <w:color w:val="000000" w:themeColor="text1"/>
                <w:kern w:val="0"/>
              </w:rPr>
              <w:t>-</w:t>
            </w:r>
          </w:p>
        </w:tc>
        <w:tc>
          <w:tcPr>
            <w:tcW w:w="3118" w:type="dxa"/>
            <w:vAlign w:val="center"/>
          </w:tcPr>
          <w:p w:rsidR="00B0624C" w:rsidRDefault="00B22611">
            <w:pPr>
              <w:jc w:val="center"/>
            </w:pPr>
            <w:r>
              <w:rPr>
                <w:rFonts w:asciiTheme="minorEastAsia" w:eastAsiaTheme="minorEastAsia" w:hAnsiTheme="minorEastAsia" w:cs="宋体"/>
                <w:color w:val="000000" w:themeColor="text1"/>
                <w:kern w:val="0"/>
              </w:rPr>
              <w:t>-</w:t>
            </w:r>
          </w:p>
        </w:tc>
      </w:tr>
      <w:tr w:rsidR="00B0624C">
        <w:trPr>
          <w:jc w:val="center"/>
        </w:trPr>
        <w:tc>
          <w:tcPr>
            <w:tcW w:w="2397" w:type="dxa"/>
            <w:vAlign w:val="center"/>
          </w:tcPr>
          <w:p w:rsidR="00B0624C" w:rsidRDefault="00B22611">
            <w:pPr>
              <w:jc w:val="center"/>
            </w:pPr>
            <w:r>
              <w:rPr>
                <w:rFonts w:asciiTheme="minorEastAsia" w:eastAsiaTheme="minorEastAsia" w:hAnsiTheme="minorEastAsia" w:cs="宋体"/>
                <w:color w:val="000000" w:themeColor="text1"/>
                <w:kern w:val="0"/>
              </w:rPr>
              <w:t>E 金融</w:t>
            </w:r>
          </w:p>
        </w:tc>
        <w:tc>
          <w:tcPr>
            <w:tcW w:w="3119" w:type="dxa"/>
            <w:vAlign w:val="center"/>
          </w:tcPr>
          <w:p w:rsidR="00B0624C" w:rsidRDefault="00B22611">
            <w:pPr>
              <w:jc w:val="center"/>
            </w:pPr>
            <w:r>
              <w:rPr>
                <w:rFonts w:asciiTheme="minorEastAsia" w:eastAsiaTheme="minorEastAsia" w:hAnsiTheme="minorEastAsia" w:cs="宋体"/>
                <w:color w:val="000000" w:themeColor="text1"/>
                <w:kern w:val="0"/>
              </w:rPr>
              <w:t>-</w:t>
            </w:r>
          </w:p>
        </w:tc>
        <w:tc>
          <w:tcPr>
            <w:tcW w:w="3118" w:type="dxa"/>
            <w:vAlign w:val="center"/>
          </w:tcPr>
          <w:p w:rsidR="00B0624C" w:rsidRDefault="00B22611">
            <w:pPr>
              <w:jc w:val="center"/>
            </w:pPr>
            <w:r>
              <w:rPr>
                <w:rFonts w:asciiTheme="minorEastAsia" w:eastAsiaTheme="minorEastAsia" w:hAnsiTheme="minorEastAsia" w:cs="宋体"/>
                <w:color w:val="000000" w:themeColor="text1"/>
                <w:kern w:val="0"/>
              </w:rPr>
              <w:t>-</w:t>
            </w:r>
          </w:p>
        </w:tc>
      </w:tr>
      <w:tr w:rsidR="00B0624C">
        <w:trPr>
          <w:jc w:val="center"/>
        </w:trPr>
        <w:tc>
          <w:tcPr>
            <w:tcW w:w="2397" w:type="dxa"/>
            <w:vAlign w:val="center"/>
          </w:tcPr>
          <w:p w:rsidR="00B0624C" w:rsidRDefault="00B22611">
            <w:pPr>
              <w:jc w:val="center"/>
            </w:pPr>
            <w:r>
              <w:rPr>
                <w:rFonts w:asciiTheme="minorEastAsia" w:eastAsiaTheme="minorEastAsia" w:hAnsiTheme="minorEastAsia" w:cs="宋体"/>
                <w:color w:val="000000" w:themeColor="text1"/>
                <w:kern w:val="0"/>
              </w:rPr>
              <w:t>F 医疗保健</w:t>
            </w:r>
          </w:p>
        </w:tc>
        <w:tc>
          <w:tcPr>
            <w:tcW w:w="3119" w:type="dxa"/>
            <w:vAlign w:val="center"/>
          </w:tcPr>
          <w:p w:rsidR="00B0624C" w:rsidRDefault="00B22611">
            <w:pPr>
              <w:jc w:val="center"/>
            </w:pPr>
            <w:r>
              <w:rPr>
                <w:rFonts w:asciiTheme="minorEastAsia" w:eastAsiaTheme="minorEastAsia" w:hAnsiTheme="minorEastAsia" w:cs="宋体"/>
                <w:color w:val="000000" w:themeColor="text1"/>
                <w:kern w:val="0"/>
              </w:rPr>
              <w:t>-</w:t>
            </w:r>
          </w:p>
        </w:tc>
        <w:tc>
          <w:tcPr>
            <w:tcW w:w="3118" w:type="dxa"/>
            <w:vAlign w:val="center"/>
          </w:tcPr>
          <w:p w:rsidR="00B0624C" w:rsidRDefault="00B22611">
            <w:pPr>
              <w:jc w:val="center"/>
            </w:pPr>
            <w:r>
              <w:rPr>
                <w:rFonts w:asciiTheme="minorEastAsia" w:eastAsiaTheme="minorEastAsia" w:hAnsiTheme="minorEastAsia" w:cs="宋体"/>
                <w:color w:val="000000" w:themeColor="text1"/>
                <w:kern w:val="0"/>
              </w:rPr>
              <w:t>-</w:t>
            </w:r>
          </w:p>
        </w:tc>
      </w:tr>
      <w:tr w:rsidR="00B0624C">
        <w:trPr>
          <w:jc w:val="center"/>
        </w:trPr>
        <w:tc>
          <w:tcPr>
            <w:tcW w:w="2397" w:type="dxa"/>
            <w:vAlign w:val="center"/>
          </w:tcPr>
          <w:p w:rsidR="00B0624C" w:rsidRDefault="00B22611">
            <w:pPr>
              <w:jc w:val="center"/>
            </w:pPr>
            <w:r>
              <w:rPr>
                <w:rFonts w:asciiTheme="minorEastAsia" w:eastAsiaTheme="minorEastAsia" w:hAnsiTheme="minorEastAsia" w:cs="宋体"/>
                <w:color w:val="000000" w:themeColor="text1"/>
                <w:kern w:val="0"/>
              </w:rPr>
              <w:t>G 工业</w:t>
            </w:r>
          </w:p>
        </w:tc>
        <w:tc>
          <w:tcPr>
            <w:tcW w:w="3119" w:type="dxa"/>
            <w:vAlign w:val="center"/>
          </w:tcPr>
          <w:p w:rsidR="00B0624C" w:rsidRDefault="00B22611">
            <w:pPr>
              <w:jc w:val="center"/>
            </w:pPr>
            <w:r>
              <w:rPr>
                <w:rFonts w:asciiTheme="minorEastAsia" w:eastAsiaTheme="minorEastAsia" w:hAnsiTheme="minorEastAsia" w:cs="宋体"/>
                <w:color w:val="000000" w:themeColor="text1"/>
                <w:kern w:val="0"/>
              </w:rPr>
              <w:t>-</w:t>
            </w:r>
          </w:p>
        </w:tc>
        <w:tc>
          <w:tcPr>
            <w:tcW w:w="3118" w:type="dxa"/>
            <w:vAlign w:val="center"/>
          </w:tcPr>
          <w:p w:rsidR="00B0624C" w:rsidRDefault="00B22611">
            <w:pPr>
              <w:jc w:val="center"/>
            </w:pPr>
            <w:r>
              <w:rPr>
                <w:rFonts w:asciiTheme="minorEastAsia" w:eastAsiaTheme="minorEastAsia" w:hAnsiTheme="minorEastAsia" w:cs="宋体"/>
                <w:color w:val="000000" w:themeColor="text1"/>
                <w:kern w:val="0"/>
              </w:rPr>
              <w:t>-</w:t>
            </w:r>
          </w:p>
        </w:tc>
      </w:tr>
      <w:tr w:rsidR="00B0624C">
        <w:trPr>
          <w:jc w:val="center"/>
        </w:trPr>
        <w:tc>
          <w:tcPr>
            <w:tcW w:w="2397" w:type="dxa"/>
            <w:vAlign w:val="center"/>
          </w:tcPr>
          <w:p w:rsidR="00B0624C" w:rsidRDefault="00B22611">
            <w:pPr>
              <w:jc w:val="center"/>
            </w:pPr>
            <w:r>
              <w:rPr>
                <w:rFonts w:asciiTheme="minorEastAsia" w:eastAsiaTheme="minorEastAsia" w:hAnsiTheme="minorEastAsia" w:cs="宋体"/>
                <w:color w:val="000000" w:themeColor="text1"/>
                <w:kern w:val="0"/>
              </w:rPr>
              <w:t>H 信息技术</w:t>
            </w:r>
          </w:p>
        </w:tc>
        <w:tc>
          <w:tcPr>
            <w:tcW w:w="3119" w:type="dxa"/>
            <w:vAlign w:val="center"/>
          </w:tcPr>
          <w:p w:rsidR="00B0624C" w:rsidRDefault="00B22611">
            <w:pPr>
              <w:jc w:val="center"/>
            </w:pPr>
            <w:r>
              <w:rPr>
                <w:rFonts w:asciiTheme="minorEastAsia" w:eastAsiaTheme="minorEastAsia" w:hAnsiTheme="minorEastAsia" w:cs="宋体"/>
                <w:color w:val="000000" w:themeColor="text1"/>
                <w:kern w:val="0"/>
              </w:rPr>
              <w:t>-</w:t>
            </w:r>
          </w:p>
        </w:tc>
        <w:tc>
          <w:tcPr>
            <w:tcW w:w="3118" w:type="dxa"/>
            <w:vAlign w:val="center"/>
          </w:tcPr>
          <w:p w:rsidR="00B0624C" w:rsidRDefault="00B22611">
            <w:pPr>
              <w:jc w:val="center"/>
            </w:pPr>
            <w:r>
              <w:rPr>
                <w:rFonts w:asciiTheme="minorEastAsia" w:eastAsiaTheme="minorEastAsia" w:hAnsiTheme="minorEastAsia" w:cs="宋体"/>
                <w:color w:val="000000" w:themeColor="text1"/>
                <w:kern w:val="0"/>
              </w:rPr>
              <w:t>-</w:t>
            </w:r>
          </w:p>
        </w:tc>
      </w:tr>
      <w:tr w:rsidR="00B0624C">
        <w:trPr>
          <w:jc w:val="center"/>
        </w:trPr>
        <w:tc>
          <w:tcPr>
            <w:tcW w:w="2397" w:type="dxa"/>
            <w:vAlign w:val="center"/>
          </w:tcPr>
          <w:p w:rsidR="00B0624C" w:rsidRDefault="00B22611">
            <w:pPr>
              <w:jc w:val="center"/>
            </w:pPr>
            <w:r>
              <w:rPr>
                <w:rFonts w:asciiTheme="minorEastAsia" w:eastAsiaTheme="minorEastAsia" w:hAnsiTheme="minorEastAsia" w:cs="宋体"/>
                <w:color w:val="000000" w:themeColor="text1"/>
                <w:kern w:val="0"/>
              </w:rPr>
              <w:t>I 电信服务</w:t>
            </w:r>
          </w:p>
        </w:tc>
        <w:tc>
          <w:tcPr>
            <w:tcW w:w="3119" w:type="dxa"/>
            <w:vAlign w:val="center"/>
          </w:tcPr>
          <w:p w:rsidR="00B0624C" w:rsidRDefault="00B22611">
            <w:pPr>
              <w:jc w:val="center"/>
            </w:pPr>
            <w:r>
              <w:rPr>
                <w:rFonts w:asciiTheme="minorEastAsia" w:eastAsiaTheme="minorEastAsia" w:hAnsiTheme="minorEastAsia" w:cs="宋体"/>
                <w:color w:val="000000" w:themeColor="text1"/>
                <w:kern w:val="0"/>
              </w:rPr>
              <w:t>839,382,149.72</w:t>
            </w:r>
          </w:p>
        </w:tc>
        <w:tc>
          <w:tcPr>
            <w:tcW w:w="3118" w:type="dxa"/>
            <w:vAlign w:val="center"/>
          </w:tcPr>
          <w:p w:rsidR="00B0624C" w:rsidRDefault="00B22611">
            <w:pPr>
              <w:jc w:val="center"/>
            </w:pPr>
            <w:r>
              <w:rPr>
                <w:rFonts w:asciiTheme="minorEastAsia" w:eastAsiaTheme="minorEastAsia" w:hAnsiTheme="minorEastAsia" w:cs="宋体"/>
                <w:color w:val="000000" w:themeColor="text1"/>
                <w:kern w:val="0"/>
              </w:rPr>
              <w:t>14.83</w:t>
            </w:r>
          </w:p>
        </w:tc>
      </w:tr>
      <w:tr w:rsidR="00B0624C">
        <w:trPr>
          <w:jc w:val="center"/>
        </w:trPr>
        <w:tc>
          <w:tcPr>
            <w:tcW w:w="2397" w:type="dxa"/>
            <w:vAlign w:val="center"/>
          </w:tcPr>
          <w:p w:rsidR="00B0624C" w:rsidRDefault="00B22611">
            <w:pPr>
              <w:jc w:val="center"/>
            </w:pPr>
            <w:r>
              <w:rPr>
                <w:rFonts w:asciiTheme="minorEastAsia" w:eastAsiaTheme="minorEastAsia" w:hAnsiTheme="minorEastAsia" w:cs="宋体"/>
                <w:color w:val="000000" w:themeColor="text1"/>
                <w:kern w:val="0"/>
              </w:rPr>
              <w:t>J 公用事业</w:t>
            </w:r>
          </w:p>
        </w:tc>
        <w:tc>
          <w:tcPr>
            <w:tcW w:w="3119" w:type="dxa"/>
            <w:vAlign w:val="center"/>
          </w:tcPr>
          <w:p w:rsidR="00B0624C" w:rsidRDefault="00B22611">
            <w:pPr>
              <w:jc w:val="center"/>
            </w:pPr>
            <w:r>
              <w:rPr>
                <w:rFonts w:asciiTheme="minorEastAsia" w:eastAsiaTheme="minorEastAsia" w:hAnsiTheme="minorEastAsia" w:cs="宋体"/>
                <w:color w:val="000000" w:themeColor="text1"/>
                <w:kern w:val="0"/>
              </w:rPr>
              <w:t>-</w:t>
            </w:r>
          </w:p>
        </w:tc>
        <w:tc>
          <w:tcPr>
            <w:tcW w:w="3118" w:type="dxa"/>
            <w:vAlign w:val="center"/>
          </w:tcPr>
          <w:p w:rsidR="00B0624C" w:rsidRDefault="00B22611">
            <w:pPr>
              <w:jc w:val="center"/>
            </w:pPr>
            <w:r>
              <w:rPr>
                <w:rFonts w:asciiTheme="minorEastAsia" w:eastAsiaTheme="minorEastAsia" w:hAnsiTheme="minorEastAsia" w:cs="宋体"/>
                <w:color w:val="000000" w:themeColor="text1"/>
                <w:kern w:val="0"/>
              </w:rPr>
              <w:t>-</w:t>
            </w:r>
          </w:p>
        </w:tc>
      </w:tr>
      <w:tr w:rsidR="00B0624C">
        <w:trPr>
          <w:jc w:val="center"/>
        </w:trPr>
        <w:tc>
          <w:tcPr>
            <w:tcW w:w="2397" w:type="dxa"/>
            <w:vAlign w:val="center"/>
          </w:tcPr>
          <w:p w:rsidR="00B0624C" w:rsidRDefault="00B22611">
            <w:pPr>
              <w:jc w:val="center"/>
            </w:pPr>
            <w:r>
              <w:rPr>
                <w:rFonts w:asciiTheme="minorEastAsia" w:eastAsiaTheme="minorEastAsia" w:hAnsiTheme="minorEastAsia" w:cs="宋体"/>
                <w:color w:val="000000" w:themeColor="text1"/>
                <w:kern w:val="0"/>
              </w:rPr>
              <w:t>K 房地产</w:t>
            </w:r>
          </w:p>
        </w:tc>
        <w:tc>
          <w:tcPr>
            <w:tcW w:w="3119" w:type="dxa"/>
            <w:vAlign w:val="center"/>
          </w:tcPr>
          <w:p w:rsidR="00B0624C" w:rsidRDefault="00B22611">
            <w:pPr>
              <w:jc w:val="center"/>
            </w:pPr>
            <w:r>
              <w:rPr>
                <w:rFonts w:asciiTheme="minorEastAsia" w:eastAsiaTheme="minorEastAsia" w:hAnsiTheme="minorEastAsia" w:cs="宋体"/>
                <w:color w:val="000000" w:themeColor="text1"/>
                <w:kern w:val="0"/>
              </w:rPr>
              <w:t>-</w:t>
            </w:r>
          </w:p>
        </w:tc>
        <w:tc>
          <w:tcPr>
            <w:tcW w:w="3118" w:type="dxa"/>
            <w:vAlign w:val="center"/>
          </w:tcPr>
          <w:p w:rsidR="00B0624C" w:rsidRDefault="00B22611">
            <w:pPr>
              <w:jc w:val="center"/>
            </w:pPr>
            <w:r>
              <w:rPr>
                <w:rFonts w:asciiTheme="minorEastAsia" w:eastAsiaTheme="minorEastAsia" w:hAnsiTheme="minorEastAsia" w:cs="宋体"/>
                <w:color w:val="000000" w:themeColor="text1"/>
                <w:kern w:val="0"/>
              </w:rPr>
              <w:t>-</w:t>
            </w:r>
          </w:p>
        </w:tc>
      </w:tr>
      <w:tr w:rsidR="00D06738">
        <w:trPr>
          <w:jc w:val="center"/>
        </w:trPr>
        <w:tc>
          <w:tcPr>
            <w:tcW w:w="239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3119" w:type="dxa"/>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1,163,106,712.11</w:t>
            </w:r>
          </w:p>
        </w:tc>
        <w:tc>
          <w:tcPr>
            <w:tcW w:w="3118" w:type="dxa"/>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20.55</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D06738">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B0624C">
        <w:tc>
          <w:tcPr>
            <w:tcW w:w="817" w:type="dxa"/>
            <w:vAlign w:val="center"/>
          </w:tcPr>
          <w:p w:rsidR="00B0624C" w:rsidRDefault="00B22611">
            <w:pPr>
              <w:jc w:val="center"/>
            </w:pPr>
            <w:r>
              <w:rPr>
                <w:rFonts w:asciiTheme="minorEastAsia" w:eastAsiaTheme="minorEastAsia" w:hAnsiTheme="minorEastAsia" w:cs="宋体"/>
                <w:color w:val="000000" w:themeColor="text1"/>
                <w:kern w:val="0"/>
              </w:rPr>
              <w:t>1</w:t>
            </w:r>
          </w:p>
        </w:tc>
        <w:tc>
          <w:tcPr>
            <w:tcW w:w="1276" w:type="dxa"/>
            <w:vAlign w:val="center"/>
          </w:tcPr>
          <w:p w:rsidR="00B0624C" w:rsidRDefault="00B22611">
            <w:pPr>
              <w:jc w:val="center"/>
            </w:pPr>
            <w:r>
              <w:rPr>
                <w:rFonts w:asciiTheme="minorEastAsia" w:eastAsiaTheme="minorEastAsia" w:hAnsiTheme="minorEastAsia" w:cs="宋体"/>
                <w:color w:val="000000" w:themeColor="text1"/>
                <w:kern w:val="0"/>
              </w:rPr>
              <w:t>00700</w:t>
            </w:r>
          </w:p>
        </w:tc>
        <w:tc>
          <w:tcPr>
            <w:tcW w:w="1701" w:type="dxa"/>
            <w:vAlign w:val="center"/>
          </w:tcPr>
          <w:p w:rsidR="00B0624C" w:rsidRDefault="00B22611">
            <w:pPr>
              <w:jc w:val="center"/>
            </w:pPr>
            <w:r>
              <w:rPr>
                <w:rFonts w:asciiTheme="minorEastAsia" w:eastAsiaTheme="minorEastAsia" w:hAnsiTheme="minorEastAsia" w:cs="宋体"/>
                <w:color w:val="000000" w:themeColor="text1"/>
                <w:kern w:val="0"/>
              </w:rPr>
              <w:t>腾讯控股</w:t>
            </w:r>
          </w:p>
        </w:tc>
        <w:tc>
          <w:tcPr>
            <w:tcW w:w="1276" w:type="dxa"/>
            <w:vAlign w:val="center"/>
          </w:tcPr>
          <w:p w:rsidR="00B0624C" w:rsidRDefault="00B22611">
            <w:pPr>
              <w:jc w:val="right"/>
            </w:pPr>
            <w:r>
              <w:rPr>
                <w:rFonts w:asciiTheme="minorEastAsia" w:eastAsiaTheme="minorEastAsia" w:hAnsiTheme="minorEastAsia" w:cs="宋体"/>
                <w:color w:val="000000" w:themeColor="text1"/>
                <w:kern w:val="0"/>
              </w:rPr>
              <w:t>930,000.00</w:t>
            </w:r>
          </w:p>
        </w:tc>
        <w:tc>
          <w:tcPr>
            <w:tcW w:w="1842" w:type="dxa"/>
            <w:vAlign w:val="center"/>
          </w:tcPr>
          <w:p w:rsidR="00B0624C" w:rsidRDefault="00B22611">
            <w:pPr>
              <w:jc w:val="right"/>
            </w:pPr>
            <w:r>
              <w:rPr>
                <w:rFonts w:asciiTheme="minorEastAsia" w:eastAsiaTheme="minorEastAsia" w:hAnsiTheme="minorEastAsia" w:cs="宋体"/>
                <w:color w:val="000000" w:themeColor="text1"/>
                <w:kern w:val="0"/>
              </w:rPr>
              <w:t>479,470,614.00</w:t>
            </w:r>
          </w:p>
        </w:tc>
        <w:tc>
          <w:tcPr>
            <w:tcW w:w="1616" w:type="dxa"/>
            <w:vAlign w:val="center"/>
          </w:tcPr>
          <w:p w:rsidR="00B0624C" w:rsidRDefault="00B22611">
            <w:pPr>
              <w:jc w:val="right"/>
            </w:pPr>
            <w:r>
              <w:rPr>
                <w:rFonts w:asciiTheme="minorEastAsia" w:eastAsiaTheme="minorEastAsia" w:hAnsiTheme="minorEastAsia" w:cs="宋体"/>
                <w:color w:val="000000" w:themeColor="text1"/>
                <w:kern w:val="0"/>
              </w:rPr>
              <w:t>8.47</w:t>
            </w:r>
          </w:p>
        </w:tc>
      </w:tr>
      <w:tr w:rsidR="00B0624C">
        <w:tc>
          <w:tcPr>
            <w:tcW w:w="817" w:type="dxa"/>
            <w:vAlign w:val="center"/>
          </w:tcPr>
          <w:p w:rsidR="00B0624C" w:rsidRDefault="00B22611">
            <w:pPr>
              <w:jc w:val="center"/>
            </w:pPr>
            <w:r>
              <w:rPr>
                <w:rFonts w:asciiTheme="minorEastAsia" w:eastAsiaTheme="minorEastAsia" w:hAnsiTheme="minorEastAsia" w:cs="宋体"/>
                <w:color w:val="000000" w:themeColor="text1"/>
                <w:kern w:val="0"/>
              </w:rPr>
              <w:lastRenderedPageBreak/>
              <w:t>2</w:t>
            </w:r>
          </w:p>
        </w:tc>
        <w:tc>
          <w:tcPr>
            <w:tcW w:w="1276" w:type="dxa"/>
            <w:vAlign w:val="center"/>
          </w:tcPr>
          <w:p w:rsidR="00B0624C" w:rsidRDefault="00B22611">
            <w:pPr>
              <w:jc w:val="center"/>
            </w:pPr>
            <w:r>
              <w:rPr>
                <w:rFonts w:asciiTheme="minorEastAsia" w:eastAsiaTheme="minorEastAsia" w:hAnsiTheme="minorEastAsia" w:cs="宋体"/>
                <w:color w:val="000000" w:themeColor="text1"/>
                <w:kern w:val="0"/>
              </w:rPr>
              <w:t>00941</w:t>
            </w:r>
          </w:p>
        </w:tc>
        <w:tc>
          <w:tcPr>
            <w:tcW w:w="1701" w:type="dxa"/>
            <w:vAlign w:val="center"/>
          </w:tcPr>
          <w:p w:rsidR="00B0624C" w:rsidRDefault="00B22611">
            <w:pPr>
              <w:jc w:val="center"/>
            </w:pPr>
            <w:r>
              <w:rPr>
                <w:rFonts w:asciiTheme="minorEastAsia" w:eastAsiaTheme="minorEastAsia" w:hAnsiTheme="minorEastAsia" w:cs="宋体"/>
                <w:color w:val="000000" w:themeColor="text1"/>
                <w:kern w:val="0"/>
              </w:rPr>
              <w:t>中国移动</w:t>
            </w:r>
          </w:p>
        </w:tc>
        <w:tc>
          <w:tcPr>
            <w:tcW w:w="1276" w:type="dxa"/>
            <w:vAlign w:val="center"/>
          </w:tcPr>
          <w:p w:rsidR="00B0624C" w:rsidRDefault="00B22611">
            <w:pPr>
              <w:jc w:val="right"/>
            </w:pPr>
            <w:r>
              <w:rPr>
                <w:rFonts w:asciiTheme="minorEastAsia" w:eastAsiaTheme="minorEastAsia" w:hAnsiTheme="minorEastAsia" w:cs="宋体"/>
                <w:color w:val="000000" w:themeColor="text1"/>
                <w:kern w:val="0"/>
              </w:rPr>
              <w:t>8,358,000.00</w:t>
            </w:r>
          </w:p>
        </w:tc>
        <w:tc>
          <w:tcPr>
            <w:tcW w:w="1842" w:type="dxa"/>
            <w:vAlign w:val="center"/>
          </w:tcPr>
          <w:p w:rsidR="00B0624C" w:rsidRDefault="00B22611">
            <w:pPr>
              <w:jc w:val="right"/>
            </w:pPr>
            <w:r>
              <w:rPr>
                <w:rFonts w:asciiTheme="minorEastAsia" w:eastAsiaTheme="minorEastAsia" w:hAnsiTheme="minorEastAsia" w:cs="宋体"/>
                <w:color w:val="000000" w:themeColor="text1"/>
                <w:kern w:val="0"/>
              </w:rPr>
              <w:t>359,911,535.72</w:t>
            </w:r>
          </w:p>
        </w:tc>
        <w:tc>
          <w:tcPr>
            <w:tcW w:w="1616" w:type="dxa"/>
            <w:vAlign w:val="center"/>
          </w:tcPr>
          <w:p w:rsidR="00B0624C" w:rsidRDefault="00B22611">
            <w:pPr>
              <w:jc w:val="right"/>
            </w:pPr>
            <w:r>
              <w:rPr>
                <w:rFonts w:asciiTheme="minorEastAsia" w:eastAsiaTheme="minorEastAsia" w:hAnsiTheme="minorEastAsia" w:cs="宋体"/>
                <w:color w:val="000000" w:themeColor="text1"/>
                <w:kern w:val="0"/>
              </w:rPr>
              <w:t>6.36</w:t>
            </w:r>
          </w:p>
        </w:tc>
      </w:tr>
      <w:tr w:rsidR="00B0624C">
        <w:tc>
          <w:tcPr>
            <w:tcW w:w="817" w:type="dxa"/>
            <w:vAlign w:val="center"/>
          </w:tcPr>
          <w:p w:rsidR="00B0624C" w:rsidRDefault="00B22611">
            <w:pPr>
              <w:jc w:val="center"/>
            </w:pPr>
            <w:r>
              <w:rPr>
                <w:rFonts w:asciiTheme="minorEastAsia" w:eastAsiaTheme="minorEastAsia" w:hAnsiTheme="minorEastAsia" w:cs="宋体"/>
                <w:color w:val="000000" w:themeColor="text1"/>
                <w:kern w:val="0"/>
              </w:rPr>
              <w:t>3</w:t>
            </w:r>
          </w:p>
        </w:tc>
        <w:tc>
          <w:tcPr>
            <w:tcW w:w="1276" w:type="dxa"/>
            <w:vAlign w:val="center"/>
          </w:tcPr>
          <w:p w:rsidR="00B0624C" w:rsidRDefault="00B22611">
            <w:pPr>
              <w:jc w:val="center"/>
            </w:pPr>
            <w:r>
              <w:rPr>
                <w:rFonts w:asciiTheme="minorEastAsia" w:eastAsiaTheme="minorEastAsia" w:hAnsiTheme="minorEastAsia" w:cs="宋体"/>
                <w:color w:val="000000" w:themeColor="text1"/>
                <w:kern w:val="0"/>
              </w:rPr>
              <w:t>688169</w:t>
            </w:r>
          </w:p>
        </w:tc>
        <w:tc>
          <w:tcPr>
            <w:tcW w:w="1701" w:type="dxa"/>
            <w:vAlign w:val="center"/>
          </w:tcPr>
          <w:p w:rsidR="00B0624C" w:rsidRDefault="00B22611">
            <w:pPr>
              <w:jc w:val="center"/>
            </w:pPr>
            <w:r>
              <w:rPr>
                <w:rFonts w:asciiTheme="minorEastAsia" w:eastAsiaTheme="minorEastAsia" w:hAnsiTheme="minorEastAsia" w:cs="宋体"/>
                <w:color w:val="000000" w:themeColor="text1"/>
                <w:kern w:val="0"/>
              </w:rPr>
              <w:t>石头科技</w:t>
            </w:r>
          </w:p>
        </w:tc>
        <w:tc>
          <w:tcPr>
            <w:tcW w:w="1276" w:type="dxa"/>
            <w:vAlign w:val="center"/>
          </w:tcPr>
          <w:p w:rsidR="00B0624C" w:rsidRDefault="00B22611">
            <w:pPr>
              <w:jc w:val="right"/>
            </w:pPr>
            <w:r>
              <w:rPr>
                <w:rFonts w:asciiTheme="minorEastAsia" w:eastAsiaTheme="minorEastAsia" w:hAnsiTheme="minorEastAsia" w:cs="宋体"/>
                <w:color w:val="000000" w:themeColor="text1"/>
                <w:kern w:val="0"/>
              </w:rPr>
              <w:t>304,377.00</w:t>
            </w:r>
          </w:p>
        </w:tc>
        <w:tc>
          <w:tcPr>
            <w:tcW w:w="1842" w:type="dxa"/>
            <w:vAlign w:val="center"/>
          </w:tcPr>
          <w:p w:rsidR="00B0624C" w:rsidRDefault="00B22611">
            <w:pPr>
              <w:jc w:val="right"/>
            </w:pPr>
            <w:r>
              <w:rPr>
                <w:rFonts w:asciiTheme="minorEastAsia" w:eastAsiaTheme="minorEastAsia" w:hAnsiTheme="minorEastAsia" w:cs="宋体"/>
                <w:color w:val="000000" w:themeColor="text1"/>
                <w:kern w:val="0"/>
              </w:rPr>
              <w:t>355,207,959.00</w:t>
            </w:r>
          </w:p>
        </w:tc>
        <w:tc>
          <w:tcPr>
            <w:tcW w:w="1616" w:type="dxa"/>
            <w:vAlign w:val="center"/>
          </w:tcPr>
          <w:p w:rsidR="00B0624C" w:rsidRDefault="00B22611">
            <w:pPr>
              <w:jc w:val="right"/>
            </w:pPr>
            <w:r>
              <w:rPr>
                <w:rFonts w:asciiTheme="minorEastAsia" w:eastAsiaTheme="minorEastAsia" w:hAnsiTheme="minorEastAsia" w:cs="宋体"/>
                <w:color w:val="000000" w:themeColor="text1"/>
                <w:kern w:val="0"/>
              </w:rPr>
              <w:t>6.28</w:t>
            </w:r>
          </w:p>
        </w:tc>
      </w:tr>
      <w:tr w:rsidR="00B0624C">
        <w:tc>
          <w:tcPr>
            <w:tcW w:w="817" w:type="dxa"/>
            <w:vAlign w:val="center"/>
          </w:tcPr>
          <w:p w:rsidR="00B0624C" w:rsidRDefault="00B22611">
            <w:pPr>
              <w:jc w:val="center"/>
            </w:pPr>
            <w:r>
              <w:rPr>
                <w:rFonts w:asciiTheme="minorEastAsia" w:eastAsiaTheme="minorEastAsia" w:hAnsiTheme="minorEastAsia" w:cs="宋体"/>
                <w:color w:val="000000" w:themeColor="text1"/>
                <w:kern w:val="0"/>
              </w:rPr>
              <w:t>4</w:t>
            </w:r>
          </w:p>
        </w:tc>
        <w:tc>
          <w:tcPr>
            <w:tcW w:w="1276" w:type="dxa"/>
            <w:vAlign w:val="center"/>
          </w:tcPr>
          <w:p w:rsidR="00B0624C" w:rsidRDefault="00B22611">
            <w:pPr>
              <w:jc w:val="center"/>
            </w:pPr>
            <w:r>
              <w:rPr>
                <w:rFonts w:asciiTheme="minorEastAsia" w:eastAsiaTheme="minorEastAsia" w:hAnsiTheme="minorEastAsia" w:cs="宋体"/>
                <w:color w:val="000000" w:themeColor="text1"/>
                <w:kern w:val="0"/>
              </w:rPr>
              <w:t>002236</w:t>
            </w:r>
          </w:p>
        </w:tc>
        <w:tc>
          <w:tcPr>
            <w:tcW w:w="1701" w:type="dxa"/>
            <w:vAlign w:val="center"/>
          </w:tcPr>
          <w:p w:rsidR="00B0624C" w:rsidRDefault="00B22611">
            <w:pPr>
              <w:jc w:val="center"/>
            </w:pPr>
            <w:r>
              <w:rPr>
                <w:rFonts w:asciiTheme="minorEastAsia" w:eastAsiaTheme="minorEastAsia" w:hAnsiTheme="minorEastAsia" w:cs="宋体"/>
                <w:color w:val="000000" w:themeColor="text1"/>
                <w:kern w:val="0"/>
              </w:rPr>
              <w:t>大华股份</w:t>
            </w:r>
          </w:p>
        </w:tc>
        <w:tc>
          <w:tcPr>
            <w:tcW w:w="1276" w:type="dxa"/>
            <w:vAlign w:val="center"/>
          </w:tcPr>
          <w:p w:rsidR="00B0624C" w:rsidRDefault="00B22611">
            <w:pPr>
              <w:jc w:val="right"/>
            </w:pPr>
            <w:r>
              <w:rPr>
                <w:rFonts w:asciiTheme="minorEastAsia" w:eastAsiaTheme="minorEastAsia" w:hAnsiTheme="minorEastAsia" w:cs="宋体"/>
                <w:color w:val="000000" w:themeColor="text1"/>
                <w:kern w:val="0"/>
              </w:rPr>
              <w:t>14,181,312.00</w:t>
            </w:r>
          </w:p>
        </w:tc>
        <w:tc>
          <w:tcPr>
            <w:tcW w:w="1842" w:type="dxa"/>
            <w:vAlign w:val="center"/>
          </w:tcPr>
          <w:p w:rsidR="00B0624C" w:rsidRDefault="00B22611">
            <w:pPr>
              <w:jc w:val="right"/>
            </w:pPr>
            <w:r>
              <w:rPr>
                <w:rFonts w:asciiTheme="minorEastAsia" w:eastAsiaTheme="minorEastAsia" w:hAnsiTheme="minorEastAsia" w:cs="宋体"/>
                <w:color w:val="000000" w:themeColor="text1"/>
                <w:kern w:val="0"/>
              </w:rPr>
              <w:t>349,852,967.04</w:t>
            </w:r>
          </w:p>
        </w:tc>
        <w:tc>
          <w:tcPr>
            <w:tcW w:w="1616" w:type="dxa"/>
            <w:vAlign w:val="center"/>
          </w:tcPr>
          <w:p w:rsidR="00B0624C" w:rsidRDefault="00B22611">
            <w:pPr>
              <w:jc w:val="right"/>
            </w:pPr>
            <w:r>
              <w:rPr>
                <w:rFonts w:asciiTheme="minorEastAsia" w:eastAsiaTheme="minorEastAsia" w:hAnsiTheme="minorEastAsia" w:cs="宋体"/>
                <w:color w:val="000000" w:themeColor="text1"/>
                <w:kern w:val="0"/>
              </w:rPr>
              <w:t>6.18</w:t>
            </w:r>
          </w:p>
        </w:tc>
      </w:tr>
      <w:tr w:rsidR="00B0624C">
        <w:tc>
          <w:tcPr>
            <w:tcW w:w="817" w:type="dxa"/>
            <w:vAlign w:val="center"/>
          </w:tcPr>
          <w:p w:rsidR="00B0624C" w:rsidRDefault="00B22611">
            <w:pPr>
              <w:jc w:val="center"/>
            </w:pPr>
            <w:r>
              <w:rPr>
                <w:rFonts w:asciiTheme="minorEastAsia" w:eastAsiaTheme="minorEastAsia" w:hAnsiTheme="minorEastAsia" w:cs="宋体"/>
                <w:color w:val="000000" w:themeColor="text1"/>
                <w:kern w:val="0"/>
              </w:rPr>
              <w:t>5</w:t>
            </w:r>
          </w:p>
        </w:tc>
        <w:tc>
          <w:tcPr>
            <w:tcW w:w="1276" w:type="dxa"/>
            <w:vAlign w:val="center"/>
          </w:tcPr>
          <w:p w:rsidR="00B0624C" w:rsidRDefault="00B22611">
            <w:pPr>
              <w:jc w:val="center"/>
            </w:pPr>
            <w:r>
              <w:rPr>
                <w:rFonts w:asciiTheme="minorEastAsia" w:eastAsiaTheme="minorEastAsia" w:hAnsiTheme="minorEastAsia" w:cs="宋体"/>
                <w:color w:val="000000" w:themeColor="text1"/>
                <w:kern w:val="0"/>
              </w:rPr>
              <w:t>603899</w:t>
            </w:r>
          </w:p>
        </w:tc>
        <w:tc>
          <w:tcPr>
            <w:tcW w:w="1701" w:type="dxa"/>
            <w:vAlign w:val="center"/>
          </w:tcPr>
          <w:p w:rsidR="00B0624C" w:rsidRDefault="00B22611">
            <w:pPr>
              <w:jc w:val="center"/>
            </w:pPr>
            <w:r>
              <w:rPr>
                <w:rFonts w:asciiTheme="minorEastAsia" w:eastAsiaTheme="minorEastAsia" w:hAnsiTheme="minorEastAsia" w:cs="宋体"/>
                <w:color w:val="000000" w:themeColor="text1"/>
                <w:kern w:val="0"/>
              </w:rPr>
              <w:t>晨光文具</w:t>
            </w:r>
          </w:p>
        </w:tc>
        <w:tc>
          <w:tcPr>
            <w:tcW w:w="1276" w:type="dxa"/>
            <w:vAlign w:val="center"/>
          </w:tcPr>
          <w:p w:rsidR="00B0624C" w:rsidRDefault="00B22611">
            <w:pPr>
              <w:jc w:val="right"/>
            </w:pPr>
            <w:r>
              <w:rPr>
                <w:rFonts w:asciiTheme="minorEastAsia" w:eastAsiaTheme="minorEastAsia" w:hAnsiTheme="minorEastAsia" w:cs="宋体"/>
                <w:color w:val="000000" w:themeColor="text1"/>
                <w:kern w:val="0"/>
              </w:rPr>
              <w:t>2,082,685.00</w:t>
            </w:r>
          </w:p>
        </w:tc>
        <w:tc>
          <w:tcPr>
            <w:tcW w:w="1842" w:type="dxa"/>
            <w:vAlign w:val="center"/>
          </w:tcPr>
          <w:p w:rsidR="00B0624C" w:rsidRDefault="00B22611">
            <w:pPr>
              <w:jc w:val="right"/>
            </w:pPr>
            <w:r>
              <w:rPr>
                <w:rFonts w:asciiTheme="minorEastAsia" w:eastAsiaTheme="minorEastAsia" w:hAnsiTheme="minorEastAsia" w:cs="宋体"/>
                <w:color w:val="000000" w:themeColor="text1"/>
                <w:kern w:val="0"/>
              </w:rPr>
              <w:t>177,882,125.85</w:t>
            </w:r>
          </w:p>
        </w:tc>
        <w:tc>
          <w:tcPr>
            <w:tcW w:w="1616" w:type="dxa"/>
            <w:vAlign w:val="center"/>
          </w:tcPr>
          <w:p w:rsidR="00B0624C" w:rsidRDefault="00B22611">
            <w:pPr>
              <w:jc w:val="right"/>
            </w:pPr>
            <w:r>
              <w:rPr>
                <w:rFonts w:asciiTheme="minorEastAsia" w:eastAsiaTheme="minorEastAsia" w:hAnsiTheme="minorEastAsia" w:cs="宋体"/>
                <w:color w:val="000000" w:themeColor="text1"/>
                <w:kern w:val="0"/>
              </w:rPr>
              <w:t>3.14</w:t>
            </w:r>
          </w:p>
        </w:tc>
      </w:tr>
      <w:tr w:rsidR="00B0624C">
        <w:tc>
          <w:tcPr>
            <w:tcW w:w="817" w:type="dxa"/>
            <w:vAlign w:val="center"/>
          </w:tcPr>
          <w:p w:rsidR="00B0624C" w:rsidRDefault="00B22611">
            <w:pPr>
              <w:jc w:val="center"/>
            </w:pPr>
            <w:r>
              <w:rPr>
                <w:rFonts w:asciiTheme="minorEastAsia" w:eastAsiaTheme="minorEastAsia" w:hAnsiTheme="minorEastAsia" w:cs="宋体"/>
                <w:color w:val="000000" w:themeColor="text1"/>
                <w:kern w:val="0"/>
              </w:rPr>
              <w:t>6</w:t>
            </w:r>
          </w:p>
        </w:tc>
        <w:tc>
          <w:tcPr>
            <w:tcW w:w="1276" w:type="dxa"/>
            <w:vAlign w:val="center"/>
          </w:tcPr>
          <w:p w:rsidR="00B0624C" w:rsidRDefault="00B22611">
            <w:pPr>
              <w:jc w:val="center"/>
            </w:pPr>
            <w:r>
              <w:rPr>
                <w:rFonts w:asciiTheme="minorEastAsia" w:eastAsiaTheme="minorEastAsia" w:hAnsiTheme="minorEastAsia" w:cs="宋体"/>
                <w:color w:val="000000" w:themeColor="text1"/>
                <w:kern w:val="0"/>
              </w:rPr>
              <w:t>300390</w:t>
            </w:r>
          </w:p>
        </w:tc>
        <w:tc>
          <w:tcPr>
            <w:tcW w:w="1701" w:type="dxa"/>
            <w:vAlign w:val="center"/>
          </w:tcPr>
          <w:p w:rsidR="00B0624C" w:rsidRDefault="00B22611">
            <w:pPr>
              <w:jc w:val="center"/>
            </w:pPr>
            <w:r>
              <w:rPr>
                <w:rFonts w:asciiTheme="minorEastAsia" w:eastAsiaTheme="minorEastAsia" w:hAnsiTheme="minorEastAsia" w:cs="宋体"/>
                <w:color w:val="000000" w:themeColor="text1"/>
                <w:kern w:val="0"/>
              </w:rPr>
              <w:t>天华超净</w:t>
            </w:r>
          </w:p>
        </w:tc>
        <w:tc>
          <w:tcPr>
            <w:tcW w:w="1276" w:type="dxa"/>
            <w:vAlign w:val="center"/>
          </w:tcPr>
          <w:p w:rsidR="00B0624C" w:rsidRDefault="00B22611">
            <w:pPr>
              <w:jc w:val="right"/>
            </w:pPr>
            <w:r>
              <w:rPr>
                <w:rFonts w:asciiTheme="minorEastAsia" w:eastAsiaTheme="minorEastAsia" w:hAnsiTheme="minorEastAsia" w:cs="宋体"/>
                <w:color w:val="000000" w:themeColor="text1"/>
                <w:kern w:val="0"/>
              </w:rPr>
              <w:t>5,928,936.00</w:t>
            </w:r>
          </w:p>
        </w:tc>
        <w:tc>
          <w:tcPr>
            <w:tcW w:w="1842" w:type="dxa"/>
            <w:vAlign w:val="center"/>
          </w:tcPr>
          <w:p w:rsidR="00B0624C" w:rsidRDefault="00B22611">
            <w:pPr>
              <w:jc w:val="right"/>
            </w:pPr>
            <w:r>
              <w:rPr>
                <w:rFonts w:asciiTheme="minorEastAsia" w:eastAsiaTheme="minorEastAsia" w:hAnsiTheme="minorEastAsia" w:cs="宋体"/>
                <w:color w:val="000000" w:themeColor="text1"/>
                <w:kern w:val="0"/>
              </w:rPr>
              <w:t>176,623,003.44</w:t>
            </w:r>
          </w:p>
        </w:tc>
        <w:tc>
          <w:tcPr>
            <w:tcW w:w="1616" w:type="dxa"/>
            <w:vAlign w:val="center"/>
          </w:tcPr>
          <w:p w:rsidR="00B0624C" w:rsidRDefault="00B22611">
            <w:pPr>
              <w:jc w:val="right"/>
            </w:pPr>
            <w:r>
              <w:rPr>
                <w:rFonts w:asciiTheme="minorEastAsia" w:eastAsiaTheme="minorEastAsia" w:hAnsiTheme="minorEastAsia" w:cs="宋体"/>
                <w:color w:val="000000" w:themeColor="text1"/>
                <w:kern w:val="0"/>
              </w:rPr>
              <w:t>3.12</w:t>
            </w:r>
          </w:p>
        </w:tc>
      </w:tr>
      <w:tr w:rsidR="00B0624C">
        <w:tc>
          <w:tcPr>
            <w:tcW w:w="817" w:type="dxa"/>
            <w:vAlign w:val="center"/>
          </w:tcPr>
          <w:p w:rsidR="00B0624C" w:rsidRDefault="00B22611">
            <w:pPr>
              <w:jc w:val="center"/>
            </w:pPr>
            <w:r>
              <w:rPr>
                <w:rFonts w:asciiTheme="minorEastAsia" w:eastAsiaTheme="minorEastAsia" w:hAnsiTheme="minorEastAsia" w:cs="宋体"/>
                <w:color w:val="000000" w:themeColor="text1"/>
                <w:kern w:val="0"/>
              </w:rPr>
              <w:t>7</w:t>
            </w:r>
          </w:p>
        </w:tc>
        <w:tc>
          <w:tcPr>
            <w:tcW w:w="1276" w:type="dxa"/>
            <w:vAlign w:val="center"/>
          </w:tcPr>
          <w:p w:rsidR="00B0624C" w:rsidRDefault="00B22611">
            <w:pPr>
              <w:jc w:val="center"/>
            </w:pPr>
            <w:r>
              <w:rPr>
                <w:rFonts w:asciiTheme="minorEastAsia" w:eastAsiaTheme="minorEastAsia" w:hAnsiTheme="minorEastAsia" w:cs="宋体"/>
                <w:color w:val="000000" w:themeColor="text1"/>
                <w:kern w:val="0"/>
              </w:rPr>
              <w:t>601012</w:t>
            </w:r>
          </w:p>
        </w:tc>
        <w:tc>
          <w:tcPr>
            <w:tcW w:w="1701" w:type="dxa"/>
            <w:vAlign w:val="center"/>
          </w:tcPr>
          <w:p w:rsidR="00B0624C" w:rsidRDefault="00B22611">
            <w:pPr>
              <w:jc w:val="center"/>
            </w:pPr>
            <w:r>
              <w:rPr>
                <w:rFonts w:asciiTheme="minorEastAsia" w:eastAsiaTheme="minorEastAsia" w:hAnsiTheme="minorEastAsia" w:cs="宋体"/>
                <w:color w:val="000000" w:themeColor="text1"/>
                <w:kern w:val="0"/>
              </w:rPr>
              <w:t>隆基股份</w:t>
            </w:r>
          </w:p>
        </w:tc>
        <w:tc>
          <w:tcPr>
            <w:tcW w:w="1276" w:type="dxa"/>
            <w:vAlign w:val="center"/>
          </w:tcPr>
          <w:p w:rsidR="00B0624C" w:rsidRDefault="00B22611">
            <w:pPr>
              <w:jc w:val="right"/>
            </w:pPr>
            <w:r>
              <w:rPr>
                <w:rFonts w:asciiTheme="minorEastAsia" w:eastAsiaTheme="minorEastAsia" w:hAnsiTheme="minorEastAsia" w:cs="宋体"/>
                <w:color w:val="000000" w:themeColor="text1"/>
                <w:kern w:val="0"/>
              </w:rPr>
              <w:t>1,991,660.00</w:t>
            </w:r>
          </w:p>
        </w:tc>
        <w:tc>
          <w:tcPr>
            <w:tcW w:w="1842" w:type="dxa"/>
            <w:vAlign w:val="center"/>
          </w:tcPr>
          <w:p w:rsidR="00B0624C" w:rsidRDefault="00B22611">
            <w:pPr>
              <w:jc w:val="right"/>
            </w:pPr>
            <w:r>
              <w:rPr>
                <w:rFonts w:asciiTheme="minorEastAsia" w:eastAsiaTheme="minorEastAsia" w:hAnsiTheme="minorEastAsia" w:cs="宋体"/>
                <w:color w:val="000000" w:themeColor="text1"/>
                <w:kern w:val="0"/>
              </w:rPr>
              <w:t>175,266,080.00</w:t>
            </w:r>
          </w:p>
        </w:tc>
        <w:tc>
          <w:tcPr>
            <w:tcW w:w="1616" w:type="dxa"/>
            <w:vAlign w:val="center"/>
          </w:tcPr>
          <w:p w:rsidR="00B0624C" w:rsidRDefault="00B22611">
            <w:pPr>
              <w:jc w:val="right"/>
            </w:pPr>
            <w:r>
              <w:rPr>
                <w:rFonts w:asciiTheme="minorEastAsia" w:eastAsiaTheme="minorEastAsia" w:hAnsiTheme="minorEastAsia" w:cs="宋体"/>
                <w:color w:val="000000" w:themeColor="text1"/>
                <w:kern w:val="0"/>
              </w:rPr>
              <w:t>3.10</w:t>
            </w:r>
          </w:p>
        </w:tc>
      </w:tr>
      <w:tr w:rsidR="00B0624C">
        <w:tc>
          <w:tcPr>
            <w:tcW w:w="817" w:type="dxa"/>
            <w:vAlign w:val="center"/>
          </w:tcPr>
          <w:p w:rsidR="00B0624C" w:rsidRDefault="00B22611">
            <w:pPr>
              <w:jc w:val="center"/>
            </w:pPr>
            <w:r>
              <w:rPr>
                <w:rFonts w:asciiTheme="minorEastAsia" w:eastAsiaTheme="minorEastAsia" w:hAnsiTheme="minorEastAsia" w:cs="宋体"/>
                <w:color w:val="000000" w:themeColor="text1"/>
                <w:kern w:val="0"/>
              </w:rPr>
              <w:t>8</w:t>
            </w:r>
          </w:p>
        </w:tc>
        <w:tc>
          <w:tcPr>
            <w:tcW w:w="1276" w:type="dxa"/>
            <w:vAlign w:val="center"/>
          </w:tcPr>
          <w:p w:rsidR="00B0624C" w:rsidRDefault="00B22611">
            <w:pPr>
              <w:jc w:val="center"/>
            </w:pPr>
            <w:r>
              <w:rPr>
                <w:rFonts w:asciiTheme="minorEastAsia" w:eastAsiaTheme="minorEastAsia" w:hAnsiTheme="minorEastAsia" w:cs="宋体"/>
                <w:color w:val="000000" w:themeColor="text1"/>
                <w:kern w:val="0"/>
              </w:rPr>
              <w:t>000661</w:t>
            </w:r>
          </w:p>
        </w:tc>
        <w:tc>
          <w:tcPr>
            <w:tcW w:w="1701" w:type="dxa"/>
            <w:vAlign w:val="center"/>
          </w:tcPr>
          <w:p w:rsidR="00B0624C" w:rsidRDefault="00B22611">
            <w:pPr>
              <w:jc w:val="center"/>
            </w:pPr>
            <w:r>
              <w:rPr>
                <w:rFonts w:asciiTheme="minorEastAsia" w:eastAsiaTheme="minorEastAsia" w:hAnsiTheme="minorEastAsia" w:cs="宋体"/>
                <w:color w:val="000000" w:themeColor="text1"/>
                <w:kern w:val="0"/>
              </w:rPr>
              <w:t>长春高新</w:t>
            </w:r>
          </w:p>
        </w:tc>
        <w:tc>
          <w:tcPr>
            <w:tcW w:w="1276" w:type="dxa"/>
            <w:vAlign w:val="center"/>
          </w:tcPr>
          <w:p w:rsidR="00B0624C" w:rsidRDefault="00B22611">
            <w:pPr>
              <w:jc w:val="right"/>
            </w:pPr>
            <w:r>
              <w:rPr>
                <w:rFonts w:asciiTheme="minorEastAsia" w:eastAsiaTheme="minorEastAsia" w:hAnsiTheme="minorEastAsia" w:cs="宋体"/>
                <w:color w:val="000000" w:themeColor="text1"/>
                <w:kern w:val="0"/>
              </w:rPr>
              <w:t>373,975.00</w:t>
            </w:r>
          </w:p>
        </w:tc>
        <w:tc>
          <w:tcPr>
            <w:tcW w:w="1842" w:type="dxa"/>
            <w:vAlign w:val="center"/>
          </w:tcPr>
          <w:p w:rsidR="00B0624C" w:rsidRDefault="00B22611">
            <w:pPr>
              <w:jc w:val="right"/>
            </w:pPr>
            <w:r>
              <w:rPr>
                <w:rFonts w:asciiTheme="minorEastAsia" w:eastAsiaTheme="minorEastAsia" w:hAnsiTheme="minorEastAsia" w:cs="宋体"/>
                <w:color w:val="000000" w:themeColor="text1"/>
                <w:kern w:val="0"/>
              </w:rPr>
              <w:t>169,309,701.75</w:t>
            </w:r>
          </w:p>
        </w:tc>
        <w:tc>
          <w:tcPr>
            <w:tcW w:w="1616" w:type="dxa"/>
            <w:vAlign w:val="center"/>
          </w:tcPr>
          <w:p w:rsidR="00B0624C" w:rsidRDefault="00B22611">
            <w:pPr>
              <w:jc w:val="right"/>
            </w:pPr>
            <w:r>
              <w:rPr>
                <w:rFonts w:asciiTheme="minorEastAsia" w:eastAsiaTheme="minorEastAsia" w:hAnsiTheme="minorEastAsia" w:cs="宋体"/>
                <w:color w:val="000000" w:themeColor="text1"/>
                <w:kern w:val="0"/>
              </w:rPr>
              <w:t>2.99</w:t>
            </w:r>
          </w:p>
        </w:tc>
      </w:tr>
      <w:tr w:rsidR="00B0624C">
        <w:tc>
          <w:tcPr>
            <w:tcW w:w="817" w:type="dxa"/>
            <w:vAlign w:val="center"/>
          </w:tcPr>
          <w:p w:rsidR="00B0624C" w:rsidRDefault="00B22611">
            <w:pPr>
              <w:jc w:val="center"/>
            </w:pPr>
            <w:r>
              <w:rPr>
                <w:rFonts w:asciiTheme="minorEastAsia" w:eastAsiaTheme="minorEastAsia" w:hAnsiTheme="minorEastAsia" w:cs="宋体"/>
                <w:color w:val="000000" w:themeColor="text1"/>
                <w:kern w:val="0"/>
              </w:rPr>
              <w:t>9</w:t>
            </w:r>
          </w:p>
        </w:tc>
        <w:tc>
          <w:tcPr>
            <w:tcW w:w="1276" w:type="dxa"/>
            <w:vAlign w:val="center"/>
          </w:tcPr>
          <w:p w:rsidR="00B0624C" w:rsidRDefault="00B22611">
            <w:pPr>
              <w:jc w:val="center"/>
            </w:pPr>
            <w:r>
              <w:rPr>
                <w:rFonts w:asciiTheme="minorEastAsia" w:eastAsiaTheme="minorEastAsia" w:hAnsiTheme="minorEastAsia" w:cs="宋体"/>
                <w:color w:val="000000" w:themeColor="text1"/>
                <w:kern w:val="0"/>
              </w:rPr>
              <w:t>002714</w:t>
            </w:r>
          </w:p>
        </w:tc>
        <w:tc>
          <w:tcPr>
            <w:tcW w:w="1701" w:type="dxa"/>
            <w:vAlign w:val="center"/>
          </w:tcPr>
          <w:p w:rsidR="00B0624C" w:rsidRDefault="00B22611">
            <w:pPr>
              <w:jc w:val="center"/>
            </w:pPr>
            <w:r>
              <w:rPr>
                <w:rFonts w:asciiTheme="minorEastAsia" w:eastAsiaTheme="minorEastAsia" w:hAnsiTheme="minorEastAsia" w:cs="宋体"/>
                <w:color w:val="000000" w:themeColor="text1"/>
                <w:kern w:val="0"/>
              </w:rPr>
              <w:t>牧原股份</w:t>
            </w:r>
          </w:p>
        </w:tc>
        <w:tc>
          <w:tcPr>
            <w:tcW w:w="1276" w:type="dxa"/>
            <w:vAlign w:val="center"/>
          </w:tcPr>
          <w:p w:rsidR="00B0624C" w:rsidRDefault="00B22611">
            <w:pPr>
              <w:jc w:val="right"/>
            </w:pPr>
            <w:r>
              <w:rPr>
                <w:rFonts w:asciiTheme="minorEastAsia" w:eastAsiaTheme="minorEastAsia" w:hAnsiTheme="minorEastAsia" w:cs="宋体"/>
                <w:color w:val="000000" w:themeColor="text1"/>
                <w:kern w:val="0"/>
              </w:rPr>
              <w:t>1,684,610.00</w:t>
            </w:r>
          </w:p>
        </w:tc>
        <w:tc>
          <w:tcPr>
            <w:tcW w:w="1842" w:type="dxa"/>
            <w:vAlign w:val="center"/>
          </w:tcPr>
          <w:p w:rsidR="00B0624C" w:rsidRDefault="00B22611">
            <w:pPr>
              <w:jc w:val="right"/>
            </w:pPr>
            <w:r>
              <w:rPr>
                <w:rFonts w:asciiTheme="minorEastAsia" w:eastAsiaTheme="minorEastAsia" w:hAnsiTheme="minorEastAsia" w:cs="宋体"/>
                <w:color w:val="000000" w:themeColor="text1"/>
                <w:kern w:val="0"/>
              </w:rPr>
              <w:t>168,511,538.30</w:t>
            </w:r>
          </w:p>
        </w:tc>
        <w:tc>
          <w:tcPr>
            <w:tcW w:w="1616" w:type="dxa"/>
            <w:vAlign w:val="center"/>
          </w:tcPr>
          <w:p w:rsidR="00B0624C" w:rsidRDefault="00B22611">
            <w:pPr>
              <w:jc w:val="right"/>
            </w:pPr>
            <w:r>
              <w:rPr>
                <w:rFonts w:asciiTheme="minorEastAsia" w:eastAsiaTheme="minorEastAsia" w:hAnsiTheme="minorEastAsia" w:cs="宋体"/>
                <w:color w:val="000000" w:themeColor="text1"/>
                <w:kern w:val="0"/>
              </w:rPr>
              <w:t>2.98</w:t>
            </w:r>
          </w:p>
        </w:tc>
      </w:tr>
      <w:tr w:rsidR="00B0624C">
        <w:tc>
          <w:tcPr>
            <w:tcW w:w="817" w:type="dxa"/>
            <w:vAlign w:val="center"/>
          </w:tcPr>
          <w:p w:rsidR="00B0624C" w:rsidRDefault="00B22611">
            <w:pPr>
              <w:jc w:val="center"/>
            </w:pPr>
            <w:r>
              <w:rPr>
                <w:rFonts w:asciiTheme="minorEastAsia" w:eastAsiaTheme="minorEastAsia" w:hAnsiTheme="minorEastAsia" w:cs="宋体"/>
                <w:color w:val="000000" w:themeColor="text1"/>
                <w:kern w:val="0"/>
              </w:rPr>
              <w:t>10</w:t>
            </w:r>
          </w:p>
        </w:tc>
        <w:tc>
          <w:tcPr>
            <w:tcW w:w="1276" w:type="dxa"/>
            <w:vAlign w:val="center"/>
          </w:tcPr>
          <w:p w:rsidR="00B0624C" w:rsidRDefault="00B22611">
            <w:pPr>
              <w:jc w:val="center"/>
            </w:pPr>
            <w:r>
              <w:rPr>
                <w:rFonts w:asciiTheme="minorEastAsia" w:eastAsiaTheme="minorEastAsia" w:hAnsiTheme="minorEastAsia" w:cs="宋体"/>
                <w:color w:val="000000" w:themeColor="text1"/>
                <w:kern w:val="0"/>
              </w:rPr>
              <w:t>603501</w:t>
            </w:r>
          </w:p>
        </w:tc>
        <w:tc>
          <w:tcPr>
            <w:tcW w:w="1701" w:type="dxa"/>
            <w:vAlign w:val="center"/>
          </w:tcPr>
          <w:p w:rsidR="00B0624C" w:rsidRDefault="00B22611">
            <w:pPr>
              <w:jc w:val="center"/>
            </w:pPr>
            <w:r>
              <w:rPr>
                <w:rFonts w:asciiTheme="minorEastAsia" w:eastAsiaTheme="minorEastAsia" w:hAnsiTheme="minorEastAsia" w:cs="宋体"/>
                <w:color w:val="000000" w:themeColor="text1"/>
                <w:kern w:val="0"/>
              </w:rPr>
              <w:t>韦尔股份</w:t>
            </w:r>
          </w:p>
        </w:tc>
        <w:tc>
          <w:tcPr>
            <w:tcW w:w="1276" w:type="dxa"/>
            <w:vAlign w:val="center"/>
          </w:tcPr>
          <w:p w:rsidR="00B0624C" w:rsidRDefault="00B22611">
            <w:pPr>
              <w:jc w:val="right"/>
            </w:pPr>
            <w:r>
              <w:rPr>
                <w:rFonts w:asciiTheme="minorEastAsia" w:eastAsiaTheme="minorEastAsia" w:hAnsiTheme="minorEastAsia" w:cs="宋体"/>
                <w:color w:val="000000" w:themeColor="text1"/>
                <w:kern w:val="0"/>
              </w:rPr>
              <w:t>647,258.00</w:t>
            </w:r>
          </w:p>
        </w:tc>
        <w:tc>
          <w:tcPr>
            <w:tcW w:w="1842" w:type="dxa"/>
            <w:vAlign w:val="center"/>
          </w:tcPr>
          <w:p w:rsidR="00B0624C" w:rsidRDefault="00B22611">
            <w:pPr>
              <w:jc w:val="right"/>
            </w:pPr>
            <w:r>
              <w:rPr>
                <w:rFonts w:asciiTheme="minorEastAsia" w:eastAsiaTheme="minorEastAsia" w:hAnsiTheme="minorEastAsia" w:cs="宋体"/>
                <w:color w:val="000000" w:themeColor="text1"/>
                <w:kern w:val="0"/>
              </w:rPr>
              <w:t>166,164,073.76</w:t>
            </w:r>
          </w:p>
        </w:tc>
        <w:tc>
          <w:tcPr>
            <w:tcW w:w="1616" w:type="dxa"/>
            <w:vAlign w:val="center"/>
          </w:tcPr>
          <w:p w:rsidR="00B0624C" w:rsidRDefault="00B22611">
            <w:pPr>
              <w:jc w:val="right"/>
            </w:pPr>
            <w:r>
              <w:rPr>
                <w:rFonts w:asciiTheme="minorEastAsia" w:eastAsiaTheme="minorEastAsia" w:hAnsiTheme="minorEastAsia" w:cs="宋体"/>
                <w:color w:val="000000" w:themeColor="text1"/>
                <w:kern w:val="0"/>
              </w:rPr>
              <w:t>2.94</w:t>
            </w:r>
          </w:p>
        </w:tc>
      </w:tr>
    </w:tbl>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326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债券品种</w:t>
            </w:r>
          </w:p>
        </w:tc>
        <w:tc>
          <w:tcPr>
            <w:tcW w:w="2949"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公允价值(元)</w:t>
            </w:r>
          </w:p>
        </w:tc>
        <w:tc>
          <w:tcPr>
            <w:tcW w:w="1729"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国家债券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央行票据</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金融债券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D06738">
            <w:pPr>
              <w:spacing w:before="29" w:line="360" w:lineRule="auto"/>
              <w:ind w:left="17"/>
              <w:jc w:val="center"/>
              <w:rPr>
                <w:rFonts w:asciiTheme="minorEastAsia" w:eastAsiaTheme="minorEastAsia" w:hAnsiTheme="minorEastAsia" w:cs="宋体"/>
                <w:color w:val="000000" w:themeColor="text1"/>
                <w:kern w:val="0"/>
              </w:rPr>
            </w:pP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其中：政策性金融债</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企业债券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企业短期融资券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中期票据</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可转债（可交换债）</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同业存单</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49,650,000.00</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0.88</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其他</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49,650,000.00</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0.88</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tc>
          <w:tcPr>
            <w:tcW w:w="1252"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1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282"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42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数量(张)</w:t>
            </w:r>
          </w:p>
        </w:tc>
        <w:tc>
          <w:tcPr>
            <w:tcW w:w="164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2"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w:t>
            </w:r>
            <w:r>
              <w:rPr>
                <w:rFonts w:asciiTheme="minorEastAsia" w:eastAsiaTheme="minorEastAsia" w:hAnsiTheme="minorEastAsia" w:cs="宋体" w:hint="eastAsia"/>
                <w:color w:val="000000" w:themeColor="text1"/>
                <w:kern w:val="0"/>
              </w:rPr>
              <w:lastRenderedPageBreak/>
              <w:t>值比例(％)</w:t>
            </w:r>
          </w:p>
        </w:tc>
      </w:tr>
      <w:tr w:rsidR="00B0624C">
        <w:tc>
          <w:tcPr>
            <w:tcW w:w="1252" w:type="dxa"/>
            <w:vAlign w:val="center"/>
          </w:tcPr>
          <w:p w:rsidR="00B0624C" w:rsidRDefault="00B22611">
            <w:pPr>
              <w:jc w:val="center"/>
            </w:pPr>
            <w:r>
              <w:rPr>
                <w:rFonts w:asciiTheme="minorEastAsia" w:eastAsiaTheme="minorEastAsia" w:hAnsiTheme="minorEastAsia" w:cs="宋体"/>
                <w:color w:val="000000" w:themeColor="text1"/>
                <w:kern w:val="0"/>
              </w:rPr>
              <w:lastRenderedPageBreak/>
              <w:t>1</w:t>
            </w:r>
          </w:p>
        </w:tc>
        <w:tc>
          <w:tcPr>
            <w:tcW w:w="1310" w:type="dxa"/>
            <w:vAlign w:val="center"/>
          </w:tcPr>
          <w:p w:rsidR="00B0624C" w:rsidRDefault="00B22611">
            <w:pPr>
              <w:jc w:val="center"/>
            </w:pPr>
            <w:r>
              <w:rPr>
                <w:rFonts w:asciiTheme="minorEastAsia" w:eastAsiaTheme="minorEastAsia" w:hAnsiTheme="minorEastAsia" w:cs="宋体"/>
                <w:color w:val="000000" w:themeColor="text1"/>
                <w:kern w:val="0"/>
              </w:rPr>
              <w:t>112196664</w:t>
            </w:r>
          </w:p>
        </w:tc>
        <w:tc>
          <w:tcPr>
            <w:tcW w:w="1282" w:type="dxa"/>
            <w:vAlign w:val="center"/>
          </w:tcPr>
          <w:p w:rsidR="00B0624C" w:rsidRDefault="00B22611">
            <w:pPr>
              <w:jc w:val="center"/>
            </w:pPr>
            <w:r>
              <w:rPr>
                <w:rFonts w:asciiTheme="minorEastAsia" w:eastAsiaTheme="minorEastAsia" w:hAnsiTheme="minorEastAsia" w:cs="宋体"/>
                <w:color w:val="000000" w:themeColor="text1"/>
                <w:kern w:val="0"/>
              </w:rPr>
              <w:t>21杭州联合银行CD034</w:t>
            </w:r>
          </w:p>
        </w:tc>
        <w:tc>
          <w:tcPr>
            <w:tcW w:w="1426" w:type="dxa"/>
            <w:vAlign w:val="center"/>
          </w:tcPr>
          <w:p w:rsidR="00B0624C" w:rsidRDefault="00B22611">
            <w:pPr>
              <w:jc w:val="right"/>
            </w:pPr>
            <w:r>
              <w:rPr>
                <w:rFonts w:asciiTheme="minorEastAsia" w:eastAsiaTheme="minorEastAsia" w:hAnsiTheme="minorEastAsia" w:cs="宋体"/>
                <w:color w:val="000000" w:themeColor="text1"/>
                <w:kern w:val="0"/>
              </w:rPr>
              <w:t>500,000</w:t>
            </w:r>
          </w:p>
        </w:tc>
        <w:tc>
          <w:tcPr>
            <w:tcW w:w="1646" w:type="dxa"/>
            <w:vAlign w:val="center"/>
          </w:tcPr>
          <w:p w:rsidR="00B0624C" w:rsidRDefault="00B22611">
            <w:pPr>
              <w:jc w:val="right"/>
            </w:pPr>
            <w:r>
              <w:rPr>
                <w:rFonts w:asciiTheme="minorEastAsia" w:eastAsiaTheme="minorEastAsia" w:hAnsiTheme="minorEastAsia" w:cs="宋体"/>
                <w:color w:val="000000" w:themeColor="text1"/>
                <w:kern w:val="0"/>
              </w:rPr>
              <w:t>49,650,000.00</w:t>
            </w:r>
          </w:p>
        </w:tc>
        <w:tc>
          <w:tcPr>
            <w:tcW w:w="1612" w:type="dxa"/>
            <w:vAlign w:val="center"/>
          </w:tcPr>
          <w:p w:rsidR="00B0624C" w:rsidRDefault="00B22611">
            <w:pPr>
              <w:jc w:val="right"/>
            </w:pPr>
            <w:r>
              <w:rPr>
                <w:rFonts w:asciiTheme="minorEastAsia" w:eastAsiaTheme="minorEastAsia" w:hAnsiTheme="minorEastAsia" w:cs="宋体"/>
                <w:color w:val="000000" w:themeColor="text1"/>
                <w:kern w:val="0"/>
              </w:rPr>
              <w:t>0.88</w:t>
            </w:r>
          </w:p>
        </w:tc>
      </w:tr>
    </w:tbl>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D06738" w:rsidRDefault="00454D20">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D06738" w:rsidRDefault="00D06738">
      <w:pPr>
        <w:adjustRightInd w:val="0"/>
        <w:snapToGrid w:val="0"/>
        <w:spacing w:line="360" w:lineRule="exac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sidR="00B22611">
        <w:rPr>
          <w:rFonts w:eastAsiaTheme="minorEastAsia"/>
          <w:color w:val="000000" w:themeColor="text1"/>
        </w:rPr>
        <w:t>本基金投资的前十名证券的发行主体本期未出现被监管部门立案调查，或在报告编制日前一年内受到公开谴责、处罚的情形。</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sidR="00B22611">
        <w:rPr>
          <w:rFonts w:eastAsiaTheme="minorEastAsia"/>
          <w:color w:val="000000" w:themeColor="text1"/>
        </w:rPr>
        <w:t>报告期内本基金投资的前十名股票中没有在基金合同规定备选股票库之外的股票。</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tc>
          <w:tcPr>
            <w:tcW w:w="123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1,615,555.91</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lastRenderedPageBreak/>
              <w:t>4</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91,096.64</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418,314.85</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2,124,967.40</w:t>
            </w:r>
          </w:p>
        </w:tc>
      </w:tr>
    </w:tbl>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因四舍五入原因,投资组合报告中分项之和与合计可能存在尾差。</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基金合同生效日基金份额总额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5,938,687,175.84</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基金合同生效日起至报告期期末</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132,386,186.18</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基金合同生效日起至报告期期末</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基金合同生效日起至报告期期末</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6,071,073,362.02</w:t>
            </w:r>
          </w:p>
        </w:tc>
      </w:tr>
    </w:tbl>
    <w:p w:rsidR="00D06738" w:rsidRDefault="00454D20">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lastRenderedPageBreak/>
        <w:t xml:space="preserve">§7  </w:t>
      </w:r>
      <w:r>
        <w:rPr>
          <w:rFonts w:ascii="方正仿宋简体" w:hint="eastAsia"/>
          <w:color w:val="000000" w:themeColor="text1"/>
          <w:sz w:val="24"/>
          <w:szCs w:val="24"/>
        </w:rPr>
        <w:t>基金管理人运用固有资金投资本基金情况</w:t>
      </w:r>
    </w:p>
    <w:p w:rsidR="00D06738" w:rsidRDefault="00454D20">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(一)中国证监会准予上投摩根远见两年持有期混合型证券投资基金募集注册的文件</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(二)上投摩根远见两年持有期混合型证券投资基金基金合同</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(三)上投摩根远见两年持有期混合型证券投资基金托管协议</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(四)法律意见书</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(五)基金管理人业务资格批件、营业执照</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(六)基金托管人业务资格批件、营业执照</w:t>
      </w:r>
    </w:p>
    <w:p w:rsidR="00B0624C" w:rsidRDefault="00B226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(七)上投摩根基金管理有限公司开放式基金业务规则</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(八)中国证监会要求的其他文件</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二〇二一年四月二十二日</w:t>
      </w:r>
    </w:p>
    <w:p w:rsidR="00D06738" w:rsidRDefault="00D06738">
      <w:pPr>
        <w:spacing w:line="360" w:lineRule="auto"/>
        <w:ind w:left="840"/>
        <w:jc w:val="right"/>
        <w:rPr>
          <w:rFonts w:asciiTheme="minorEastAsia" w:eastAsiaTheme="minorEastAsia" w:hAnsiTheme="minorEastAsia"/>
          <w:b/>
          <w:bCs/>
          <w:color w:val="000000" w:themeColor="text1"/>
          <w:sz w:val="24"/>
          <w:szCs w:val="24"/>
        </w:rPr>
      </w:pPr>
    </w:p>
    <w:p w:rsidR="00D06738" w:rsidRDefault="00D06738">
      <w:pPr>
        <w:rPr>
          <w:rFonts w:asciiTheme="minorEastAsia" w:eastAsiaTheme="minorEastAsia" w:hAnsiTheme="minorEastAsia"/>
          <w:color w:val="000000" w:themeColor="text1"/>
          <w:sz w:val="24"/>
          <w:szCs w:val="24"/>
        </w:rPr>
      </w:pPr>
    </w:p>
    <w:sectPr w:rsidR="00D06738">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DA" w:rsidRDefault="003A7FDA">
      <w:r>
        <w:separator/>
      </w:r>
    </w:p>
  </w:endnote>
  <w:endnote w:type="continuationSeparator" w:id="0">
    <w:p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130B5E" w:rsidRPr="00130B5E">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130B5E">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DA" w:rsidRDefault="003A7FDA">
      <w:r>
        <w:separator/>
      </w:r>
    </w:p>
  </w:footnote>
  <w:footnote w:type="continuationSeparator" w:id="0">
    <w:p w:rsidR="003A7FDA" w:rsidRDefault="003A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上投摩根远见两年持有期混合型证券投资基金</w:t>
    </w:r>
    <w:r>
      <w:rPr>
        <w:rFonts w:hint="eastAsia"/>
      </w:rPr>
      <w:t>2021</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0B5E"/>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0624C"/>
    <w:rsid w:val="00B12B7D"/>
    <w:rsid w:val="00B16910"/>
    <w:rsid w:val="00B16985"/>
    <w:rsid w:val="00B221B8"/>
    <w:rsid w:val="00B22611"/>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A7753C-CBB9-48FB-ACCA-4112BC1C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Olivia.Gu@FA</cp:lastModifiedBy>
  <cp:revision>268</cp:revision>
  <dcterms:created xsi:type="dcterms:W3CDTF">2012-10-16T06:07:00Z</dcterms:created>
  <dcterms:modified xsi:type="dcterms:W3CDTF">2021-04-21T08:54:00Z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