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上投摩根慧见两年持有期混合型证券投资基金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报告送出日期：二〇二二年一月二十四日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上投摩根慧见两年持有期混合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2,344,543,947.50</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69411C" w:rsidRDefault="002176C5">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69411C" w:rsidRDefault="002176C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69411C" w:rsidRDefault="002176C5">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69411C" w:rsidRDefault="002176C5">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成长与价值并重</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69411C" w:rsidRDefault="002176C5">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69411C" w:rsidRDefault="002176C5">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69411C" w:rsidRDefault="002176C5">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69411C" w:rsidRDefault="002176C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w:t>
            </w:r>
            <w:r w:rsidRPr="00FF6B9A">
              <w:rPr>
                <w:rFonts w:eastAsiaTheme="minorEastAsia"/>
                <w:color w:val="000000" w:themeColor="text1"/>
                <w:kern w:val="0"/>
              </w:rPr>
              <w:lastRenderedPageBreak/>
              <w:t>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2176C5" w:rsidRPr="00FF6B9A" w:rsidTr="002176C5">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2176C5" w:rsidRPr="00FF6B9A" w:rsidTr="002176C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-9,478,334.89</w:t>
            </w:r>
          </w:p>
        </w:tc>
      </w:tr>
      <w:tr w:rsidR="002176C5" w:rsidRPr="00FF6B9A" w:rsidTr="002176C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-45,779,757.69</w:t>
            </w:r>
          </w:p>
        </w:tc>
      </w:tr>
      <w:tr w:rsidR="002176C5" w:rsidRPr="00FF6B9A" w:rsidTr="002176C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-0.0196</w:t>
            </w:r>
          </w:p>
        </w:tc>
      </w:tr>
      <w:tr w:rsidR="002176C5" w:rsidRPr="00FF6B9A" w:rsidTr="002176C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2,622,804,090.53</w:t>
            </w:r>
          </w:p>
        </w:tc>
      </w:tr>
      <w:tr w:rsidR="002176C5" w:rsidRPr="00FF6B9A" w:rsidTr="002176C5">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1.1187</w:t>
            </w:r>
          </w:p>
        </w:tc>
      </w:tr>
    </w:tbl>
    <w:p w:rsidR="0069411C" w:rsidRDefault="002176C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lastRenderedPageBreak/>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lastRenderedPageBreak/>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69411C">
        <w:tc>
          <w:tcPr>
            <w:tcW w:w="1395" w:type="dxa"/>
            <w:vAlign w:val="center"/>
          </w:tcPr>
          <w:p w:rsidR="0069411C" w:rsidRDefault="002176C5">
            <w:pPr>
              <w:jc w:val="left"/>
            </w:pPr>
            <w:r>
              <w:rPr>
                <w:rFonts w:eastAsiaTheme="minorEastAsia"/>
                <w:color w:val="000000" w:themeColor="text1"/>
                <w:kern w:val="0"/>
              </w:rPr>
              <w:t>过去三个月</w:t>
            </w:r>
          </w:p>
        </w:tc>
        <w:tc>
          <w:tcPr>
            <w:tcW w:w="1092" w:type="dxa"/>
            <w:vAlign w:val="center"/>
          </w:tcPr>
          <w:p w:rsidR="0069411C" w:rsidRDefault="002176C5">
            <w:pPr>
              <w:jc w:val="center"/>
            </w:pPr>
            <w:r>
              <w:rPr>
                <w:rFonts w:eastAsiaTheme="minorEastAsia"/>
                <w:color w:val="000000" w:themeColor="text1"/>
                <w:kern w:val="0"/>
              </w:rPr>
              <w:t>-1.71%</w:t>
            </w:r>
          </w:p>
        </w:tc>
        <w:tc>
          <w:tcPr>
            <w:tcW w:w="1161" w:type="dxa"/>
            <w:vAlign w:val="center"/>
          </w:tcPr>
          <w:p w:rsidR="0069411C" w:rsidRDefault="002176C5">
            <w:pPr>
              <w:jc w:val="center"/>
            </w:pPr>
            <w:r>
              <w:rPr>
                <w:rFonts w:eastAsiaTheme="minorEastAsia"/>
                <w:color w:val="000000" w:themeColor="text1"/>
                <w:kern w:val="0"/>
              </w:rPr>
              <w:t>1.08%</w:t>
            </w:r>
          </w:p>
        </w:tc>
        <w:tc>
          <w:tcPr>
            <w:tcW w:w="1181" w:type="dxa"/>
            <w:vAlign w:val="center"/>
          </w:tcPr>
          <w:p w:rsidR="0069411C" w:rsidRDefault="002176C5">
            <w:pPr>
              <w:jc w:val="center"/>
            </w:pPr>
            <w:r>
              <w:rPr>
                <w:rFonts w:eastAsiaTheme="minorEastAsia"/>
                <w:color w:val="000000" w:themeColor="text1"/>
                <w:kern w:val="0"/>
              </w:rPr>
              <w:t>0.95%</w:t>
            </w:r>
          </w:p>
        </w:tc>
        <w:tc>
          <w:tcPr>
            <w:tcW w:w="1188" w:type="dxa"/>
            <w:vAlign w:val="center"/>
          </w:tcPr>
          <w:p w:rsidR="0069411C" w:rsidRDefault="002176C5">
            <w:pPr>
              <w:jc w:val="center"/>
            </w:pPr>
            <w:r>
              <w:rPr>
                <w:rFonts w:eastAsiaTheme="minorEastAsia"/>
                <w:color w:val="000000" w:themeColor="text1"/>
                <w:kern w:val="0"/>
              </w:rPr>
              <w:t>0.57%</w:t>
            </w:r>
          </w:p>
        </w:tc>
        <w:tc>
          <w:tcPr>
            <w:tcW w:w="1199" w:type="dxa"/>
            <w:vAlign w:val="center"/>
          </w:tcPr>
          <w:p w:rsidR="0069411C" w:rsidRDefault="002176C5">
            <w:pPr>
              <w:jc w:val="center"/>
            </w:pPr>
            <w:r>
              <w:rPr>
                <w:rFonts w:eastAsiaTheme="minorEastAsia"/>
                <w:color w:val="000000" w:themeColor="text1"/>
                <w:kern w:val="0"/>
              </w:rPr>
              <w:t>-2.66%</w:t>
            </w:r>
          </w:p>
        </w:tc>
        <w:tc>
          <w:tcPr>
            <w:tcW w:w="1204" w:type="dxa"/>
            <w:vAlign w:val="center"/>
          </w:tcPr>
          <w:p w:rsidR="0069411C" w:rsidRDefault="002176C5">
            <w:pPr>
              <w:jc w:val="center"/>
            </w:pPr>
            <w:r>
              <w:rPr>
                <w:rFonts w:eastAsiaTheme="minorEastAsia"/>
                <w:color w:val="000000" w:themeColor="text1"/>
                <w:kern w:val="0"/>
              </w:rPr>
              <w:t>0.51%</w:t>
            </w:r>
          </w:p>
        </w:tc>
      </w:tr>
      <w:tr w:rsidR="0069411C">
        <w:tc>
          <w:tcPr>
            <w:tcW w:w="1395" w:type="dxa"/>
            <w:vAlign w:val="center"/>
          </w:tcPr>
          <w:p w:rsidR="0069411C" w:rsidRDefault="002176C5">
            <w:pPr>
              <w:jc w:val="left"/>
            </w:pPr>
            <w:r>
              <w:rPr>
                <w:rFonts w:eastAsiaTheme="minorEastAsia"/>
                <w:color w:val="000000" w:themeColor="text1"/>
                <w:kern w:val="0"/>
              </w:rPr>
              <w:t>过去六个月</w:t>
            </w:r>
          </w:p>
        </w:tc>
        <w:tc>
          <w:tcPr>
            <w:tcW w:w="1092" w:type="dxa"/>
            <w:vAlign w:val="center"/>
          </w:tcPr>
          <w:p w:rsidR="0069411C" w:rsidRDefault="002176C5">
            <w:pPr>
              <w:jc w:val="center"/>
            </w:pPr>
            <w:r>
              <w:rPr>
                <w:rFonts w:eastAsiaTheme="minorEastAsia"/>
                <w:color w:val="000000" w:themeColor="text1"/>
                <w:kern w:val="0"/>
              </w:rPr>
              <w:t>-1.11%</w:t>
            </w:r>
          </w:p>
        </w:tc>
        <w:tc>
          <w:tcPr>
            <w:tcW w:w="1161" w:type="dxa"/>
            <w:vAlign w:val="center"/>
          </w:tcPr>
          <w:p w:rsidR="0069411C" w:rsidRDefault="002176C5">
            <w:pPr>
              <w:jc w:val="center"/>
            </w:pPr>
            <w:r>
              <w:rPr>
                <w:rFonts w:eastAsiaTheme="minorEastAsia"/>
                <w:color w:val="000000" w:themeColor="text1"/>
                <w:kern w:val="0"/>
              </w:rPr>
              <w:t>1.61%</w:t>
            </w:r>
          </w:p>
        </w:tc>
        <w:tc>
          <w:tcPr>
            <w:tcW w:w="1181" w:type="dxa"/>
            <w:vAlign w:val="center"/>
          </w:tcPr>
          <w:p w:rsidR="0069411C" w:rsidRDefault="002176C5">
            <w:pPr>
              <w:jc w:val="center"/>
            </w:pPr>
            <w:r>
              <w:rPr>
                <w:rFonts w:eastAsiaTheme="minorEastAsia"/>
                <w:color w:val="000000" w:themeColor="text1"/>
                <w:kern w:val="0"/>
              </w:rPr>
              <w:t>-3.12%</w:t>
            </w:r>
          </w:p>
        </w:tc>
        <w:tc>
          <w:tcPr>
            <w:tcW w:w="1188" w:type="dxa"/>
            <w:vAlign w:val="center"/>
          </w:tcPr>
          <w:p w:rsidR="0069411C" w:rsidRDefault="002176C5">
            <w:pPr>
              <w:jc w:val="center"/>
            </w:pPr>
            <w:r>
              <w:rPr>
                <w:rFonts w:eastAsiaTheme="minorEastAsia"/>
                <w:color w:val="000000" w:themeColor="text1"/>
                <w:kern w:val="0"/>
              </w:rPr>
              <w:t>0.75%</w:t>
            </w:r>
          </w:p>
        </w:tc>
        <w:tc>
          <w:tcPr>
            <w:tcW w:w="1199" w:type="dxa"/>
            <w:vAlign w:val="center"/>
          </w:tcPr>
          <w:p w:rsidR="0069411C" w:rsidRDefault="002176C5">
            <w:pPr>
              <w:jc w:val="center"/>
            </w:pPr>
            <w:r>
              <w:rPr>
                <w:rFonts w:eastAsiaTheme="minorEastAsia"/>
                <w:color w:val="000000" w:themeColor="text1"/>
                <w:kern w:val="0"/>
              </w:rPr>
              <w:t>2.01%</w:t>
            </w:r>
          </w:p>
        </w:tc>
        <w:tc>
          <w:tcPr>
            <w:tcW w:w="1204" w:type="dxa"/>
            <w:vAlign w:val="center"/>
          </w:tcPr>
          <w:p w:rsidR="0069411C" w:rsidRDefault="002176C5">
            <w:pPr>
              <w:jc w:val="center"/>
            </w:pPr>
            <w:r>
              <w:rPr>
                <w:rFonts w:eastAsiaTheme="minorEastAsia"/>
                <w:color w:val="000000" w:themeColor="text1"/>
                <w:kern w:val="0"/>
              </w:rPr>
              <w:t>0.86%</w:t>
            </w:r>
          </w:p>
        </w:tc>
      </w:tr>
      <w:tr w:rsidR="0069411C">
        <w:tc>
          <w:tcPr>
            <w:tcW w:w="1395" w:type="dxa"/>
            <w:vAlign w:val="center"/>
          </w:tcPr>
          <w:p w:rsidR="0069411C" w:rsidRDefault="002176C5">
            <w:pPr>
              <w:jc w:val="left"/>
            </w:pPr>
            <w:r>
              <w:rPr>
                <w:rFonts w:eastAsiaTheme="minorEastAsia"/>
                <w:color w:val="000000" w:themeColor="text1"/>
                <w:kern w:val="0"/>
              </w:rPr>
              <w:t>过去一年</w:t>
            </w:r>
          </w:p>
        </w:tc>
        <w:tc>
          <w:tcPr>
            <w:tcW w:w="1092" w:type="dxa"/>
            <w:vAlign w:val="center"/>
          </w:tcPr>
          <w:p w:rsidR="0069411C" w:rsidRDefault="002176C5">
            <w:pPr>
              <w:jc w:val="center"/>
            </w:pPr>
            <w:r>
              <w:rPr>
                <w:rFonts w:eastAsiaTheme="minorEastAsia"/>
                <w:color w:val="000000" w:themeColor="text1"/>
                <w:kern w:val="0"/>
              </w:rPr>
              <w:t>0.80%</w:t>
            </w:r>
          </w:p>
        </w:tc>
        <w:tc>
          <w:tcPr>
            <w:tcW w:w="1161" w:type="dxa"/>
            <w:vAlign w:val="center"/>
          </w:tcPr>
          <w:p w:rsidR="0069411C" w:rsidRDefault="002176C5">
            <w:pPr>
              <w:jc w:val="center"/>
            </w:pPr>
            <w:r>
              <w:rPr>
                <w:rFonts w:eastAsiaTheme="minorEastAsia"/>
                <w:color w:val="000000" w:themeColor="text1"/>
                <w:kern w:val="0"/>
              </w:rPr>
              <w:t>1.61%</w:t>
            </w:r>
          </w:p>
        </w:tc>
        <w:tc>
          <w:tcPr>
            <w:tcW w:w="1181" w:type="dxa"/>
            <w:vAlign w:val="center"/>
          </w:tcPr>
          <w:p w:rsidR="0069411C" w:rsidRDefault="002176C5">
            <w:pPr>
              <w:jc w:val="center"/>
            </w:pPr>
            <w:r>
              <w:rPr>
                <w:rFonts w:eastAsiaTheme="minorEastAsia"/>
                <w:color w:val="000000" w:themeColor="text1"/>
                <w:kern w:val="0"/>
              </w:rPr>
              <w:t>-1.16%</w:t>
            </w:r>
          </w:p>
        </w:tc>
        <w:tc>
          <w:tcPr>
            <w:tcW w:w="1188" w:type="dxa"/>
            <w:vAlign w:val="center"/>
          </w:tcPr>
          <w:p w:rsidR="0069411C" w:rsidRDefault="002176C5">
            <w:pPr>
              <w:jc w:val="center"/>
            </w:pPr>
            <w:r>
              <w:rPr>
                <w:rFonts w:eastAsiaTheme="minorEastAsia"/>
                <w:color w:val="000000" w:themeColor="text1"/>
                <w:kern w:val="0"/>
              </w:rPr>
              <w:t>0.85%</w:t>
            </w:r>
          </w:p>
        </w:tc>
        <w:tc>
          <w:tcPr>
            <w:tcW w:w="1199" w:type="dxa"/>
            <w:vAlign w:val="center"/>
          </w:tcPr>
          <w:p w:rsidR="0069411C" w:rsidRDefault="002176C5">
            <w:pPr>
              <w:jc w:val="center"/>
            </w:pPr>
            <w:r>
              <w:rPr>
                <w:rFonts w:eastAsiaTheme="minorEastAsia"/>
                <w:color w:val="000000" w:themeColor="text1"/>
                <w:kern w:val="0"/>
              </w:rPr>
              <w:t>1.96%</w:t>
            </w:r>
          </w:p>
        </w:tc>
        <w:tc>
          <w:tcPr>
            <w:tcW w:w="1204" w:type="dxa"/>
            <w:vAlign w:val="center"/>
          </w:tcPr>
          <w:p w:rsidR="0069411C" w:rsidRDefault="002176C5">
            <w:pPr>
              <w:jc w:val="center"/>
            </w:pPr>
            <w:r>
              <w:rPr>
                <w:rFonts w:eastAsiaTheme="minorEastAsia"/>
                <w:color w:val="000000" w:themeColor="text1"/>
                <w:kern w:val="0"/>
              </w:rPr>
              <w:t>0.76%</w:t>
            </w:r>
          </w:p>
        </w:tc>
      </w:tr>
      <w:tr w:rsidR="0069411C">
        <w:tc>
          <w:tcPr>
            <w:tcW w:w="1395" w:type="dxa"/>
            <w:vAlign w:val="center"/>
          </w:tcPr>
          <w:p w:rsidR="0069411C" w:rsidRDefault="002176C5">
            <w:pPr>
              <w:jc w:val="left"/>
            </w:pPr>
            <w:r>
              <w:rPr>
                <w:rFonts w:eastAsiaTheme="minorEastAsia"/>
                <w:color w:val="000000" w:themeColor="text1"/>
                <w:kern w:val="0"/>
              </w:rPr>
              <w:t>过去三年</w:t>
            </w:r>
          </w:p>
        </w:tc>
        <w:tc>
          <w:tcPr>
            <w:tcW w:w="1092" w:type="dxa"/>
            <w:vAlign w:val="center"/>
          </w:tcPr>
          <w:p w:rsidR="0069411C" w:rsidRDefault="002176C5">
            <w:pPr>
              <w:jc w:val="center"/>
            </w:pPr>
            <w:r>
              <w:rPr>
                <w:rFonts w:eastAsiaTheme="minorEastAsia"/>
                <w:color w:val="000000" w:themeColor="text1"/>
                <w:kern w:val="0"/>
              </w:rPr>
              <w:t>-</w:t>
            </w:r>
          </w:p>
        </w:tc>
        <w:tc>
          <w:tcPr>
            <w:tcW w:w="1161" w:type="dxa"/>
            <w:vAlign w:val="center"/>
          </w:tcPr>
          <w:p w:rsidR="0069411C" w:rsidRDefault="002176C5">
            <w:pPr>
              <w:jc w:val="center"/>
            </w:pPr>
            <w:r>
              <w:rPr>
                <w:rFonts w:eastAsiaTheme="minorEastAsia"/>
                <w:color w:val="000000" w:themeColor="text1"/>
                <w:kern w:val="0"/>
              </w:rPr>
              <w:t>-</w:t>
            </w:r>
          </w:p>
        </w:tc>
        <w:tc>
          <w:tcPr>
            <w:tcW w:w="1181" w:type="dxa"/>
            <w:vAlign w:val="center"/>
          </w:tcPr>
          <w:p w:rsidR="0069411C" w:rsidRDefault="002176C5">
            <w:pPr>
              <w:jc w:val="center"/>
            </w:pPr>
            <w:r>
              <w:rPr>
                <w:rFonts w:eastAsiaTheme="minorEastAsia"/>
                <w:color w:val="000000" w:themeColor="text1"/>
                <w:kern w:val="0"/>
              </w:rPr>
              <w:t>-</w:t>
            </w:r>
          </w:p>
        </w:tc>
        <w:tc>
          <w:tcPr>
            <w:tcW w:w="1188" w:type="dxa"/>
            <w:vAlign w:val="center"/>
          </w:tcPr>
          <w:p w:rsidR="0069411C" w:rsidRDefault="002176C5">
            <w:pPr>
              <w:jc w:val="center"/>
            </w:pPr>
            <w:r>
              <w:rPr>
                <w:rFonts w:eastAsiaTheme="minorEastAsia"/>
                <w:color w:val="000000" w:themeColor="text1"/>
                <w:kern w:val="0"/>
              </w:rPr>
              <w:t>-</w:t>
            </w:r>
          </w:p>
        </w:tc>
        <w:tc>
          <w:tcPr>
            <w:tcW w:w="1199" w:type="dxa"/>
            <w:vAlign w:val="center"/>
          </w:tcPr>
          <w:p w:rsidR="0069411C" w:rsidRDefault="002176C5">
            <w:pPr>
              <w:jc w:val="center"/>
            </w:pPr>
            <w:r>
              <w:rPr>
                <w:rFonts w:eastAsiaTheme="minorEastAsia"/>
                <w:color w:val="000000" w:themeColor="text1"/>
                <w:kern w:val="0"/>
              </w:rPr>
              <w:t>-</w:t>
            </w:r>
          </w:p>
        </w:tc>
        <w:tc>
          <w:tcPr>
            <w:tcW w:w="1204" w:type="dxa"/>
            <w:vAlign w:val="center"/>
          </w:tcPr>
          <w:p w:rsidR="0069411C" w:rsidRDefault="002176C5">
            <w:pPr>
              <w:jc w:val="center"/>
            </w:pPr>
            <w:r>
              <w:rPr>
                <w:rFonts w:eastAsiaTheme="minorEastAsia"/>
                <w:color w:val="000000" w:themeColor="text1"/>
                <w:kern w:val="0"/>
              </w:rPr>
              <w:t>-</w:t>
            </w:r>
          </w:p>
        </w:tc>
      </w:tr>
      <w:tr w:rsidR="0069411C">
        <w:tc>
          <w:tcPr>
            <w:tcW w:w="1395" w:type="dxa"/>
            <w:vAlign w:val="center"/>
          </w:tcPr>
          <w:p w:rsidR="0069411C" w:rsidRDefault="002176C5">
            <w:pPr>
              <w:jc w:val="left"/>
            </w:pPr>
            <w:r>
              <w:rPr>
                <w:rFonts w:eastAsiaTheme="minorEastAsia"/>
                <w:color w:val="000000" w:themeColor="text1"/>
                <w:kern w:val="0"/>
              </w:rPr>
              <w:t>过去五年</w:t>
            </w:r>
          </w:p>
        </w:tc>
        <w:tc>
          <w:tcPr>
            <w:tcW w:w="1092" w:type="dxa"/>
            <w:vAlign w:val="center"/>
          </w:tcPr>
          <w:p w:rsidR="0069411C" w:rsidRDefault="002176C5">
            <w:pPr>
              <w:jc w:val="center"/>
            </w:pPr>
            <w:r>
              <w:rPr>
                <w:rFonts w:eastAsiaTheme="minorEastAsia"/>
                <w:color w:val="000000" w:themeColor="text1"/>
                <w:kern w:val="0"/>
              </w:rPr>
              <w:t>-</w:t>
            </w:r>
          </w:p>
        </w:tc>
        <w:tc>
          <w:tcPr>
            <w:tcW w:w="1161" w:type="dxa"/>
            <w:vAlign w:val="center"/>
          </w:tcPr>
          <w:p w:rsidR="0069411C" w:rsidRDefault="002176C5">
            <w:pPr>
              <w:jc w:val="center"/>
            </w:pPr>
            <w:r>
              <w:rPr>
                <w:rFonts w:eastAsiaTheme="minorEastAsia"/>
                <w:color w:val="000000" w:themeColor="text1"/>
                <w:kern w:val="0"/>
              </w:rPr>
              <w:t>-</w:t>
            </w:r>
          </w:p>
        </w:tc>
        <w:tc>
          <w:tcPr>
            <w:tcW w:w="1181" w:type="dxa"/>
            <w:vAlign w:val="center"/>
          </w:tcPr>
          <w:p w:rsidR="0069411C" w:rsidRDefault="002176C5">
            <w:pPr>
              <w:jc w:val="center"/>
            </w:pPr>
            <w:r>
              <w:rPr>
                <w:rFonts w:eastAsiaTheme="minorEastAsia"/>
                <w:color w:val="000000" w:themeColor="text1"/>
                <w:kern w:val="0"/>
              </w:rPr>
              <w:t>-</w:t>
            </w:r>
          </w:p>
        </w:tc>
        <w:tc>
          <w:tcPr>
            <w:tcW w:w="1188" w:type="dxa"/>
            <w:vAlign w:val="center"/>
          </w:tcPr>
          <w:p w:rsidR="0069411C" w:rsidRDefault="002176C5">
            <w:pPr>
              <w:jc w:val="center"/>
            </w:pPr>
            <w:r>
              <w:rPr>
                <w:rFonts w:eastAsiaTheme="minorEastAsia"/>
                <w:color w:val="000000" w:themeColor="text1"/>
                <w:kern w:val="0"/>
              </w:rPr>
              <w:t>-</w:t>
            </w:r>
          </w:p>
        </w:tc>
        <w:tc>
          <w:tcPr>
            <w:tcW w:w="1199" w:type="dxa"/>
            <w:vAlign w:val="center"/>
          </w:tcPr>
          <w:p w:rsidR="0069411C" w:rsidRDefault="002176C5">
            <w:pPr>
              <w:jc w:val="center"/>
            </w:pPr>
            <w:r>
              <w:rPr>
                <w:rFonts w:eastAsiaTheme="minorEastAsia"/>
                <w:color w:val="000000" w:themeColor="text1"/>
                <w:kern w:val="0"/>
              </w:rPr>
              <w:t>-</w:t>
            </w:r>
          </w:p>
        </w:tc>
        <w:tc>
          <w:tcPr>
            <w:tcW w:w="1204" w:type="dxa"/>
            <w:vAlign w:val="center"/>
          </w:tcPr>
          <w:p w:rsidR="0069411C" w:rsidRDefault="002176C5">
            <w:pPr>
              <w:jc w:val="center"/>
            </w:pPr>
            <w:r>
              <w:rPr>
                <w:rFonts w:eastAsiaTheme="minorEastAsia"/>
                <w:color w:val="000000" w:themeColor="text1"/>
                <w:kern w:val="0"/>
              </w:rPr>
              <w:t>-</w:t>
            </w:r>
          </w:p>
        </w:tc>
      </w:tr>
      <w:tr w:rsidR="0069411C">
        <w:tc>
          <w:tcPr>
            <w:tcW w:w="1395" w:type="dxa"/>
            <w:vAlign w:val="center"/>
          </w:tcPr>
          <w:p w:rsidR="0069411C" w:rsidRDefault="002176C5">
            <w:pPr>
              <w:jc w:val="left"/>
            </w:pPr>
            <w:r>
              <w:rPr>
                <w:rFonts w:eastAsiaTheme="minorEastAsia"/>
                <w:color w:val="000000" w:themeColor="text1"/>
                <w:kern w:val="0"/>
              </w:rPr>
              <w:t>自基金合同生效起至今</w:t>
            </w:r>
          </w:p>
        </w:tc>
        <w:tc>
          <w:tcPr>
            <w:tcW w:w="1092" w:type="dxa"/>
            <w:vAlign w:val="center"/>
          </w:tcPr>
          <w:p w:rsidR="0069411C" w:rsidRDefault="002176C5">
            <w:pPr>
              <w:jc w:val="center"/>
            </w:pPr>
            <w:r>
              <w:rPr>
                <w:rFonts w:eastAsiaTheme="minorEastAsia"/>
                <w:color w:val="000000" w:themeColor="text1"/>
                <w:kern w:val="0"/>
              </w:rPr>
              <w:t>11.87%</w:t>
            </w:r>
          </w:p>
        </w:tc>
        <w:tc>
          <w:tcPr>
            <w:tcW w:w="1161" w:type="dxa"/>
            <w:vAlign w:val="center"/>
          </w:tcPr>
          <w:p w:rsidR="0069411C" w:rsidRDefault="002176C5">
            <w:pPr>
              <w:jc w:val="center"/>
            </w:pPr>
            <w:r>
              <w:rPr>
                <w:rFonts w:eastAsiaTheme="minorEastAsia"/>
                <w:color w:val="000000" w:themeColor="text1"/>
                <w:kern w:val="0"/>
              </w:rPr>
              <w:t>1.48%</w:t>
            </w:r>
          </w:p>
        </w:tc>
        <w:tc>
          <w:tcPr>
            <w:tcW w:w="1181" w:type="dxa"/>
            <w:vAlign w:val="center"/>
          </w:tcPr>
          <w:p w:rsidR="0069411C" w:rsidRDefault="002176C5">
            <w:pPr>
              <w:jc w:val="center"/>
            </w:pPr>
            <w:r>
              <w:rPr>
                <w:rFonts w:eastAsiaTheme="minorEastAsia"/>
                <w:color w:val="000000" w:themeColor="text1"/>
                <w:kern w:val="0"/>
              </w:rPr>
              <w:t>5.95%</w:t>
            </w:r>
          </w:p>
        </w:tc>
        <w:tc>
          <w:tcPr>
            <w:tcW w:w="1188" w:type="dxa"/>
            <w:vAlign w:val="center"/>
          </w:tcPr>
          <w:p w:rsidR="0069411C" w:rsidRDefault="002176C5">
            <w:pPr>
              <w:jc w:val="center"/>
            </w:pPr>
            <w:r>
              <w:rPr>
                <w:rFonts w:eastAsiaTheme="minorEastAsia"/>
                <w:color w:val="000000" w:themeColor="text1"/>
                <w:kern w:val="0"/>
              </w:rPr>
              <w:t>0.83%</w:t>
            </w:r>
          </w:p>
        </w:tc>
        <w:tc>
          <w:tcPr>
            <w:tcW w:w="1199" w:type="dxa"/>
            <w:vAlign w:val="center"/>
          </w:tcPr>
          <w:p w:rsidR="0069411C" w:rsidRDefault="002176C5">
            <w:pPr>
              <w:jc w:val="center"/>
            </w:pPr>
            <w:r>
              <w:rPr>
                <w:rFonts w:eastAsiaTheme="minorEastAsia"/>
                <w:color w:val="000000" w:themeColor="text1"/>
                <w:kern w:val="0"/>
              </w:rPr>
              <w:t>5.92%</w:t>
            </w:r>
          </w:p>
        </w:tc>
        <w:tc>
          <w:tcPr>
            <w:tcW w:w="1204" w:type="dxa"/>
            <w:vAlign w:val="center"/>
          </w:tcPr>
          <w:p w:rsidR="0069411C" w:rsidRDefault="002176C5">
            <w:pPr>
              <w:jc w:val="center"/>
            </w:pPr>
            <w:r>
              <w:rPr>
                <w:rFonts w:eastAsiaTheme="minorEastAsia"/>
                <w:color w:val="000000" w:themeColor="text1"/>
                <w:kern w:val="0"/>
              </w:rPr>
              <w:t>0.65%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上投摩根慧见两年持有期混合型证券投资基金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2176C5">
      <w:pPr>
        <w:pStyle w:val="ae"/>
        <w:snapToGrid w:val="0"/>
        <w:spacing w:before="120" w:line="360" w:lineRule="auto"/>
        <w:jc w:val="center"/>
        <w:rPr>
          <w:rFonts w:ascii="Times New Roman" w:eastAsiaTheme="minorEastAsia" w:hAnsi="Times New Roman" w:cs="Times New Roman"/>
          <w:color w:val="000000" w:themeColor="text1"/>
          <w:sz w:val="24"/>
          <w:szCs w:val="24"/>
        </w:rPr>
      </w:pPr>
      <w:r>
        <w:rPr>
          <w:noProof/>
        </w:rPr>
        <w:drawing>
          <wp:inline distT="0" distB="0" distL="0" distR="0" wp14:anchorId="41C5685E" wp14:editId="4D41C22D">
            <wp:extent cx="5276850" cy="3086100"/>
            <wp:effectExtent l="0" t="0" r="0" b="0"/>
            <wp:docPr id="1" name="图片 1" descr="D:\浏览器下载\走势图柱状图\走势图1.jpg"/>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69411C" w:rsidRDefault="002176C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69411C">
        <w:tc>
          <w:tcPr>
            <w:tcW w:w="851" w:type="dxa"/>
            <w:vAlign w:val="center"/>
          </w:tcPr>
          <w:p w:rsidR="0069411C" w:rsidRDefault="002176C5">
            <w:pPr>
              <w:jc w:val="center"/>
            </w:pPr>
            <w:r>
              <w:rPr>
                <w:rFonts w:eastAsiaTheme="minorEastAsia"/>
                <w:color w:val="000000" w:themeColor="text1"/>
              </w:rPr>
              <w:t>李德辉</w:t>
            </w:r>
          </w:p>
        </w:tc>
        <w:tc>
          <w:tcPr>
            <w:tcW w:w="850" w:type="dxa"/>
            <w:vAlign w:val="center"/>
          </w:tcPr>
          <w:p w:rsidR="0069411C" w:rsidRDefault="002176C5">
            <w:pPr>
              <w:jc w:val="center"/>
            </w:pPr>
            <w:r>
              <w:rPr>
                <w:rFonts w:eastAsiaTheme="minorEastAsia"/>
                <w:color w:val="000000" w:themeColor="text1"/>
              </w:rPr>
              <w:t>本基金基金经理</w:t>
            </w:r>
          </w:p>
        </w:tc>
        <w:tc>
          <w:tcPr>
            <w:tcW w:w="1560" w:type="dxa"/>
            <w:vAlign w:val="center"/>
          </w:tcPr>
          <w:p w:rsidR="0069411C" w:rsidRDefault="002176C5">
            <w:pPr>
              <w:jc w:val="center"/>
            </w:pPr>
            <w:r>
              <w:rPr>
                <w:rFonts w:eastAsiaTheme="minorEastAsia"/>
                <w:color w:val="000000" w:themeColor="text1"/>
              </w:rPr>
              <w:t>2020-09-17</w:t>
            </w:r>
          </w:p>
        </w:tc>
        <w:tc>
          <w:tcPr>
            <w:tcW w:w="1559" w:type="dxa"/>
            <w:vAlign w:val="center"/>
          </w:tcPr>
          <w:p w:rsidR="0069411C" w:rsidRDefault="002176C5">
            <w:pPr>
              <w:jc w:val="center"/>
            </w:pPr>
            <w:r>
              <w:rPr>
                <w:rFonts w:eastAsiaTheme="minorEastAsia"/>
                <w:color w:val="000000" w:themeColor="text1"/>
              </w:rPr>
              <w:t>-</w:t>
            </w:r>
          </w:p>
        </w:tc>
        <w:tc>
          <w:tcPr>
            <w:tcW w:w="1417" w:type="dxa"/>
            <w:vAlign w:val="center"/>
          </w:tcPr>
          <w:p w:rsidR="0069411C" w:rsidRDefault="002176C5">
            <w:pPr>
              <w:jc w:val="center"/>
            </w:pPr>
            <w:r>
              <w:rPr>
                <w:rFonts w:eastAsiaTheme="minorEastAsia"/>
                <w:color w:val="000000" w:themeColor="text1"/>
              </w:rPr>
              <w:t>9</w:t>
            </w:r>
            <w:r>
              <w:rPr>
                <w:rFonts w:eastAsiaTheme="minorEastAsia"/>
                <w:color w:val="000000" w:themeColor="text1"/>
              </w:rPr>
              <w:t>年</w:t>
            </w:r>
          </w:p>
        </w:tc>
        <w:tc>
          <w:tcPr>
            <w:tcW w:w="2694" w:type="dxa"/>
            <w:vAlign w:val="center"/>
          </w:tcPr>
          <w:p w:rsidR="0069411C" w:rsidRDefault="002176C5">
            <w:r>
              <w:rPr>
                <w:rFonts w:eastAsiaTheme="minorEastAsia"/>
                <w:color w:val="000000" w:themeColor="text1"/>
              </w:rPr>
              <w:t>李德辉先生，上海交通大学生物医学工程博士，</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月在农银汇理基金管理有限公司担任研究员。自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月起加入上投摩根基金管理有限公司，先后担任研究员、行业专家兼基金经理助理、基金经理、高级基金经理。自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月起担任上投摩根科技前沿灵活配置混合型证券投资基金基金经理，</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月同时担任上投摩根安全战略股票型证券投资基金基金经理及上投摩根双核平衡混合型证券投资基金基金经理，自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月起同时担任上投摩根卓越制造股票型证券投资基金基金经理，自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月起同时担任上投摩根智选</w:t>
            </w:r>
            <w:r>
              <w:rPr>
                <w:rFonts w:eastAsiaTheme="minorEastAsia"/>
                <w:color w:val="000000" w:themeColor="text1"/>
              </w:rPr>
              <w:t>30</w:t>
            </w:r>
            <w:r>
              <w:rPr>
                <w:rFonts w:eastAsiaTheme="minorEastAsia"/>
                <w:color w:val="000000" w:themeColor="text1"/>
              </w:rPr>
              <w:t>混合型证券投资基金基金经理，自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月起同时担任上投摩根慧选成长股票型证券投资基金基金经理，自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月起同时担任上投摩根慧见两年持有期混合型证券投资基金基金经理。</w:t>
            </w:r>
          </w:p>
        </w:tc>
      </w:tr>
    </w:tbl>
    <w:p w:rsidR="0069411C" w:rsidRDefault="002176C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69411C" w:rsidRDefault="002176C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w:t>
      </w:r>
      <w:r w:rsidRPr="00FF6B9A">
        <w:rPr>
          <w:rFonts w:eastAsiaTheme="minorEastAsia"/>
          <w:color w:val="000000" w:themeColor="text1"/>
        </w:rPr>
        <w:lastRenderedPageBreak/>
        <w:t>份额持有人谋求利益。基金管理人遵守了《证券投资基金法》及其他有关法律法规、《上投摩根慧见两年持有期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四季度权益市场总体震荡上行，板块之间分化较大，四季度市场主线是低估值板块的修复，如汽车零部件、电子零组件、计算机、元宇宙带动的传媒、中药等板块，跌幅较大的是新能源板块，原因是前期涨幅较大、以及远期供给过剩的担心。四季度本基金表现欠佳，组合中新能源占比略高，我们认为四季度以来演绎的多个低估值上涨板块，从中长期</w:t>
      </w:r>
      <w:r>
        <w:rPr>
          <w:rFonts w:eastAsiaTheme="minorEastAsia"/>
          <w:color w:val="000000" w:themeColor="text1"/>
        </w:rPr>
        <w:lastRenderedPageBreak/>
        <w:t>暂看不到需求显著增长以及竞争格局的优化，组合对这部分持仓仍相对谨慎。</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展望</w:t>
      </w:r>
      <w:r>
        <w:rPr>
          <w:rFonts w:eastAsiaTheme="minorEastAsia"/>
          <w:color w:val="000000" w:themeColor="text1"/>
        </w:rPr>
        <w:t>2022</w:t>
      </w:r>
      <w:r>
        <w:rPr>
          <w:rFonts w:eastAsiaTheme="minorEastAsia"/>
          <w:color w:val="000000" w:themeColor="text1"/>
        </w:rPr>
        <w:t>年，我们认为货币政策和财政政策相对积极，通过稳地产和拉基建，宏观经济有望企稳。从全年维度看，我们对股票市场相对乐观。</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组合结构上我们基于</w:t>
      </w:r>
      <w:r>
        <w:rPr>
          <w:rFonts w:eastAsiaTheme="minorEastAsia"/>
          <w:color w:val="000000" w:themeColor="text1"/>
        </w:rPr>
        <w:t>2-3</w:t>
      </w:r>
      <w:r>
        <w:rPr>
          <w:rFonts w:eastAsiaTheme="minorEastAsia"/>
          <w:color w:val="000000" w:themeColor="text1"/>
        </w:rPr>
        <w:t>年的维度挑选行业和个股，我们看好的方向包括新能源车</w:t>
      </w:r>
      <w:r>
        <w:rPr>
          <w:rFonts w:eastAsiaTheme="minorEastAsia"/>
          <w:color w:val="000000" w:themeColor="text1"/>
        </w:rPr>
        <w:t>/</w:t>
      </w:r>
      <w:r>
        <w:rPr>
          <w:rFonts w:eastAsiaTheme="minorEastAsia"/>
          <w:color w:val="000000" w:themeColor="text1"/>
        </w:rPr>
        <w:t>科技</w:t>
      </w:r>
      <w:r>
        <w:rPr>
          <w:rFonts w:eastAsiaTheme="minorEastAsia"/>
          <w:color w:val="000000" w:themeColor="text1"/>
        </w:rPr>
        <w:t>/</w:t>
      </w:r>
      <w:r>
        <w:rPr>
          <w:rFonts w:eastAsiaTheme="minorEastAsia"/>
          <w:color w:val="000000" w:themeColor="text1"/>
        </w:rPr>
        <w:t>军工等成长性行业，以及财富管理</w:t>
      </w:r>
      <w:r>
        <w:rPr>
          <w:rFonts w:eastAsiaTheme="minorEastAsia"/>
          <w:color w:val="000000" w:themeColor="text1"/>
        </w:rPr>
        <w:t>/</w:t>
      </w:r>
      <w:r>
        <w:rPr>
          <w:rFonts w:eastAsiaTheme="minorEastAsia"/>
          <w:color w:val="000000" w:themeColor="text1"/>
        </w:rPr>
        <w:t>消费</w:t>
      </w:r>
      <w:r>
        <w:rPr>
          <w:rFonts w:eastAsiaTheme="minorEastAsia"/>
          <w:color w:val="000000" w:themeColor="text1"/>
        </w:rPr>
        <w:t>/</w:t>
      </w:r>
      <w:r>
        <w:rPr>
          <w:rFonts w:eastAsiaTheme="minorEastAsia"/>
          <w:color w:val="000000" w:themeColor="text1"/>
        </w:rPr>
        <w:t>医药等需求增长稳定的行业。新能源车方面，预计</w:t>
      </w:r>
      <w:r>
        <w:rPr>
          <w:rFonts w:eastAsiaTheme="minorEastAsia"/>
          <w:color w:val="000000" w:themeColor="text1"/>
        </w:rPr>
        <w:t>2022</w:t>
      </w:r>
      <w:r>
        <w:rPr>
          <w:rFonts w:eastAsiaTheme="minorEastAsia"/>
          <w:color w:val="000000" w:themeColor="text1"/>
        </w:rPr>
        <w:t>年全球新能源汽车的渗透率预计</w:t>
      </w:r>
      <w:r>
        <w:rPr>
          <w:rFonts w:eastAsiaTheme="minorEastAsia"/>
          <w:color w:val="000000" w:themeColor="text1"/>
        </w:rPr>
        <w:t>10%</w:t>
      </w:r>
      <w:r>
        <w:rPr>
          <w:rFonts w:eastAsiaTheme="minorEastAsia"/>
          <w:color w:val="000000" w:themeColor="text1"/>
        </w:rPr>
        <w:t>左右，未来几年暂看不到行业需求饱和的风险，经过四季度估值的快速回落，我们认为很多公司的估值和未来几年增速较匹配。科技方面，我们看好围绕汽车电动化和智能化相关的芯片、软件、零组件公司，以及低估值的安防板块。军工方面，我们认为未来</w:t>
      </w:r>
      <w:r>
        <w:rPr>
          <w:rFonts w:eastAsiaTheme="minorEastAsia"/>
          <w:color w:val="000000" w:themeColor="text1"/>
        </w:rPr>
        <w:t>2-3</w:t>
      </w:r>
      <w:r>
        <w:rPr>
          <w:rFonts w:eastAsiaTheme="minorEastAsia"/>
          <w:color w:val="000000" w:themeColor="text1"/>
        </w:rPr>
        <w:t>年需求增长可持续，看好偏上游的芯片、元器件和核心材料等方向。财富管理方面，我们认为随着打破刚性兑付，居民财富有望较大比例转向权益市场，财富管理行业的天花板较高，看好头部财富管理公司。消费方面，我们预计</w:t>
      </w:r>
      <w:r>
        <w:rPr>
          <w:rFonts w:eastAsiaTheme="minorEastAsia"/>
          <w:color w:val="000000" w:themeColor="text1"/>
        </w:rPr>
        <w:t>2022</w:t>
      </w:r>
      <w:r>
        <w:rPr>
          <w:rFonts w:eastAsiaTheme="minorEastAsia"/>
          <w:color w:val="000000" w:themeColor="text1"/>
        </w:rPr>
        <w:t>年国内消费整体需求企稳，看好有较强护城河的高端消费品公司。医药方面，医保支付能力制约了行业的总需求，相对看好受益于全球创新的研发外包服务公司。</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个股选择上，我们坚持供给端有壁垒和需求端有增长两个维度，希望通过优秀公司的可持续增长来获取长期收益。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本报告期上投摩根慧见两年持有期混合份额净值增长率为</w:t>
      </w:r>
      <w:r w:rsidRPr="00FF6B9A">
        <w:rPr>
          <w:rFonts w:eastAsiaTheme="minorEastAsia"/>
          <w:color w:val="000000" w:themeColor="text1"/>
        </w:rPr>
        <w:t>:-1.71%</w:t>
      </w:r>
      <w:r w:rsidRPr="00FF6B9A">
        <w:rPr>
          <w:rFonts w:eastAsiaTheme="minorEastAsia"/>
          <w:color w:val="000000" w:themeColor="text1"/>
        </w:rPr>
        <w:t>，同期业绩比较基准收益率为</w:t>
      </w:r>
      <w:r w:rsidRPr="00FF6B9A">
        <w:rPr>
          <w:rFonts w:eastAsiaTheme="minorEastAsia"/>
          <w:color w:val="000000" w:themeColor="text1"/>
        </w:rPr>
        <w:t>:0.95%</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2,126,449,239.63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80.83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2,126,449,239.63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80.83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461,646,409.41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17.55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42,704,818.24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2,630,800,467.28</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注：本基金本报告期末通过港股通交易机制投资的港股市值为</w:t>
      </w:r>
      <w:r w:rsidRPr="00FF6B9A">
        <w:rPr>
          <w:rFonts w:eastAsiaTheme="minorEastAsia"/>
          <w:color w:val="000000" w:themeColor="text1"/>
        </w:rPr>
        <w:t>80363107.82</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占净值比例</w:t>
      </w:r>
      <w:r w:rsidRPr="00FF6B9A">
        <w:rPr>
          <w:rFonts w:eastAsiaTheme="minorEastAsia"/>
          <w:color w:val="000000" w:themeColor="text1"/>
        </w:rPr>
        <w:t>3.06%</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1,561,003,329.65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59.52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148,162,593.31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5.65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276,554,734.79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10.54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11,931.85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31,856,161.26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211,993.80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28,285,387.15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2,046,086,131.81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78.01</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A </w:t>
            </w:r>
            <w:r>
              <w:rPr>
                <w:rFonts w:eastAsiaTheme="minorEastAsia"/>
                <w:color w:val="000000" w:themeColor="text1"/>
                <w:kern w:val="0"/>
              </w:rPr>
              <w:t>基础材料</w:t>
            </w:r>
          </w:p>
        </w:tc>
        <w:tc>
          <w:tcPr>
            <w:tcW w:w="3119" w:type="dxa"/>
            <w:vAlign w:val="center"/>
          </w:tcPr>
          <w:p w:rsidR="0069411C" w:rsidRDefault="002176C5">
            <w:pPr>
              <w:jc w:val="center"/>
            </w:pPr>
            <w:r>
              <w:rPr>
                <w:rFonts w:eastAsiaTheme="minorEastAsia"/>
                <w:color w:val="000000" w:themeColor="text1"/>
                <w:kern w:val="0"/>
              </w:rPr>
              <w:t>-</w:t>
            </w:r>
          </w:p>
        </w:tc>
        <w:tc>
          <w:tcPr>
            <w:tcW w:w="3118" w:type="dxa"/>
            <w:vAlign w:val="center"/>
          </w:tcPr>
          <w:p w:rsidR="0069411C" w:rsidRDefault="002176C5">
            <w:pPr>
              <w:jc w:val="center"/>
            </w:pPr>
            <w:r>
              <w:rPr>
                <w:rFonts w:eastAsiaTheme="minorEastAsia"/>
                <w:color w:val="000000" w:themeColor="text1"/>
                <w:kern w:val="0"/>
              </w:rPr>
              <w:t>-</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B </w:t>
            </w:r>
            <w:r>
              <w:rPr>
                <w:rFonts w:eastAsiaTheme="minorEastAsia"/>
                <w:color w:val="000000" w:themeColor="text1"/>
                <w:kern w:val="0"/>
              </w:rPr>
              <w:t>消费者非必需品</w:t>
            </w:r>
          </w:p>
        </w:tc>
        <w:tc>
          <w:tcPr>
            <w:tcW w:w="3119" w:type="dxa"/>
            <w:vAlign w:val="center"/>
          </w:tcPr>
          <w:p w:rsidR="0069411C" w:rsidRDefault="002176C5">
            <w:pPr>
              <w:jc w:val="center"/>
            </w:pPr>
            <w:r>
              <w:rPr>
                <w:rFonts w:eastAsiaTheme="minorEastAsia"/>
                <w:color w:val="000000" w:themeColor="text1"/>
                <w:kern w:val="0"/>
              </w:rPr>
              <w:t>42,990.38</w:t>
            </w:r>
          </w:p>
        </w:tc>
        <w:tc>
          <w:tcPr>
            <w:tcW w:w="3118" w:type="dxa"/>
            <w:vAlign w:val="center"/>
          </w:tcPr>
          <w:p w:rsidR="0069411C" w:rsidRDefault="002176C5">
            <w:pPr>
              <w:jc w:val="center"/>
            </w:pPr>
            <w:r>
              <w:rPr>
                <w:rFonts w:eastAsiaTheme="minorEastAsia"/>
                <w:color w:val="000000" w:themeColor="text1"/>
                <w:kern w:val="0"/>
              </w:rPr>
              <w:t>0.00</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C </w:t>
            </w:r>
            <w:r>
              <w:rPr>
                <w:rFonts w:eastAsiaTheme="minorEastAsia"/>
                <w:color w:val="000000" w:themeColor="text1"/>
                <w:kern w:val="0"/>
              </w:rPr>
              <w:t>消费者常用品</w:t>
            </w:r>
          </w:p>
        </w:tc>
        <w:tc>
          <w:tcPr>
            <w:tcW w:w="3119" w:type="dxa"/>
            <w:vAlign w:val="center"/>
          </w:tcPr>
          <w:p w:rsidR="0069411C" w:rsidRDefault="002176C5">
            <w:pPr>
              <w:jc w:val="center"/>
            </w:pPr>
            <w:r>
              <w:rPr>
                <w:rFonts w:eastAsiaTheme="minorEastAsia"/>
                <w:color w:val="000000" w:themeColor="text1"/>
                <w:kern w:val="0"/>
              </w:rPr>
              <w:t>20,604,746.40</w:t>
            </w:r>
          </w:p>
        </w:tc>
        <w:tc>
          <w:tcPr>
            <w:tcW w:w="3118" w:type="dxa"/>
            <w:vAlign w:val="center"/>
          </w:tcPr>
          <w:p w:rsidR="0069411C" w:rsidRDefault="002176C5">
            <w:pPr>
              <w:jc w:val="center"/>
            </w:pPr>
            <w:r>
              <w:rPr>
                <w:rFonts w:eastAsiaTheme="minorEastAsia"/>
                <w:color w:val="000000" w:themeColor="text1"/>
                <w:kern w:val="0"/>
              </w:rPr>
              <w:t>0.79</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D </w:t>
            </w:r>
            <w:r>
              <w:rPr>
                <w:rFonts w:eastAsiaTheme="minorEastAsia"/>
                <w:color w:val="000000" w:themeColor="text1"/>
                <w:kern w:val="0"/>
              </w:rPr>
              <w:t>能源</w:t>
            </w:r>
          </w:p>
        </w:tc>
        <w:tc>
          <w:tcPr>
            <w:tcW w:w="3119" w:type="dxa"/>
            <w:vAlign w:val="center"/>
          </w:tcPr>
          <w:p w:rsidR="0069411C" w:rsidRDefault="002176C5">
            <w:pPr>
              <w:jc w:val="center"/>
            </w:pPr>
            <w:r>
              <w:rPr>
                <w:rFonts w:eastAsiaTheme="minorEastAsia"/>
                <w:color w:val="000000" w:themeColor="text1"/>
                <w:kern w:val="0"/>
              </w:rPr>
              <w:t>-</w:t>
            </w:r>
          </w:p>
        </w:tc>
        <w:tc>
          <w:tcPr>
            <w:tcW w:w="3118" w:type="dxa"/>
            <w:vAlign w:val="center"/>
          </w:tcPr>
          <w:p w:rsidR="0069411C" w:rsidRDefault="002176C5">
            <w:pPr>
              <w:jc w:val="center"/>
            </w:pPr>
            <w:r>
              <w:rPr>
                <w:rFonts w:eastAsiaTheme="minorEastAsia"/>
                <w:color w:val="000000" w:themeColor="text1"/>
                <w:kern w:val="0"/>
              </w:rPr>
              <w:t>-</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E </w:t>
            </w:r>
            <w:r>
              <w:rPr>
                <w:rFonts w:eastAsiaTheme="minorEastAsia"/>
                <w:color w:val="000000" w:themeColor="text1"/>
                <w:kern w:val="0"/>
              </w:rPr>
              <w:t>金融</w:t>
            </w:r>
          </w:p>
        </w:tc>
        <w:tc>
          <w:tcPr>
            <w:tcW w:w="3119" w:type="dxa"/>
            <w:vAlign w:val="center"/>
          </w:tcPr>
          <w:p w:rsidR="0069411C" w:rsidRDefault="002176C5">
            <w:pPr>
              <w:jc w:val="center"/>
            </w:pPr>
            <w:r>
              <w:rPr>
                <w:rFonts w:eastAsiaTheme="minorEastAsia"/>
                <w:color w:val="000000" w:themeColor="text1"/>
                <w:kern w:val="0"/>
              </w:rPr>
              <w:t>-</w:t>
            </w:r>
          </w:p>
        </w:tc>
        <w:tc>
          <w:tcPr>
            <w:tcW w:w="3118" w:type="dxa"/>
            <w:vAlign w:val="center"/>
          </w:tcPr>
          <w:p w:rsidR="0069411C" w:rsidRDefault="002176C5">
            <w:pPr>
              <w:jc w:val="center"/>
            </w:pPr>
            <w:r>
              <w:rPr>
                <w:rFonts w:eastAsiaTheme="minorEastAsia"/>
                <w:color w:val="000000" w:themeColor="text1"/>
                <w:kern w:val="0"/>
              </w:rPr>
              <w:t>-</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F </w:t>
            </w:r>
            <w:r>
              <w:rPr>
                <w:rFonts w:eastAsiaTheme="minorEastAsia"/>
                <w:color w:val="000000" w:themeColor="text1"/>
                <w:kern w:val="0"/>
              </w:rPr>
              <w:t>医疗保健</w:t>
            </w:r>
          </w:p>
        </w:tc>
        <w:tc>
          <w:tcPr>
            <w:tcW w:w="3119" w:type="dxa"/>
            <w:vAlign w:val="center"/>
          </w:tcPr>
          <w:p w:rsidR="0069411C" w:rsidRDefault="002176C5">
            <w:pPr>
              <w:jc w:val="center"/>
            </w:pPr>
            <w:r>
              <w:rPr>
                <w:rFonts w:eastAsiaTheme="minorEastAsia"/>
                <w:color w:val="000000" w:themeColor="text1"/>
                <w:kern w:val="0"/>
              </w:rPr>
              <w:t>1,476,258.56</w:t>
            </w:r>
          </w:p>
        </w:tc>
        <w:tc>
          <w:tcPr>
            <w:tcW w:w="3118" w:type="dxa"/>
            <w:vAlign w:val="center"/>
          </w:tcPr>
          <w:p w:rsidR="0069411C" w:rsidRDefault="002176C5">
            <w:pPr>
              <w:jc w:val="center"/>
            </w:pPr>
            <w:r>
              <w:rPr>
                <w:rFonts w:eastAsiaTheme="minorEastAsia"/>
                <w:color w:val="000000" w:themeColor="text1"/>
                <w:kern w:val="0"/>
              </w:rPr>
              <w:t>0.06</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G </w:t>
            </w:r>
            <w:r>
              <w:rPr>
                <w:rFonts w:eastAsiaTheme="minorEastAsia"/>
                <w:color w:val="000000" w:themeColor="text1"/>
                <w:kern w:val="0"/>
              </w:rPr>
              <w:t>工业</w:t>
            </w:r>
          </w:p>
        </w:tc>
        <w:tc>
          <w:tcPr>
            <w:tcW w:w="3119" w:type="dxa"/>
            <w:vAlign w:val="center"/>
          </w:tcPr>
          <w:p w:rsidR="0069411C" w:rsidRDefault="002176C5">
            <w:pPr>
              <w:jc w:val="center"/>
            </w:pPr>
            <w:r>
              <w:rPr>
                <w:rFonts w:eastAsiaTheme="minorEastAsia"/>
                <w:color w:val="000000" w:themeColor="text1"/>
                <w:kern w:val="0"/>
              </w:rPr>
              <w:t>-</w:t>
            </w:r>
          </w:p>
        </w:tc>
        <w:tc>
          <w:tcPr>
            <w:tcW w:w="3118" w:type="dxa"/>
            <w:vAlign w:val="center"/>
          </w:tcPr>
          <w:p w:rsidR="0069411C" w:rsidRDefault="002176C5">
            <w:pPr>
              <w:jc w:val="center"/>
            </w:pPr>
            <w:r>
              <w:rPr>
                <w:rFonts w:eastAsiaTheme="minorEastAsia"/>
                <w:color w:val="000000" w:themeColor="text1"/>
                <w:kern w:val="0"/>
              </w:rPr>
              <w:t>-</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H </w:t>
            </w:r>
            <w:r>
              <w:rPr>
                <w:rFonts w:eastAsiaTheme="minorEastAsia"/>
                <w:color w:val="000000" w:themeColor="text1"/>
                <w:kern w:val="0"/>
              </w:rPr>
              <w:t>信息技术</w:t>
            </w:r>
          </w:p>
        </w:tc>
        <w:tc>
          <w:tcPr>
            <w:tcW w:w="3119" w:type="dxa"/>
            <w:vAlign w:val="center"/>
          </w:tcPr>
          <w:p w:rsidR="0069411C" w:rsidRDefault="002176C5">
            <w:pPr>
              <w:jc w:val="center"/>
            </w:pPr>
            <w:r>
              <w:rPr>
                <w:rFonts w:eastAsiaTheme="minorEastAsia"/>
                <w:color w:val="000000" w:themeColor="text1"/>
                <w:kern w:val="0"/>
              </w:rPr>
              <w:t>58,207,740.19</w:t>
            </w:r>
          </w:p>
        </w:tc>
        <w:tc>
          <w:tcPr>
            <w:tcW w:w="3118" w:type="dxa"/>
            <w:vAlign w:val="center"/>
          </w:tcPr>
          <w:p w:rsidR="0069411C" w:rsidRDefault="002176C5">
            <w:pPr>
              <w:jc w:val="center"/>
            </w:pPr>
            <w:r>
              <w:rPr>
                <w:rFonts w:eastAsiaTheme="minorEastAsia"/>
                <w:color w:val="000000" w:themeColor="text1"/>
                <w:kern w:val="0"/>
              </w:rPr>
              <w:t>2.22</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I </w:t>
            </w:r>
            <w:r>
              <w:rPr>
                <w:rFonts w:eastAsiaTheme="minorEastAsia"/>
                <w:color w:val="000000" w:themeColor="text1"/>
                <w:kern w:val="0"/>
              </w:rPr>
              <w:t>电信服务</w:t>
            </w:r>
          </w:p>
        </w:tc>
        <w:tc>
          <w:tcPr>
            <w:tcW w:w="3119" w:type="dxa"/>
            <w:vAlign w:val="center"/>
          </w:tcPr>
          <w:p w:rsidR="0069411C" w:rsidRDefault="002176C5">
            <w:pPr>
              <w:jc w:val="center"/>
            </w:pPr>
            <w:r>
              <w:rPr>
                <w:rFonts w:eastAsiaTheme="minorEastAsia"/>
                <w:color w:val="000000" w:themeColor="text1"/>
                <w:kern w:val="0"/>
              </w:rPr>
              <w:t>31,372.29</w:t>
            </w:r>
          </w:p>
        </w:tc>
        <w:tc>
          <w:tcPr>
            <w:tcW w:w="3118" w:type="dxa"/>
            <w:vAlign w:val="center"/>
          </w:tcPr>
          <w:p w:rsidR="0069411C" w:rsidRDefault="002176C5">
            <w:pPr>
              <w:jc w:val="center"/>
            </w:pPr>
            <w:r>
              <w:rPr>
                <w:rFonts w:eastAsiaTheme="minorEastAsia"/>
                <w:color w:val="000000" w:themeColor="text1"/>
                <w:kern w:val="0"/>
              </w:rPr>
              <w:t>0.00</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J </w:t>
            </w:r>
            <w:r>
              <w:rPr>
                <w:rFonts w:eastAsiaTheme="minorEastAsia"/>
                <w:color w:val="000000" w:themeColor="text1"/>
                <w:kern w:val="0"/>
              </w:rPr>
              <w:t>公用事业</w:t>
            </w:r>
          </w:p>
        </w:tc>
        <w:tc>
          <w:tcPr>
            <w:tcW w:w="3119" w:type="dxa"/>
            <w:vAlign w:val="center"/>
          </w:tcPr>
          <w:p w:rsidR="0069411C" w:rsidRDefault="002176C5">
            <w:pPr>
              <w:jc w:val="center"/>
            </w:pPr>
            <w:r>
              <w:rPr>
                <w:rFonts w:eastAsiaTheme="minorEastAsia"/>
                <w:color w:val="000000" w:themeColor="text1"/>
                <w:kern w:val="0"/>
              </w:rPr>
              <w:t>-</w:t>
            </w:r>
          </w:p>
        </w:tc>
        <w:tc>
          <w:tcPr>
            <w:tcW w:w="3118" w:type="dxa"/>
            <w:vAlign w:val="center"/>
          </w:tcPr>
          <w:p w:rsidR="0069411C" w:rsidRDefault="002176C5">
            <w:pPr>
              <w:jc w:val="center"/>
            </w:pPr>
            <w:r>
              <w:rPr>
                <w:rFonts w:eastAsiaTheme="minorEastAsia"/>
                <w:color w:val="000000" w:themeColor="text1"/>
                <w:kern w:val="0"/>
              </w:rPr>
              <w:t>-</w:t>
            </w:r>
          </w:p>
        </w:tc>
      </w:tr>
      <w:tr w:rsidR="0069411C">
        <w:trPr>
          <w:jc w:val="center"/>
        </w:trPr>
        <w:tc>
          <w:tcPr>
            <w:tcW w:w="2397" w:type="dxa"/>
            <w:vAlign w:val="center"/>
          </w:tcPr>
          <w:p w:rsidR="0069411C" w:rsidRDefault="002176C5">
            <w:pPr>
              <w:jc w:val="center"/>
            </w:pPr>
            <w:r>
              <w:rPr>
                <w:rFonts w:eastAsiaTheme="minorEastAsia"/>
                <w:color w:val="000000" w:themeColor="text1"/>
                <w:kern w:val="0"/>
              </w:rPr>
              <w:t xml:space="preserve">K </w:t>
            </w:r>
            <w:r>
              <w:rPr>
                <w:rFonts w:eastAsiaTheme="minorEastAsia"/>
                <w:color w:val="000000" w:themeColor="text1"/>
                <w:kern w:val="0"/>
              </w:rPr>
              <w:t>房地产</w:t>
            </w:r>
          </w:p>
        </w:tc>
        <w:tc>
          <w:tcPr>
            <w:tcW w:w="3119" w:type="dxa"/>
            <w:vAlign w:val="center"/>
          </w:tcPr>
          <w:p w:rsidR="0069411C" w:rsidRDefault="002176C5">
            <w:pPr>
              <w:jc w:val="center"/>
            </w:pPr>
            <w:r>
              <w:rPr>
                <w:rFonts w:eastAsiaTheme="minorEastAsia"/>
                <w:color w:val="000000" w:themeColor="text1"/>
                <w:kern w:val="0"/>
              </w:rPr>
              <w:t>-</w:t>
            </w:r>
          </w:p>
        </w:tc>
        <w:tc>
          <w:tcPr>
            <w:tcW w:w="3118" w:type="dxa"/>
            <w:vAlign w:val="center"/>
          </w:tcPr>
          <w:p w:rsidR="0069411C" w:rsidRDefault="002176C5">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80,363,107.82</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3.06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69411C">
        <w:tc>
          <w:tcPr>
            <w:tcW w:w="817" w:type="dxa"/>
            <w:vAlign w:val="center"/>
          </w:tcPr>
          <w:p w:rsidR="0069411C" w:rsidRDefault="002176C5">
            <w:pPr>
              <w:jc w:val="center"/>
            </w:pPr>
            <w:r>
              <w:rPr>
                <w:rFonts w:eastAsiaTheme="minorEastAsia"/>
                <w:kern w:val="0"/>
                <w:sz w:val="24"/>
                <w:szCs w:val="24"/>
              </w:rPr>
              <w:t>1</w:t>
            </w:r>
          </w:p>
        </w:tc>
        <w:tc>
          <w:tcPr>
            <w:tcW w:w="1276" w:type="dxa"/>
            <w:vAlign w:val="center"/>
          </w:tcPr>
          <w:p w:rsidR="0069411C" w:rsidRDefault="002176C5">
            <w:pPr>
              <w:jc w:val="center"/>
            </w:pPr>
            <w:r>
              <w:rPr>
                <w:rFonts w:eastAsiaTheme="minorEastAsia"/>
                <w:kern w:val="0"/>
                <w:sz w:val="24"/>
                <w:szCs w:val="24"/>
              </w:rPr>
              <w:t>300750</w:t>
            </w:r>
          </w:p>
        </w:tc>
        <w:tc>
          <w:tcPr>
            <w:tcW w:w="1701" w:type="dxa"/>
            <w:vAlign w:val="center"/>
          </w:tcPr>
          <w:p w:rsidR="0069411C" w:rsidRDefault="002176C5">
            <w:pPr>
              <w:jc w:val="center"/>
            </w:pPr>
            <w:r>
              <w:rPr>
                <w:rFonts w:eastAsiaTheme="minorEastAsia"/>
                <w:kern w:val="0"/>
                <w:sz w:val="24"/>
                <w:szCs w:val="24"/>
              </w:rPr>
              <w:t>宁德时代</w:t>
            </w:r>
          </w:p>
        </w:tc>
        <w:tc>
          <w:tcPr>
            <w:tcW w:w="1276" w:type="dxa"/>
            <w:vAlign w:val="center"/>
          </w:tcPr>
          <w:p w:rsidR="0069411C" w:rsidRDefault="002176C5">
            <w:pPr>
              <w:jc w:val="right"/>
            </w:pPr>
            <w:r>
              <w:rPr>
                <w:rFonts w:eastAsiaTheme="minorEastAsia"/>
                <w:kern w:val="0"/>
                <w:sz w:val="24"/>
                <w:szCs w:val="24"/>
              </w:rPr>
              <w:t>355,526.00</w:t>
            </w:r>
          </w:p>
        </w:tc>
        <w:tc>
          <w:tcPr>
            <w:tcW w:w="1842" w:type="dxa"/>
            <w:vAlign w:val="center"/>
          </w:tcPr>
          <w:p w:rsidR="0069411C" w:rsidRDefault="002176C5">
            <w:pPr>
              <w:jc w:val="right"/>
            </w:pPr>
            <w:r>
              <w:rPr>
                <w:rFonts w:eastAsiaTheme="minorEastAsia"/>
                <w:kern w:val="0"/>
                <w:sz w:val="24"/>
                <w:szCs w:val="24"/>
              </w:rPr>
              <w:t>209,049,288.00</w:t>
            </w:r>
          </w:p>
        </w:tc>
        <w:tc>
          <w:tcPr>
            <w:tcW w:w="1616" w:type="dxa"/>
            <w:vAlign w:val="center"/>
          </w:tcPr>
          <w:p w:rsidR="0069411C" w:rsidRDefault="002176C5">
            <w:pPr>
              <w:jc w:val="right"/>
            </w:pPr>
            <w:r>
              <w:rPr>
                <w:rFonts w:eastAsiaTheme="minorEastAsia"/>
                <w:kern w:val="0"/>
                <w:sz w:val="24"/>
                <w:szCs w:val="24"/>
              </w:rPr>
              <w:t>7.97</w:t>
            </w:r>
          </w:p>
        </w:tc>
      </w:tr>
      <w:tr w:rsidR="0069411C">
        <w:tc>
          <w:tcPr>
            <w:tcW w:w="817" w:type="dxa"/>
            <w:vAlign w:val="center"/>
          </w:tcPr>
          <w:p w:rsidR="0069411C" w:rsidRDefault="002176C5">
            <w:pPr>
              <w:jc w:val="center"/>
            </w:pPr>
            <w:r>
              <w:rPr>
                <w:rFonts w:eastAsiaTheme="minorEastAsia"/>
                <w:kern w:val="0"/>
                <w:sz w:val="24"/>
                <w:szCs w:val="24"/>
              </w:rPr>
              <w:t>2</w:t>
            </w:r>
          </w:p>
        </w:tc>
        <w:tc>
          <w:tcPr>
            <w:tcW w:w="1276" w:type="dxa"/>
            <w:vAlign w:val="center"/>
          </w:tcPr>
          <w:p w:rsidR="0069411C" w:rsidRDefault="002176C5">
            <w:pPr>
              <w:jc w:val="center"/>
            </w:pPr>
            <w:r>
              <w:rPr>
                <w:rFonts w:eastAsiaTheme="minorEastAsia"/>
                <w:kern w:val="0"/>
                <w:sz w:val="24"/>
                <w:szCs w:val="24"/>
              </w:rPr>
              <w:t>300059</w:t>
            </w:r>
          </w:p>
        </w:tc>
        <w:tc>
          <w:tcPr>
            <w:tcW w:w="1701" w:type="dxa"/>
            <w:vAlign w:val="center"/>
          </w:tcPr>
          <w:p w:rsidR="0069411C" w:rsidRDefault="002176C5">
            <w:pPr>
              <w:jc w:val="center"/>
            </w:pPr>
            <w:r>
              <w:rPr>
                <w:rFonts w:eastAsiaTheme="minorEastAsia"/>
                <w:kern w:val="0"/>
                <w:sz w:val="24"/>
                <w:szCs w:val="24"/>
              </w:rPr>
              <w:t>东方财富</w:t>
            </w:r>
          </w:p>
        </w:tc>
        <w:tc>
          <w:tcPr>
            <w:tcW w:w="1276" w:type="dxa"/>
            <w:vAlign w:val="center"/>
          </w:tcPr>
          <w:p w:rsidR="0069411C" w:rsidRDefault="002176C5">
            <w:pPr>
              <w:jc w:val="right"/>
            </w:pPr>
            <w:r>
              <w:rPr>
                <w:rFonts w:eastAsiaTheme="minorEastAsia"/>
                <w:kern w:val="0"/>
                <w:sz w:val="24"/>
                <w:szCs w:val="24"/>
              </w:rPr>
              <w:t>4,914,075.00</w:t>
            </w:r>
          </w:p>
        </w:tc>
        <w:tc>
          <w:tcPr>
            <w:tcW w:w="1842" w:type="dxa"/>
            <w:vAlign w:val="center"/>
          </w:tcPr>
          <w:p w:rsidR="0069411C" w:rsidRDefault="002176C5">
            <w:pPr>
              <w:jc w:val="right"/>
            </w:pPr>
            <w:r>
              <w:rPr>
                <w:rFonts w:eastAsiaTheme="minorEastAsia"/>
                <w:kern w:val="0"/>
                <w:sz w:val="24"/>
                <w:szCs w:val="24"/>
              </w:rPr>
              <w:t>182,361,323.25</w:t>
            </w:r>
          </w:p>
        </w:tc>
        <w:tc>
          <w:tcPr>
            <w:tcW w:w="1616" w:type="dxa"/>
            <w:vAlign w:val="center"/>
          </w:tcPr>
          <w:p w:rsidR="0069411C" w:rsidRDefault="002176C5">
            <w:pPr>
              <w:jc w:val="right"/>
            </w:pPr>
            <w:r>
              <w:rPr>
                <w:rFonts w:eastAsiaTheme="minorEastAsia"/>
                <w:kern w:val="0"/>
                <w:sz w:val="24"/>
                <w:szCs w:val="24"/>
              </w:rPr>
              <w:t>6.95</w:t>
            </w:r>
          </w:p>
        </w:tc>
      </w:tr>
      <w:tr w:rsidR="0069411C">
        <w:tc>
          <w:tcPr>
            <w:tcW w:w="817" w:type="dxa"/>
            <w:vAlign w:val="center"/>
          </w:tcPr>
          <w:p w:rsidR="0069411C" w:rsidRDefault="002176C5">
            <w:pPr>
              <w:jc w:val="center"/>
            </w:pPr>
            <w:r>
              <w:rPr>
                <w:rFonts w:eastAsiaTheme="minorEastAsia"/>
                <w:kern w:val="0"/>
                <w:sz w:val="24"/>
                <w:szCs w:val="24"/>
              </w:rPr>
              <w:t>3</w:t>
            </w:r>
          </w:p>
        </w:tc>
        <w:tc>
          <w:tcPr>
            <w:tcW w:w="1276" w:type="dxa"/>
            <w:vAlign w:val="center"/>
          </w:tcPr>
          <w:p w:rsidR="0069411C" w:rsidRDefault="002176C5">
            <w:pPr>
              <w:jc w:val="center"/>
            </w:pPr>
            <w:r>
              <w:rPr>
                <w:rFonts w:eastAsiaTheme="minorEastAsia"/>
                <w:kern w:val="0"/>
                <w:sz w:val="24"/>
                <w:szCs w:val="24"/>
              </w:rPr>
              <w:t>600519</w:t>
            </w:r>
          </w:p>
        </w:tc>
        <w:tc>
          <w:tcPr>
            <w:tcW w:w="1701" w:type="dxa"/>
            <w:vAlign w:val="center"/>
          </w:tcPr>
          <w:p w:rsidR="0069411C" w:rsidRDefault="002176C5">
            <w:pPr>
              <w:jc w:val="center"/>
            </w:pPr>
            <w:r>
              <w:rPr>
                <w:rFonts w:eastAsiaTheme="minorEastAsia"/>
                <w:kern w:val="0"/>
                <w:sz w:val="24"/>
                <w:szCs w:val="24"/>
              </w:rPr>
              <w:t>贵州茅台</w:t>
            </w:r>
          </w:p>
        </w:tc>
        <w:tc>
          <w:tcPr>
            <w:tcW w:w="1276" w:type="dxa"/>
            <w:vAlign w:val="center"/>
          </w:tcPr>
          <w:p w:rsidR="0069411C" w:rsidRDefault="002176C5">
            <w:pPr>
              <w:jc w:val="right"/>
            </w:pPr>
            <w:r>
              <w:rPr>
                <w:rFonts w:eastAsiaTheme="minorEastAsia"/>
                <w:kern w:val="0"/>
                <w:sz w:val="24"/>
                <w:szCs w:val="24"/>
              </w:rPr>
              <w:t>88,130.00</w:t>
            </w:r>
          </w:p>
        </w:tc>
        <w:tc>
          <w:tcPr>
            <w:tcW w:w="1842" w:type="dxa"/>
            <w:vAlign w:val="center"/>
          </w:tcPr>
          <w:p w:rsidR="0069411C" w:rsidRDefault="002176C5">
            <w:pPr>
              <w:jc w:val="right"/>
            </w:pPr>
            <w:r>
              <w:rPr>
                <w:rFonts w:eastAsiaTheme="minorEastAsia"/>
                <w:kern w:val="0"/>
                <w:sz w:val="24"/>
                <w:szCs w:val="24"/>
              </w:rPr>
              <w:t>180,666,500.00</w:t>
            </w:r>
          </w:p>
        </w:tc>
        <w:tc>
          <w:tcPr>
            <w:tcW w:w="1616" w:type="dxa"/>
            <w:vAlign w:val="center"/>
          </w:tcPr>
          <w:p w:rsidR="0069411C" w:rsidRDefault="002176C5">
            <w:pPr>
              <w:jc w:val="right"/>
            </w:pPr>
            <w:r>
              <w:rPr>
                <w:rFonts w:eastAsiaTheme="minorEastAsia"/>
                <w:kern w:val="0"/>
                <w:sz w:val="24"/>
                <w:szCs w:val="24"/>
              </w:rPr>
              <w:t>6.89</w:t>
            </w:r>
          </w:p>
        </w:tc>
      </w:tr>
      <w:tr w:rsidR="0069411C">
        <w:tc>
          <w:tcPr>
            <w:tcW w:w="817" w:type="dxa"/>
            <w:vAlign w:val="center"/>
          </w:tcPr>
          <w:p w:rsidR="0069411C" w:rsidRDefault="002176C5">
            <w:pPr>
              <w:jc w:val="center"/>
            </w:pPr>
            <w:r>
              <w:rPr>
                <w:rFonts w:eastAsiaTheme="minorEastAsia"/>
                <w:kern w:val="0"/>
                <w:sz w:val="24"/>
                <w:szCs w:val="24"/>
              </w:rPr>
              <w:t>4</w:t>
            </w:r>
          </w:p>
        </w:tc>
        <w:tc>
          <w:tcPr>
            <w:tcW w:w="1276" w:type="dxa"/>
            <w:vAlign w:val="center"/>
          </w:tcPr>
          <w:p w:rsidR="0069411C" w:rsidRDefault="002176C5">
            <w:pPr>
              <w:jc w:val="center"/>
            </w:pPr>
            <w:r>
              <w:rPr>
                <w:rFonts w:eastAsiaTheme="minorEastAsia"/>
                <w:kern w:val="0"/>
                <w:sz w:val="24"/>
                <w:szCs w:val="24"/>
              </w:rPr>
              <w:t>300014</w:t>
            </w:r>
          </w:p>
        </w:tc>
        <w:tc>
          <w:tcPr>
            <w:tcW w:w="1701" w:type="dxa"/>
            <w:vAlign w:val="center"/>
          </w:tcPr>
          <w:p w:rsidR="0069411C" w:rsidRDefault="002176C5">
            <w:pPr>
              <w:jc w:val="center"/>
            </w:pPr>
            <w:r>
              <w:rPr>
                <w:rFonts w:eastAsiaTheme="minorEastAsia"/>
                <w:kern w:val="0"/>
                <w:sz w:val="24"/>
                <w:szCs w:val="24"/>
              </w:rPr>
              <w:t>亿纬锂能</w:t>
            </w:r>
          </w:p>
        </w:tc>
        <w:tc>
          <w:tcPr>
            <w:tcW w:w="1276" w:type="dxa"/>
            <w:vAlign w:val="center"/>
          </w:tcPr>
          <w:p w:rsidR="0069411C" w:rsidRDefault="002176C5">
            <w:pPr>
              <w:jc w:val="right"/>
            </w:pPr>
            <w:r>
              <w:rPr>
                <w:rFonts w:eastAsiaTheme="minorEastAsia"/>
                <w:kern w:val="0"/>
                <w:sz w:val="24"/>
                <w:szCs w:val="24"/>
              </w:rPr>
              <w:t>1,056,060.00</w:t>
            </w:r>
          </w:p>
        </w:tc>
        <w:tc>
          <w:tcPr>
            <w:tcW w:w="1842" w:type="dxa"/>
            <w:vAlign w:val="center"/>
          </w:tcPr>
          <w:p w:rsidR="0069411C" w:rsidRDefault="002176C5">
            <w:pPr>
              <w:jc w:val="right"/>
            </w:pPr>
            <w:r>
              <w:rPr>
                <w:rFonts w:eastAsiaTheme="minorEastAsia"/>
                <w:kern w:val="0"/>
                <w:sz w:val="24"/>
                <w:szCs w:val="24"/>
              </w:rPr>
              <w:t>124,805,170.80</w:t>
            </w:r>
          </w:p>
        </w:tc>
        <w:tc>
          <w:tcPr>
            <w:tcW w:w="1616" w:type="dxa"/>
            <w:vAlign w:val="center"/>
          </w:tcPr>
          <w:p w:rsidR="0069411C" w:rsidRDefault="002176C5">
            <w:pPr>
              <w:jc w:val="right"/>
            </w:pPr>
            <w:r>
              <w:rPr>
                <w:rFonts w:eastAsiaTheme="minorEastAsia"/>
                <w:kern w:val="0"/>
                <w:sz w:val="24"/>
                <w:szCs w:val="24"/>
              </w:rPr>
              <w:t>4.76</w:t>
            </w:r>
          </w:p>
        </w:tc>
      </w:tr>
      <w:tr w:rsidR="0069411C">
        <w:tc>
          <w:tcPr>
            <w:tcW w:w="817" w:type="dxa"/>
            <w:vAlign w:val="center"/>
          </w:tcPr>
          <w:p w:rsidR="0069411C" w:rsidRDefault="002176C5">
            <w:pPr>
              <w:jc w:val="center"/>
            </w:pPr>
            <w:r>
              <w:rPr>
                <w:rFonts w:eastAsiaTheme="minorEastAsia"/>
                <w:kern w:val="0"/>
                <w:sz w:val="24"/>
                <w:szCs w:val="24"/>
              </w:rPr>
              <w:t>5</w:t>
            </w:r>
          </w:p>
        </w:tc>
        <w:tc>
          <w:tcPr>
            <w:tcW w:w="1276" w:type="dxa"/>
            <w:vAlign w:val="center"/>
          </w:tcPr>
          <w:p w:rsidR="0069411C" w:rsidRDefault="002176C5">
            <w:pPr>
              <w:jc w:val="center"/>
            </w:pPr>
            <w:r>
              <w:rPr>
                <w:rFonts w:eastAsiaTheme="minorEastAsia"/>
                <w:kern w:val="0"/>
                <w:sz w:val="24"/>
                <w:szCs w:val="24"/>
              </w:rPr>
              <w:t>002415</w:t>
            </w:r>
          </w:p>
        </w:tc>
        <w:tc>
          <w:tcPr>
            <w:tcW w:w="1701" w:type="dxa"/>
            <w:vAlign w:val="center"/>
          </w:tcPr>
          <w:p w:rsidR="0069411C" w:rsidRDefault="002176C5">
            <w:pPr>
              <w:jc w:val="center"/>
            </w:pPr>
            <w:r>
              <w:rPr>
                <w:rFonts w:eastAsiaTheme="minorEastAsia"/>
                <w:kern w:val="0"/>
                <w:sz w:val="24"/>
                <w:szCs w:val="24"/>
              </w:rPr>
              <w:t>海康威视</w:t>
            </w:r>
          </w:p>
        </w:tc>
        <w:tc>
          <w:tcPr>
            <w:tcW w:w="1276" w:type="dxa"/>
            <w:vAlign w:val="center"/>
          </w:tcPr>
          <w:p w:rsidR="0069411C" w:rsidRDefault="002176C5">
            <w:pPr>
              <w:jc w:val="right"/>
            </w:pPr>
            <w:r>
              <w:rPr>
                <w:rFonts w:eastAsiaTheme="minorEastAsia"/>
                <w:kern w:val="0"/>
                <w:sz w:val="24"/>
                <w:szCs w:val="24"/>
              </w:rPr>
              <w:t>1,464,600.00</w:t>
            </w:r>
          </w:p>
        </w:tc>
        <w:tc>
          <w:tcPr>
            <w:tcW w:w="1842" w:type="dxa"/>
            <w:vAlign w:val="center"/>
          </w:tcPr>
          <w:p w:rsidR="0069411C" w:rsidRDefault="002176C5">
            <w:pPr>
              <w:jc w:val="right"/>
            </w:pPr>
            <w:r>
              <w:rPr>
                <w:rFonts w:eastAsiaTheme="minorEastAsia"/>
                <w:kern w:val="0"/>
                <w:sz w:val="24"/>
                <w:szCs w:val="24"/>
              </w:rPr>
              <w:t>76,627,872.00</w:t>
            </w:r>
          </w:p>
        </w:tc>
        <w:tc>
          <w:tcPr>
            <w:tcW w:w="1616" w:type="dxa"/>
            <w:vAlign w:val="center"/>
          </w:tcPr>
          <w:p w:rsidR="0069411C" w:rsidRDefault="002176C5">
            <w:pPr>
              <w:jc w:val="right"/>
            </w:pPr>
            <w:r>
              <w:rPr>
                <w:rFonts w:eastAsiaTheme="minorEastAsia"/>
                <w:kern w:val="0"/>
                <w:sz w:val="24"/>
                <w:szCs w:val="24"/>
              </w:rPr>
              <w:t>2.92</w:t>
            </w:r>
          </w:p>
        </w:tc>
      </w:tr>
      <w:tr w:rsidR="0069411C">
        <w:tc>
          <w:tcPr>
            <w:tcW w:w="817" w:type="dxa"/>
            <w:vAlign w:val="center"/>
          </w:tcPr>
          <w:p w:rsidR="0069411C" w:rsidRDefault="002176C5">
            <w:pPr>
              <w:jc w:val="center"/>
            </w:pPr>
            <w:r>
              <w:rPr>
                <w:rFonts w:eastAsiaTheme="minorEastAsia"/>
                <w:kern w:val="0"/>
                <w:sz w:val="24"/>
                <w:szCs w:val="24"/>
              </w:rPr>
              <w:t>6</w:t>
            </w:r>
          </w:p>
        </w:tc>
        <w:tc>
          <w:tcPr>
            <w:tcW w:w="1276" w:type="dxa"/>
            <w:vAlign w:val="center"/>
          </w:tcPr>
          <w:p w:rsidR="0069411C" w:rsidRDefault="002176C5">
            <w:pPr>
              <w:jc w:val="center"/>
            </w:pPr>
            <w:r>
              <w:rPr>
                <w:rFonts w:eastAsiaTheme="minorEastAsia"/>
                <w:kern w:val="0"/>
                <w:sz w:val="24"/>
                <w:szCs w:val="24"/>
              </w:rPr>
              <w:t>002049</w:t>
            </w:r>
          </w:p>
        </w:tc>
        <w:tc>
          <w:tcPr>
            <w:tcW w:w="1701" w:type="dxa"/>
            <w:vAlign w:val="center"/>
          </w:tcPr>
          <w:p w:rsidR="0069411C" w:rsidRDefault="002176C5">
            <w:pPr>
              <w:jc w:val="center"/>
            </w:pPr>
            <w:r>
              <w:rPr>
                <w:rFonts w:eastAsiaTheme="minorEastAsia"/>
                <w:kern w:val="0"/>
                <w:sz w:val="24"/>
                <w:szCs w:val="24"/>
              </w:rPr>
              <w:t>紫光国微</w:t>
            </w:r>
          </w:p>
        </w:tc>
        <w:tc>
          <w:tcPr>
            <w:tcW w:w="1276" w:type="dxa"/>
            <w:vAlign w:val="center"/>
          </w:tcPr>
          <w:p w:rsidR="0069411C" w:rsidRDefault="002176C5">
            <w:pPr>
              <w:jc w:val="right"/>
            </w:pPr>
            <w:r>
              <w:rPr>
                <w:rFonts w:eastAsiaTheme="minorEastAsia"/>
                <w:kern w:val="0"/>
                <w:sz w:val="24"/>
                <w:szCs w:val="24"/>
              </w:rPr>
              <w:t>329,505.00</w:t>
            </w:r>
          </w:p>
        </w:tc>
        <w:tc>
          <w:tcPr>
            <w:tcW w:w="1842" w:type="dxa"/>
            <w:vAlign w:val="center"/>
          </w:tcPr>
          <w:p w:rsidR="0069411C" w:rsidRDefault="002176C5">
            <w:pPr>
              <w:jc w:val="right"/>
            </w:pPr>
            <w:r>
              <w:rPr>
                <w:rFonts w:eastAsiaTheme="minorEastAsia"/>
                <w:kern w:val="0"/>
                <w:sz w:val="24"/>
                <w:szCs w:val="24"/>
              </w:rPr>
              <w:t>74,138,625.00</w:t>
            </w:r>
          </w:p>
        </w:tc>
        <w:tc>
          <w:tcPr>
            <w:tcW w:w="1616" w:type="dxa"/>
            <w:vAlign w:val="center"/>
          </w:tcPr>
          <w:p w:rsidR="0069411C" w:rsidRDefault="002176C5">
            <w:pPr>
              <w:jc w:val="right"/>
            </w:pPr>
            <w:r>
              <w:rPr>
                <w:rFonts w:eastAsiaTheme="minorEastAsia"/>
                <w:kern w:val="0"/>
                <w:sz w:val="24"/>
                <w:szCs w:val="24"/>
              </w:rPr>
              <w:t>2.83</w:t>
            </w:r>
          </w:p>
        </w:tc>
      </w:tr>
      <w:tr w:rsidR="0069411C">
        <w:tc>
          <w:tcPr>
            <w:tcW w:w="817" w:type="dxa"/>
            <w:vAlign w:val="center"/>
          </w:tcPr>
          <w:p w:rsidR="0069411C" w:rsidRDefault="002176C5">
            <w:pPr>
              <w:jc w:val="center"/>
            </w:pPr>
            <w:r>
              <w:rPr>
                <w:rFonts w:eastAsiaTheme="minorEastAsia"/>
                <w:kern w:val="0"/>
                <w:sz w:val="24"/>
                <w:szCs w:val="24"/>
              </w:rPr>
              <w:lastRenderedPageBreak/>
              <w:t>7</w:t>
            </w:r>
          </w:p>
        </w:tc>
        <w:tc>
          <w:tcPr>
            <w:tcW w:w="1276" w:type="dxa"/>
            <w:vAlign w:val="center"/>
          </w:tcPr>
          <w:p w:rsidR="0069411C" w:rsidRDefault="002176C5">
            <w:pPr>
              <w:jc w:val="center"/>
            </w:pPr>
            <w:r>
              <w:rPr>
                <w:rFonts w:eastAsiaTheme="minorEastAsia"/>
                <w:kern w:val="0"/>
                <w:sz w:val="24"/>
                <w:szCs w:val="24"/>
              </w:rPr>
              <w:t>000858</w:t>
            </w:r>
          </w:p>
        </w:tc>
        <w:tc>
          <w:tcPr>
            <w:tcW w:w="1701" w:type="dxa"/>
            <w:vAlign w:val="center"/>
          </w:tcPr>
          <w:p w:rsidR="0069411C" w:rsidRDefault="002176C5">
            <w:pPr>
              <w:jc w:val="center"/>
            </w:pPr>
            <w:r>
              <w:rPr>
                <w:rFonts w:eastAsiaTheme="minorEastAsia"/>
                <w:kern w:val="0"/>
                <w:sz w:val="24"/>
                <w:szCs w:val="24"/>
              </w:rPr>
              <w:t>五</w:t>
            </w:r>
            <w:r>
              <w:rPr>
                <w:rFonts w:eastAsiaTheme="minorEastAsia"/>
                <w:kern w:val="0"/>
                <w:sz w:val="24"/>
                <w:szCs w:val="24"/>
              </w:rPr>
              <w:t xml:space="preserve"> </w:t>
            </w:r>
            <w:r>
              <w:rPr>
                <w:rFonts w:eastAsiaTheme="minorEastAsia"/>
                <w:kern w:val="0"/>
                <w:sz w:val="24"/>
                <w:szCs w:val="24"/>
              </w:rPr>
              <w:t>粮</w:t>
            </w:r>
            <w:r>
              <w:rPr>
                <w:rFonts w:eastAsiaTheme="minorEastAsia"/>
                <w:kern w:val="0"/>
                <w:sz w:val="24"/>
                <w:szCs w:val="24"/>
              </w:rPr>
              <w:t xml:space="preserve"> </w:t>
            </w:r>
            <w:r>
              <w:rPr>
                <w:rFonts w:eastAsiaTheme="minorEastAsia"/>
                <w:kern w:val="0"/>
                <w:sz w:val="24"/>
                <w:szCs w:val="24"/>
              </w:rPr>
              <w:t>液</w:t>
            </w:r>
          </w:p>
        </w:tc>
        <w:tc>
          <w:tcPr>
            <w:tcW w:w="1276" w:type="dxa"/>
            <w:vAlign w:val="center"/>
          </w:tcPr>
          <w:p w:rsidR="0069411C" w:rsidRDefault="002176C5">
            <w:pPr>
              <w:jc w:val="right"/>
            </w:pPr>
            <w:r>
              <w:rPr>
                <w:rFonts w:eastAsiaTheme="minorEastAsia"/>
                <w:kern w:val="0"/>
                <w:sz w:val="24"/>
                <w:szCs w:val="24"/>
              </w:rPr>
              <w:t>327,600.00</w:t>
            </w:r>
          </w:p>
        </w:tc>
        <w:tc>
          <w:tcPr>
            <w:tcW w:w="1842" w:type="dxa"/>
            <w:vAlign w:val="center"/>
          </w:tcPr>
          <w:p w:rsidR="0069411C" w:rsidRDefault="002176C5">
            <w:pPr>
              <w:jc w:val="right"/>
            </w:pPr>
            <w:r>
              <w:rPr>
                <w:rFonts w:eastAsiaTheme="minorEastAsia"/>
                <w:kern w:val="0"/>
                <w:sz w:val="24"/>
                <w:szCs w:val="24"/>
              </w:rPr>
              <w:t>72,943,416.00</w:t>
            </w:r>
          </w:p>
        </w:tc>
        <w:tc>
          <w:tcPr>
            <w:tcW w:w="1616" w:type="dxa"/>
            <w:vAlign w:val="center"/>
          </w:tcPr>
          <w:p w:rsidR="0069411C" w:rsidRDefault="002176C5">
            <w:pPr>
              <w:jc w:val="right"/>
            </w:pPr>
            <w:r>
              <w:rPr>
                <w:rFonts w:eastAsiaTheme="minorEastAsia"/>
                <w:kern w:val="0"/>
                <w:sz w:val="24"/>
                <w:szCs w:val="24"/>
              </w:rPr>
              <w:t>2.78</w:t>
            </w:r>
          </w:p>
        </w:tc>
      </w:tr>
      <w:tr w:rsidR="0069411C">
        <w:tc>
          <w:tcPr>
            <w:tcW w:w="817" w:type="dxa"/>
            <w:vAlign w:val="center"/>
          </w:tcPr>
          <w:p w:rsidR="0069411C" w:rsidRDefault="002176C5">
            <w:pPr>
              <w:jc w:val="center"/>
            </w:pPr>
            <w:r>
              <w:rPr>
                <w:rFonts w:eastAsiaTheme="minorEastAsia"/>
                <w:kern w:val="0"/>
                <w:sz w:val="24"/>
                <w:szCs w:val="24"/>
              </w:rPr>
              <w:t>8</w:t>
            </w:r>
          </w:p>
        </w:tc>
        <w:tc>
          <w:tcPr>
            <w:tcW w:w="1276" w:type="dxa"/>
            <w:vAlign w:val="center"/>
          </w:tcPr>
          <w:p w:rsidR="0069411C" w:rsidRDefault="002176C5">
            <w:pPr>
              <w:jc w:val="center"/>
            </w:pPr>
            <w:r>
              <w:rPr>
                <w:rFonts w:eastAsiaTheme="minorEastAsia"/>
                <w:kern w:val="0"/>
                <w:sz w:val="24"/>
                <w:szCs w:val="24"/>
              </w:rPr>
              <w:t>600399</w:t>
            </w:r>
          </w:p>
        </w:tc>
        <w:tc>
          <w:tcPr>
            <w:tcW w:w="1701" w:type="dxa"/>
            <w:vAlign w:val="center"/>
          </w:tcPr>
          <w:p w:rsidR="0069411C" w:rsidRDefault="002176C5">
            <w:pPr>
              <w:jc w:val="center"/>
            </w:pPr>
            <w:r>
              <w:rPr>
                <w:rFonts w:eastAsiaTheme="minorEastAsia"/>
                <w:kern w:val="0"/>
                <w:sz w:val="24"/>
                <w:szCs w:val="24"/>
              </w:rPr>
              <w:t>抚顺特钢</w:t>
            </w:r>
          </w:p>
        </w:tc>
        <w:tc>
          <w:tcPr>
            <w:tcW w:w="1276" w:type="dxa"/>
            <w:vAlign w:val="center"/>
          </w:tcPr>
          <w:p w:rsidR="0069411C" w:rsidRDefault="002176C5">
            <w:pPr>
              <w:jc w:val="right"/>
            </w:pPr>
            <w:r>
              <w:rPr>
                <w:rFonts w:eastAsiaTheme="minorEastAsia"/>
                <w:kern w:val="0"/>
                <w:sz w:val="24"/>
                <w:szCs w:val="24"/>
              </w:rPr>
              <w:t>2,674,244.00</w:t>
            </w:r>
          </w:p>
        </w:tc>
        <w:tc>
          <w:tcPr>
            <w:tcW w:w="1842" w:type="dxa"/>
            <w:vAlign w:val="center"/>
          </w:tcPr>
          <w:p w:rsidR="0069411C" w:rsidRDefault="002176C5">
            <w:pPr>
              <w:jc w:val="right"/>
            </w:pPr>
            <w:r>
              <w:rPr>
                <w:rFonts w:eastAsiaTheme="minorEastAsia"/>
                <w:kern w:val="0"/>
                <w:sz w:val="24"/>
                <w:szCs w:val="24"/>
              </w:rPr>
              <w:t>66,241,023.88</w:t>
            </w:r>
          </w:p>
        </w:tc>
        <w:tc>
          <w:tcPr>
            <w:tcW w:w="1616" w:type="dxa"/>
            <w:vAlign w:val="center"/>
          </w:tcPr>
          <w:p w:rsidR="0069411C" w:rsidRDefault="002176C5">
            <w:pPr>
              <w:jc w:val="right"/>
            </w:pPr>
            <w:r>
              <w:rPr>
                <w:rFonts w:eastAsiaTheme="minorEastAsia"/>
                <w:kern w:val="0"/>
                <w:sz w:val="24"/>
                <w:szCs w:val="24"/>
              </w:rPr>
              <w:t>2.53</w:t>
            </w:r>
          </w:p>
        </w:tc>
      </w:tr>
      <w:tr w:rsidR="0069411C">
        <w:tc>
          <w:tcPr>
            <w:tcW w:w="817" w:type="dxa"/>
            <w:vAlign w:val="center"/>
          </w:tcPr>
          <w:p w:rsidR="0069411C" w:rsidRDefault="002176C5">
            <w:pPr>
              <w:jc w:val="center"/>
            </w:pPr>
            <w:r>
              <w:rPr>
                <w:rFonts w:eastAsiaTheme="minorEastAsia"/>
                <w:kern w:val="0"/>
                <w:sz w:val="24"/>
                <w:szCs w:val="24"/>
              </w:rPr>
              <w:t>9</w:t>
            </w:r>
          </w:p>
        </w:tc>
        <w:tc>
          <w:tcPr>
            <w:tcW w:w="1276" w:type="dxa"/>
            <w:vAlign w:val="center"/>
          </w:tcPr>
          <w:p w:rsidR="0069411C" w:rsidRDefault="002176C5">
            <w:pPr>
              <w:jc w:val="center"/>
            </w:pPr>
            <w:r>
              <w:rPr>
                <w:rFonts w:eastAsiaTheme="minorEastAsia"/>
                <w:kern w:val="0"/>
                <w:sz w:val="24"/>
                <w:szCs w:val="24"/>
              </w:rPr>
              <w:t>600460</w:t>
            </w:r>
          </w:p>
        </w:tc>
        <w:tc>
          <w:tcPr>
            <w:tcW w:w="1701" w:type="dxa"/>
            <w:vAlign w:val="center"/>
          </w:tcPr>
          <w:p w:rsidR="0069411C" w:rsidRDefault="002176C5">
            <w:pPr>
              <w:jc w:val="center"/>
            </w:pPr>
            <w:r>
              <w:rPr>
                <w:rFonts w:eastAsiaTheme="minorEastAsia"/>
                <w:kern w:val="0"/>
                <w:sz w:val="24"/>
                <w:szCs w:val="24"/>
              </w:rPr>
              <w:t>士兰微</w:t>
            </w:r>
          </w:p>
        </w:tc>
        <w:tc>
          <w:tcPr>
            <w:tcW w:w="1276" w:type="dxa"/>
            <w:vAlign w:val="center"/>
          </w:tcPr>
          <w:p w:rsidR="0069411C" w:rsidRDefault="002176C5">
            <w:pPr>
              <w:jc w:val="right"/>
            </w:pPr>
            <w:r>
              <w:rPr>
                <w:rFonts w:eastAsiaTheme="minorEastAsia"/>
                <w:kern w:val="0"/>
                <w:sz w:val="24"/>
                <w:szCs w:val="24"/>
              </w:rPr>
              <w:t>1,085,608.00</w:t>
            </w:r>
          </w:p>
        </w:tc>
        <w:tc>
          <w:tcPr>
            <w:tcW w:w="1842" w:type="dxa"/>
            <w:vAlign w:val="center"/>
          </w:tcPr>
          <w:p w:rsidR="0069411C" w:rsidRDefault="002176C5">
            <w:pPr>
              <w:jc w:val="right"/>
            </w:pPr>
            <w:r>
              <w:rPr>
                <w:rFonts w:eastAsiaTheme="minorEastAsia"/>
                <w:kern w:val="0"/>
                <w:sz w:val="24"/>
                <w:szCs w:val="24"/>
              </w:rPr>
              <w:t>58,839,953.60</w:t>
            </w:r>
          </w:p>
        </w:tc>
        <w:tc>
          <w:tcPr>
            <w:tcW w:w="1616" w:type="dxa"/>
            <w:vAlign w:val="center"/>
          </w:tcPr>
          <w:p w:rsidR="0069411C" w:rsidRDefault="002176C5">
            <w:pPr>
              <w:jc w:val="right"/>
            </w:pPr>
            <w:r>
              <w:rPr>
                <w:rFonts w:eastAsiaTheme="minorEastAsia"/>
                <w:kern w:val="0"/>
                <w:sz w:val="24"/>
                <w:szCs w:val="24"/>
              </w:rPr>
              <w:t>2.24</w:t>
            </w:r>
          </w:p>
        </w:tc>
      </w:tr>
      <w:tr w:rsidR="0069411C">
        <w:tc>
          <w:tcPr>
            <w:tcW w:w="817" w:type="dxa"/>
            <w:vAlign w:val="center"/>
          </w:tcPr>
          <w:p w:rsidR="0069411C" w:rsidRDefault="002176C5">
            <w:pPr>
              <w:jc w:val="center"/>
            </w:pPr>
            <w:r>
              <w:rPr>
                <w:rFonts w:eastAsiaTheme="minorEastAsia"/>
                <w:kern w:val="0"/>
                <w:sz w:val="24"/>
                <w:szCs w:val="24"/>
              </w:rPr>
              <w:t>10</w:t>
            </w:r>
          </w:p>
        </w:tc>
        <w:tc>
          <w:tcPr>
            <w:tcW w:w="1276" w:type="dxa"/>
            <w:vAlign w:val="center"/>
          </w:tcPr>
          <w:p w:rsidR="0069411C" w:rsidRDefault="002176C5">
            <w:pPr>
              <w:jc w:val="center"/>
            </w:pPr>
            <w:r>
              <w:rPr>
                <w:rFonts w:eastAsiaTheme="minorEastAsia"/>
                <w:kern w:val="0"/>
                <w:sz w:val="24"/>
                <w:szCs w:val="24"/>
              </w:rPr>
              <w:t>000568</w:t>
            </w:r>
          </w:p>
        </w:tc>
        <w:tc>
          <w:tcPr>
            <w:tcW w:w="1701" w:type="dxa"/>
            <w:vAlign w:val="center"/>
          </w:tcPr>
          <w:p w:rsidR="0069411C" w:rsidRDefault="002176C5">
            <w:pPr>
              <w:jc w:val="center"/>
            </w:pPr>
            <w:r>
              <w:rPr>
                <w:rFonts w:eastAsiaTheme="minorEastAsia"/>
                <w:kern w:val="0"/>
                <w:sz w:val="24"/>
                <w:szCs w:val="24"/>
              </w:rPr>
              <w:t>泸州老窖</w:t>
            </w:r>
          </w:p>
        </w:tc>
        <w:tc>
          <w:tcPr>
            <w:tcW w:w="1276" w:type="dxa"/>
            <w:vAlign w:val="center"/>
          </w:tcPr>
          <w:p w:rsidR="0069411C" w:rsidRDefault="002176C5">
            <w:pPr>
              <w:jc w:val="right"/>
            </w:pPr>
            <w:r>
              <w:rPr>
                <w:rFonts w:eastAsiaTheme="minorEastAsia"/>
                <w:kern w:val="0"/>
                <w:sz w:val="24"/>
                <w:szCs w:val="24"/>
              </w:rPr>
              <w:t>231,600.00</w:t>
            </w:r>
          </w:p>
        </w:tc>
        <w:tc>
          <w:tcPr>
            <w:tcW w:w="1842" w:type="dxa"/>
            <w:vAlign w:val="center"/>
          </w:tcPr>
          <w:p w:rsidR="0069411C" w:rsidRDefault="002176C5">
            <w:pPr>
              <w:jc w:val="right"/>
            </w:pPr>
            <w:r>
              <w:rPr>
                <w:rFonts w:eastAsiaTheme="minorEastAsia"/>
                <w:kern w:val="0"/>
                <w:sz w:val="24"/>
                <w:szCs w:val="24"/>
              </w:rPr>
              <w:t>58,796,292.00</w:t>
            </w:r>
          </w:p>
        </w:tc>
        <w:tc>
          <w:tcPr>
            <w:tcW w:w="1616" w:type="dxa"/>
            <w:vAlign w:val="center"/>
          </w:tcPr>
          <w:p w:rsidR="0069411C" w:rsidRDefault="002176C5">
            <w:pPr>
              <w:jc w:val="right"/>
            </w:pPr>
            <w:r>
              <w:rPr>
                <w:rFonts w:eastAsiaTheme="minorEastAsia"/>
                <w:kern w:val="0"/>
                <w:sz w:val="24"/>
                <w:szCs w:val="24"/>
              </w:rPr>
              <w:t>2.24</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956,588.71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41,631,220.17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51,366.32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65,643.04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42,704,818.24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2,338,765,704.20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5,778,243.30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2,344,543,947.50</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中国证监会准予上投摩根慧见两年持有期混合型证券投资基金募集注册的文件</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上投摩根慧见两年持有期混合型证券投资基金基金合同</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上投摩根慧见两年持有期混合型证券投资基金托管协议</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69411C" w:rsidRDefault="002176C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二〇二二年一月二十四日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185F64" w:rsidRPr="00185F64">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185F64">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上投摩根慧见两年持有期混合型证券投资基金</w:t>
    </w:r>
    <w:r>
      <w:rPr>
        <w:rFonts w:hint="eastAsia"/>
      </w:rPr>
      <w:t>2021</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85F6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6C5"/>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11C"/>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775C2-27EC-483E-A6C4-47B35659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269</cp:revision>
  <dcterms:created xsi:type="dcterms:W3CDTF">2012-10-16T06:07:00Z</dcterms:created>
  <dcterms:modified xsi:type="dcterms:W3CDTF">2022-01-21T05:49:00Z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