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bookmarkStart w:id="0" w:name="_GoBack"/>
      <w:bookmarkEnd w:id="0"/>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上投摩根慧见两年持有期混合型证券投资基金</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2021</w:t>
      </w:r>
      <w:r w:rsidRPr="00FF6B9A">
        <w:rPr>
          <w:rFonts w:eastAsiaTheme="minorEastAsia"/>
          <w:b/>
          <w:color w:val="000000" w:themeColor="text1"/>
          <w:sz w:val="36"/>
          <w:szCs w:val="36"/>
        </w:rPr>
        <w:t>年第</w:t>
      </w:r>
      <w:r w:rsidRPr="00FF6B9A">
        <w:rPr>
          <w:rFonts w:eastAsiaTheme="minorEastAsia"/>
          <w:b/>
          <w:color w:val="000000" w:themeColor="text1"/>
          <w:sz w:val="36"/>
          <w:szCs w:val="36"/>
        </w:rPr>
        <w:t>3</w:t>
      </w:r>
      <w:r w:rsidRPr="00FF6B9A">
        <w:rPr>
          <w:rFonts w:eastAsiaTheme="minorEastAsia"/>
          <w:b/>
          <w:color w:val="000000" w:themeColor="text1"/>
          <w:sz w:val="36"/>
          <w:szCs w:val="36"/>
        </w:rPr>
        <w:t>季度报告</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2021</w:t>
      </w:r>
      <w:r w:rsidRPr="00FF6B9A">
        <w:rPr>
          <w:rFonts w:eastAsiaTheme="minorEastAsia"/>
          <w:b/>
          <w:color w:val="000000" w:themeColor="text1"/>
          <w:sz w:val="36"/>
          <w:szCs w:val="36"/>
        </w:rPr>
        <w:t>年</w:t>
      </w:r>
      <w:r w:rsidRPr="00FF6B9A">
        <w:rPr>
          <w:rFonts w:eastAsiaTheme="minorEastAsia"/>
          <w:b/>
          <w:color w:val="000000" w:themeColor="text1"/>
          <w:sz w:val="36"/>
          <w:szCs w:val="36"/>
        </w:rPr>
        <w:t>9</w:t>
      </w:r>
      <w:r w:rsidRPr="00FF6B9A">
        <w:rPr>
          <w:rFonts w:eastAsiaTheme="minorEastAsia"/>
          <w:b/>
          <w:color w:val="000000" w:themeColor="text1"/>
          <w:sz w:val="36"/>
          <w:szCs w:val="36"/>
        </w:rPr>
        <w:t>月</w:t>
      </w:r>
      <w:r w:rsidRPr="00FF6B9A">
        <w:rPr>
          <w:rFonts w:eastAsiaTheme="minorEastAsia"/>
          <w:b/>
          <w:color w:val="000000" w:themeColor="text1"/>
          <w:sz w:val="36"/>
          <w:szCs w:val="36"/>
        </w:rPr>
        <w:t>30</w:t>
      </w:r>
      <w:r w:rsidRPr="00FF6B9A">
        <w:rPr>
          <w:rFonts w:eastAsiaTheme="minorEastAsia"/>
          <w:b/>
          <w:color w:val="000000" w:themeColor="text1"/>
          <w:sz w:val="36"/>
          <w:szCs w:val="36"/>
        </w:rPr>
        <w:t>日</w:t>
      </w: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rPr>
          <w:rFonts w:eastAsiaTheme="minorEastAsia"/>
          <w:b/>
          <w:bCs/>
          <w:color w:val="000000" w:themeColor="text1"/>
          <w:sz w:val="24"/>
          <w:szCs w:val="24"/>
        </w:rPr>
      </w:pP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基金管理人：上投摩根基金管理有限公司</w:t>
      </w: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基金托管人：中国建设银行股份有限公司</w:t>
      </w:r>
    </w:p>
    <w:p w:rsidR="00D06738" w:rsidRPr="00FF6B9A" w:rsidRDefault="00454D20">
      <w:pPr>
        <w:spacing w:line="360" w:lineRule="auto"/>
        <w:ind w:firstLineChars="900" w:firstLine="2168"/>
        <w:rPr>
          <w:rFonts w:eastAsiaTheme="minorEastAsia"/>
          <w:b/>
          <w:color w:val="000000" w:themeColor="text1"/>
          <w:sz w:val="24"/>
          <w:szCs w:val="24"/>
        </w:rPr>
        <w:sectPr w:rsidR="00D06738" w:rsidRPr="00FF6B9A">
          <w:headerReference w:type="default" r:id="rId8"/>
          <w:footerReference w:type="default" r:id="rId9"/>
          <w:pgSz w:w="11926" w:h="15840"/>
          <w:pgMar w:top="1418" w:right="1418" w:bottom="851" w:left="1418" w:header="851" w:footer="992" w:gutter="0"/>
          <w:cols w:space="720"/>
        </w:sectPr>
      </w:pPr>
      <w:r w:rsidRPr="00FF6B9A">
        <w:rPr>
          <w:rFonts w:eastAsiaTheme="minorEastAsia"/>
          <w:b/>
          <w:color w:val="000000" w:themeColor="text1"/>
          <w:sz w:val="24"/>
          <w:szCs w:val="24"/>
        </w:rPr>
        <w:t>报告送出日期：二〇二一年十月二十七日</w:t>
      </w:r>
    </w:p>
    <w:p w:rsidR="00D06738" w:rsidRPr="00FF6B9A" w:rsidRDefault="00454D20">
      <w:pPr>
        <w:pStyle w:val="1"/>
        <w:spacing w:beforeLines="100" w:before="312" w:afterLines="100" w:after="312" w:line="360" w:lineRule="auto"/>
        <w:jc w:val="center"/>
        <w:rPr>
          <w:rFonts w:eastAsiaTheme="minorEastAsia"/>
          <w:b w:val="0"/>
          <w:bCs w:val="0"/>
          <w:color w:val="000000" w:themeColor="text1"/>
          <w:kern w:val="0"/>
          <w:sz w:val="24"/>
          <w:szCs w:val="24"/>
        </w:rPr>
      </w:pPr>
      <w:r w:rsidRPr="00FF6B9A">
        <w:rPr>
          <w:rFonts w:eastAsiaTheme="minorEastAsia"/>
          <w:color w:val="000000" w:themeColor="text1"/>
          <w:kern w:val="0"/>
          <w:sz w:val="24"/>
          <w:szCs w:val="24"/>
        </w:rPr>
        <w:lastRenderedPageBreak/>
        <w:t xml:space="preserve">§1  </w:t>
      </w:r>
      <w:r w:rsidRPr="00FF6B9A">
        <w:rPr>
          <w:rFonts w:eastAsiaTheme="minorEastAsia"/>
          <w:color w:val="000000" w:themeColor="text1"/>
          <w:kern w:val="0"/>
          <w:sz w:val="24"/>
          <w:szCs w:val="24"/>
        </w:rPr>
        <w:t>重要提示</w:t>
      </w:r>
    </w:p>
    <w:p w:rsidR="00E42102" w:rsidRDefault="00947A15">
      <w:pPr>
        <w:spacing w:line="360" w:lineRule="auto"/>
        <w:ind w:firstLineChars="200" w:firstLine="420"/>
        <w:rPr>
          <w:rFonts w:eastAsiaTheme="minorEastAsia"/>
          <w:color w:val="000000" w:themeColor="text1"/>
        </w:rPr>
      </w:pPr>
      <w:r>
        <w:rPr>
          <w:rFonts w:eastAsiaTheme="minorEastAsia"/>
          <w:color w:val="000000" w:themeColor="text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rPr>
        <w:t xml:space="preserve"> </w:t>
      </w:r>
    </w:p>
    <w:p w:rsidR="00E42102" w:rsidRDefault="00947A15">
      <w:pPr>
        <w:spacing w:line="360" w:lineRule="auto"/>
        <w:ind w:firstLineChars="200" w:firstLine="420"/>
        <w:rPr>
          <w:rFonts w:eastAsiaTheme="minorEastAsia"/>
          <w:color w:val="000000" w:themeColor="text1"/>
        </w:rPr>
      </w:pPr>
      <w:r>
        <w:rPr>
          <w:rFonts w:eastAsiaTheme="minorEastAsia"/>
          <w:color w:val="000000" w:themeColor="text1"/>
        </w:rPr>
        <w:t>基金托管人中国建设银行股份有限公司根据本基金合同规定，于</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10</w:t>
      </w:r>
      <w:r>
        <w:rPr>
          <w:rFonts w:eastAsiaTheme="minorEastAsia"/>
          <w:color w:val="000000" w:themeColor="text1"/>
        </w:rPr>
        <w:t>月</w:t>
      </w:r>
      <w:r>
        <w:rPr>
          <w:rFonts w:eastAsiaTheme="minorEastAsia"/>
          <w:color w:val="000000" w:themeColor="text1"/>
        </w:rPr>
        <w:t>26</w:t>
      </w:r>
      <w:r>
        <w:rPr>
          <w:rFonts w:eastAsiaTheme="minorEastAsia"/>
          <w:color w:val="000000" w:themeColor="text1"/>
        </w:rPr>
        <w:t>日复核了本报告中的财务指标、净值表现和投资组合报告等内容，保证复核内容不存在虚假记载、误导性陈述或者重大遗漏。</w:t>
      </w:r>
      <w:r>
        <w:rPr>
          <w:rFonts w:eastAsiaTheme="minorEastAsia"/>
          <w:color w:val="000000" w:themeColor="text1"/>
        </w:rPr>
        <w:t xml:space="preserve"> </w:t>
      </w:r>
    </w:p>
    <w:p w:rsidR="00E42102" w:rsidRDefault="00947A15">
      <w:pPr>
        <w:spacing w:line="360" w:lineRule="auto"/>
        <w:ind w:firstLineChars="200" w:firstLine="420"/>
        <w:rPr>
          <w:rFonts w:eastAsiaTheme="minorEastAsia"/>
          <w:color w:val="000000" w:themeColor="text1"/>
        </w:rPr>
      </w:pPr>
      <w:r>
        <w:rPr>
          <w:rFonts w:eastAsiaTheme="minorEastAsia"/>
          <w:color w:val="000000" w:themeColor="text1"/>
        </w:rPr>
        <w:t>基金管理人承诺以诚实信用、勤勉尽责的原则管理和运用基金资产，但不保证基金一定盈利。</w:t>
      </w:r>
      <w:r>
        <w:rPr>
          <w:rFonts w:eastAsiaTheme="minorEastAsia"/>
          <w:color w:val="000000" w:themeColor="text1"/>
        </w:rPr>
        <w:t xml:space="preserve"> </w:t>
      </w:r>
    </w:p>
    <w:p w:rsidR="00E42102" w:rsidRDefault="00947A15">
      <w:pPr>
        <w:spacing w:line="360" w:lineRule="auto"/>
        <w:ind w:firstLineChars="200" w:firstLine="420"/>
        <w:rPr>
          <w:rFonts w:eastAsiaTheme="minorEastAsia"/>
          <w:color w:val="000000" w:themeColor="text1"/>
        </w:rPr>
      </w:pPr>
      <w:r>
        <w:rPr>
          <w:rFonts w:eastAsiaTheme="minorEastAsia"/>
          <w:color w:val="000000" w:themeColor="text1"/>
        </w:rPr>
        <w:t>基金的过往业绩并不代表其未来表现。投资有风险，投资者在作出投资决策前应仔细阅读本基金的招募说明书。</w:t>
      </w:r>
      <w:r>
        <w:rPr>
          <w:rFonts w:eastAsiaTheme="minorEastAsia"/>
          <w:color w:val="000000" w:themeColor="text1"/>
        </w:rPr>
        <w:t xml:space="preserve"> </w:t>
      </w:r>
    </w:p>
    <w:p w:rsidR="00E42102" w:rsidRDefault="00947A15">
      <w:pPr>
        <w:spacing w:line="360" w:lineRule="auto"/>
        <w:ind w:firstLineChars="200" w:firstLine="420"/>
        <w:rPr>
          <w:rFonts w:eastAsiaTheme="minorEastAsia"/>
          <w:color w:val="000000" w:themeColor="text1"/>
        </w:rPr>
      </w:pPr>
      <w:r>
        <w:rPr>
          <w:rFonts w:eastAsiaTheme="minorEastAsia"/>
          <w:color w:val="000000" w:themeColor="text1"/>
        </w:rPr>
        <w:t>本报告中财务资料未经审计。</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本报告期自</w:t>
      </w: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7</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日起至</w:t>
      </w:r>
      <w:r w:rsidRPr="00FF6B9A">
        <w:rPr>
          <w:rFonts w:eastAsiaTheme="minorEastAsia"/>
          <w:color w:val="000000" w:themeColor="text1"/>
        </w:rPr>
        <w:t>9</w:t>
      </w:r>
      <w:r w:rsidRPr="00FF6B9A">
        <w:rPr>
          <w:rFonts w:eastAsiaTheme="minorEastAsia"/>
          <w:color w:val="000000" w:themeColor="text1"/>
        </w:rPr>
        <w:t>月</w:t>
      </w:r>
      <w:r w:rsidRPr="00FF6B9A">
        <w:rPr>
          <w:rFonts w:eastAsiaTheme="minorEastAsia"/>
          <w:color w:val="000000" w:themeColor="text1"/>
        </w:rPr>
        <w:t>30</w:t>
      </w:r>
      <w:r w:rsidRPr="00FF6B9A">
        <w:rPr>
          <w:rFonts w:eastAsiaTheme="minorEastAsia"/>
          <w:color w:val="000000" w:themeColor="text1"/>
        </w:rPr>
        <w:t>日止。</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§2  </w:t>
      </w:r>
      <w:r w:rsidRPr="00FF6B9A">
        <w:rPr>
          <w:rFonts w:eastAsiaTheme="minor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基金简称</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上投摩根慧见两年持有期混合</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009998</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009998</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基金运作方式</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契约型开放式</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基金合同生效日</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2020</w:t>
            </w:r>
            <w:r w:rsidRPr="00FF6B9A">
              <w:rPr>
                <w:rFonts w:eastAsiaTheme="minorEastAsia"/>
                <w:color w:val="000000" w:themeColor="text1"/>
                <w:kern w:val="0"/>
              </w:rPr>
              <w:t>年</w:t>
            </w:r>
            <w:r w:rsidRPr="00FF6B9A">
              <w:rPr>
                <w:rFonts w:eastAsiaTheme="minorEastAsia"/>
                <w:color w:val="000000" w:themeColor="text1"/>
                <w:kern w:val="0"/>
              </w:rPr>
              <w:t>9</w:t>
            </w:r>
            <w:r w:rsidRPr="00FF6B9A">
              <w:rPr>
                <w:rFonts w:eastAsiaTheme="minorEastAsia"/>
                <w:color w:val="000000" w:themeColor="text1"/>
                <w:kern w:val="0"/>
              </w:rPr>
              <w:t>月</w:t>
            </w:r>
            <w:r w:rsidRPr="00FF6B9A">
              <w:rPr>
                <w:rFonts w:eastAsiaTheme="minorEastAsia"/>
                <w:color w:val="000000" w:themeColor="text1"/>
                <w:kern w:val="0"/>
              </w:rPr>
              <w:t>17</w:t>
            </w:r>
            <w:r w:rsidRPr="00FF6B9A">
              <w:rPr>
                <w:rFonts w:eastAsiaTheme="minorEastAsia"/>
                <w:color w:val="000000" w:themeColor="text1"/>
                <w:kern w:val="0"/>
              </w:rPr>
              <w:t>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报告期末基金份额总额</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2,338,765,704.20</w:t>
            </w:r>
            <w:r w:rsidRPr="00FF6B9A">
              <w:rPr>
                <w:rFonts w:eastAsiaTheme="minorEastAsia"/>
                <w:color w:val="000000" w:themeColor="text1"/>
                <w:kern w:val="0"/>
              </w:rPr>
              <w:t>份</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投资目标</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采用定量及定性研究方法，通过自上而下资产配置与自下而上精选个股相结合，基于严格的风险控制，力争实现基金资产的长期增值。</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投资策略</w:t>
            </w:r>
          </w:p>
        </w:tc>
        <w:tc>
          <w:tcPr>
            <w:tcW w:w="5479" w:type="dxa"/>
            <w:vAlign w:val="center"/>
          </w:tcPr>
          <w:p w:rsidR="00E42102" w:rsidRDefault="00947A15">
            <w:pPr>
              <w:adjustRightInd w:val="0"/>
              <w:spacing w:before="29" w:line="360" w:lineRule="auto"/>
              <w:ind w:left="17"/>
              <w:rPr>
                <w:rFonts w:eastAsiaTheme="minorEastAsia"/>
                <w:color w:val="000000" w:themeColor="text1"/>
              </w:rPr>
            </w:pPr>
            <w:r>
              <w:rPr>
                <w:rFonts w:eastAsiaTheme="minorEastAsia"/>
                <w:color w:val="000000" w:themeColor="text1"/>
                <w:kern w:val="0"/>
              </w:rPr>
              <w:t>1</w:t>
            </w:r>
            <w:r>
              <w:rPr>
                <w:rFonts w:eastAsiaTheme="minorEastAsia"/>
                <w:color w:val="000000" w:themeColor="text1"/>
                <w:kern w:val="0"/>
              </w:rPr>
              <w:t>、资产配置策略</w:t>
            </w:r>
          </w:p>
          <w:p w:rsidR="00E42102" w:rsidRDefault="00947A15">
            <w:pPr>
              <w:adjustRightInd w:val="0"/>
              <w:spacing w:before="29" w:line="360" w:lineRule="auto"/>
              <w:ind w:left="17"/>
              <w:rPr>
                <w:rFonts w:eastAsiaTheme="minorEastAsia"/>
                <w:color w:val="000000" w:themeColor="text1"/>
              </w:rPr>
            </w:pPr>
            <w:r>
              <w:rPr>
                <w:rFonts w:eastAsiaTheme="minorEastAsia"/>
                <w:color w:val="000000" w:themeColor="text1"/>
                <w:kern w:val="0"/>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rPr>
              <w:t xml:space="preserve"> </w:t>
            </w:r>
            <w:r>
              <w:rPr>
                <w:rFonts w:eastAsiaTheme="minorEastAsia"/>
                <w:color w:val="000000" w:themeColor="text1"/>
                <w:kern w:val="0"/>
              </w:rPr>
              <w:lastRenderedPageBreak/>
              <w:t xml:space="preserve">GDP </w:t>
            </w:r>
            <w:r>
              <w:rPr>
                <w:rFonts w:eastAsiaTheme="minorEastAsia"/>
                <w:color w:val="000000" w:themeColor="text1"/>
                <w:kern w:val="0"/>
              </w:rPr>
              <w:t>增速、固定资产投资增速、净出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w:t>
            </w:r>
          </w:p>
          <w:p w:rsidR="00E42102" w:rsidRDefault="00947A15">
            <w:pPr>
              <w:adjustRightInd w:val="0"/>
              <w:spacing w:before="29" w:line="360" w:lineRule="auto"/>
              <w:ind w:left="17"/>
              <w:rPr>
                <w:rFonts w:eastAsiaTheme="minorEastAsia"/>
                <w:color w:val="000000" w:themeColor="text1"/>
              </w:rPr>
            </w:pPr>
            <w:r>
              <w:rPr>
                <w:rFonts w:eastAsiaTheme="minorEastAsia"/>
                <w:color w:val="000000" w:themeColor="text1"/>
                <w:kern w:val="0"/>
              </w:rPr>
              <w:t>2</w:t>
            </w:r>
            <w:r>
              <w:rPr>
                <w:rFonts w:eastAsiaTheme="minorEastAsia"/>
                <w:color w:val="000000" w:themeColor="text1"/>
                <w:kern w:val="0"/>
              </w:rPr>
              <w:t>、股票投资策略</w:t>
            </w:r>
          </w:p>
          <w:p w:rsidR="00E42102" w:rsidRDefault="00947A15">
            <w:pPr>
              <w:adjustRightInd w:val="0"/>
              <w:spacing w:before="29" w:line="360" w:lineRule="auto"/>
              <w:ind w:left="17"/>
              <w:rPr>
                <w:rFonts w:eastAsiaTheme="minorEastAsia"/>
                <w:color w:val="000000" w:themeColor="text1"/>
              </w:rPr>
            </w:pPr>
            <w:r>
              <w:rPr>
                <w:rFonts w:eastAsiaTheme="minorEastAsia"/>
                <w:color w:val="000000" w:themeColor="text1"/>
                <w:kern w:val="0"/>
              </w:rPr>
              <w:t>本基金坚持</w:t>
            </w:r>
            <w:r>
              <w:rPr>
                <w:rFonts w:eastAsiaTheme="minorEastAsia"/>
                <w:color w:val="000000" w:themeColor="text1"/>
                <w:kern w:val="0"/>
              </w:rPr>
              <w:t>“</w:t>
            </w:r>
            <w:r>
              <w:rPr>
                <w:rFonts w:eastAsiaTheme="minorEastAsia"/>
                <w:color w:val="000000" w:themeColor="text1"/>
                <w:kern w:val="0"/>
              </w:rPr>
              <w:t>成长与价值并重</w:t>
            </w:r>
            <w:r>
              <w:rPr>
                <w:rFonts w:eastAsiaTheme="minorEastAsia"/>
                <w:color w:val="000000" w:themeColor="text1"/>
                <w:kern w:val="0"/>
              </w:rPr>
              <w:t>”</w:t>
            </w:r>
            <w:r>
              <w:rPr>
                <w:rFonts w:eastAsiaTheme="minorEastAsia"/>
                <w:color w:val="000000" w:themeColor="text1"/>
                <w:kern w:val="0"/>
              </w:rPr>
              <w:t>的选股理念，依托基金管理人的研究平台，自上而下形成行业配置观点，选择中长期有较大发展空间的优势行业进行重点配置；同时自下而上形成个股配置观点，挖掘并灵活投资于各行业中最具有投资价值的上市公司；通过行业配置与个股选择，获取超越业绩比较基准的超额收益。</w:t>
            </w:r>
          </w:p>
          <w:p w:rsidR="00E42102" w:rsidRDefault="00947A15">
            <w:pPr>
              <w:adjustRightInd w:val="0"/>
              <w:spacing w:before="29" w:line="360" w:lineRule="auto"/>
              <w:ind w:left="17"/>
              <w:rPr>
                <w:rFonts w:eastAsiaTheme="minorEastAsia"/>
                <w:color w:val="000000" w:themeColor="text1"/>
              </w:rPr>
            </w:pPr>
            <w:r>
              <w:rPr>
                <w:rFonts w:eastAsiaTheme="minorEastAsia"/>
                <w:color w:val="000000" w:themeColor="text1"/>
                <w:kern w:val="0"/>
              </w:rPr>
              <w:t>3</w:t>
            </w:r>
            <w:r>
              <w:rPr>
                <w:rFonts w:eastAsiaTheme="minorEastAsia"/>
                <w:color w:val="000000" w:themeColor="text1"/>
                <w:kern w:val="0"/>
              </w:rPr>
              <w:t>、港股投资策略</w:t>
            </w:r>
          </w:p>
          <w:p w:rsidR="00E42102" w:rsidRDefault="00947A15">
            <w:pPr>
              <w:adjustRightInd w:val="0"/>
              <w:spacing w:before="29" w:line="360" w:lineRule="auto"/>
              <w:ind w:left="17"/>
              <w:rPr>
                <w:rFonts w:eastAsiaTheme="minorEastAsia"/>
                <w:color w:val="000000" w:themeColor="text1"/>
              </w:rPr>
            </w:pPr>
            <w:r>
              <w:rPr>
                <w:rFonts w:eastAsiaTheme="minorEastAsia"/>
                <w:color w:val="000000" w:themeColor="text1"/>
                <w:kern w:val="0"/>
              </w:rPr>
              <w:t>本基金可通过港股通机制投资于香港股票市场。对于港股投资，本基金将结合宏观基本面，包含资金流向等对香港上市公司进行初步判断，并结合产业趋势以及公司发展前景自下而上进行布局，从公司商业模式、产品创新及竞争力、主营业务收入来源和区域分布等多维度进行考量，挖掘优质企业。</w:t>
            </w:r>
          </w:p>
          <w:p w:rsidR="00E42102" w:rsidRDefault="00947A15">
            <w:pPr>
              <w:adjustRightInd w:val="0"/>
              <w:spacing w:before="29" w:line="360" w:lineRule="auto"/>
              <w:ind w:left="17"/>
              <w:rPr>
                <w:rFonts w:eastAsiaTheme="minorEastAsia"/>
                <w:color w:val="000000" w:themeColor="text1"/>
              </w:rPr>
            </w:pPr>
            <w:r>
              <w:rPr>
                <w:rFonts w:eastAsiaTheme="minorEastAsia"/>
                <w:color w:val="000000" w:themeColor="text1"/>
                <w:kern w:val="0"/>
              </w:rPr>
              <w:t>4</w:t>
            </w:r>
            <w:r>
              <w:rPr>
                <w:rFonts w:eastAsiaTheme="minorEastAsia"/>
                <w:color w:val="000000" w:themeColor="text1"/>
                <w:kern w:val="0"/>
              </w:rPr>
              <w:t>、债券投资策略</w:t>
            </w:r>
          </w:p>
          <w:p w:rsidR="00E42102" w:rsidRDefault="00947A15">
            <w:pPr>
              <w:adjustRightInd w:val="0"/>
              <w:spacing w:before="29" w:line="360" w:lineRule="auto"/>
              <w:ind w:left="17"/>
              <w:rPr>
                <w:rFonts w:eastAsiaTheme="minorEastAsia"/>
                <w:color w:val="000000" w:themeColor="text1"/>
              </w:rPr>
            </w:pPr>
            <w:r>
              <w:rPr>
                <w:rFonts w:eastAsiaTheme="minorEastAsia"/>
                <w:color w:val="000000" w:themeColor="text1"/>
                <w:kern w:val="0"/>
              </w:rPr>
              <w:t>本基金将在控制市场风险与流动性风险的前提下，根据对财政政策、货币政策的深入分析以及对宏观经济的持续跟踪，结合不同债券品种的到期收益率、流动性、市场规模等情况，灵活运用久期策略、期限结构配置策略、信用债策略、可转债策略等多种投资策略，实施积极主动的组合管理，并根据对债券收益率曲线形态、息差变化的预测，对债券组合进行动态调整。</w:t>
            </w:r>
          </w:p>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5</w:t>
            </w:r>
            <w:r w:rsidRPr="00FF6B9A">
              <w:rPr>
                <w:rFonts w:eastAsiaTheme="minorEastAsia"/>
                <w:color w:val="000000" w:themeColor="text1"/>
                <w:kern w:val="0"/>
              </w:rPr>
              <w:t>、其他投资策略：包括股指期货投资策略、资产支持证</w:t>
            </w:r>
            <w:r w:rsidRPr="00FF6B9A">
              <w:rPr>
                <w:rFonts w:eastAsiaTheme="minorEastAsia"/>
                <w:color w:val="000000" w:themeColor="text1"/>
                <w:kern w:val="0"/>
              </w:rPr>
              <w:lastRenderedPageBreak/>
              <w:t>券投资策略、股票期权投资策略、证券公司短期公司债券投资策略、存托凭证投资策略。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lastRenderedPageBreak/>
              <w:t>业绩比较基准</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中证</w:t>
            </w:r>
            <w:r w:rsidRPr="00FF6B9A">
              <w:rPr>
                <w:rFonts w:eastAsiaTheme="minorEastAsia"/>
                <w:color w:val="000000" w:themeColor="text1"/>
                <w:kern w:val="0"/>
              </w:rPr>
              <w:t>800</w:t>
            </w:r>
            <w:r w:rsidRPr="00FF6B9A">
              <w:rPr>
                <w:rFonts w:eastAsiaTheme="minorEastAsia"/>
                <w:color w:val="000000" w:themeColor="text1"/>
                <w:kern w:val="0"/>
              </w:rPr>
              <w:t>指数收益率</w:t>
            </w:r>
            <w:r w:rsidRPr="00FF6B9A">
              <w:rPr>
                <w:rFonts w:eastAsiaTheme="minorEastAsia"/>
                <w:color w:val="000000" w:themeColor="text1"/>
                <w:kern w:val="0"/>
              </w:rPr>
              <w:t>*70%+</w:t>
            </w:r>
            <w:r w:rsidRPr="00FF6B9A">
              <w:rPr>
                <w:rFonts w:eastAsiaTheme="minorEastAsia"/>
                <w:color w:val="000000" w:themeColor="text1"/>
                <w:kern w:val="0"/>
              </w:rPr>
              <w:t>中证港股通指数收益率</w:t>
            </w:r>
            <w:r w:rsidRPr="00FF6B9A">
              <w:rPr>
                <w:rFonts w:eastAsiaTheme="minorEastAsia"/>
                <w:color w:val="000000" w:themeColor="text1"/>
                <w:kern w:val="0"/>
              </w:rPr>
              <w:t>*10%+</w:t>
            </w:r>
            <w:r w:rsidRPr="00FF6B9A">
              <w:rPr>
                <w:rFonts w:eastAsiaTheme="minorEastAsia"/>
                <w:color w:val="000000" w:themeColor="text1"/>
                <w:kern w:val="0"/>
              </w:rPr>
              <w:t>上证国债指数收益率</w:t>
            </w:r>
            <w:r w:rsidRPr="00FF6B9A">
              <w:rPr>
                <w:rFonts w:eastAsiaTheme="minorEastAsia"/>
                <w:color w:val="000000" w:themeColor="text1"/>
                <w:kern w:val="0"/>
              </w:rPr>
              <w:t>*20%</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风险收益特征</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本基金属于混合型基金产品，预期风险和收益水平高于债券型基金和货币市场基金，低于股票型基金。</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基金管理人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上投摩根基金管理有限公司</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基金托管人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中国建设银行股份有限公司</w:t>
            </w:r>
          </w:p>
        </w:tc>
      </w:tr>
    </w:tbl>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§3  </w:t>
      </w:r>
      <w:r w:rsidRPr="00FF6B9A">
        <w:rPr>
          <w:rFonts w:eastAsiaTheme="minorEastAsia"/>
          <w:color w:val="000000" w:themeColor="text1"/>
          <w:kern w:val="0"/>
          <w:sz w:val="24"/>
          <w:szCs w:val="24"/>
        </w:rPr>
        <w:t>主要财务指标和基金净值表现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3.1 </w:t>
      </w:r>
      <w:r w:rsidRPr="00FF6B9A">
        <w:rPr>
          <w:rFonts w:eastAsiaTheme="minorEastAsia"/>
          <w:b/>
          <w:bCs/>
          <w:color w:val="000000" w:themeColor="text1"/>
          <w:kern w:val="0"/>
          <w:sz w:val="24"/>
          <w:szCs w:val="24"/>
        </w:rPr>
        <w:t>主要财务指标</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947A15" w:rsidRPr="00FF6B9A" w:rsidTr="00947A15">
        <w:tc>
          <w:tcPr>
            <w:tcW w:w="3402" w:type="dxa"/>
            <w:vAlign w:val="center"/>
          </w:tcPr>
          <w:p w:rsidR="00D06738" w:rsidRPr="00FF6B9A" w:rsidRDefault="00454D20">
            <w:pPr>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主要财务指标</w:t>
            </w:r>
          </w:p>
        </w:tc>
        <w:tc>
          <w:tcPr>
            <w:tcW w:w="4962" w:type="dxa"/>
            <w:vAlign w:val="center"/>
          </w:tcPr>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报告期</w:t>
            </w:r>
          </w:p>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7</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w:t>
            </w: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9</w:t>
            </w:r>
            <w:r w:rsidRPr="00FF6B9A">
              <w:rPr>
                <w:rFonts w:eastAsiaTheme="minorEastAsia"/>
                <w:color w:val="000000" w:themeColor="text1"/>
              </w:rPr>
              <w:t>月</w:t>
            </w:r>
            <w:r w:rsidRPr="00FF6B9A">
              <w:rPr>
                <w:rFonts w:eastAsiaTheme="minorEastAsia"/>
                <w:color w:val="000000" w:themeColor="text1"/>
              </w:rPr>
              <w:t>30</w:t>
            </w:r>
            <w:r w:rsidRPr="00FF6B9A">
              <w:rPr>
                <w:rFonts w:eastAsiaTheme="minorEastAsia"/>
                <w:color w:val="000000" w:themeColor="text1"/>
              </w:rPr>
              <w:t>日</w:t>
            </w:r>
            <w:r w:rsidRPr="00FF6B9A">
              <w:rPr>
                <w:rFonts w:eastAsiaTheme="minorEastAsia"/>
                <w:color w:val="000000" w:themeColor="text1"/>
              </w:rPr>
              <w:t>)</w:t>
            </w:r>
          </w:p>
        </w:tc>
      </w:tr>
      <w:tr w:rsidR="00947A15" w:rsidRPr="00FF6B9A" w:rsidTr="00947A15">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1.</w:t>
            </w:r>
            <w:r w:rsidRPr="00FF6B9A">
              <w:rPr>
                <w:rFonts w:eastAsiaTheme="minorEastAsia"/>
                <w:color w:val="000000" w:themeColor="text1"/>
                <w:kern w:val="0"/>
              </w:rPr>
              <w:t>本期已实现收益</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104,377,813.00</w:t>
            </w:r>
          </w:p>
        </w:tc>
      </w:tr>
      <w:tr w:rsidR="00947A15" w:rsidRPr="00FF6B9A" w:rsidTr="00947A15">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2.</w:t>
            </w:r>
            <w:r w:rsidRPr="00FF6B9A">
              <w:rPr>
                <w:rFonts w:eastAsiaTheme="minorEastAsia"/>
                <w:color w:val="000000" w:themeColor="text1"/>
                <w:kern w:val="0"/>
              </w:rPr>
              <w:t>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16,406,543.65</w:t>
            </w:r>
          </w:p>
        </w:tc>
      </w:tr>
      <w:tr w:rsidR="00947A15" w:rsidRPr="00FF6B9A" w:rsidTr="00947A15">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3.</w:t>
            </w:r>
            <w:r w:rsidRPr="00FF6B9A">
              <w:rPr>
                <w:rFonts w:eastAsiaTheme="minorEastAsia"/>
                <w:color w:val="000000" w:themeColor="text1"/>
                <w:kern w:val="0"/>
              </w:rPr>
              <w:t>加权平均基金份额本期利润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0.0070</w:t>
            </w:r>
          </w:p>
        </w:tc>
      </w:tr>
      <w:tr w:rsidR="00947A15" w:rsidRPr="00FF6B9A" w:rsidTr="00947A15">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4.</w:t>
            </w:r>
            <w:r w:rsidRPr="00FF6B9A">
              <w:rPr>
                <w:rFonts w:eastAsiaTheme="minorEastAsia"/>
                <w:color w:val="000000" w:themeColor="text1"/>
                <w:kern w:val="0"/>
              </w:rPr>
              <w:t>期末基金资产净值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2,661,943,482.32</w:t>
            </w:r>
          </w:p>
        </w:tc>
      </w:tr>
      <w:tr w:rsidR="00947A15" w:rsidRPr="00FF6B9A" w:rsidTr="00947A15">
        <w:trPr>
          <w:trHeight w:val="158"/>
        </w:trPr>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5.</w:t>
            </w:r>
            <w:r w:rsidRPr="00FF6B9A">
              <w:rPr>
                <w:rFonts w:eastAsiaTheme="minorEastAsia"/>
                <w:color w:val="000000" w:themeColor="text1"/>
                <w:kern w:val="0"/>
              </w:rPr>
              <w:t>期末基金份额净值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1.1382</w:t>
            </w:r>
          </w:p>
        </w:tc>
      </w:tr>
    </w:tbl>
    <w:p w:rsidR="00E42102" w:rsidRDefault="00947A15">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注：本期已实现收益指基金本期利息收入、投资收益、其他收入</w:t>
      </w:r>
      <w:r>
        <w:rPr>
          <w:rFonts w:eastAsiaTheme="minorEastAsia"/>
          <w:color w:val="000000" w:themeColor="text1"/>
        </w:rPr>
        <w:t>(</w:t>
      </w:r>
      <w:r>
        <w:rPr>
          <w:rFonts w:eastAsiaTheme="minorEastAsia"/>
          <w:color w:val="000000" w:themeColor="text1"/>
        </w:rPr>
        <w:t>不含公允价值变动收益</w:t>
      </w:r>
      <w:r>
        <w:rPr>
          <w:rFonts w:eastAsiaTheme="minorEastAsia"/>
          <w:color w:val="000000" w:themeColor="text1"/>
        </w:rPr>
        <w:t>)</w:t>
      </w:r>
      <w:r>
        <w:rPr>
          <w:rFonts w:eastAsiaTheme="minorEastAsia"/>
          <w:color w:val="000000" w:themeColor="text1"/>
        </w:rPr>
        <w:t>扣除相关费用后的余额，本期利润为本期已实现收益加上本期公允价值变动收益。</w:t>
      </w:r>
      <w:r>
        <w:rPr>
          <w:rFonts w:eastAsiaTheme="minorEastAsia"/>
          <w:color w:val="000000" w:themeColor="text1"/>
        </w:rPr>
        <w:t xml:space="preserve"> </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 </w:t>
      </w:r>
      <w:r w:rsidRPr="00FF6B9A">
        <w:rPr>
          <w:rFonts w:eastAsiaTheme="minorEastAsia"/>
          <w:b/>
          <w:bCs/>
          <w:color w:val="000000" w:themeColor="text1"/>
          <w:kern w:val="0"/>
          <w:sz w:val="24"/>
          <w:szCs w:val="24"/>
        </w:rPr>
        <w:t>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3.2.1 </w:t>
      </w:r>
      <w:r w:rsidRPr="00FF6B9A">
        <w:rPr>
          <w:rFonts w:eastAsiaTheme="minorEastAsia"/>
          <w:b/>
          <w:bCs/>
          <w:color w:val="000000" w:themeColor="text1"/>
          <w:kern w:val="0"/>
          <w:sz w:val="24"/>
          <w:szCs w:val="24"/>
        </w:rPr>
        <w:t>本报告期基金份额净值增长率及其与同期业绩比较基准收益率的比较</w:t>
      </w:r>
    </w:p>
    <w:tbl>
      <w:tblPr>
        <w:tblStyle w:val="aff4"/>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D06738" w:rsidRPr="00FF6B9A">
        <w:tc>
          <w:tcPr>
            <w:tcW w:w="139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阶段</w:t>
            </w:r>
          </w:p>
        </w:tc>
        <w:tc>
          <w:tcPr>
            <w:tcW w:w="1092"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w:t>
            </w:r>
            <w:r w:rsidRPr="00FF6B9A">
              <w:rPr>
                <w:rFonts w:ascii="宋体" w:hAnsi="宋体" w:cs="宋体" w:hint="eastAsia"/>
                <w:color w:val="000000" w:themeColor="text1"/>
                <w:kern w:val="0"/>
              </w:rPr>
              <w:t>①</w:t>
            </w:r>
          </w:p>
        </w:tc>
        <w:tc>
          <w:tcPr>
            <w:tcW w:w="116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净值增长率标准差</w:t>
            </w:r>
            <w:r w:rsidRPr="00FF6B9A">
              <w:rPr>
                <w:rFonts w:ascii="宋体" w:hAnsi="宋体" w:cs="宋体" w:hint="eastAsia"/>
                <w:color w:val="000000" w:themeColor="text1"/>
                <w:kern w:val="0"/>
              </w:rPr>
              <w:lastRenderedPageBreak/>
              <w:t>②</w:t>
            </w:r>
          </w:p>
        </w:tc>
        <w:tc>
          <w:tcPr>
            <w:tcW w:w="118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lastRenderedPageBreak/>
              <w:t>业绩比较基准收益</w:t>
            </w:r>
            <w:r w:rsidRPr="00FF6B9A">
              <w:rPr>
                <w:rFonts w:eastAsiaTheme="minorEastAsia"/>
                <w:color w:val="000000" w:themeColor="text1"/>
                <w:kern w:val="0"/>
              </w:rPr>
              <w:lastRenderedPageBreak/>
              <w:t>率</w:t>
            </w:r>
            <w:r w:rsidRPr="00FF6B9A">
              <w:rPr>
                <w:rFonts w:ascii="宋体" w:hAnsi="宋体" w:cs="宋体" w:hint="eastAsia"/>
                <w:color w:val="000000" w:themeColor="text1"/>
                <w:kern w:val="0"/>
              </w:rPr>
              <w:t>③</w:t>
            </w:r>
          </w:p>
        </w:tc>
        <w:tc>
          <w:tcPr>
            <w:tcW w:w="118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lastRenderedPageBreak/>
              <w:t>业绩比较基准收益</w:t>
            </w:r>
            <w:r w:rsidRPr="00FF6B9A">
              <w:rPr>
                <w:rFonts w:eastAsiaTheme="minorEastAsia"/>
                <w:color w:val="000000" w:themeColor="text1"/>
                <w:kern w:val="0"/>
              </w:rPr>
              <w:lastRenderedPageBreak/>
              <w:t>率标准差</w:t>
            </w:r>
            <w:r w:rsidRPr="00FF6B9A">
              <w:rPr>
                <w:rFonts w:ascii="宋体" w:hAnsi="宋体" w:cs="宋体" w:hint="eastAsia"/>
                <w:color w:val="000000" w:themeColor="text1"/>
                <w:kern w:val="0"/>
              </w:rPr>
              <w:t>④</w:t>
            </w:r>
          </w:p>
        </w:tc>
        <w:tc>
          <w:tcPr>
            <w:tcW w:w="119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lastRenderedPageBreak/>
              <w:t>①</w:t>
            </w:r>
            <w:r w:rsidRPr="00FF6B9A">
              <w:rPr>
                <w:rFonts w:eastAsiaTheme="minorEastAsia"/>
                <w:color w:val="000000" w:themeColor="text1"/>
                <w:kern w:val="0"/>
              </w:rPr>
              <w:t>-</w:t>
            </w:r>
            <w:r w:rsidRPr="00FF6B9A">
              <w:rPr>
                <w:rFonts w:ascii="宋体" w:hAnsi="宋体" w:cs="宋体" w:hint="eastAsia"/>
                <w:color w:val="000000" w:themeColor="text1"/>
                <w:kern w:val="0"/>
              </w:rPr>
              <w:t>③</w:t>
            </w:r>
          </w:p>
        </w:tc>
        <w:tc>
          <w:tcPr>
            <w:tcW w:w="1204"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②</w:t>
            </w:r>
            <w:r w:rsidRPr="00FF6B9A">
              <w:rPr>
                <w:rFonts w:eastAsiaTheme="minorEastAsia"/>
                <w:color w:val="000000" w:themeColor="text1"/>
                <w:kern w:val="0"/>
              </w:rPr>
              <w:t>-</w:t>
            </w:r>
            <w:r w:rsidRPr="00FF6B9A">
              <w:rPr>
                <w:rFonts w:ascii="宋体" w:hAnsi="宋体" w:cs="宋体" w:hint="eastAsia"/>
                <w:color w:val="000000" w:themeColor="text1"/>
                <w:kern w:val="0"/>
              </w:rPr>
              <w:t>④</w:t>
            </w:r>
          </w:p>
        </w:tc>
      </w:tr>
      <w:tr w:rsidR="00E42102">
        <w:tc>
          <w:tcPr>
            <w:tcW w:w="1395" w:type="dxa"/>
            <w:vAlign w:val="center"/>
          </w:tcPr>
          <w:p w:rsidR="00E42102" w:rsidRDefault="00947A15">
            <w:pPr>
              <w:jc w:val="left"/>
            </w:pPr>
            <w:r>
              <w:rPr>
                <w:rFonts w:eastAsiaTheme="minorEastAsia"/>
                <w:color w:val="000000" w:themeColor="text1"/>
                <w:kern w:val="0"/>
              </w:rPr>
              <w:t>过去三个月</w:t>
            </w:r>
          </w:p>
        </w:tc>
        <w:tc>
          <w:tcPr>
            <w:tcW w:w="1092" w:type="dxa"/>
            <w:vAlign w:val="center"/>
          </w:tcPr>
          <w:p w:rsidR="00E42102" w:rsidRDefault="00947A15">
            <w:pPr>
              <w:jc w:val="center"/>
            </w:pPr>
            <w:r>
              <w:rPr>
                <w:rFonts w:eastAsiaTheme="minorEastAsia"/>
                <w:color w:val="000000" w:themeColor="text1"/>
                <w:kern w:val="0"/>
              </w:rPr>
              <w:t>0.62%</w:t>
            </w:r>
          </w:p>
        </w:tc>
        <w:tc>
          <w:tcPr>
            <w:tcW w:w="1161" w:type="dxa"/>
            <w:vAlign w:val="center"/>
          </w:tcPr>
          <w:p w:rsidR="00E42102" w:rsidRDefault="00947A15">
            <w:pPr>
              <w:jc w:val="center"/>
            </w:pPr>
            <w:r>
              <w:rPr>
                <w:rFonts w:eastAsiaTheme="minorEastAsia"/>
                <w:color w:val="000000" w:themeColor="text1"/>
                <w:kern w:val="0"/>
              </w:rPr>
              <w:t>2.00%</w:t>
            </w:r>
          </w:p>
        </w:tc>
        <w:tc>
          <w:tcPr>
            <w:tcW w:w="1181" w:type="dxa"/>
            <w:vAlign w:val="center"/>
          </w:tcPr>
          <w:p w:rsidR="00E42102" w:rsidRDefault="00947A15">
            <w:pPr>
              <w:jc w:val="center"/>
            </w:pPr>
            <w:r>
              <w:rPr>
                <w:rFonts w:eastAsiaTheme="minorEastAsia"/>
                <w:color w:val="000000" w:themeColor="text1"/>
                <w:kern w:val="0"/>
              </w:rPr>
              <w:t>-4.10%</w:t>
            </w:r>
          </w:p>
        </w:tc>
        <w:tc>
          <w:tcPr>
            <w:tcW w:w="1188" w:type="dxa"/>
            <w:vAlign w:val="center"/>
          </w:tcPr>
          <w:p w:rsidR="00E42102" w:rsidRDefault="00947A15">
            <w:pPr>
              <w:jc w:val="center"/>
            </w:pPr>
            <w:r>
              <w:rPr>
                <w:rFonts w:eastAsiaTheme="minorEastAsia"/>
                <w:color w:val="000000" w:themeColor="text1"/>
                <w:kern w:val="0"/>
              </w:rPr>
              <w:t>0.89%</w:t>
            </w:r>
          </w:p>
        </w:tc>
        <w:tc>
          <w:tcPr>
            <w:tcW w:w="1199" w:type="dxa"/>
            <w:vAlign w:val="center"/>
          </w:tcPr>
          <w:p w:rsidR="00E42102" w:rsidRDefault="00947A15">
            <w:pPr>
              <w:jc w:val="center"/>
            </w:pPr>
            <w:r>
              <w:rPr>
                <w:rFonts w:eastAsiaTheme="minorEastAsia"/>
                <w:color w:val="000000" w:themeColor="text1"/>
                <w:kern w:val="0"/>
              </w:rPr>
              <w:t>4.72%</w:t>
            </w:r>
          </w:p>
        </w:tc>
        <w:tc>
          <w:tcPr>
            <w:tcW w:w="1204" w:type="dxa"/>
            <w:vAlign w:val="center"/>
          </w:tcPr>
          <w:p w:rsidR="00E42102" w:rsidRDefault="00947A15">
            <w:pPr>
              <w:jc w:val="center"/>
            </w:pPr>
            <w:r>
              <w:rPr>
                <w:rFonts w:eastAsiaTheme="minorEastAsia"/>
                <w:color w:val="000000" w:themeColor="text1"/>
                <w:kern w:val="0"/>
              </w:rPr>
              <w:t>1.11%</w:t>
            </w:r>
          </w:p>
        </w:tc>
      </w:tr>
      <w:tr w:rsidR="00E42102">
        <w:tc>
          <w:tcPr>
            <w:tcW w:w="1395" w:type="dxa"/>
            <w:vAlign w:val="center"/>
          </w:tcPr>
          <w:p w:rsidR="00E42102" w:rsidRDefault="00947A15">
            <w:pPr>
              <w:jc w:val="left"/>
            </w:pPr>
            <w:r>
              <w:rPr>
                <w:rFonts w:eastAsiaTheme="minorEastAsia"/>
                <w:color w:val="000000" w:themeColor="text1"/>
                <w:kern w:val="0"/>
              </w:rPr>
              <w:t>过去六个月</w:t>
            </w:r>
          </w:p>
        </w:tc>
        <w:tc>
          <w:tcPr>
            <w:tcW w:w="1092" w:type="dxa"/>
            <w:vAlign w:val="center"/>
          </w:tcPr>
          <w:p w:rsidR="00E42102" w:rsidRDefault="00947A15">
            <w:pPr>
              <w:jc w:val="center"/>
            </w:pPr>
            <w:r>
              <w:rPr>
                <w:rFonts w:eastAsiaTheme="minorEastAsia"/>
                <w:color w:val="000000" w:themeColor="text1"/>
                <w:kern w:val="0"/>
              </w:rPr>
              <w:t>8.53%</w:t>
            </w:r>
          </w:p>
        </w:tc>
        <w:tc>
          <w:tcPr>
            <w:tcW w:w="1161" w:type="dxa"/>
            <w:vAlign w:val="center"/>
          </w:tcPr>
          <w:p w:rsidR="00E42102" w:rsidRDefault="00947A15">
            <w:pPr>
              <w:jc w:val="center"/>
            </w:pPr>
            <w:r>
              <w:rPr>
                <w:rFonts w:eastAsiaTheme="minorEastAsia"/>
                <w:color w:val="000000" w:themeColor="text1"/>
                <w:kern w:val="0"/>
              </w:rPr>
              <w:t>1.59%</w:t>
            </w:r>
          </w:p>
        </w:tc>
        <w:tc>
          <w:tcPr>
            <w:tcW w:w="1181" w:type="dxa"/>
            <w:vAlign w:val="center"/>
          </w:tcPr>
          <w:p w:rsidR="00E42102" w:rsidRDefault="00947A15">
            <w:pPr>
              <w:jc w:val="center"/>
            </w:pPr>
            <w:r>
              <w:rPr>
                <w:rFonts w:eastAsiaTheme="minorEastAsia"/>
                <w:color w:val="000000" w:themeColor="text1"/>
                <w:kern w:val="0"/>
              </w:rPr>
              <w:t>-0.74%</w:t>
            </w:r>
          </w:p>
        </w:tc>
        <w:tc>
          <w:tcPr>
            <w:tcW w:w="1188" w:type="dxa"/>
            <w:vAlign w:val="center"/>
          </w:tcPr>
          <w:p w:rsidR="00E42102" w:rsidRDefault="00947A15">
            <w:pPr>
              <w:jc w:val="center"/>
            </w:pPr>
            <w:r>
              <w:rPr>
                <w:rFonts w:eastAsiaTheme="minorEastAsia"/>
                <w:color w:val="000000" w:themeColor="text1"/>
                <w:kern w:val="0"/>
              </w:rPr>
              <w:t>0.79%</w:t>
            </w:r>
          </w:p>
        </w:tc>
        <w:tc>
          <w:tcPr>
            <w:tcW w:w="1199" w:type="dxa"/>
            <w:vAlign w:val="center"/>
          </w:tcPr>
          <w:p w:rsidR="00E42102" w:rsidRDefault="00947A15">
            <w:pPr>
              <w:jc w:val="center"/>
            </w:pPr>
            <w:r>
              <w:rPr>
                <w:rFonts w:eastAsiaTheme="minorEastAsia"/>
                <w:color w:val="000000" w:themeColor="text1"/>
                <w:kern w:val="0"/>
              </w:rPr>
              <w:t>9.27%</w:t>
            </w:r>
          </w:p>
        </w:tc>
        <w:tc>
          <w:tcPr>
            <w:tcW w:w="1204" w:type="dxa"/>
            <w:vAlign w:val="center"/>
          </w:tcPr>
          <w:p w:rsidR="00E42102" w:rsidRDefault="00947A15">
            <w:pPr>
              <w:jc w:val="center"/>
            </w:pPr>
            <w:r>
              <w:rPr>
                <w:rFonts w:eastAsiaTheme="minorEastAsia"/>
                <w:color w:val="000000" w:themeColor="text1"/>
                <w:kern w:val="0"/>
              </w:rPr>
              <w:t>0.80%</w:t>
            </w:r>
          </w:p>
        </w:tc>
      </w:tr>
      <w:tr w:rsidR="00E42102">
        <w:tc>
          <w:tcPr>
            <w:tcW w:w="1395" w:type="dxa"/>
            <w:vAlign w:val="center"/>
          </w:tcPr>
          <w:p w:rsidR="00E42102" w:rsidRDefault="00947A15">
            <w:pPr>
              <w:jc w:val="left"/>
            </w:pPr>
            <w:r>
              <w:rPr>
                <w:rFonts w:eastAsiaTheme="minorEastAsia"/>
                <w:color w:val="000000" w:themeColor="text1"/>
                <w:kern w:val="0"/>
              </w:rPr>
              <w:t>过去一年</w:t>
            </w:r>
          </w:p>
        </w:tc>
        <w:tc>
          <w:tcPr>
            <w:tcW w:w="1092" w:type="dxa"/>
            <w:vAlign w:val="center"/>
          </w:tcPr>
          <w:p w:rsidR="00E42102" w:rsidRDefault="00947A15">
            <w:pPr>
              <w:jc w:val="center"/>
            </w:pPr>
            <w:r>
              <w:rPr>
                <w:rFonts w:eastAsiaTheme="minorEastAsia"/>
                <w:color w:val="000000" w:themeColor="text1"/>
                <w:kern w:val="0"/>
              </w:rPr>
              <w:t>13.59%</w:t>
            </w:r>
          </w:p>
        </w:tc>
        <w:tc>
          <w:tcPr>
            <w:tcW w:w="1161" w:type="dxa"/>
            <w:vAlign w:val="center"/>
          </w:tcPr>
          <w:p w:rsidR="00E42102" w:rsidRDefault="00947A15">
            <w:pPr>
              <w:jc w:val="center"/>
            </w:pPr>
            <w:r>
              <w:rPr>
                <w:rFonts w:eastAsiaTheme="minorEastAsia"/>
                <w:color w:val="000000" w:themeColor="text1"/>
                <w:kern w:val="0"/>
              </w:rPr>
              <w:t>1.59%</w:t>
            </w:r>
          </w:p>
        </w:tc>
        <w:tc>
          <w:tcPr>
            <w:tcW w:w="1181" w:type="dxa"/>
            <w:vAlign w:val="center"/>
          </w:tcPr>
          <w:p w:rsidR="00E42102" w:rsidRDefault="00947A15">
            <w:pPr>
              <w:jc w:val="center"/>
            </w:pPr>
            <w:r>
              <w:rPr>
                <w:rFonts w:eastAsiaTheme="minorEastAsia"/>
                <w:color w:val="000000" w:themeColor="text1"/>
                <w:kern w:val="0"/>
              </w:rPr>
              <w:t>6.59%</w:t>
            </w:r>
          </w:p>
        </w:tc>
        <w:tc>
          <w:tcPr>
            <w:tcW w:w="1188" w:type="dxa"/>
            <w:vAlign w:val="center"/>
          </w:tcPr>
          <w:p w:rsidR="00E42102" w:rsidRDefault="00947A15">
            <w:pPr>
              <w:jc w:val="center"/>
            </w:pPr>
            <w:r>
              <w:rPr>
                <w:rFonts w:eastAsiaTheme="minorEastAsia"/>
                <w:color w:val="000000" w:themeColor="text1"/>
                <w:kern w:val="0"/>
              </w:rPr>
              <w:t>0.89%</w:t>
            </w:r>
          </w:p>
        </w:tc>
        <w:tc>
          <w:tcPr>
            <w:tcW w:w="1199" w:type="dxa"/>
            <w:vAlign w:val="center"/>
          </w:tcPr>
          <w:p w:rsidR="00E42102" w:rsidRDefault="00947A15">
            <w:pPr>
              <w:jc w:val="center"/>
            </w:pPr>
            <w:r>
              <w:rPr>
                <w:rFonts w:eastAsiaTheme="minorEastAsia"/>
                <w:color w:val="000000" w:themeColor="text1"/>
                <w:kern w:val="0"/>
              </w:rPr>
              <w:t>7.00%</w:t>
            </w:r>
          </w:p>
        </w:tc>
        <w:tc>
          <w:tcPr>
            <w:tcW w:w="1204" w:type="dxa"/>
            <w:vAlign w:val="center"/>
          </w:tcPr>
          <w:p w:rsidR="00E42102" w:rsidRDefault="00947A15">
            <w:pPr>
              <w:jc w:val="center"/>
            </w:pPr>
            <w:r>
              <w:rPr>
                <w:rFonts w:eastAsiaTheme="minorEastAsia"/>
                <w:color w:val="000000" w:themeColor="text1"/>
                <w:kern w:val="0"/>
              </w:rPr>
              <w:t>0.70%</w:t>
            </w:r>
          </w:p>
        </w:tc>
      </w:tr>
      <w:tr w:rsidR="00E42102">
        <w:tc>
          <w:tcPr>
            <w:tcW w:w="1395" w:type="dxa"/>
            <w:vAlign w:val="center"/>
          </w:tcPr>
          <w:p w:rsidR="00E42102" w:rsidRDefault="00947A15">
            <w:pPr>
              <w:jc w:val="left"/>
            </w:pPr>
            <w:r>
              <w:rPr>
                <w:rFonts w:eastAsiaTheme="minorEastAsia"/>
                <w:color w:val="000000" w:themeColor="text1"/>
                <w:kern w:val="0"/>
              </w:rPr>
              <w:t>过去三年</w:t>
            </w:r>
          </w:p>
        </w:tc>
        <w:tc>
          <w:tcPr>
            <w:tcW w:w="1092" w:type="dxa"/>
            <w:vAlign w:val="center"/>
          </w:tcPr>
          <w:p w:rsidR="00E42102" w:rsidRDefault="00947A15">
            <w:pPr>
              <w:jc w:val="center"/>
            </w:pPr>
            <w:r>
              <w:rPr>
                <w:rFonts w:eastAsiaTheme="minorEastAsia"/>
                <w:color w:val="000000" w:themeColor="text1"/>
                <w:kern w:val="0"/>
              </w:rPr>
              <w:t>-</w:t>
            </w:r>
          </w:p>
        </w:tc>
        <w:tc>
          <w:tcPr>
            <w:tcW w:w="1161" w:type="dxa"/>
            <w:vAlign w:val="center"/>
          </w:tcPr>
          <w:p w:rsidR="00E42102" w:rsidRDefault="00947A15">
            <w:pPr>
              <w:jc w:val="center"/>
            </w:pPr>
            <w:r>
              <w:rPr>
                <w:rFonts w:eastAsiaTheme="minorEastAsia"/>
                <w:color w:val="000000" w:themeColor="text1"/>
                <w:kern w:val="0"/>
              </w:rPr>
              <w:t>-</w:t>
            </w:r>
          </w:p>
        </w:tc>
        <w:tc>
          <w:tcPr>
            <w:tcW w:w="1181" w:type="dxa"/>
            <w:vAlign w:val="center"/>
          </w:tcPr>
          <w:p w:rsidR="00E42102" w:rsidRDefault="00947A15">
            <w:pPr>
              <w:jc w:val="center"/>
            </w:pPr>
            <w:r>
              <w:rPr>
                <w:rFonts w:eastAsiaTheme="minorEastAsia"/>
                <w:color w:val="000000" w:themeColor="text1"/>
                <w:kern w:val="0"/>
              </w:rPr>
              <w:t>-</w:t>
            </w:r>
          </w:p>
        </w:tc>
        <w:tc>
          <w:tcPr>
            <w:tcW w:w="1188" w:type="dxa"/>
            <w:vAlign w:val="center"/>
          </w:tcPr>
          <w:p w:rsidR="00E42102" w:rsidRDefault="00947A15">
            <w:pPr>
              <w:jc w:val="center"/>
            </w:pPr>
            <w:r>
              <w:rPr>
                <w:rFonts w:eastAsiaTheme="minorEastAsia"/>
                <w:color w:val="000000" w:themeColor="text1"/>
                <w:kern w:val="0"/>
              </w:rPr>
              <w:t>-</w:t>
            </w:r>
          </w:p>
        </w:tc>
        <w:tc>
          <w:tcPr>
            <w:tcW w:w="1199" w:type="dxa"/>
            <w:vAlign w:val="center"/>
          </w:tcPr>
          <w:p w:rsidR="00E42102" w:rsidRDefault="00947A15">
            <w:pPr>
              <w:jc w:val="center"/>
            </w:pPr>
            <w:r>
              <w:rPr>
                <w:rFonts w:eastAsiaTheme="minorEastAsia"/>
                <w:color w:val="000000" w:themeColor="text1"/>
                <w:kern w:val="0"/>
              </w:rPr>
              <w:t>-</w:t>
            </w:r>
          </w:p>
        </w:tc>
        <w:tc>
          <w:tcPr>
            <w:tcW w:w="1204" w:type="dxa"/>
            <w:vAlign w:val="center"/>
          </w:tcPr>
          <w:p w:rsidR="00E42102" w:rsidRDefault="00947A15">
            <w:pPr>
              <w:jc w:val="center"/>
            </w:pPr>
            <w:r>
              <w:rPr>
                <w:rFonts w:eastAsiaTheme="minorEastAsia"/>
                <w:color w:val="000000" w:themeColor="text1"/>
                <w:kern w:val="0"/>
              </w:rPr>
              <w:t>-</w:t>
            </w:r>
          </w:p>
        </w:tc>
      </w:tr>
      <w:tr w:rsidR="00E42102">
        <w:tc>
          <w:tcPr>
            <w:tcW w:w="1395" w:type="dxa"/>
            <w:vAlign w:val="center"/>
          </w:tcPr>
          <w:p w:rsidR="00E42102" w:rsidRDefault="00947A15">
            <w:pPr>
              <w:jc w:val="left"/>
            </w:pPr>
            <w:r>
              <w:rPr>
                <w:rFonts w:eastAsiaTheme="minorEastAsia"/>
                <w:color w:val="000000" w:themeColor="text1"/>
                <w:kern w:val="0"/>
              </w:rPr>
              <w:t>过去五年</w:t>
            </w:r>
          </w:p>
        </w:tc>
        <w:tc>
          <w:tcPr>
            <w:tcW w:w="1092" w:type="dxa"/>
            <w:vAlign w:val="center"/>
          </w:tcPr>
          <w:p w:rsidR="00E42102" w:rsidRDefault="00947A15">
            <w:pPr>
              <w:jc w:val="center"/>
            </w:pPr>
            <w:r>
              <w:rPr>
                <w:rFonts w:eastAsiaTheme="minorEastAsia"/>
                <w:color w:val="000000" w:themeColor="text1"/>
                <w:kern w:val="0"/>
              </w:rPr>
              <w:t>-</w:t>
            </w:r>
          </w:p>
        </w:tc>
        <w:tc>
          <w:tcPr>
            <w:tcW w:w="1161" w:type="dxa"/>
            <w:vAlign w:val="center"/>
          </w:tcPr>
          <w:p w:rsidR="00E42102" w:rsidRDefault="00947A15">
            <w:pPr>
              <w:jc w:val="center"/>
            </w:pPr>
            <w:r>
              <w:rPr>
                <w:rFonts w:eastAsiaTheme="minorEastAsia"/>
                <w:color w:val="000000" w:themeColor="text1"/>
                <w:kern w:val="0"/>
              </w:rPr>
              <w:t>-</w:t>
            </w:r>
          </w:p>
        </w:tc>
        <w:tc>
          <w:tcPr>
            <w:tcW w:w="1181" w:type="dxa"/>
            <w:vAlign w:val="center"/>
          </w:tcPr>
          <w:p w:rsidR="00E42102" w:rsidRDefault="00947A15">
            <w:pPr>
              <w:jc w:val="center"/>
            </w:pPr>
            <w:r>
              <w:rPr>
                <w:rFonts w:eastAsiaTheme="minorEastAsia"/>
                <w:color w:val="000000" w:themeColor="text1"/>
                <w:kern w:val="0"/>
              </w:rPr>
              <w:t>-</w:t>
            </w:r>
          </w:p>
        </w:tc>
        <w:tc>
          <w:tcPr>
            <w:tcW w:w="1188" w:type="dxa"/>
            <w:vAlign w:val="center"/>
          </w:tcPr>
          <w:p w:rsidR="00E42102" w:rsidRDefault="00947A15">
            <w:pPr>
              <w:jc w:val="center"/>
            </w:pPr>
            <w:r>
              <w:rPr>
                <w:rFonts w:eastAsiaTheme="minorEastAsia"/>
                <w:color w:val="000000" w:themeColor="text1"/>
                <w:kern w:val="0"/>
              </w:rPr>
              <w:t>-</w:t>
            </w:r>
          </w:p>
        </w:tc>
        <w:tc>
          <w:tcPr>
            <w:tcW w:w="1199" w:type="dxa"/>
            <w:vAlign w:val="center"/>
          </w:tcPr>
          <w:p w:rsidR="00E42102" w:rsidRDefault="00947A15">
            <w:pPr>
              <w:jc w:val="center"/>
            </w:pPr>
            <w:r>
              <w:rPr>
                <w:rFonts w:eastAsiaTheme="minorEastAsia"/>
                <w:color w:val="000000" w:themeColor="text1"/>
                <w:kern w:val="0"/>
              </w:rPr>
              <w:t>-</w:t>
            </w:r>
          </w:p>
        </w:tc>
        <w:tc>
          <w:tcPr>
            <w:tcW w:w="1204" w:type="dxa"/>
            <w:vAlign w:val="center"/>
          </w:tcPr>
          <w:p w:rsidR="00E42102" w:rsidRDefault="00947A15">
            <w:pPr>
              <w:jc w:val="center"/>
            </w:pPr>
            <w:r>
              <w:rPr>
                <w:rFonts w:eastAsiaTheme="minorEastAsia"/>
                <w:color w:val="000000" w:themeColor="text1"/>
                <w:kern w:val="0"/>
              </w:rPr>
              <w:t>-</w:t>
            </w:r>
          </w:p>
        </w:tc>
      </w:tr>
      <w:tr w:rsidR="00E42102">
        <w:tc>
          <w:tcPr>
            <w:tcW w:w="1395" w:type="dxa"/>
            <w:vAlign w:val="center"/>
          </w:tcPr>
          <w:p w:rsidR="00E42102" w:rsidRDefault="00947A15">
            <w:pPr>
              <w:jc w:val="left"/>
            </w:pPr>
            <w:r>
              <w:rPr>
                <w:rFonts w:eastAsiaTheme="minorEastAsia"/>
                <w:color w:val="000000" w:themeColor="text1"/>
                <w:kern w:val="0"/>
              </w:rPr>
              <w:t>自基金合同生效起至今</w:t>
            </w:r>
          </w:p>
        </w:tc>
        <w:tc>
          <w:tcPr>
            <w:tcW w:w="1092" w:type="dxa"/>
            <w:vAlign w:val="center"/>
          </w:tcPr>
          <w:p w:rsidR="00E42102" w:rsidRDefault="00947A15">
            <w:pPr>
              <w:jc w:val="center"/>
            </w:pPr>
            <w:r>
              <w:rPr>
                <w:rFonts w:eastAsiaTheme="minorEastAsia"/>
                <w:color w:val="000000" w:themeColor="text1"/>
                <w:kern w:val="0"/>
              </w:rPr>
              <w:t>13.82%</w:t>
            </w:r>
          </w:p>
        </w:tc>
        <w:tc>
          <w:tcPr>
            <w:tcW w:w="1161" w:type="dxa"/>
            <w:vAlign w:val="center"/>
          </w:tcPr>
          <w:p w:rsidR="00E42102" w:rsidRDefault="00947A15">
            <w:pPr>
              <w:jc w:val="center"/>
            </w:pPr>
            <w:r>
              <w:rPr>
                <w:rFonts w:eastAsiaTheme="minorEastAsia"/>
                <w:color w:val="000000" w:themeColor="text1"/>
                <w:kern w:val="0"/>
              </w:rPr>
              <w:t>1.56%</w:t>
            </w:r>
          </w:p>
        </w:tc>
        <w:tc>
          <w:tcPr>
            <w:tcW w:w="1181" w:type="dxa"/>
            <w:vAlign w:val="center"/>
          </w:tcPr>
          <w:p w:rsidR="00E42102" w:rsidRDefault="00947A15">
            <w:pPr>
              <w:jc w:val="center"/>
            </w:pPr>
            <w:r>
              <w:rPr>
                <w:rFonts w:eastAsiaTheme="minorEastAsia"/>
                <w:color w:val="000000" w:themeColor="text1"/>
                <w:kern w:val="0"/>
              </w:rPr>
              <w:t>4.91%</w:t>
            </w:r>
          </w:p>
        </w:tc>
        <w:tc>
          <w:tcPr>
            <w:tcW w:w="1188" w:type="dxa"/>
            <w:vAlign w:val="center"/>
          </w:tcPr>
          <w:p w:rsidR="00E42102" w:rsidRDefault="00947A15">
            <w:pPr>
              <w:jc w:val="center"/>
            </w:pPr>
            <w:r>
              <w:rPr>
                <w:rFonts w:eastAsiaTheme="minorEastAsia"/>
                <w:color w:val="000000" w:themeColor="text1"/>
                <w:kern w:val="0"/>
              </w:rPr>
              <w:t>0.89%</w:t>
            </w:r>
          </w:p>
        </w:tc>
        <w:tc>
          <w:tcPr>
            <w:tcW w:w="1199" w:type="dxa"/>
            <w:vAlign w:val="center"/>
          </w:tcPr>
          <w:p w:rsidR="00E42102" w:rsidRDefault="00947A15">
            <w:pPr>
              <w:jc w:val="center"/>
            </w:pPr>
            <w:r>
              <w:rPr>
                <w:rFonts w:eastAsiaTheme="minorEastAsia"/>
                <w:color w:val="000000" w:themeColor="text1"/>
                <w:kern w:val="0"/>
              </w:rPr>
              <w:t>8.91%</w:t>
            </w:r>
          </w:p>
        </w:tc>
        <w:tc>
          <w:tcPr>
            <w:tcW w:w="1204" w:type="dxa"/>
            <w:vAlign w:val="center"/>
          </w:tcPr>
          <w:p w:rsidR="00E42102" w:rsidRDefault="00947A15">
            <w:pPr>
              <w:jc w:val="center"/>
            </w:pPr>
            <w:r>
              <w:rPr>
                <w:rFonts w:eastAsiaTheme="minorEastAsia"/>
                <w:color w:val="000000" w:themeColor="text1"/>
                <w:kern w:val="0"/>
              </w:rPr>
              <w:t>0.67%</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3.2.2</w:t>
      </w:r>
      <w:r w:rsidRPr="00FF6B9A">
        <w:rPr>
          <w:rStyle w:val="afe"/>
          <w:color w:val="000000" w:themeColor="text1"/>
          <w:sz w:val="24"/>
          <w:szCs w:val="24"/>
          <w:shd w:val="clear" w:color="auto" w:fill="FFFFFF"/>
        </w:rPr>
        <w:t>自基金合同生效以来</w:t>
      </w:r>
      <w:r w:rsidRPr="00FF6B9A">
        <w:rPr>
          <w:rFonts w:eastAsiaTheme="minorEastAsia"/>
          <w:b/>
          <w:bCs/>
          <w:color w:val="000000" w:themeColor="text1"/>
          <w:kern w:val="0"/>
          <w:sz w:val="24"/>
          <w:szCs w:val="24"/>
        </w:rPr>
        <w:t>基金累计净值增长率变动及其与同期业绩比较基准收益率变动的比较</w:t>
      </w:r>
    </w:p>
    <w:p w:rsidR="00D06738" w:rsidRPr="00FF6B9A" w:rsidRDefault="00454D20">
      <w:pPr>
        <w:spacing w:line="360" w:lineRule="auto"/>
        <w:jc w:val="center"/>
        <w:rPr>
          <w:rFonts w:eastAsiaTheme="minorEastAsia"/>
          <w:color w:val="000000" w:themeColor="text1"/>
        </w:rPr>
      </w:pPr>
      <w:r w:rsidRPr="00FF6B9A">
        <w:rPr>
          <w:rFonts w:eastAsiaTheme="minorEastAsia"/>
          <w:color w:val="000000" w:themeColor="text1"/>
        </w:rPr>
        <w:t>上投摩根慧见两年持有期混合型证券投资基金</w:t>
      </w:r>
    </w:p>
    <w:p w:rsidR="00D06738" w:rsidRPr="00FF6B9A" w:rsidRDefault="00454D20">
      <w:pPr>
        <w:pStyle w:val="ae"/>
        <w:snapToGrid w:val="0"/>
        <w:spacing w:line="360" w:lineRule="auto"/>
        <w:jc w:val="center"/>
        <w:rPr>
          <w:rFonts w:ascii="Times New Roman" w:eastAsiaTheme="minorEastAsia" w:hAnsi="Times New Roman" w:cs="Times New Roman"/>
          <w:color w:val="000000" w:themeColor="text1"/>
        </w:rPr>
      </w:pPr>
      <w:r w:rsidRPr="00FF6B9A">
        <w:rPr>
          <w:rFonts w:ascii="Times New Roman" w:eastAsiaTheme="minorEastAsia" w:hAnsi="Times New Roman" w:cs="Times New Roman"/>
          <w:color w:val="000000" w:themeColor="text1"/>
        </w:rPr>
        <w:t>累计净值增长率与业绩比较基准收益率历史走势对比图</w:t>
      </w:r>
    </w:p>
    <w:p w:rsidR="00D06738" w:rsidRPr="00FF6B9A" w:rsidRDefault="00454D20">
      <w:pPr>
        <w:pStyle w:val="ae"/>
        <w:snapToGrid w:val="0"/>
        <w:spacing w:line="360" w:lineRule="auto"/>
        <w:ind w:firstLine="480"/>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color w:val="000000" w:themeColor="text1"/>
        </w:rPr>
        <w:t>(2020</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9</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17</w:t>
      </w:r>
      <w:r w:rsidRPr="00FF6B9A">
        <w:rPr>
          <w:rFonts w:ascii="Times New Roman" w:eastAsiaTheme="minorEastAsia" w:hAnsi="Times New Roman" w:cs="Times New Roman"/>
          <w:color w:val="000000" w:themeColor="text1"/>
        </w:rPr>
        <w:t>日至</w:t>
      </w:r>
      <w:r w:rsidRPr="00FF6B9A">
        <w:rPr>
          <w:rFonts w:ascii="Times New Roman" w:eastAsiaTheme="minorEastAsia" w:hAnsi="Times New Roman" w:cs="Times New Roman"/>
          <w:color w:val="000000" w:themeColor="text1"/>
        </w:rPr>
        <w:t>2021</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9</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30</w:t>
      </w:r>
      <w:r w:rsidRPr="00FF6B9A">
        <w:rPr>
          <w:rFonts w:ascii="Times New Roman" w:eastAsiaTheme="minorEastAsia" w:hAnsi="Times New Roman" w:cs="Times New Roman"/>
          <w:color w:val="000000" w:themeColor="text1"/>
        </w:rPr>
        <w:t>日</w:t>
      </w:r>
      <w:r w:rsidRPr="00FF6B9A">
        <w:rPr>
          <w:rFonts w:ascii="Times New Roman" w:eastAsiaTheme="minorEastAsia" w:hAnsi="Times New Roman" w:cs="Times New Roman"/>
          <w:color w:val="000000" w:themeColor="text1"/>
        </w:rPr>
        <w:t>)</w:t>
      </w:r>
    </w:p>
    <w:p w:rsidR="00D06738" w:rsidRPr="00FF6B9A" w:rsidRDefault="00454D20">
      <w:pPr>
        <w:pStyle w:val="ae"/>
        <w:snapToGrid w:val="0"/>
        <w:spacing w:before="120" w:line="360" w:lineRule="auto"/>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noProof/>
          <w:color w:val="000000" w:themeColor="text1"/>
          <w:sz w:val="24"/>
          <w:szCs w:val="24"/>
        </w:rPr>
        <w:drawing>
          <wp:inline distT="0" distB="0" distL="0" distR="0" wp14:anchorId="41E8FF0D" wp14:editId="228D69F2">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E42102" w:rsidRDefault="00947A15">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注：本基金合同生效日为</w:t>
      </w:r>
      <w:r>
        <w:rPr>
          <w:rFonts w:eastAsiaTheme="minorEastAsia"/>
          <w:color w:val="000000" w:themeColor="text1"/>
        </w:rPr>
        <w:t>2020</w:t>
      </w:r>
      <w:r>
        <w:rPr>
          <w:rFonts w:eastAsiaTheme="minorEastAsia"/>
          <w:color w:val="000000" w:themeColor="text1"/>
        </w:rPr>
        <w:t>年</w:t>
      </w:r>
      <w:r>
        <w:rPr>
          <w:rFonts w:eastAsiaTheme="minorEastAsia"/>
          <w:color w:val="000000" w:themeColor="text1"/>
        </w:rPr>
        <w:t>9</w:t>
      </w:r>
      <w:r>
        <w:rPr>
          <w:rFonts w:eastAsiaTheme="minorEastAsia"/>
          <w:color w:val="000000" w:themeColor="text1"/>
        </w:rPr>
        <w:t>月</w:t>
      </w:r>
      <w:r>
        <w:rPr>
          <w:rFonts w:eastAsiaTheme="minorEastAsia"/>
          <w:color w:val="000000" w:themeColor="text1"/>
        </w:rPr>
        <w:t>17</w:t>
      </w:r>
      <w:r>
        <w:rPr>
          <w:rFonts w:eastAsiaTheme="minorEastAsia"/>
          <w:color w:val="000000" w:themeColor="text1"/>
        </w:rPr>
        <w:t>日，图示的时间段为合同生效日至本报告期末。</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本基金建仓期为本基金合同生效日起</w:t>
      </w:r>
      <w:r w:rsidRPr="00FF6B9A">
        <w:rPr>
          <w:rFonts w:eastAsiaTheme="minorEastAsia"/>
          <w:color w:val="000000" w:themeColor="text1"/>
        </w:rPr>
        <w:t>6</w:t>
      </w:r>
      <w:r w:rsidRPr="00FF6B9A">
        <w:rPr>
          <w:rFonts w:eastAsiaTheme="minorEastAsia"/>
          <w:color w:val="000000" w:themeColor="text1"/>
        </w:rPr>
        <w:t>个月，建仓期结束时资产配置比例符合本基金基金合同规定。</w:t>
      </w:r>
    </w:p>
    <w:p w:rsidR="00D06738" w:rsidRPr="00FF6B9A" w:rsidRDefault="00D06738">
      <w:pPr>
        <w:tabs>
          <w:tab w:val="left" w:pos="1800"/>
        </w:tabs>
        <w:spacing w:line="360" w:lineRule="auto"/>
        <w:rPr>
          <w:rFonts w:eastAsiaTheme="minorEastAsia"/>
          <w:color w:val="000000" w:themeColor="text1"/>
          <w:sz w:val="24"/>
          <w:szCs w:val="24"/>
        </w:rPr>
      </w:pPr>
    </w:p>
    <w:p w:rsidR="00D06738" w:rsidRPr="00FF6B9A" w:rsidRDefault="00D06738">
      <w:pPr>
        <w:tabs>
          <w:tab w:val="left" w:pos="1800"/>
        </w:tabs>
        <w:spacing w:line="288" w:lineRule="auto"/>
        <w:rPr>
          <w:rFonts w:eastAsiaTheme="minorEastAsia"/>
          <w:color w:val="000000" w:themeColor="text1"/>
          <w:sz w:val="24"/>
          <w:szCs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lastRenderedPageBreak/>
        <w:t xml:space="preserve">§4  </w:t>
      </w:r>
      <w:r w:rsidRPr="00FF6B9A">
        <w:rPr>
          <w:rFonts w:eastAsiaTheme="minorEastAsia"/>
          <w:color w:val="000000" w:themeColor="text1"/>
          <w:kern w:val="0"/>
          <w:sz w:val="24"/>
          <w:szCs w:val="24"/>
        </w:rPr>
        <w:t>管理人报告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4.1 </w:t>
      </w:r>
      <w:r w:rsidRPr="00FF6B9A">
        <w:rPr>
          <w:rFonts w:eastAsiaTheme="minorEastAsia"/>
          <w:b/>
          <w:bCs/>
          <w:color w:val="000000" w:themeColor="text1"/>
          <w:kern w:val="0"/>
          <w:sz w:val="24"/>
          <w:szCs w:val="24"/>
        </w:rPr>
        <w:t>基金经理</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或基金经理小组</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D06738" w:rsidRPr="00FF6B9A">
        <w:trPr>
          <w:cantSplit/>
          <w:trHeight w:val="292"/>
        </w:trPr>
        <w:tc>
          <w:tcPr>
            <w:tcW w:w="851"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姓名</w:t>
            </w:r>
          </w:p>
        </w:tc>
        <w:tc>
          <w:tcPr>
            <w:tcW w:w="850"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职务</w:t>
            </w:r>
          </w:p>
        </w:tc>
        <w:tc>
          <w:tcPr>
            <w:tcW w:w="3119" w:type="dxa"/>
            <w:gridSpan w:val="2"/>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任本基金的基金经理期限</w:t>
            </w:r>
          </w:p>
        </w:tc>
        <w:tc>
          <w:tcPr>
            <w:tcW w:w="1417" w:type="dxa"/>
            <w:vMerge w:val="restart"/>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证券从业年限</w:t>
            </w:r>
          </w:p>
        </w:tc>
        <w:tc>
          <w:tcPr>
            <w:tcW w:w="2694"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说明</w:t>
            </w:r>
          </w:p>
        </w:tc>
      </w:tr>
      <w:tr w:rsidR="00D06738" w:rsidRPr="00FF6B9A">
        <w:trPr>
          <w:cantSplit/>
        </w:trPr>
        <w:tc>
          <w:tcPr>
            <w:tcW w:w="851"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850"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156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任职日期</w:t>
            </w:r>
          </w:p>
        </w:tc>
        <w:tc>
          <w:tcPr>
            <w:tcW w:w="155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离任日期</w:t>
            </w:r>
          </w:p>
        </w:tc>
        <w:tc>
          <w:tcPr>
            <w:tcW w:w="1417"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2694" w:type="dxa"/>
            <w:vMerge/>
            <w:vAlign w:val="center"/>
          </w:tcPr>
          <w:p w:rsidR="00D06738" w:rsidRPr="00FF6B9A" w:rsidRDefault="00D06738">
            <w:pPr>
              <w:widowControl/>
              <w:spacing w:line="360" w:lineRule="auto"/>
              <w:jc w:val="left"/>
              <w:rPr>
                <w:rFonts w:eastAsiaTheme="minorEastAsia"/>
                <w:color w:val="000000" w:themeColor="text1"/>
                <w:kern w:val="0"/>
              </w:rPr>
            </w:pPr>
          </w:p>
        </w:tc>
      </w:tr>
      <w:tr w:rsidR="00E42102">
        <w:tc>
          <w:tcPr>
            <w:tcW w:w="851" w:type="dxa"/>
            <w:vAlign w:val="center"/>
          </w:tcPr>
          <w:p w:rsidR="00E42102" w:rsidRDefault="00947A15">
            <w:pPr>
              <w:jc w:val="center"/>
            </w:pPr>
            <w:r>
              <w:rPr>
                <w:rFonts w:eastAsiaTheme="minorEastAsia"/>
                <w:color w:val="000000" w:themeColor="text1"/>
              </w:rPr>
              <w:t>李德辉</w:t>
            </w:r>
          </w:p>
        </w:tc>
        <w:tc>
          <w:tcPr>
            <w:tcW w:w="850" w:type="dxa"/>
            <w:vAlign w:val="center"/>
          </w:tcPr>
          <w:p w:rsidR="00E42102" w:rsidRDefault="00947A15">
            <w:pPr>
              <w:jc w:val="center"/>
            </w:pPr>
            <w:r>
              <w:rPr>
                <w:rFonts w:eastAsiaTheme="minorEastAsia"/>
                <w:color w:val="000000" w:themeColor="text1"/>
              </w:rPr>
              <w:t>本基金基金经理</w:t>
            </w:r>
          </w:p>
        </w:tc>
        <w:tc>
          <w:tcPr>
            <w:tcW w:w="1560" w:type="dxa"/>
            <w:vAlign w:val="center"/>
          </w:tcPr>
          <w:p w:rsidR="00E42102" w:rsidRDefault="00947A15">
            <w:pPr>
              <w:jc w:val="center"/>
            </w:pPr>
            <w:r>
              <w:rPr>
                <w:rFonts w:eastAsiaTheme="minorEastAsia"/>
                <w:color w:val="000000" w:themeColor="text1"/>
              </w:rPr>
              <w:t>2020-09-17</w:t>
            </w:r>
          </w:p>
        </w:tc>
        <w:tc>
          <w:tcPr>
            <w:tcW w:w="1559" w:type="dxa"/>
            <w:vAlign w:val="center"/>
          </w:tcPr>
          <w:p w:rsidR="00E42102" w:rsidRDefault="00947A15">
            <w:pPr>
              <w:jc w:val="center"/>
            </w:pPr>
            <w:r>
              <w:rPr>
                <w:rFonts w:eastAsiaTheme="minorEastAsia"/>
                <w:color w:val="000000" w:themeColor="text1"/>
              </w:rPr>
              <w:t>-</w:t>
            </w:r>
          </w:p>
        </w:tc>
        <w:tc>
          <w:tcPr>
            <w:tcW w:w="1417" w:type="dxa"/>
            <w:vAlign w:val="center"/>
          </w:tcPr>
          <w:p w:rsidR="00E42102" w:rsidRDefault="00947A15">
            <w:pPr>
              <w:jc w:val="center"/>
            </w:pPr>
            <w:r>
              <w:rPr>
                <w:rFonts w:eastAsiaTheme="minorEastAsia"/>
                <w:color w:val="000000" w:themeColor="text1"/>
              </w:rPr>
              <w:t>9</w:t>
            </w:r>
            <w:r>
              <w:rPr>
                <w:rFonts w:eastAsiaTheme="minorEastAsia"/>
                <w:color w:val="000000" w:themeColor="text1"/>
              </w:rPr>
              <w:t>年</w:t>
            </w:r>
          </w:p>
        </w:tc>
        <w:tc>
          <w:tcPr>
            <w:tcW w:w="2694" w:type="dxa"/>
            <w:vAlign w:val="center"/>
          </w:tcPr>
          <w:p w:rsidR="00E42102" w:rsidRDefault="00947A15">
            <w:r>
              <w:rPr>
                <w:rFonts w:eastAsiaTheme="minorEastAsia"/>
                <w:color w:val="000000" w:themeColor="text1"/>
              </w:rPr>
              <w:t>李德辉先生，上海交通大学生物医学工程博士，</w:t>
            </w:r>
            <w:r>
              <w:rPr>
                <w:rFonts w:eastAsiaTheme="minorEastAsia"/>
                <w:color w:val="000000" w:themeColor="text1"/>
              </w:rPr>
              <w:t>2012</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月至</w:t>
            </w:r>
            <w:r>
              <w:rPr>
                <w:rFonts w:eastAsiaTheme="minorEastAsia"/>
                <w:color w:val="000000" w:themeColor="text1"/>
              </w:rPr>
              <w:t>2014</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月在农银汇理基金管理有限公司担任研究员。自</w:t>
            </w:r>
            <w:r>
              <w:rPr>
                <w:rFonts w:eastAsiaTheme="minorEastAsia"/>
                <w:color w:val="000000" w:themeColor="text1"/>
              </w:rPr>
              <w:t>2014</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月起加入上投摩根基金管理有限公司，先后担任研究员、行业专家兼基金经理助理、基金经理、高级基金经理。自</w:t>
            </w:r>
            <w:r>
              <w:rPr>
                <w:rFonts w:eastAsiaTheme="minorEastAsia"/>
                <w:color w:val="000000" w:themeColor="text1"/>
              </w:rPr>
              <w:t>2016</w:t>
            </w:r>
            <w:r>
              <w:rPr>
                <w:rFonts w:eastAsiaTheme="minorEastAsia"/>
                <w:color w:val="000000" w:themeColor="text1"/>
              </w:rPr>
              <w:t>年</w:t>
            </w:r>
            <w:r>
              <w:rPr>
                <w:rFonts w:eastAsiaTheme="minorEastAsia"/>
                <w:color w:val="000000" w:themeColor="text1"/>
              </w:rPr>
              <w:t>11</w:t>
            </w:r>
            <w:r>
              <w:rPr>
                <w:rFonts w:eastAsiaTheme="minorEastAsia"/>
                <w:color w:val="000000" w:themeColor="text1"/>
              </w:rPr>
              <w:t>月起担任上投摩根科技前沿灵活配置混合型证券投资基金基金经理，</w:t>
            </w:r>
            <w:r>
              <w:rPr>
                <w:rFonts w:eastAsiaTheme="minorEastAsia"/>
                <w:color w:val="000000" w:themeColor="text1"/>
              </w:rPr>
              <w:t>2018</w:t>
            </w:r>
            <w:r>
              <w:rPr>
                <w:rFonts w:eastAsiaTheme="minorEastAsia"/>
                <w:color w:val="000000" w:themeColor="text1"/>
              </w:rPr>
              <w:t>年</w:t>
            </w:r>
            <w:r>
              <w:rPr>
                <w:rFonts w:eastAsiaTheme="minorEastAsia"/>
                <w:color w:val="000000" w:themeColor="text1"/>
              </w:rPr>
              <w:t>3</w:t>
            </w:r>
            <w:r>
              <w:rPr>
                <w:rFonts w:eastAsiaTheme="minorEastAsia"/>
                <w:color w:val="000000" w:themeColor="text1"/>
              </w:rPr>
              <w:t>月至</w:t>
            </w:r>
            <w:r>
              <w:rPr>
                <w:rFonts w:eastAsiaTheme="minorEastAsia"/>
                <w:color w:val="000000" w:themeColor="text1"/>
              </w:rPr>
              <w:t>2019</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月同时担任上投摩根安全战略股票型证券投资基金基金经理及上投摩根双核平衡混合型证券投资基金基金经理，自</w:t>
            </w:r>
            <w:r>
              <w:rPr>
                <w:rFonts w:eastAsiaTheme="minorEastAsia"/>
                <w:color w:val="000000" w:themeColor="text1"/>
              </w:rPr>
              <w:t>2018</w:t>
            </w:r>
            <w:r>
              <w:rPr>
                <w:rFonts w:eastAsiaTheme="minorEastAsia"/>
                <w:color w:val="000000" w:themeColor="text1"/>
              </w:rPr>
              <w:t>年</w:t>
            </w:r>
            <w:r>
              <w:rPr>
                <w:rFonts w:eastAsiaTheme="minorEastAsia"/>
                <w:color w:val="000000" w:themeColor="text1"/>
              </w:rPr>
              <w:t>6</w:t>
            </w:r>
            <w:r>
              <w:rPr>
                <w:rFonts w:eastAsiaTheme="minorEastAsia"/>
                <w:color w:val="000000" w:themeColor="text1"/>
              </w:rPr>
              <w:t>月起同时担任上投摩根卓越制造股票型证券投资基金基金经理，自</w:t>
            </w:r>
            <w:r>
              <w:rPr>
                <w:rFonts w:eastAsiaTheme="minorEastAsia"/>
                <w:color w:val="000000" w:themeColor="text1"/>
              </w:rPr>
              <w:t>2019</w:t>
            </w:r>
            <w:r>
              <w:rPr>
                <w:rFonts w:eastAsiaTheme="minorEastAsia"/>
                <w:color w:val="000000" w:themeColor="text1"/>
              </w:rPr>
              <w:t>年</w:t>
            </w:r>
            <w:r>
              <w:rPr>
                <w:rFonts w:eastAsiaTheme="minorEastAsia"/>
                <w:color w:val="000000" w:themeColor="text1"/>
              </w:rPr>
              <w:t>3</w:t>
            </w:r>
            <w:r>
              <w:rPr>
                <w:rFonts w:eastAsiaTheme="minorEastAsia"/>
                <w:color w:val="000000" w:themeColor="text1"/>
              </w:rPr>
              <w:t>月起同时担任上投摩根智选</w:t>
            </w:r>
            <w:r>
              <w:rPr>
                <w:rFonts w:eastAsiaTheme="minorEastAsia"/>
                <w:color w:val="000000" w:themeColor="text1"/>
              </w:rPr>
              <w:t>30</w:t>
            </w:r>
            <w:r>
              <w:rPr>
                <w:rFonts w:eastAsiaTheme="minorEastAsia"/>
                <w:color w:val="000000" w:themeColor="text1"/>
              </w:rPr>
              <w:t>混合型证券投资基金基金经理，自</w:t>
            </w:r>
            <w:r>
              <w:rPr>
                <w:rFonts w:eastAsiaTheme="minorEastAsia"/>
                <w:color w:val="000000" w:themeColor="text1"/>
              </w:rPr>
              <w:t>2020</w:t>
            </w:r>
            <w:r>
              <w:rPr>
                <w:rFonts w:eastAsiaTheme="minorEastAsia"/>
                <w:color w:val="000000" w:themeColor="text1"/>
              </w:rPr>
              <w:t>年</w:t>
            </w:r>
            <w:r>
              <w:rPr>
                <w:rFonts w:eastAsiaTheme="minorEastAsia"/>
                <w:color w:val="000000" w:themeColor="text1"/>
              </w:rPr>
              <w:t>1</w:t>
            </w:r>
            <w:r>
              <w:rPr>
                <w:rFonts w:eastAsiaTheme="minorEastAsia"/>
                <w:color w:val="000000" w:themeColor="text1"/>
              </w:rPr>
              <w:t>月起同时担任上投摩根慧选成长股票型证券投资基金基金经理，自</w:t>
            </w:r>
            <w:r>
              <w:rPr>
                <w:rFonts w:eastAsiaTheme="minorEastAsia"/>
                <w:color w:val="000000" w:themeColor="text1"/>
              </w:rPr>
              <w:t>2020</w:t>
            </w:r>
            <w:r>
              <w:rPr>
                <w:rFonts w:eastAsiaTheme="minorEastAsia"/>
                <w:color w:val="000000" w:themeColor="text1"/>
              </w:rPr>
              <w:t>年</w:t>
            </w:r>
            <w:r>
              <w:rPr>
                <w:rFonts w:eastAsiaTheme="minorEastAsia"/>
                <w:color w:val="000000" w:themeColor="text1"/>
              </w:rPr>
              <w:t>9</w:t>
            </w:r>
            <w:r>
              <w:rPr>
                <w:rFonts w:eastAsiaTheme="minorEastAsia"/>
                <w:color w:val="000000" w:themeColor="text1"/>
              </w:rPr>
              <w:t>月起同时担任上投摩根慧见两年持有期混合型证券投资基金基金经理。</w:t>
            </w:r>
          </w:p>
        </w:tc>
      </w:tr>
    </w:tbl>
    <w:p w:rsidR="00E42102" w:rsidRDefault="00947A15">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w:t>
      </w:r>
      <w:r>
        <w:rPr>
          <w:rFonts w:eastAsiaTheme="minorEastAsia"/>
          <w:color w:val="000000" w:themeColor="text1"/>
        </w:rPr>
        <w:t>1.</w:t>
      </w:r>
      <w:r>
        <w:rPr>
          <w:rFonts w:eastAsiaTheme="minorEastAsia"/>
          <w:color w:val="000000" w:themeColor="text1"/>
        </w:rPr>
        <w:t>任职日期和离任日期均指根据公司决定确定的聘任日期和解聘日期。</w:t>
      </w:r>
    </w:p>
    <w:p w:rsidR="00E42102" w:rsidRDefault="00947A15">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2.</w:t>
      </w:r>
      <w:r>
        <w:rPr>
          <w:rFonts w:eastAsiaTheme="minorEastAsia"/>
          <w:color w:val="000000" w:themeColor="text1"/>
        </w:rPr>
        <w:t>李德辉先生为本基金首任基金经理，其任职日期指本基金基金合同生效之日。</w:t>
      </w:r>
      <w:r>
        <w:rPr>
          <w:rFonts w:eastAsiaTheme="minorEastAsia"/>
          <w:color w:val="000000" w:themeColor="text1"/>
        </w:rPr>
        <w:t xml:space="preserve"> </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3.</w:t>
      </w:r>
      <w:r w:rsidRPr="00FF6B9A">
        <w:rPr>
          <w:rFonts w:eastAsiaTheme="minorEastAsia"/>
          <w:color w:val="000000" w:themeColor="text1"/>
        </w:rPr>
        <w:t>证券从业的含义遵从行业协会《证券业从业人员资格管理办法》的相关规定。</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4.2 </w:t>
      </w:r>
      <w:r w:rsidRPr="00FF6B9A">
        <w:rPr>
          <w:rFonts w:eastAsiaTheme="minorEastAsia"/>
          <w:b/>
          <w:bCs/>
          <w:color w:val="000000" w:themeColor="text1"/>
          <w:kern w:val="0"/>
          <w:sz w:val="24"/>
          <w:szCs w:val="24"/>
        </w:rPr>
        <w:t>管理人对报告期内本基金运作遵规守信情况的说明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在本报告期内，基金管理人不存在损害基金份额持有人利益的行为，勤勉尽责地为基金</w:t>
      </w:r>
      <w:r w:rsidRPr="00FF6B9A">
        <w:rPr>
          <w:rFonts w:eastAsiaTheme="minorEastAsia"/>
          <w:color w:val="000000" w:themeColor="text1"/>
        </w:rPr>
        <w:lastRenderedPageBreak/>
        <w:t>份额持有人谋求利益。基金管理人遵守了《证券投资基金法》及其他有关法律法规、《上投摩根慧见两年持有期混合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4.3 </w:t>
      </w:r>
      <w:r w:rsidRPr="00FF6B9A">
        <w:rPr>
          <w:rFonts w:eastAsiaTheme="minorEastAsia"/>
          <w:b/>
          <w:bCs/>
          <w:color w:val="000000" w:themeColor="text1"/>
          <w:kern w:val="0"/>
          <w:sz w:val="24"/>
          <w:szCs w:val="24"/>
        </w:rPr>
        <w:t>公平交易专项说明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4.3.1 </w:t>
      </w:r>
      <w:r w:rsidRPr="00FF6B9A">
        <w:rPr>
          <w:rFonts w:eastAsiaTheme="minorEastAsia"/>
          <w:color w:val="000000" w:themeColor="text1"/>
          <w:sz w:val="24"/>
          <w:szCs w:val="24"/>
        </w:rPr>
        <w:t>公平交易制度的执行情况</w:t>
      </w:r>
    </w:p>
    <w:p w:rsidR="00E42102" w:rsidRDefault="00947A15">
      <w:pPr>
        <w:spacing w:line="360" w:lineRule="auto"/>
        <w:ind w:firstLineChars="200" w:firstLine="420"/>
        <w:rPr>
          <w:rFonts w:eastAsiaTheme="minorEastAsia"/>
          <w:color w:val="000000" w:themeColor="text1"/>
        </w:rPr>
      </w:pPr>
      <w:r>
        <w:rPr>
          <w:rFonts w:eastAsia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E42102" w:rsidRDefault="00947A15">
      <w:pPr>
        <w:spacing w:line="360" w:lineRule="auto"/>
        <w:ind w:firstLineChars="200" w:firstLine="420"/>
        <w:rPr>
          <w:rFonts w:eastAsiaTheme="minorEastAsia"/>
          <w:color w:val="000000" w:themeColor="text1"/>
        </w:rPr>
      </w:pPr>
      <w:r>
        <w:rPr>
          <w:rFonts w:eastAsia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报告期内，通过对不同投资组合之间的收益率差异比较、对同向交易和反向交易的交易时机和交易价差监控分析，未发现整体公平交易执行出现异常的情况。</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4.3.2 </w:t>
      </w:r>
      <w:r w:rsidRPr="00FF6B9A">
        <w:rPr>
          <w:rFonts w:eastAsiaTheme="minorEastAsia"/>
          <w:color w:val="000000" w:themeColor="text1"/>
          <w:sz w:val="24"/>
          <w:szCs w:val="24"/>
        </w:rPr>
        <w:t>异常交易行为的专项说明</w:t>
      </w:r>
    </w:p>
    <w:p w:rsidR="00E42102" w:rsidRDefault="00947A15">
      <w:pPr>
        <w:spacing w:line="360" w:lineRule="auto"/>
        <w:ind w:firstLineChars="200" w:firstLine="420"/>
        <w:rPr>
          <w:rFonts w:eastAsiaTheme="minorEastAsia"/>
          <w:color w:val="000000" w:themeColor="text1"/>
        </w:rPr>
      </w:pPr>
      <w:r>
        <w:rPr>
          <w:rFonts w:eastAsiaTheme="minorEastAsia"/>
          <w:color w:val="000000" w:themeColor="text1"/>
        </w:rPr>
        <w:t>报告期内，通过对交易价格、交易时间、交易方向等的分析，未发现有可能导致不公平交易和利益输送的异常交易行为。</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所有投资组合参与的交易所公开竞价同日反向交易成交较少的单边交易量超过该证券当日成交量的</w:t>
      </w:r>
      <w:r w:rsidRPr="00FF6B9A">
        <w:rPr>
          <w:rFonts w:eastAsiaTheme="minorEastAsia"/>
          <w:color w:val="000000" w:themeColor="text1"/>
        </w:rPr>
        <w:t>5%</w:t>
      </w:r>
      <w:r w:rsidRPr="00FF6B9A">
        <w:rPr>
          <w:rFonts w:eastAsiaTheme="minorEastAsia"/>
          <w:color w:val="000000" w:themeColor="text1"/>
        </w:rPr>
        <w:t>的情形：无。</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4.4 </w:t>
      </w:r>
      <w:r w:rsidRPr="00FF6B9A">
        <w:rPr>
          <w:rFonts w:eastAsiaTheme="minorEastAsia"/>
          <w:b/>
          <w:bCs/>
          <w:color w:val="000000" w:themeColor="text1"/>
          <w:kern w:val="0"/>
          <w:sz w:val="24"/>
          <w:szCs w:val="24"/>
        </w:rPr>
        <w:t>报告期内基金的投资策略和业绩表现说明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4.4.1</w:t>
      </w:r>
      <w:r w:rsidRPr="00FF6B9A">
        <w:rPr>
          <w:rFonts w:eastAsiaTheme="minorEastAsia"/>
          <w:color w:val="000000" w:themeColor="text1"/>
          <w:sz w:val="24"/>
          <w:szCs w:val="24"/>
        </w:rPr>
        <w:t>报告期内基金投资策略和运作分析</w:t>
      </w:r>
    </w:p>
    <w:p w:rsidR="00E42102" w:rsidRDefault="00947A15">
      <w:pPr>
        <w:spacing w:line="360" w:lineRule="auto"/>
        <w:ind w:firstLineChars="200" w:firstLine="420"/>
        <w:rPr>
          <w:rFonts w:eastAsiaTheme="minorEastAsia"/>
          <w:color w:val="000000" w:themeColor="text1"/>
        </w:rPr>
      </w:pPr>
      <w:r>
        <w:rPr>
          <w:rFonts w:eastAsiaTheme="minorEastAsia"/>
          <w:color w:val="000000" w:themeColor="text1"/>
        </w:rPr>
        <w:t>2021</w:t>
      </w:r>
      <w:r>
        <w:rPr>
          <w:rFonts w:eastAsiaTheme="minorEastAsia"/>
          <w:color w:val="000000" w:themeColor="text1"/>
        </w:rPr>
        <w:t>年三季度权益市场总体横盘震荡，板块之间分化和波动较大，三季度市场核心逻辑是涨价和高景气度。全球疫情导致供给不足，叠加中国的</w:t>
      </w:r>
      <w:r>
        <w:rPr>
          <w:rFonts w:eastAsiaTheme="minorEastAsia"/>
          <w:color w:val="000000" w:themeColor="text1"/>
        </w:rPr>
        <w:t>“</w:t>
      </w:r>
      <w:r>
        <w:rPr>
          <w:rFonts w:eastAsiaTheme="minorEastAsia"/>
          <w:color w:val="000000" w:themeColor="text1"/>
        </w:rPr>
        <w:t>能耗双控</w:t>
      </w:r>
      <w:r>
        <w:rPr>
          <w:rFonts w:eastAsiaTheme="minorEastAsia"/>
          <w:color w:val="000000" w:themeColor="text1"/>
        </w:rPr>
        <w:t>”</w:t>
      </w:r>
      <w:r>
        <w:rPr>
          <w:rFonts w:eastAsiaTheme="minorEastAsia"/>
          <w:color w:val="000000" w:themeColor="text1"/>
        </w:rPr>
        <w:t>和限电政策，使得三</w:t>
      </w:r>
      <w:r>
        <w:rPr>
          <w:rFonts w:eastAsiaTheme="minorEastAsia"/>
          <w:color w:val="000000" w:themeColor="text1"/>
        </w:rPr>
        <w:lastRenderedPageBreak/>
        <w:t>季度多种商品涨价幅度较大，这类资产有较强相对收益。高景气度板块主要指新能源和半导体军工，这些板块未来几年潜在增速较快。本基金三季度从中长期考虑，重点配置新能源车板块，均衡配置了光伏、军工、消费、医药、化工等板块，总体绩效持平于大盘。</w:t>
      </w:r>
    </w:p>
    <w:p w:rsidR="00E42102" w:rsidRDefault="00947A15">
      <w:pPr>
        <w:spacing w:line="360" w:lineRule="auto"/>
        <w:ind w:firstLineChars="200" w:firstLine="420"/>
        <w:rPr>
          <w:rFonts w:eastAsiaTheme="minorEastAsia"/>
          <w:color w:val="000000" w:themeColor="text1"/>
        </w:rPr>
      </w:pPr>
      <w:r>
        <w:rPr>
          <w:rFonts w:eastAsiaTheme="minorEastAsia"/>
          <w:color w:val="000000" w:themeColor="text1"/>
        </w:rPr>
        <w:t>展望四季度宏观经济仍有压力，需求看不到明显好转，房地产政策难言放松，居民消费也较难看到起色，目前的</w:t>
      </w:r>
      <w:r>
        <w:rPr>
          <w:rFonts w:eastAsiaTheme="minorEastAsia"/>
          <w:color w:val="000000" w:themeColor="text1"/>
        </w:rPr>
        <w:t>“</w:t>
      </w:r>
      <w:r>
        <w:rPr>
          <w:rFonts w:eastAsiaTheme="minorEastAsia"/>
          <w:color w:val="000000" w:themeColor="text1"/>
        </w:rPr>
        <w:t>能耗双控</w:t>
      </w:r>
      <w:r>
        <w:rPr>
          <w:rFonts w:eastAsiaTheme="minorEastAsia"/>
          <w:color w:val="000000" w:themeColor="text1"/>
        </w:rPr>
        <w:t>”</w:t>
      </w:r>
      <w:r>
        <w:rPr>
          <w:rFonts w:eastAsiaTheme="minorEastAsia"/>
          <w:color w:val="000000" w:themeColor="text1"/>
        </w:rPr>
        <w:t>政策降低了制造业企业的开工率。但是市场担心的滞涨风险仍然较低，仍有较多缓解上游资源品价格的办法。虽然短期市场在消化风险，但是从中长期看股票市场趋势向上，仍有不少行业和企业处于较快成长期，从而具备较好的投资机会。</w:t>
      </w:r>
    </w:p>
    <w:p w:rsidR="00E42102" w:rsidRDefault="00947A15">
      <w:pPr>
        <w:spacing w:line="360" w:lineRule="auto"/>
        <w:ind w:firstLineChars="200" w:firstLine="420"/>
        <w:rPr>
          <w:rFonts w:eastAsiaTheme="minorEastAsia"/>
          <w:color w:val="000000" w:themeColor="text1"/>
        </w:rPr>
      </w:pPr>
      <w:r>
        <w:rPr>
          <w:rFonts w:eastAsiaTheme="minorEastAsia"/>
          <w:color w:val="000000" w:themeColor="text1"/>
        </w:rPr>
        <w:t>从行业看，我们看好：新能源、科技、军工等成长性行业，以及医药、消费、资产管理等稳定性行业。新能源方面，</w:t>
      </w:r>
      <w:r>
        <w:rPr>
          <w:rFonts w:eastAsiaTheme="minorEastAsia"/>
          <w:color w:val="000000" w:themeColor="text1"/>
        </w:rPr>
        <w:t>“</w:t>
      </w:r>
      <w:r>
        <w:rPr>
          <w:rFonts w:eastAsiaTheme="minorEastAsia"/>
          <w:color w:val="000000" w:themeColor="text1"/>
        </w:rPr>
        <w:t>碳中和</w:t>
      </w:r>
      <w:r>
        <w:rPr>
          <w:rFonts w:eastAsiaTheme="minorEastAsia"/>
          <w:color w:val="000000" w:themeColor="text1"/>
        </w:rPr>
        <w:t>”</w:t>
      </w:r>
      <w:r>
        <w:rPr>
          <w:rFonts w:eastAsiaTheme="minorEastAsia"/>
          <w:color w:val="000000" w:themeColor="text1"/>
        </w:rPr>
        <w:t>政策要求长期能源结构转型，必然加大电动汽车的普及和提高光伏风电等新型能源的占比，使得这些行业未来的需求增长空间很大，虽然目前这些板块的估值已反应了该预期，但是把久期拉长，仍然可以通过高增长消化估值问题。科技方面，我们看好有较强网络效应的互联网公司，看好具有硬核创新能力的软件或半导体公司。军工方面，需求未来几年有明确增加，行业主流公司的市场化能力越来越强，未来增长有望延续。医药方面，看好受益于创新的研发外包服务和医疗服务公司。消费方面，看好有较强护城河和稳定的需求增长的高端消费品公司。资产管理方面，看好权益市场的长期快速发展。</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个股选择上，我们坚持供给端有壁垒和需求端有增长两个维度，希望通过优秀公司的韧性来降低行业需求的波动性风险，力争获取长期稳定超额收益。</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4.4.2</w:t>
      </w:r>
      <w:r w:rsidRPr="00FF6B9A">
        <w:rPr>
          <w:rFonts w:eastAsiaTheme="minorEastAsia"/>
          <w:color w:val="000000" w:themeColor="text1"/>
          <w:sz w:val="24"/>
          <w:szCs w:val="24"/>
        </w:rPr>
        <w:t>报告期内基金的业绩表现</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本报告期上投摩根慧见两年持有期混合份额净值增长率为</w:t>
      </w:r>
      <w:r w:rsidRPr="00FF6B9A">
        <w:rPr>
          <w:rFonts w:eastAsiaTheme="minorEastAsia"/>
          <w:color w:val="000000" w:themeColor="text1"/>
        </w:rPr>
        <w:t>:0.62%</w:t>
      </w:r>
      <w:r w:rsidRPr="00FF6B9A">
        <w:rPr>
          <w:rFonts w:eastAsiaTheme="minorEastAsia"/>
          <w:color w:val="000000" w:themeColor="text1"/>
        </w:rPr>
        <w:t>，同期业绩比较基准收益率为</w:t>
      </w:r>
      <w:r w:rsidRPr="00FF6B9A">
        <w:rPr>
          <w:rFonts w:eastAsiaTheme="minorEastAsia"/>
          <w:color w:val="000000" w:themeColor="text1"/>
        </w:rPr>
        <w:t>:-4.10%</w:t>
      </w:r>
      <w:r w:rsidRPr="00FF6B9A">
        <w:rPr>
          <w:rFonts w:eastAsiaTheme="minorEastAsia"/>
          <w:color w:val="000000" w:themeColor="text1"/>
        </w:rPr>
        <w:t>。</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spacing w:line="360" w:lineRule="auto"/>
        <w:rPr>
          <w:rFonts w:eastAsiaTheme="minorEastAsia"/>
          <w:color w:val="000000" w:themeColor="text1"/>
          <w:sz w:val="24"/>
          <w:szCs w:val="24"/>
        </w:rPr>
      </w:pPr>
      <w:r w:rsidRPr="00FF6B9A">
        <w:rPr>
          <w:rFonts w:eastAsiaTheme="minorEastAsia"/>
          <w:b/>
          <w:color w:val="000000" w:themeColor="text1"/>
          <w:kern w:val="0"/>
          <w:sz w:val="24"/>
          <w:szCs w:val="24"/>
        </w:rPr>
        <w:t>4.5</w:t>
      </w:r>
      <w:r w:rsidRPr="00FF6B9A">
        <w:rPr>
          <w:rFonts w:eastAsiaTheme="minorEastAsia"/>
          <w:b/>
          <w:color w:val="000000" w:themeColor="text1"/>
          <w:kern w:val="0"/>
          <w:sz w:val="24"/>
          <w:szCs w:val="24"/>
        </w:rPr>
        <w:t>报告期内基金持有人数或基金资产净值预警说明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kern w:val="0"/>
        </w:rPr>
        <w:t>无。</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§5  </w:t>
      </w:r>
      <w:r w:rsidRPr="00FF6B9A">
        <w:rPr>
          <w:rFonts w:eastAsiaTheme="minorEastAsia"/>
          <w:color w:val="000000" w:themeColor="text1"/>
          <w:kern w:val="0"/>
          <w:sz w:val="24"/>
          <w:szCs w:val="24"/>
        </w:rPr>
        <w:t>投资组合报告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 </w:t>
      </w:r>
      <w:r w:rsidRPr="00FF6B9A">
        <w:rPr>
          <w:rFonts w:eastAsiaTheme="minorEastAsia"/>
          <w:b/>
          <w:bCs/>
          <w:color w:val="000000" w:themeColor="text1"/>
          <w:kern w:val="0"/>
          <w:sz w:val="24"/>
          <w:szCs w:val="24"/>
        </w:rPr>
        <w:t>报告期末基金资产组合情况</w:t>
      </w:r>
    </w:p>
    <w:tbl>
      <w:tblPr>
        <w:tblStyle w:val="aff4"/>
        <w:tblW w:w="8897" w:type="dxa"/>
        <w:jc w:val="center"/>
        <w:tblLayout w:type="fixed"/>
        <w:tblLook w:val="04A0" w:firstRow="1" w:lastRow="0" w:firstColumn="1" w:lastColumn="0" w:noHBand="0" w:noVBand="1"/>
      </w:tblPr>
      <w:tblGrid>
        <w:gridCol w:w="720"/>
        <w:gridCol w:w="3357"/>
        <w:gridCol w:w="2977"/>
        <w:gridCol w:w="1843"/>
      </w:tblGrid>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335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项目</w:t>
            </w:r>
          </w:p>
        </w:tc>
        <w:tc>
          <w:tcPr>
            <w:tcW w:w="297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占基金总资产的比例</w:t>
            </w: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权益投资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1,910,599,434.70</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70.83</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其中：股票</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1,910,599,434.70</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70.83</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2</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固定收益投资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其中：债券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autoSpaceDE w:val="0"/>
              <w:autoSpaceDN w:val="0"/>
              <w:adjustRightInd w:val="0"/>
              <w:spacing w:before="29" w:line="360" w:lineRule="auto"/>
              <w:ind w:left="17" w:firstLineChars="250" w:firstLine="525"/>
              <w:jc w:val="left"/>
              <w:rPr>
                <w:rFonts w:eastAsiaTheme="minorEastAsia"/>
                <w:color w:val="000000" w:themeColor="text1"/>
                <w:kern w:val="0"/>
              </w:rPr>
            </w:pPr>
            <w:r w:rsidRPr="00FF6B9A">
              <w:rPr>
                <w:rFonts w:eastAsiaTheme="minorEastAsia"/>
                <w:color w:val="000000" w:themeColor="text1"/>
                <w:kern w:val="0"/>
              </w:rPr>
              <w:t>资产支持证券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3</w:t>
            </w:r>
          </w:p>
        </w:tc>
        <w:tc>
          <w:tcPr>
            <w:tcW w:w="3357" w:type="dxa"/>
          </w:tcPr>
          <w:p w:rsidR="00D06738" w:rsidRPr="00FF6B9A" w:rsidRDefault="00454D20">
            <w:pPr>
              <w:spacing w:before="29" w:line="360" w:lineRule="auto"/>
              <w:ind w:leftChars="50" w:left="105"/>
              <w:rPr>
                <w:rFonts w:eastAsiaTheme="minorEastAsia"/>
                <w:color w:val="000000" w:themeColor="text1"/>
                <w:kern w:val="0"/>
              </w:rPr>
            </w:pPr>
            <w:r w:rsidRPr="00FF6B9A">
              <w:rPr>
                <w:rFonts w:eastAsiaTheme="minorEastAsia"/>
                <w:color w:val="000000" w:themeColor="text1"/>
                <w:kern w:val="0"/>
              </w:rPr>
              <w:t>贵金属投资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4</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金融衍生品投资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5</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其中：买断式回购的买入返售金融资产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6</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银行存款和结算备付金合计</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784,783,318.94</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29.09</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7</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其他各项资产</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2,239,662.06</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0.08</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8</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合计</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2,697,622,415.70</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100.00</w:t>
            </w:r>
          </w:p>
        </w:tc>
      </w:tr>
    </w:tbl>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注：本基金本报告期末通过港股通交易机制投资的港股市值为</w:t>
      </w:r>
      <w:r w:rsidR="00947A15">
        <w:rPr>
          <w:rFonts w:eastAsiaTheme="minorEastAsia"/>
          <w:color w:val="000000" w:themeColor="text1"/>
        </w:rPr>
        <w:t>141,209,832.78</w:t>
      </w:r>
      <w:r w:rsidRPr="00FF6B9A">
        <w:rPr>
          <w:rFonts w:eastAsiaTheme="minorEastAsia"/>
          <w:color w:val="000000" w:themeColor="text1"/>
        </w:rPr>
        <w:t>元</w:t>
      </w:r>
      <w:r w:rsidRPr="00FF6B9A">
        <w:rPr>
          <w:rFonts w:eastAsiaTheme="minorEastAsia"/>
          <w:color w:val="000000" w:themeColor="text1"/>
        </w:rPr>
        <w:t>,</w:t>
      </w:r>
      <w:r w:rsidRPr="00FF6B9A">
        <w:rPr>
          <w:rFonts w:eastAsiaTheme="minorEastAsia"/>
          <w:color w:val="000000" w:themeColor="text1"/>
        </w:rPr>
        <w:t>占净值比例</w:t>
      </w:r>
      <w:r w:rsidR="00947A15">
        <w:rPr>
          <w:rFonts w:eastAsiaTheme="minorEastAsia"/>
          <w:color w:val="000000" w:themeColor="text1"/>
        </w:rPr>
        <w:t>5.30</w:t>
      </w:r>
      <w:r w:rsidRPr="00FF6B9A">
        <w:rPr>
          <w:rFonts w:eastAsiaTheme="minorEastAsia"/>
          <w:color w:val="000000" w:themeColor="text1"/>
        </w:rPr>
        <w:t>%</w:t>
      </w:r>
      <w:r w:rsidRPr="00FF6B9A">
        <w:rPr>
          <w:rFonts w:eastAsiaTheme="minorEastAsia"/>
          <w:color w:val="000000" w:themeColor="text1"/>
        </w:rPr>
        <w:t>。</w:t>
      </w:r>
    </w:p>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5.2 </w:t>
      </w:r>
      <w:r w:rsidRPr="00FF6B9A">
        <w:rPr>
          <w:rFonts w:eastAsiaTheme="minorEastAsia"/>
          <w:b/>
          <w:bCs/>
          <w:color w:val="000000" w:themeColor="text1"/>
          <w:kern w:val="0"/>
          <w:sz w:val="24"/>
          <w:szCs w:val="24"/>
        </w:rPr>
        <w:t>报告期末按行业分类的股票投资组合</w:t>
      </w:r>
    </w:p>
    <w:p w:rsidR="00D06738" w:rsidRPr="00FF6B9A" w:rsidRDefault="00454D20">
      <w:pPr>
        <w:rPr>
          <w:b/>
        </w:rPr>
      </w:pPr>
      <w:r w:rsidRPr="00FF6B9A">
        <w:rPr>
          <w:rFonts w:eastAsiaTheme="minorEastAsia"/>
          <w:b/>
          <w:color w:val="000000" w:themeColor="text1"/>
          <w:kern w:val="0"/>
        </w:rPr>
        <w:t>5.2.1</w:t>
      </w:r>
      <w:r w:rsidRPr="00FF6B9A">
        <w:rPr>
          <w:rFonts w:eastAsiaTheme="minor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D06738" w:rsidRPr="00FF6B9A">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占基金资产净值比例（％）</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p w:rsidR="00D06738" w:rsidRPr="00FF6B9A" w:rsidRDefault="00D06738">
            <w:pPr>
              <w:jc w:val="right"/>
              <w:rPr>
                <w:rFonts w:eastAsiaTheme="minorEastAsia"/>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p w:rsidR="00D06738" w:rsidRPr="00FF6B9A" w:rsidRDefault="00D06738">
            <w:pPr>
              <w:jc w:val="right"/>
              <w:rPr>
                <w:rFonts w:eastAsiaTheme="minorEastAsia"/>
                <w:color w:val="000000" w:themeColor="text1"/>
                <w:kern w:val="0"/>
              </w:rPr>
            </w:pP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1,374,643,237.46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51.64</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65,092,543.73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2.45</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156,447,943.75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5.88</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lastRenderedPageBreak/>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8,705.25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0.00</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105,147,640.00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3.95</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47,737,928.80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1.79</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218,348.07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0.01</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5,150,558.00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0.19</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14,942,696.86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0.56</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D06738">
            <w:pPr>
              <w:adjustRightInd w:val="0"/>
              <w:snapToGrid w:val="0"/>
              <w:spacing w:line="400" w:lineRule="exact"/>
              <w:jc w:val="center"/>
              <w:rPr>
                <w:rFonts w:eastAsiaTheme="minorEastAsia"/>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1,769,389,601.92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66.47</w:t>
            </w:r>
          </w:p>
        </w:tc>
      </w:tr>
    </w:tbl>
    <w:p w:rsidR="00D06738" w:rsidRPr="00FF6B9A" w:rsidRDefault="00454D20">
      <w:pPr>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 5.2.2</w:t>
      </w:r>
      <w:r w:rsidRPr="00FF6B9A">
        <w:rPr>
          <w:rFonts w:eastAsiaTheme="minorEastAsia"/>
          <w:b/>
          <w:bCs/>
          <w:color w:val="000000" w:themeColor="text1"/>
          <w:kern w:val="0"/>
          <w:sz w:val="24"/>
          <w:szCs w:val="24"/>
        </w:rPr>
        <w:t>报告期末按行业分类的港股通投资股票投资组合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D06738" w:rsidRPr="00FF6B9A">
        <w:trPr>
          <w:jc w:val="center"/>
        </w:trPr>
        <w:tc>
          <w:tcPr>
            <w:tcW w:w="239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行业类别</w:t>
            </w:r>
          </w:p>
        </w:tc>
        <w:tc>
          <w:tcPr>
            <w:tcW w:w="3119"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公允价值（人民币）</w:t>
            </w:r>
          </w:p>
        </w:tc>
        <w:tc>
          <w:tcPr>
            <w:tcW w:w="3118"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占基金资产净值比例（</w:t>
            </w:r>
            <w:r w:rsidRPr="00FF6B9A">
              <w:rPr>
                <w:rFonts w:eastAsiaTheme="minorEastAsia"/>
                <w:color w:val="000000" w:themeColor="text1"/>
                <w:kern w:val="0"/>
              </w:rPr>
              <w:t>%</w:t>
            </w:r>
            <w:r w:rsidRPr="00FF6B9A">
              <w:rPr>
                <w:rFonts w:eastAsiaTheme="minorEastAsia"/>
                <w:color w:val="000000" w:themeColor="text1"/>
                <w:kern w:val="0"/>
              </w:rPr>
              <w:t>）</w:t>
            </w:r>
          </w:p>
        </w:tc>
      </w:tr>
      <w:tr w:rsidR="00E42102">
        <w:trPr>
          <w:jc w:val="center"/>
        </w:trPr>
        <w:tc>
          <w:tcPr>
            <w:tcW w:w="2397" w:type="dxa"/>
            <w:vAlign w:val="center"/>
          </w:tcPr>
          <w:p w:rsidR="00E42102" w:rsidRDefault="00947A15">
            <w:pPr>
              <w:jc w:val="center"/>
            </w:pPr>
            <w:r>
              <w:rPr>
                <w:rFonts w:eastAsiaTheme="minorEastAsia"/>
                <w:color w:val="000000" w:themeColor="text1"/>
                <w:kern w:val="0"/>
              </w:rPr>
              <w:t xml:space="preserve">A </w:t>
            </w:r>
            <w:r>
              <w:rPr>
                <w:rFonts w:eastAsiaTheme="minorEastAsia"/>
                <w:color w:val="000000" w:themeColor="text1"/>
                <w:kern w:val="0"/>
              </w:rPr>
              <w:t>基础材料</w:t>
            </w:r>
          </w:p>
        </w:tc>
        <w:tc>
          <w:tcPr>
            <w:tcW w:w="3119" w:type="dxa"/>
            <w:vAlign w:val="center"/>
          </w:tcPr>
          <w:p w:rsidR="00E42102" w:rsidRDefault="00947A15">
            <w:pPr>
              <w:jc w:val="center"/>
            </w:pPr>
            <w:r>
              <w:rPr>
                <w:rFonts w:eastAsiaTheme="minorEastAsia"/>
                <w:color w:val="000000" w:themeColor="text1"/>
                <w:kern w:val="0"/>
              </w:rPr>
              <w:t>8,469,820.99</w:t>
            </w:r>
          </w:p>
        </w:tc>
        <w:tc>
          <w:tcPr>
            <w:tcW w:w="3118" w:type="dxa"/>
            <w:vAlign w:val="center"/>
          </w:tcPr>
          <w:p w:rsidR="00E42102" w:rsidRDefault="00947A15">
            <w:pPr>
              <w:jc w:val="center"/>
            </w:pPr>
            <w:r>
              <w:rPr>
                <w:rFonts w:eastAsiaTheme="minorEastAsia"/>
                <w:color w:val="000000" w:themeColor="text1"/>
                <w:kern w:val="0"/>
              </w:rPr>
              <w:t>0.32</w:t>
            </w:r>
          </w:p>
        </w:tc>
      </w:tr>
      <w:tr w:rsidR="00E42102">
        <w:trPr>
          <w:jc w:val="center"/>
        </w:trPr>
        <w:tc>
          <w:tcPr>
            <w:tcW w:w="2397" w:type="dxa"/>
            <w:vAlign w:val="center"/>
          </w:tcPr>
          <w:p w:rsidR="00E42102" w:rsidRDefault="00947A15">
            <w:pPr>
              <w:jc w:val="center"/>
            </w:pPr>
            <w:r>
              <w:rPr>
                <w:rFonts w:eastAsiaTheme="minorEastAsia"/>
                <w:color w:val="000000" w:themeColor="text1"/>
                <w:kern w:val="0"/>
              </w:rPr>
              <w:t xml:space="preserve">B </w:t>
            </w:r>
            <w:r>
              <w:rPr>
                <w:rFonts w:eastAsiaTheme="minorEastAsia"/>
                <w:color w:val="000000" w:themeColor="text1"/>
                <w:kern w:val="0"/>
              </w:rPr>
              <w:t>消费者非必需品</w:t>
            </w:r>
          </w:p>
        </w:tc>
        <w:tc>
          <w:tcPr>
            <w:tcW w:w="3119" w:type="dxa"/>
            <w:vAlign w:val="center"/>
          </w:tcPr>
          <w:p w:rsidR="00E42102" w:rsidRDefault="00947A15">
            <w:pPr>
              <w:jc w:val="center"/>
            </w:pPr>
            <w:r>
              <w:rPr>
                <w:rFonts w:eastAsiaTheme="minorEastAsia"/>
                <w:color w:val="000000" w:themeColor="text1"/>
                <w:kern w:val="0"/>
              </w:rPr>
              <w:t>56,921.12</w:t>
            </w:r>
          </w:p>
        </w:tc>
        <w:tc>
          <w:tcPr>
            <w:tcW w:w="3118" w:type="dxa"/>
            <w:vAlign w:val="center"/>
          </w:tcPr>
          <w:p w:rsidR="00E42102" w:rsidRDefault="00947A15">
            <w:pPr>
              <w:jc w:val="center"/>
            </w:pPr>
            <w:r>
              <w:rPr>
                <w:rFonts w:eastAsiaTheme="minorEastAsia"/>
                <w:color w:val="000000" w:themeColor="text1"/>
                <w:kern w:val="0"/>
              </w:rPr>
              <w:t>0.00</w:t>
            </w:r>
          </w:p>
        </w:tc>
      </w:tr>
      <w:tr w:rsidR="00E42102">
        <w:trPr>
          <w:jc w:val="center"/>
        </w:trPr>
        <w:tc>
          <w:tcPr>
            <w:tcW w:w="2397" w:type="dxa"/>
            <w:vAlign w:val="center"/>
          </w:tcPr>
          <w:p w:rsidR="00E42102" w:rsidRDefault="00947A15">
            <w:pPr>
              <w:jc w:val="center"/>
            </w:pPr>
            <w:r>
              <w:rPr>
                <w:rFonts w:eastAsiaTheme="minorEastAsia"/>
                <w:color w:val="000000" w:themeColor="text1"/>
                <w:kern w:val="0"/>
              </w:rPr>
              <w:t xml:space="preserve">C </w:t>
            </w:r>
            <w:r>
              <w:rPr>
                <w:rFonts w:eastAsiaTheme="minorEastAsia"/>
                <w:color w:val="000000" w:themeColor="text1"/>
                <w:kern w:val="0"/>
              </w:rPr>
              <w:t>消费者常用品</w:t>
            </w:r>
          </w:p>
        </w:tc>
        <w:tc>
          <w:tcPr>
            <w:tcW w:w="3119" w:type="dxa"/>
            <w:vAlign w:val="center"/>
          </w:tcPr>
          <w:p w:rsidR="00E42102" w:rsidRDefault="00947A15">
            <w:pPr>
              <w:jc w:val="center"/>
            </w:pPr>
            <w:r>
              <w:rPr>
                <w:rFonts w:eastAsiaTheme="minorEastAsia"/>
                <w:color w:val="000000" w:themeColor="text1"/>
                <w:kern w:val="0"/>
              </w:rPr>
              <w:t>-</w:t>
            </w:r>
          </w:p>
        </w:tc>
        <w:tc>
          <w:tcPr>
            <w:tcW w:w="3118" w:type="dxa"/>
            <w:vAlign w:val="center"/>
          </w:tcPr>
          <w:p w:rsidR="00E42102" w:rsidRDefault="00947A15">
            <w:pPr>
              <w:jc w:val="center"/>
            </w:pPr>
            <w:r>
              <w:rPr>
                <w:rFonts w:eastAsiaTheme="minorEastAsia"/>
                <w:color w:val="000000" w:themeColor="text1"/>
                <w:kern w:val="0"/>
              </w:rPr>
              <w:t>-</w:t>
            </w:r>
          </w:p>
        </w:tc>
      </w:tr>
      <w:tr w:rsidR="00E42102">
        <w:trPr>
          <w:jc w:val="center"/>
        </w:trPr>
        <w:tc>
          <w:tcPr>
            <w:tcW w:w="2397" w:type="dxa"/>
            <w:vAlign w:val="center"/>
          </w:tcPr>
          <w:p w:rsidR="00E42102" w:rsidRDefault="00947A15">
            <w:pPr>
              <w:jc w:val="center"/>
            </w:pPr>
            <w:r>
              <w:rPr>
                <w:rFonts w:eastAsiaTheme="minorEastAsia"/>
                <w:color w:val="000000" w:themeColor="text1"/>
                <w:kern w:val="0"/>
              </w:rPr>
              <w:t xml:space="preserve">D </w:t>
            </w:r>
            <w:r>
              <w:rPr>
                <w:rFonts w:eastAsiaTheme="minorEastAsia"/>
                <w:color w:val="000000" w:themeColor="text1"/>
                <w:kern w:val="0"/>
              </w:rPr>
              <w:t>能源</w:t>
            </w:r>
          </w:p>
        </w:tc>
        <w:tc>
          <w:tcPr>
            <w:tcW w:w="3119" w:type="dxa"/>
            <w:vAlign w:val="center"/>
          </w:tcPr>
          <w:p w:rsidR="00E42102" w:rsidRDefault="00947A15">
            <w:pPr>
              <w:jc w:val="center"/>
            </w:pPr>
            <w:r>
              <w:rPr>
                <w:rFonts w:eastAsiaTheme="minorEastAsia"/>
                <w:color w:val="000000" w:themeColor="text1"/>
                <w:kern w:val="0"/>
              </w:rPr>
              <w:t>-</w:t>
            </w:r>
          </w:p>
        </w:tc>
        <w:tc>
          <w:tcPr>
            <w:tcW w:w="3118" w:type="dxa"/>
            <w:vAlign w:val="center"/>
          </w:tcPr>
          <w:p w:rsidR="00E42102" w:rsidRDefault="00947A15">
            <w:pPr>
              <w:jc w:val="center"/>
            </w:pPr>
            <w:r>
              <w:rPr>
                <w:rFonts w:eastAsiaTheme="minorEastAsia"/>
                <w:color w:val="000000" w:themeColor="text1"/>
                <w:kern w:val="0"/>
              </w:rPr>
              <w:t>-</w:t>
            </w:r>
          </w:p>
        </w:tc>
      </w:tr>
      <w:tr w:rsidR="00E42102">
        <w:trPr>
          <w:jc w:val="center"/>
        </w:trPr>
        <w:tc>
          <w:tcPr>
            <w:tcW w:w="2397" w:type="dxa"/>
            <w:vAlign w:val="center"/>
          </w:tcPr>
          <w:p w:rsidR="00E42102" w:rsidRDefault="00947A15">
            <w:pPr>
              <w:jc w:val="center"/>
            </w:pPr>
            <w:r>
              <w:rPr>
                <w:rFonts w:eastAsiaTheme="minorEastAsia"/>
                <w:color w:val="000000" w:themeColor="text1"/>
                <w:kern w:val="0"/>
              </w:rPr>
              <w:t xml:space="preserve">E </w:t>
            </w:r>
            <w:r>
              <w:rPr>
                <w:rFonts w:eastAsiaTheme="minorEastAsia"/>
                <w:color w:val="000000" w:themeColor="text1"/>
                <w:kern w:val="0"/>
              </w:rPr>
              <w:t>金融</w:t>
            </w:r>
          </w:p>
        </w:tc>
        <w:tc>
          <w:tcPr>
            <w:tcW w:w="3119" w:type="dxa"/>
            <w:vAlign w:val="center"/>
          </w:tcPr>
          <w:p w:rsidR="00E42102" w:rsidRDefault="00947A15">
            <w:pPr>
              <w:jc w:val="center"/>
            </w:pPr>
            <w:r>
              <w:rPr>
                <w:rFonts w:eastAsiaTheme="minorEastAsia"/>
                <w:color w:val="000000" w:themeColor="text1"/>
                <w:kern w:val="0"/>
              </w:rPr>
              <w:t>-</w:t>
            </w:r>
          </w:p>
        </w:tc>
        <w:tc>
          <w:tcPr>
            <w:tcW w:w="3118" w:type="dxa"/>
            <w:vAlign w:val="center"/>
          </w:tcPr>
          <w:p w:rsidR="00E42102" w:rsidRDefault="00947A15">
            <w:pPr>
              <w:jc w:val="center"/>
            </w:pPr>
            <w:r>
              <w:rPr>
                <w:rFonts w:eastAsiaTheme="minorEastAsia"/>
                <w:color w:val="000000" w:themeColor="text1"/>
                <w:kern w:val="0"/>
              </w:rPr>
              <w:t>-</w:t>
            </w:r>
          </w:p>
        </w:tc>
      </w:tr>
      <w:tr w:rsidR="00E42102">
        <w:trPr>
          <w:jc w:val="center"/>
        </w:trPr>
        <w:tc>
          <w:tcPr>
            <w:tcW w:w="2397" w:type="dxa"/>
            <w:vAlign w:val="center"/>
          </w:tcPr>
          <w:p w:rsidR="00E42102" w:rsidRDefault="00947A15">
            <w:pPr>
              <w:jc w:val="center"/>
            </w:pPr>
            <w:r>
              <w:rPr>
                <w:rFonts w:eastAsiaTheme="minorEastAsia"/>
                <w:color w:val="000000" w:themeColor="text1"/>
                <w:kern w:val="0"/>
              </w:rPr>
              <w:t xml:space="preserve">F </w:t>
            </w:r>
            <w:r>
              <w:rPr>
                <w:rFonts w:eastAsiaTheme="minorEastAsia"/>
                <w:color w:val="000000" w:themeColor="text1"/>
                <w:kern w:val="0"/>
              </w:rPr>
              <w:t>医疗保健</w:t>
            </w:r>
          </w:p>
        </w:tc>
        <w:tc>
          <w:tcPr>
            <w:tcW w:w="3119" w:type="dxa"/>
            <w:vAlign w:val="center"/>
          </w:tcPr>
          <w:p w:rsidR="00E42102" w:rsidRDefault="00947A15">
            <w:pPr>
              <w:jc w:val="center"/>
            </w:pPr>
            <w:r>
              <w:rPr>
                <w:rFonts w:eastAsiaTheme="minorEastAsia"/>
                <w:color w:val="000000" w:themeColor="text1"/>
                <w:kern w:val="0"/>
              </w:rPr>
              <w:t>24,290,571.75</w:t>
            </w:r>
          </w:p>
        </w:tc>
        <w:tc>
          <w:tcPr>
            <w:tcW w:w="3118" w:type="dxa"/>
            <w:vAlign w:val="center"/>
          </w:tcPr>
          <w:p w:rsidR="00E42102" w:rsidRDefault="00947A15">
            <w:pPr>
              <w:jc w:val="center"/>
            </w:pPr>
            <w:r>
              <w:rPr>
                <w:rFonts w:eastAsiaTheme="minorEastAsia"/>
                <w:color w:val="000000" w:themeColor="text1"/>
                <w:kern w:val="0"/>
              </w:rPr>
              <w:t>0.91</w:t>
            </w:r>
          </w:p>
        </w:tc>
      </w:tr>
      <w:tr w:rsidR="00E42102">
        <w:trPr>
          <w:jc w:val="center"/>
        </w:trPr>
        <w:tc>
          <w:tcPr>
            <w:tcW w:w="2397" w:type="dxa"/>
            <w:vAlign w:val="center"/>
          </w:tcPr>
          <w:p w:rsidR="00E42102" w:rsidRDefault="00947A15">
            <w:pPr>
              <w:jc w:val="center"/>
            </w:pPr>
            <w:r>
              <w:rPr>
                <w:rFonts w:eastAsiaTheme="minorEastAsia"/>
                <w:color w:val="000000" w:themeColor="text1"/>
                <w:kern w:val="0"/>
              </w:rPr>
              <w:t xml:space="preserve">G </w:t>
            </w:r>
            <w:r>
              <w:rPr>
                <w:rFonts w:eastAsiaTheme="minorEastAsia"/>
                <w:color w:val="000000" w:themeColor="text1"/>
                <w:kern w:val="0"/>
              </w:rPr>
              <w:t>工业</w:t>
            </w:r>
          </w:p>
        </w:tc>
        <w:tc>
          <w:tcPr>
            <w:tcW w:w="3119" w:type="dxa"/>
            <w:vAlign w:val="center"/>
          </w:tcPr>
          <w:p w:rsidR="00E42102" w:rsidRDefault="00947A15">
            <w:pPr>
              <w:jc w:val="center"/>
            </w:pPr>
            <w:r>
              <w:rPr>
                <w:rFonts w:eastAsiaTheme="minorEastAsia"/>
                <w:color w:val="000000" w:themeColor="text1"/>
                <w:kern w:val="0"/>
              </w:rPr>
              <w:t>-</w:t>
            </w:r>
          </w:p>
        </w:tc>
        <w:tc>
          <w:tcPr>
            <w:tcW w:w="3118" w:type="dxa"/>
            <w:vAlign w:val="center"/>
          </w:tcPr>
          <w:p w:rsidR="00E42102" w:rsidRDefault="00947A15">
            <w:pPr>
              <w:jc w:val="center"/>
            </w:pPr>
            <w:r>
              <w:rPr>
                <w:rFonts w:eastAsiaTheme="minorEastAsia"/>
                <w:color w:val="000000" w:themeColor="text1"/>
                <w:kern w:val="0"/>
              </w:rPr>
              <w:t>-</w:t>
            </w:r>
          </w:p>
        </w:tc>
      </w:tr>
      <w:tr w:rsidR="00E42102">
        <w:trPr>
          <w:jc w:val="center"/>
        </w:trPr>
        <w:tc>
          <w:tcPr>
            <w:tcW w:w="2397" w:type="dxa"/>
            <w:vAlign w:val="center"/>
          </w:tcPr>
          <w:p w:rsidR="00E42102" w:rsidRDefault="00947A15">
            <w:pPr>
              <w:jc w:val="center"/>
            </w:pPr>
            <w:r>
              <w:rPr>
                <w:rFonts w:eastAsiaTheme="minorEastAsia"/>
                <w:color w:val="000000" w:themeColor="text1"/>
                <w:kern w:val="0"/>
              </w:rPr>
              <w:t xml:space="preserve">H </w:t>
            </w:r>
            <w:r>
              <w:rPr>
                <w:rFonts w:eastAsiaTheme="minorEastAsia"/>
                <w:color w:val="000000" w:themeColor="text1"/>
                <w:kern w:val="0"/>
              </w:rPr>
              <w:t>信息技术</w:t>
            </w:r>
          </w:p>
        </w:tc>
        <w:tc>
          <w:tcPr>
            <w:tcW w:w="3119" w:type="dxa"/>
            <w:vAlign w:val="center"/>
          </w:tcPr>
          <w:p w:rsidR="00E42102" w:rsidRDefault="00947A15">
            <w:pPr>
              <w:jc w:val="center"/>
            </w:pPr>
            <w:r>
              <w:rPr>
                <w:rFonts w:eastAsiaTheme="minorEastAsia"/>
                <w:color w:val="000000" w:themeColor="text1"/>
                <w:kern w:val="0"/>
              </w:rPr>
              <w:t>2,320,305.36</w:t>
            </w:r>
          </w:p>
        </w:tc>
        <w:tc>
          <w:tcPr>
            <w:tcW w:w="3118" w:type="dxa"/>
            <w:vAlign w:val="center"/>
          </w:tcPr>
          <w:p w:rsidR="00E42102" w:rsidRDefault="00947A15">
            <w:pPr>
              <w:jc w:val="center"/>
            </w:pPr>
            <w:r>
              <w:rPr>
                <w:rFonts w:eastAsiaTheme="minorEastAsia"/>
                <w:color w:val="000000" w:themeColor="text1"/>
                <w:kern w:val="0"/>
              </w:rPr>
              <w:t>0.09</w:t>
            </w:r>
          </w:p>
        </w:tc>
      </w:tr>
      <w:tr w:rsidR="00E42102">
        <w:trPr>
          <w:jc w:val="center"/>
        </w:trPr>
        <w:tc>
          <w:tcPr>
            <w:tcW w:w="2397" w:type="dxa"/>
            <w:vAlign w:val="center"/>
          </w:tcPr>
          <w:p w:rsidR="00E42102" w:rsidRDefault="00947A15">
            <w:pPr>
              <w:jc w:val="center"/>
            </w:pPr>
            <w:r>
              <w:rPr>
                <w:rFonts w:eastAsiaTheme="minorEastAsia"/>
                <w:color w:val="000000" w:themeColor="text1"/>
                <w:kern w:val="0"/>
              </w:rPr>
              <w:t xml:space="preserve">I </w:t>
            </w:r>
            <w:r>
              <w:rPr>
                <w:rFonts w:eastAsiaTheme="minorEastAsia"/>
                <w:color w:val="000000" w:themeColor="text1"/>
                <w:kern w:val="0"/>
              </w:rPr>
              <w:t>电信服务</w:t>
            </w:r>
          </w:p>
        </w:tc>
        <w:tc>
          <w:tcPr>
            <w:tcW w:w="3119" w:type="dxa"/>
            <w:vAlign w:val="center"/>
          </w:tcPr>
          <w:p w:rsidR="00E42102" w:rsidRDefault="00947A15">
            <w:pPr>
              <w:jc w:val="center"/>
            </w:pPr>
            <w:r>
              <w:rPr>
                <w:rFonts w:eastAsiaTheme="minorEastAsia"/>
                <w:color w:val="000000" w:themeColor="text1"/>
                <w:kern w:val="0"/>
              </w:rPr>
              <w:t>64,421,062.96</w:t>
            </w:r>
          </w:p>
        </w:tc>
        <w:tc>
          <w:tcPr>
            <w:tcW w:w="3118" w:type="dxa"/>
            <w:vAlign w:val="center"/>
          </w:tcPr>
          <w:p w:rsidR="00E42102" w:rsidRDefault="00947A15">
            <w:pPr>
              <w:jc w:val="center"/>
            </w:pPr>
            <w:r>
              <w:rPr>
                <w:rFonts w:eastAsiaTheme="minorEastAsia"/>
                <w:color w:val="000000" w:themeColor="text1"/>
                <w:kern w:val="0"/>
              </w:rPr>
              <w:t>2.42</w:t>
            </w:r>
          </w:p>
        </w:tc>
      </w:tr>
      <w:tr w:rsidR="00E42102">
        <w:trPr>
          <w:jc w:val="center"/>
        </w:trPr>
        <w:tc>
          <w:tcPr>
            <w:tcW w:w="2397" w:type="dxa"/>
            <w:vAlign w:val="center"/>
          </w:tcPr>
          <w:p w:rsidR="00E42102" w:rsidRDefault="00947A15">
            <w:pPr>
              <w:jc w:val="center"/>
            </w:pPr>
            <w:r>
              <w:rPr>
                <w:rFonts w:eastAsiaTheme="minorEastAsia"/>
                <w:color w:val="000000" w:themeColor="text1"/>
                <w:kern w:val="0"/>
              </w:rPr>
              <w:t xml:space="preserve">J </w:t>
            </w:r>
            <w:r>
              <w:rPr>
                <w:rFonts w:eastAsiaTheme="minorEastAsia"/>
                <w:color w:val="000000" w:themeColor="text1"/>
                <w:kern w:val="0"/>
              </w:rPr>
              <w:t>公用事业</w:t>
            </w:r>
          </w:p>
        </w:tc>
        <w:tc>
          <w:tcPr>
            <w:tcW w:w="3119" w:type="dxa"/>
            <w:vAlign w:val="center"/>
          </w:tcPr>
          <w:p w:rsidR="00E42102" w:rsidRDefault="00947A15">
            <w:pPr>
              <w:jc w:val="center"/>
            </w:pPr>
            <w:r>
              <w:rPr>
                <w:rFonts w:eastAsiaTheme="minorEastAsia"/>
                <w:color w:val="000000" w:themeColor="text1"/>
                <w:kern w:val="0"/>
              </w:rPr>
              <w:t>41,651,150.60</w:t>
            </w:r>
          </w:p>
        </w:tc>
        <w:tc>
          <w:tcPr>
            <w:tcW w:w="3118" w:type="dxa"/>
            <w:vAlign w:val="center"/>
          </w:tcPr>
          <w:p w:rsidR="00E42102" w:rsidRDefault="00947A15">
            <w:pPr>
              <w:jc w:val="center"/>
            </w:pPr>
            <w:r>
              <w:rPr>
                <w:rFonts w:eastAsiaTheme="minorEastAsia"/>
                <w:color w:val="000000" w:themeColor="text1"/>
                <w:kern w:val="0"/>
              </w:rPr>
              <w:t>1.56</w:t>
            </w:r>
          </w:p>
        </w:tc>
      </w:tr>
      <w:tr w:rsidR="00E42102">
        <w:trPr>
          <w:jc w:val="center"/>
        </w:trPr>
        <w:tc>
          <w:tcPr>
            <w:tcW w:w="2397" w:type="dxa"/>
            <w:vAlign w:val="center"/>
          </w:tcPr>
          <w:p w:rsidR="00E42102" w:rsidRDefault="00947A15">
            <w:pPr>
              <w:jc w:val="center"/>
            </w:pPr>
            <w:r>
              <w:rPr>
                <w:rFonts w:eastAsiaTheme="minorEastAsia"/>
                <w:color w:val="000000" w:themeColor="text1"/>
                <w:kern w:val="0"/>
              </w:rPr>
              <w:t xml:space="preserve">K </w:t>
            </w:r>
            <w:r>
              <w:rPr>
                <w:rFonts w:eastAsiaTheme="minorEastAsia"/>
                <w:color w:val="000000" w:themeColor="text1"/>
                <w:kern w:val="0"/>
              </w:rPr>
              <w:t>房地产</w:t>
            </w:r>
          </w:p>
        </w:tc>
        <w:tc>
          <w:tcPr>
            <w:tcW w:w="3119" w:type="dxa"/>
            <w:vAlign w:val="center"/>
          </w:tcPr>
          <w:p w:rsidR="00E42102" w:rsidRDefault="00947A15">
            <w:pPr>
              <w:jc w:val="center"/>
            </w:pPr>
            <w:r>
              <w:rPr>
                <w:rFonts w:eastAsiaTheme="minorEastAsia"/>
                <w:color w:val="000000" w:themeColor="text1"/>
                <w:kern w:val="0"/>
              </w:rPr>
              <w:t>-</w:t>
            </w:r>
          </w:p>
        </w:tc>
        <w:tc>
          <w:tcPr>
            <w:tcW w:w="3118" w:type="dxa"/>
            <w:vAlign w:val="center"/>
          </w:tcPr>
          <w:p w:rsidR="00E42102" w:rsidRDefault="00947A15">
            <w:pPr>
              <w:jc w:val="center"/>
            </w:pPr>
            <w:r>
              <w:rPr>
                <w:rFonts w:eastAsiaTheme="minorEastAsia"/>
                <w:color w:val="000000" w:themeColor="text1"/>
                <w:kern w:val="0"/>
              </w:rPr>
              <w:t>-</w:t>
            </w:r>
          </w:p>
        </w:tc>
      </w:tr>
      <w:tr w:rsidR="00D06738" w:rsidRPr="00FF6B9A">
        <w:trPr>
          <w:jc w:val="center"/>
        </w:trPr>
        <w:tc>
          <w:tcPr>
            <w:tcW w:w="239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合计</w:t>
            </w:r>
          </w:p>
        </w:tc>
        <w:tc>
          <w:tcPr>
            <w:tcW w:w="3119" w:type="dxa"/>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141,209,832.78</w:t>
            </w:r>
          </w:p>
        </w:tc>
        <w:tc>
          <w:tcPr>
            <w:tcW w:w="3118" w:type="dxa"/>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5.30</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FF6B9A" w:rsidRPr="00FF6B9A" w:rsidRDefault="00FF6B9A" w:rsidP="00FF6B9A">
      <w:pPr>
        <w:spacing w:line="360" w:lineRule="auto"/>
        <w:rPr>
          <w:rFonts w:eastAsiaTheme="minorEastAsia"/>
          <w:sz w:val="24"/>
          <w:szCs w:val="24"/>
        </w:rPr>
      </w:pPr>
      <w:bookmarkStart w:id="1" w:name="_Hlk73460790"/>
      <w:r w:rsidRPr="00FF6B9A">
        <w:rPr>
          <w:rFonts w:eastAsiaTheme="minorEastAsia"/>
          <w:b/>
          <w:bCs/>
          <w:kern w:val="0"/>
          <w:sz w:val="24"/>
          <w:szCs w:val="24"/>
        </w:rPr>
        <w:t>5.3</w:t>
      </w:r>
      <w:r w:rsidRPr="00FF6B9A">
        <w:rPr>
          <w:rFonts w:asciiTheme="minorEastAsia" w:eastAsiaTheme="minorEastAsia" w:hAnsiTheme="minorEastAsia" w:hint="eastAsia"/>
          <w:b/>
          <w:bCs/>
          <w:kern w:val="0"/>
          <w:sz w:val="24"/>
          <w:szCs w:val="24"/>
        </w:rPr>
        <w:t>期末按公允价值占基金资产净值比例大小排序的股票投资明细</w:t>
      </w:r>
      <w:r w:rsidRPr="00FF6B9A">
        <w:rPr>
          <w:rFonts w:asciiTheme="minorEastAsia" w:eastAsiaTheme="minorEastAsia" w:hAnsiTheme="minorEastAsia" w:hint="eastAsia"/>
          <w:b/>
          <w:bCs/>
          <w:kern w:val="0"/>
          <w:sz w:val="24"/>
          <w:szCs w:val="24"/>
        </w:rPr>
        <w:cr/>
      </w:r>
      <w:r w:rsidRPr="00FF6B9A">
        <w:rPr>
          <w:rFonts w:eastAsiaTheme="minorEastAsia"/>
          <w:b/>
          <w:bCs/>
          <w:kern w:val="0"/>
          <w:sz w:val="24"/>
          <w:szCs w:val="24"/>
        </w:rPr>
        <w:t>5.3.1</w:t>
      </w:r>
      <w:r w:rsidRPr="00FF6B9A">
        <w:rPr>
          <w:rFonts w:asciiTheme="minorEastAsia" w:eastAsiaTheme="minorEastAsia" w:hAnsiTheme="minorEastAsia" w:hint="eastAsia"/>
          <w:b/>
          <w:bCs/>
          <w:kern w:val="0"/>
          <w:sz w:val="24"/>
          <w:szCs w:val="24"/>
        </w:rPr>
        <w:t>报告期末按公允价值占基金资产净值比例大小排序的前十名股票投资明细</w:t>
      </w:r>
    </w:p>
    <w:tbl>
      <w:tblPr>
        <w:tblStyle w:val="aff4"/>
        <w:tblW w:w="0" w:type="auto"/>
        <w:tblLayout w:type="fixed"/>
        <w:tblLook w:val="04A0" w:firstRow="1" w:lastRow="0" w:firstColumn="1" w:lastColumn="0" w:noHBand="0" w:noVBand="1"/>
      </w:tblPr>
      <w:tblGrid>
        <w:gridCol w:w="817"/>
        <w:gridCol w:w="1276"/>
        <w:gridCol w:w="1701"/>
        <w:gridCol w:w="1276"/>
        <w:gridCol w:w="1842"/>
        <w:gridCol w:w="1616"/>
      </w:tblGrid>
      <w:tr w:rsidR="00FF6B9A" w:rsidRPr="00FF6B9A" w:rsidTr="00D913A1">
        <w:tc>
          <w:tcPr>
            <w:tcW w:w="817"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序号</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股票代码</w:t>
            </w:r>
          </w:p>
        </w:tc>
        <w:tc>
          <w:tcPr>
            <w:tcW w:w="1701"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股票名称</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数量</w:t>
            </w:r>
            <w:r w:rsidRPr="00FF6B9A">
              <w:rPr>
                <w:rFonts w:eastAsiaTheme="minorEastAsia"/>
                <w:kern w:val="0"/>
                <w:sz w:val="24"/>
                <w:szCs w:val="24"/>
              </w:rPr>
              <w:t>(</w:t>
            </w:r>
            <w:r w:rsidRPr="00FF6B9A">
              <w:rPr>
                <w:rFonts w:eastAsiaTheme="minorEastAsia"/>
                <w:kern w:val="0"/>
                <w:sz w:val="24"/>
                <w:szCs w:val="24"/>
              </w:rPr>
              <w:t>股</w:t>
            </w:r>
            <w:r w:rsidRPr="00FF6B9A">
              <w:rPr>
                <w:rFonts w:eastAsiaTheme="minorEastAsia"/>
                <w:kern w:val="0"/>
                <w:sz w:val="24"/>
                <w:szCs w:val="24"/>
              </w:rPr>
              <w:t>)</w:t>
            </w:r>
          </w:p>
        </w:tc>
        <w:tc>
          <w:tcPr>
            <w:tcW w:w="1842" w:type="dxa"/>
            <w:vAlign w:val="center"/>
          </w:tcPr>
          <w:p w:rsidR="00FF6B9A" w:rsidRPr="00FF6B9A" w:rsidRDefault="00FF6B9A" w:rsidP="00D913A1">
            <w:pPr>
              <w:autoSpaceDE w:val="0"/>
              <w:autoSpaceDN w:val="0"/>
              <w:adjustRightInd w:val="0"/>
              <w:spacing w:before="29" w:line="360" w:lineRule="auto"/>
              <w:ind w:left="17"/>
              <w:jc w:val="center"/>
              <w:rPr>
                <w:rFonts w:eastAsiaTheme="minorEastAsia"/>
                <w:kern w:val="0"/>
                <w:sz w:val="24"/>
                <w:szCs w:val="24"/>
              </w:rPr>
            </w:pPr>
            <w:r w:rsidRPr="00FF6B9A">
              <w:rPr>
                <w:rFonts w:eastAsiaTheme="minorEastAsia"/>
                <w:kern w:val="0"/>
                <w:sz w:val="24"/>
                <w:szCs w:val="24"/>
              </w:rPr>
              <w:t>公允价值</w:t>
            </w:r>
            <w:r w:rsidRPr="00FF6B9A">
              <w:rPr>
                <w:rFonts w:eastAsiaTheme="minorEastAsia"/>
                <w:kern w:val="0"/>
                <w:sz w:val="24"/>
                <w:szCs w:val="24"/>
              </w:rPr>
              <w:t>(</w:t>
            </w:r>
            <w:r w:rsidRPr="00FF6B9A">
              <w:rPr>
                <w:rFonts w:eastAsiaTheme="minorEastAsia"/>
                <w:kern w:val="0"/>
                <w:sz w:val="24"/>
                <w:szCs w:val="24"/>
              </w:rPr>
              <w:t>元</w:t>
            </w:r>
            <w:r w:rsidRPr="00FF6B9A">
              <w:rPr>
                <w:rFonts w:eastAsiaTheme="minorEastAsia"/>
                <w:kern w:val="0"/>
                <w:sz w:val="24"/>
                <w:szCs w:val="24"/>
              </w:rPr>
              <w:t>)</w:t>
            </w:r>
          </w:p>
        </w:tc>
        <w:tc>
          <w:tcPr>
            <w:tcW w:w="161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占基金资产净值比例</w:t>
            </w:r>
            <w:r w:rsidRPr="00FF6B9A">
              <w:rPr>
                <w:rFonts w:eastAsiaTheme="minorEastAsia"/>
                <w:kern w:val="0"/>
                <w:sz w:val="24"/>
                <w:szCs w:val="24"/>
              </w:rPr>
              <w:t>(</w:t>
            </w:r>
            <w:r w:rsidRPr="00FF6B9A">
              <w:rPr>
                <w:rFonts w:eastAsiaTheme="minorEastAsia"/>
                <w:kern w:val="0"/>
                <w:sz w:val="24"/>
                <w:szCs w:val="24"/>
              </w:rPr>
              <w:t>％</w:t>
            </w:r>
            <w:r w:rsidRPr="00FF6B9A">
              <w:rPr>
                <w:rFonts w:eastAsiaTheme="minorEastAsia"/>
                <w:kern w:val="0"/>
                <w:sz w:val="24"/>
                <w:szCs w:val="24"/>
              </w:rPr>
              <w:t>)</w:t>
            </w:r>
          </w:p>
        </w:tc>
      </w:tr>
      <w:tr w:rsidR="00E42102">
        <w:tc>
          <w:tcPr>
            <w:tcW w:w="817" w:type="dxa"/>
            <w:vAlign w:val="center"/>
          </w:tcPr>
          <w:p w:rsidR="00E42102" w:rsidRDefault="00947A15">
            <w:pPr>
              <w:jc w:val="center"/>
            </w:pPr>
            <w:r>
              <w:rPr>
                <w:rFonts w:eastAsiaTheme="minorEastAsia"/>
                <w:kern w:val="0"/>
                <w:sz w:val="24"/>
                <w:szCs w:val="24"/>
              </w:rPr>
              <w:t>1</w:t>
            </w:r>
          </w:p>
        </w:tc>
        <w:tc>
          <w:tcPr>
            <w:tcW w:w="1276" w:type="dxa"/>
            <w:vAlign w:val="center"/>
          </w:tcPr>
          <w:p w:rsidR="00E42102" w:rsidRDefault="00947A15">
            <w:pPr>
              <w:jc w:val="center"/>
            </w:pPr>
            <w:r>
              <w:rPr>
                <w:rFonts w:eastAsiaTheme="minorEastAsia"/>
                <w:kern w:val="0"/>
                <w:sz w:val="24"/>
                <w:szCs w:val="24"/>
              </w:rPr>
              <w:t>300390</w:t>
            </w:r>
          </w:p>
        </w:tc>
        <w:tc>
          <w:tcPr>
            <w:tcW w:w="1701" w:type="dxa"/>
            <w:vAlign w:val="center"/>
          </w:tcPr>
          <w:p w:rsidR="00E42102" w:rsidRDefault="00947A15">
            <w:pPr>
              <w:jc w:val="center"/>
            </w:pPr>
            <w:r>
              <w:rPr>
                <w:rFonts w:eastAsiaTheme="minorEastAsia"/>
                <w:kern w:val="0"/>
                <w:sz w:val="24"/>
                <w:szCs w:val="24"/>
              </w:rPr>
              <w:t>天华超净</w:t>
            </w:r>
          </w:p>
        </w:tc>
        <w:tc>
          <w:tcPr>
            <w:tcW w:w="1276" w:type="dxa"/>
            <w:vAlign w:val="center"/>
          </w:tcPr>
          <w:p w:rsidR="00E42102" w:rsidRDefault="00947A15">
            <w:pPr>
              <w:jc w:val="right"/>
            </w:pPr>
            <w:r>
              <w:rPr>
                <w:rFonts w:eastAsiaTheme="minorEastAsia"/>
                <w:kern w:val="0"/>
                <w:sz w:val="24"/>
                <w:szCs w:val="24"/>
              </w:rPr>
              <w:t>2,039,054.00</w:t>
            </w:r>
          </w:p>
        </w:tc>
        <w:tc>
          <w:tcPr>
            <w:tcW w:w="1842" w:type="dxa"/>
            <w:vAlign w:val="center"/>
          </w:tcPr>
          <w:p w:rsidR="00E42102" w:rsidRDefault="00947A15">
            <w:pPr>
              <w:jc w:val="right"/>
            </w:pPr>
            <w:r>
              <w:rPr>
                <w:rFonts w:eastAsiaTheme="minorEastAsia"/>
                <w:kern w:val="0"/>
                <w:sz w:val="24"/>
                <w:szCs w:val="24"/>
              </w:rPr>
              <w:t>218,892,446.90</w:t>
            </w:r>
          </w:p>
        </w:tc>
        <w:tc>
          <w:tcPr>
            <w:tcW w:w="1616" w:type="dxa"/>
            <w:vAlign w:val="center"/>
          </w:tcPr>
          <w:p w:rsidR="00E42102" w:rsidRDefault="00947A15">
            <w:pPr>
              <w:jc w:val="right"/>
            </w:pPr>
            <w:r>
              <w:rPr>
                <w:rFonts w:eastAsiaTheme="minorEastAsia"/>
                <w:kern w:val="0"/>
                <w:sz w:val="24"/>
                <w:szCs w:val="24"/>
              </w:rPr>
              <w:t>8.22</w:t>
            </w:r>
          </w:p>
        </w:tc>
      </w:tr>
      <w:tr w:rsidR="00E42102">
        <w:tc>
          <w:tcPr>
            <w:tcW w:w="817" w:type="dxa"/>
            <w:vAlign w:val="center"/>
          </w:tcPr>
          <w:p w:rsidR="00E42102" w:rsidRDefault="00947A15">
            <w:pPr>
              <w:jc w:val="center"/>
            </w:pPr>
            <w:r>
              <w:rPr>
                <w:rFonts w:eastAsiaTheme="minorEastAsia"/>
                <w:kern w:val="0"/>
                <w:sz w:val="24"/>
                <w:szCs w:val="24"/>
              </w:rPr>
              <w:t>2</w:t>
            </w:r>
          </w:p>
        </w:tc>
        <w:tc>
          <w:tcPr>
            <w:tcW w:w="1276" w:type="dxa"/>
            <w:vAlign w:val="center"/>
          </w:tcPr>
          <w:p w:rsidR="00E42102" w:rsidRDefault="00947A15">
            <w:pPr>
              <w:jc w:val="center"/>
            </w:pPr>
            <w:r>
              <w:rPr>
                <w:rFonts w:eastAsiaTheme="minorEastAsia"/>
                <w:kern w:val="0"/>
                <w:sz w:val="24"/>
                <w:szCs w:val="24"/>
              </w:rPr>
              <w:t>300750</w:t>
            </w:r>
          </w:p>
        </w:tc>
        <w:tc>
          <w:tcPr>
            <w:tcW w:w="1701" w:type="dxa"/>
            <w:vAlign w:val="center"/>
          </w:tcPr>
          <w:p w:rsidR="00E42102" w:rsidRDefault="00947A15">
            <w:pPr>
              <w:jc w:val="center"/>
            </w:pPr>
            <w:r>
              <w:rPr>
                <w:rFonts w:eastAsiaTheme="minorEastAsia"/>
                <w:kern w:val="0"/>
                <w:sz w:val="24"/>
                <w:szCs w:val="24"/>
              </w:rPr>
              <w:t>宁德时代</w:t>
            </w:r>
          </w:p>
        </w:tc>
        <w:tc>
          <w:tcPr>
            <w:tcW w:w="1276" w:type="dxa"/>
            <w:vAlign w:val="center"/>
          </w:tcPr>
          <w:p w:rsidR="00E42102" w:rsidRDefault="00947A15">
            <w:pPr>
              <w:jc w:val="right"/>
            </w:pPr>
            <w:r>
              <w:rPr>
                <w:rFonts w:eastAsiaTheme="minorEastAsia"/>
                <w:kern w:val="0"/>
                <w:sz w:val="24"/>
                <w:szCs w:val="24"/>
              </w:rPr>
              <w:t>355,526.00</w:t>
            </w:r>
          </w:p>
        </w:tc>
        <w:tc>
          <w:tcPr>
            <w:tcW w:w="1842" w:type="dxa"/>
            <w:vAlign w:val="center"/>
          </w:tcPr>
          <w:p w:rsidR="00E42102" w:rsidRDefault="00947A15">
            <w:pPr>
              <w:jc w:val="right"/>
            </w:pPr>
            <w:r>
              <w:rPr>
                <w:rFonts w:eastAsiaTheme="minorEastAsia"/>
                <w:kern w:val="0"/>
                <w:sz w:val="24"/>
                <w:szCs w:val="24"/>
              </w:rPr>
              <w:t>186,910,683.98</w:t>
            </w:r>
          </w:p>
        </w:tc>
        <w:tc>
          <w:tcPr>
            <w:tcW w:w="1616" w:type="dxa"/>
            <w:vAlign w:val="center"/>
          </w:tcPr>
          <w:p w:rsidR="00E42102" w:rsidRDefault="00947A15">
            <w:pPr>
              <w:jc w:val="right"/>
            </w:pPr>
            <w:r>
              <w:rPr>
                <w:rFonts w:eastAsiaTheme="minorEastAsia"/>
                <w:kern w:val="0"/>
                <w:sz w:val="24"/>
                <w:szCs w:val="24"/>
              </w:rPr>
              <w:t>7.02</w:t>
            </w:r>
          </w:p>
        </w:tc>
      </w:tr>
      <w:tr w:rsidR="00E42102">
        <w:tc>
          <w:tcPr>
            <w:tcW w:w="817" w:type="dxa"/>
            <w:vAlign w:val="center"/>
          </w:tcPr>
          <w:p w:rsidR="00E42102" w:rsidRDefault="00947A15">
            <w:pPr>
              <w:jc w:val="center"/>
            </w:pPr>
            <w:r>
              <w:rPr>
                <w:rFonts w:eastAsiaTheme="minorEastAsia"/>
                <w:kern w:val="0"/>
                <w:sz w:val="24"/>
                <w:szCs w:val="24"/>
              </w:rPr>
              <w:t>3</w:t>
            </w:r>
          </w:p>
        </w:tc>
        <w:tc>
          <w:tcPr>
            <w:tcW w:w="1276" w:type="dxa"/>
            <w:vAlign w:val="center"/>
          </w:tcPr>
          <w:p w:rsidR="00E42102" w:rsidRDefault="00947A15">
            <w:pPr>
              <w:jc w:val="center"/>
            </w:pPr>
            <w:r>
              <w:rPr>
                <w:rFonts w:eastAsiaTheme="minorEastAsia"/>
                <w:kern w:val="0"/>
                <w:sz w:val="24"/>
                <w:szCs w:val="24"/>
              </w:rPr>
              <w:t>300059</w:t>
            </w:r>
          </w:p>
        </w:tc>
        <w:tc>
          <w:tcPr>
            <w:tcW w:w="1701" w:type="dxa"/>
            <w:vAlign w:val="center"/>
          </w:tcPr>
          <w:p w:rsidR="00E42102" w:rsidRDefault="00947A15">
            <w:pPr>
              <w:jc w:val="center"/>
            </w:pPr>
            <w:r>
              <w:rPr>
                <w:rFonts w:eastAsiaTheme="minorEastAsia"/>
                <w:kern w:val="0"/>
                <w:sz w:val="24"/>
                <w:szCs w:val="24"/>
              </w:rPr>
              <w:t>东方财富</w:t>
            </w:r>
          </w:p>
        </w:tc>
        <w:tc>
          <w:tcPr>
            <w:tcW w:w="1276" w:type="dxa"/>
            <w:vAlign w:val="center"/>
          </w:tcPr>
          <w:p w:rsidR="00E42102" w:rsidRDefault="00947A15">
            <w:pPr>
              <w:jc w:val="right"/>
            </w:pPr>
            <w:r>
              <w:rPr>
                <w:rFonts w:eastAsiaTheme="minorEastAsia"/>
                <w:kern w:val="0"/>
                <w:sz w:val="24"/>
                <w:szCs w:val="24"/>
              </w:rPr>
              <w:t>4,551,875.00</w:t>
            </w:r>
          </w:p>
        </w:tc>
        <w:tc>
          <w:tcPr>
            <w:tcW w:w="1842" w:type="dxa"/>
            <w:vAlign w:val="center"/>
          </w:tcPr>
          <w:p w:rsidR="00E42102" w:rsidRDefault="00947A15">
            <w:pPr>
              <w:jc w:val="right"/>
            </w:pPr>
            <w:r>
              <w:rPr>
                <w:rFonts w:eastAsiaTheme="minorEastAsia"/>
                <w:kern w:val="0"/>
                <w:sz w:val="24"/>
                <w:szCs w:val="24"/>
              </w:rPr>
              <w:t>156,447,943.75</w:t>
            </w:r>
          </w:p>
        </w:tc>
        <w:tc>
          <w:tcPr>
            <w:tcW w:w="1616" w:type="dxa"/>
            <w:vAlign w:val="center"/>
          </w:tcPr>
          <w:p w:rsidR="00E42102" w:rsidRDefault="00947A15">
            <w:pPr>
              <w:jc w:val="right"/>
            </w:pPr>
            <w:r>
              <w:rPr>
                <w:rFonts w:eastAsiaTheme="minorEastAsia"/>
                <w:kern w:val="0"/>
                <w:sz w:val="24"/>
                <w:szCs w:val="24"/>
              </w:rPr>
              <w:t>5.88</w:t>
            </w:r>
          </w:p>
        </w:tc>
      </w:tr>
      <w:tr w:rsidR="00E42102">
        <w:tc>
          <w:tcPr>
            <w:tcW w:w="817" w:type="dxa"/>
            <w:vAlign w:val="center"/>
          </w:tcPr>
          <w:p w:rsidR="00E42102" w:rsidRDefault="00947A15">
            <w:pPr>
              <w:jc w:val="center"/>
            </w:pPr>
            <w:r>
              <w:rPr>
                <w:rFonts w:eastAsiaTheme="minorEastAsia"/>
                <w:kern w:val="0"/>
                <w:sz w:val="24"/>
                <w:szCs w:val="24"/>
              </w:rPr>
              <w:t>4</w:t>
            </w:r>
          </w:p>
        </w:tc>
        <w:tc>
          <w:tcPr>
            <w:tcW w:w="1276" w:type="dxa"/>
            <w:vAlign w:val="center"/>
          </w:tcPr>
          <w:p w:rsidR="00E42102" w:rsidRDefault="00947A15">
            <w:pPr>
              <w:jc w:val="center"/>
            </w:pPr>
            <w:r>
              <w:rPr>
                <w:rFonts w:eastAsiaTheme="minorEastAsia"/>
                <w:kern w:val="0"/>
                <w:sz w:val="24"/>
                <w:szCs w:val="24"/>
              </w:rPr>
              <w:t>601888</w:t>
            </w:r>
          </w:p>
        </w:tc>
        <w:tc>
          <w:tcPr>
            <w:tcW w:w="1701" w:type="dxa"/>
            <w:vAlign w:val="center"/>
          </w:tcPr>
          <w:p w:rsidR="00E42102" w:rsidRDefault="00947A15">
            <w:pPr>
              <w:jc w:val="center"/>
            </w:pPr>
            <w:r>
              <w:rPr>
                <w:rFonts w:eastAsiaTheme="minorEastAsia"/>
                <w:kern w:val="0"/>
                <w:sz w:val="24"/>
                <w:szCs w:val="24"/>
              </w:rPr>
              <w:t>中国中免</w:t>
            </w:r>
          </w:p>
        </w:tc>
        <w:tc>
          <w:tcPr>
            <w:tcW w:w="1276" w:type="dxa"/>
            <w:vAlign w:val="center"/>
          </w:tcPr>
          <w:p w:rsidR="00E42102" w:rsidRDefault="00947A15">
            <w:pPr>
              <w:jc w:val="right"/>
            </w:pPr>
            <w:r>
              <w:rPr>
                <w:rFonts w:eastAsiaTheme="minorEastAsia"/>
                <w:kern w:val="0"/>
                <w:sz w:val="24"/>
                <w:szCs w:val="24"/>
              </w:rPr>
              <w:t>404,414.0</w:t>
            </w:r>
            <w:r>
              <w:rPr>
                <w:rFonts w:eastAsiaTheme="minorEastAsia"/>
                <w:kern w:val="0"/>
                <w:sz w:val="24"/>
                <w:szCs w:val="24"/>
              </w:rPr>
              <w:lastRenderedPageBreak/>
              <w:t>0</w:t>
            </w:r>
          </w:p>
        </w:tc>
        <w:tc>
          <w:tcPr>
            <w:tcW w:w="1842" w:type="dxa"/>
            <w:vAlign w:val="center"/>
          </w:tcPr>
          <w:p w:rsidR="00E42102" w:rsidRDefault="00947A15">
            <w:pPr>
              <w:jc w:val="right"/>
            </w:pPr>
            <w:r>
              <w:rPr>
                <w:rFonts w:eastAsiaTheme="minorEastAsia"/>
                <w:kern w:val="0"/>
                <w:sz w:val="24"/>
                <w:szCs w:val="24"/>
              </w:rPr>
              <w:lastRenderedPageBreak/>
              <w:t>105,147,640.00</w:t>
            </w:r>
          </w:p>
        </w:tc>
        <w:tc>
          <w:tcPr>
            <w:tcW w:w="1616" w:type="dxa"/>
            <w:vAlign w:val="center"/>
          </w:tcPr>
          <w:p w:rsidR="00E42102" w:rsidRDefault="00947A15">
            <w:pPr>
              <w:jc w:val="right"/>
            </w:pPr>
            <w:r>
              <w:rPr>
                <w:rFonts w:eastAsiaTheme="minorEastAsia"/>
                <w:kern w:val="0"/>
                <w:sz w:val="24"/>
                <w:szCs w:val="24"/>
              </w:rPr>
              <w:t>3.95</w:t>
            </w:r>
          </w:p>
        </w:tc>
      </w:tr>
      <w:tr w:rsidR="00E42102">
        <w:tc>
          <w:tcPr>
            <w:tcW w:w="817" w:type="dxa"/>
            <w:vAlign w:val="center"/>
          </w:tcPr>
          <w:p w:rsidR="00E42102" w:rsidRDefault="00947A15">
            <w:pPr>
              <w:jc w:val="center"/>
            </w:pPr>
            <w:r>
              <w:rPr>
                <w:rFonts w:eastAsiaTheme="minorEastAsia"/>
                <w:kern w:val="0"/>
                <w:sz w:val="24"/>
                <w:szCs w:val="24"/>
              </w:rPr>
              <w:t>5</w:t>
            </w:r>
          </w:p>
        </w:tc>
        <w:tc>
          <w:tcPr>
            <w:tcW w:w="1276" w:type="dxa"/>
            <w:vAlign w:val="center"/>
          </w:tcPr>
          <w:p w:rsidR="00E42102" w:rsidRDefault="00947A15">
            <w:pPr>
              <w:jc w:val="center"/>
            </w:pPr>
            <w:r>
              <w:rPr>
                <w:rFonts w:eastAsiaTheme="minorEastAsia"/>
                <w:kern w:val="0"/>
                <w:sz w:val="24"/>
                <w:szCs w:val="24"/>
              </w:rPr>
              <w:t>300014</w:t>
            </w:r>
          </w:p>
        </w:tc>
        <w:tc>
          <w:tcPr>
            <w:tcW w:w="1701" w:type="dxa"/>
            <w:vAlign w:val="center"/>
          </w:tcPr>
          <w:p w:rsidR="00E42102" w:rsidRDefault="00947A15">
            <w:pPr>
              <w:jc w:val="center"/>
            </w:pPr>
            <w:r>
              <w:rPr>
                <w:rFonts w:eastAsiaTheme="minorEastAsia"/>
                <w:kern w:val="0"/>
                <w:sz w:val="24"/>
                <w:szCs w:val="24"/>
              </w:rPr>
              <w:t>亿纬锂能</w:t>
            </w:r>
          </w:p>
        </w:tc>
        <w:tc>
          <w:tcPr>
            <w:tcW w:w="1276" w:type="dxa"/>
            <w:vAlign w:val="center"/>
          </w:tcPr>
          <w:p w:rsidR="00E42102" w:rsidRDefault="00947A15">
            <w:pPr>
              <w:jc w:val="right"/>
            </w:pPr>
            <w:r>
              <w:rPr>
                <w:rFonts w:eastAsiaTheme="minorEastAsia"/>
                <w:kern w:val="0"/>
                <w:sz w:val="24"/>
                <w:szCs w:val="24"/>
              </w:rPr>
              <w:t>1,020,371.00</w:t>
            </w:r>
          </w:p>
        </w:tc>
        <w:tc>
          <w:tcPr>
            <w:tcW w:w="1842" w:type="dxa"/>
            <w:vAlign w:val="center"/>
          </w:tcPr>
          <w:p w:rsidR="00E42102" w:rsidRDefault="00947A15">
            <w:pPr>
              <w:jc w:val="right"/>
            </w:pPr>
            <w:r>
              <w:rPr>
                <w:rFonts w:eastAsiaTheme="minorEastAsia"/>
                <w:kern w:val="0"/>
                <w:sz w:val="24"/>
                <w:szCs w:val="24"/>
              </w:rPr>
              <w:t>101,047,340.13</w:t>
            </w:r>
          </w:p>
        </w:tc>
        <w:tc>
          <w:tcPr>
            <w:tcW w:w="1616" w:type="dxa"/>
            <w:vAlign w:val="center"/>
          </w:tcPr>
          <w:p w:rsidR="00E42102" w:rsidRDefault="00947A15">
            <w:pPr>
              <w:jc w:val="right"/>
            </w:pPr>
            <w:r>
              <w:rPr>
                <w:rFonts w:eastAsiaTheme="minorEastAsia"/>
                <w:kern w:val="0"/>
                <w:sz w:val="24"/>
                <w:szCs w:val="24"/>
              </w:rPr>
              <w:t>3.80</w:t>
            </w:r>
          </w:p>
        </w:tc>
      </w:tr>
      <w:tr w:rsidR="00E42102">
        <w:tc>
          <w:tcPr>
            <w:tcW w:w="817" w:type="dxa"/>
            <w:vAlign w:val="center"/>
          </w:tcPr>
          <w:p w:rsidR="00E42102" w:rsidRDefault="00947A15">
            <w:pPr>
              <w:jc w:val="center"/>
            </w:pPr>
            <w:r>
              <w:rPr>
                <w:rFonts w:eastAsiaTheme="minorEastAsia"/>
                <w:kern w:val="0"/>
                <w:sz w:val="24"/>
                <w:szCs w:val="24"/>
              </w:rPr>
              <w:t>6</w:t>
            </w:r>
          </w:p>
        </w:tc>
        <w:tc>
          <w:tcPr>
            <w:tcW w:w="1276" w:type="dxa"/>
            <w:vAlign w:val="center"/>
          </w:tcPr>
          <w:p w:rsidR="00E42102" w:rsidRDefault="00947A15">
            <w:pPr>
              <w:jc w:val="center"/>
            </w:pPr>
            <w:r>
              <w:rPr>
                <w:rFonts w:eastAsiaTheme="minorEastAsia"/>
                <w:kern w:val="0"/>
                <w:sz w:val="24"/>
                <w:szCs w:val="24"/>
              </w:rPr>
              <w:t>002709</w:t>
            </w:r>
          </w:p>
        </w:tc>
        <w:tc>
          <w:tcPr>
            <w:tcW w:w="1701" w:type="dxa"/>
            <w:vAlign w:val="center"/>
          </w:tcPr>
          <w:p w:rsidR="00E42102" w:rsidRDefault="00947A15">
            <w:pPr>
              <w:jc w:val="center"/>
            </w:pPr>
            <w:r>
              <w:rPr>
                <w:rFonts w:eastAsiaTheme="minorEastAsia"/>
                <w:kern w:val="0"/>
                <w:sz w:val="24"/>
                <w:szCs w:val="24"/>
              </w:rPr>
              <w:t>天赐材料</w:t>
            </w:r>
          </w:p>
        </w:tc>
        <w:tc>
          <w:tcPr>
            <w:tcW w:w="1276" w:type="dxa"/>
            <w:vAlign w:val="center"/>
          </w:tcPr>
          <w:p w:rsidR="00E42102" w:rsidRDefault="00947A15">
            <w:pPr>
              <w:jc w:val="right"/>
            </w:pPr>
            <w:r>
              <w:rPr>
                <w:rFonts w:eastAsiaTheme="minorEastAsia"/>
                <w:kern w:val="0"/>
                <w:sz w:val="24"/>
                <w:szCs w:val="24"/>
              </w:rPr>
              <w:t>622,590.00</w:t>
            </w:r>
          </w:p>
        </w:tc>
        <w:tc>
          <w:tcPr>
            <w:tcW w:w="1842" w:type="dxa"/>
            <w:vAlign w:val="center"/>
          </w:tcPr>
          <w:p w:rsidR="00E42102" w:rsidRDefault="00947A15">
            <w:pPr>
              <w:jc w:val="right"/>
            </w:pPr>
            <w:r>
              <w:rPr>
                <w:rFonts w:eastAsiaTheme="minorEastAsia"/>
                <w:kern w:val="0"/>
                <w:sz w:val="24"/>
                <w:szCs w:val="24"/>
              </w:rPr>
              <w:t>94,708,390.80</w:t>
            </w:r>
          </w:p>
        </w:tc>
        <w:tc>
          <w:tcPr>
            <w:tcW w:w="1616" w:type="dxa"/>
            <w:vAlign w:val="center"/>
          </w:tcPr>
          <w:p w:rsidR="00E42102" w:rsidRDefault="00947A15">
            <w:pPr>
              <w:jc w:val="right"/>
            </w:pPr>
            <w:r>
              <w:rPr>
                <w:rFonts w:eastAsiaTheme="minorEastAsia"/>
                <w:kern w:val="0"/>
                <w:sz w:val="24"/>
                <w:szCs w:val="24"/>
              </w:rPr>
              <w:t>3.56</w:t>
            </w:r>
          </w:p>
        </w:tc>
      </w:tr>
      <w:tr w:rsidR="00E42102">
        <w:tc>
          <w:tcPr>
            <w:tcW w:w="817" w:type="dxa"/>
            <w:vAlign w:val="center"/>
          </w:tcPr>
          <w:p w:rsidR="00E42102" w:rsidRDefault="00947A15">
            <w:pPr>
              <w:jc w:val="center"/>
            </w:pPr>
            <w:r>
              <w:rPr>
                <w:rFonts w:eastAsiaTheme="minorEastAsia"/>
                <w:kern w:val="0"/>
                <w:sz w:val="24"/>
                <w:szCs w:val="24"/>
              </w:rPr>
              <w:t>7</w:t>
            </w:r>
          </w:p>
        </w:tc>
        <w:tc>
          <w:tcPr>
            <w:tcW w:w="1276" w:type="dxa"/>
            <w:vAlign w:val="center"/>
          </w:tcPr>
          <w:p w:rsidR="00E42102" w:rsidRDefault="00947A15">
            <w:pPr>
              <w:jc w:val="center"/>
            </w:pPr>
            <w:r>
              <w:rPr>
                <w:rFonts w:eastAsiaTheme="minorEastAsia"/>
                <w:kern w:val="0"/>
                <w:sz w:val="24"/>
                <w:szCs w:val="24"/>
              </w:rPr>
              <w:t>000301</w:t>
            </w:r>
          </w:p>
        </w:tc>
        <w:tc>
          <w:tcPr>
            <w:tcW w:w="1701" w:type="dxa"/>
            <w:vAlign w:val="center"/>
          </w:tcPr>
          <w:p w:rsidR="00E42102" w:rsidRDefault="00947A15">
            <w:pPr>
              <w:jc w:val="center"/>
            </w:pPr>
            <w:r>
              <w:rPr>
                <w:rFonts w:eastAsiaTheme="minorEastAsia"/>
                <w:kern w:val="0"/>
                <w:sz w:val="24"/>
                <w:szCs w:val="24"/>
              </w:rPr>
              <w:t>东方盛虹</w:t>
            </w:r>
          </w:p>
        </w:tc>
        <w:tc>
          <w:tcPr>
            <w:tcW w:w="1276" w:type="dxa"/>
            <w:vAlign w:val="center"/>
          </w:tcPr>
          <w:p w:rsidR="00E42102" w:rsidRDefault="00947A15">
            <w:pPr>
              <w:jc w:val="right"/>
            </w:pPr>
            <w:r>
              <w:rPr>
                <w:rFonts w:eastAsiaTheme="minorEastAsia"/>
                <w:kern w:val="0"/>
                <w:sz w:val="24"/>
                <w:szCs w:val="24"/>
              </w:rPr>
              <w:t>2,841,300.00</w:t>
            </w:r>
          </w:p>
        </w:tc>
        <w:tc>
          <w:tcPr>
            <w:tcW w:w="1842" w:type="dxa"/>
            <w:vAlign w:val="center"/>
          </w:tcPr>
          <w:p w:rsidR="00E42102" w:rsidRDefault="00947A15">
            <w:pPr>
              <w:jc w:val="right"/>
            </w:pPr>
            <w:r>
              <w:rPr>
                <w:rFonts w:eastAsiaTheme="minorEastAsia"/>
                <w:kern w:val="0"/>
                <w:sz w:val="24"/>
                <w:szCs w:val="24"/>
              </w:rPr>
              <w:t>79,897,356.00</w:t>
            </w:r>
          </w:p>
        </w:tc>
        <w:tc>
          <w:tcPr>
            <w:tcW w:w="1616" w:type="dxa"/>
            <w:vAlign w:val="center"/>
          </w:tcPr>
          <w:p w:rsidR="00E42102" w:rsidRDefault="00947A15">
            <w:pPr>
              <w:jc w:val="right"/>
            </w:pPr>
            <w:r>
              <w:rPr>
                <w:rFonts w:eastAsiaTheme="minorEastAsia"/>
                <w:kern w:val="0"/>
                <w:sz w:val="24"/>
                <w:szCs w:val="24"/>
              </w:rPr>
              <w:t>3.00</w:t>
            </w:r>
          </w:p>
        </w:tc>
      </w:tr>
      <w:tr w:rsidR="00E42102">
        <w:tc>
          <w:tcPr>
            <w:tcW w:w="817" w:type="dxa"/>
            <w:vAlign w:val="center"/>
          </w:tcPr>
          <w:p w:rsidR="00E42102" w:rsidRDefault="00947A15">
            <w:pPr>
              <w:jc w:val="center"/>
            </w:pPr>
            <w:r>
              <w:rPr>
                <w:rFonts w:eastAsiaTheme="minorEastAsia"/>
                <w:kern w:val="0"/>
                <w:sz w:val="24"/>
                <w:szCs w:val="24"/>
              </w:rPr>
              <w:t>8</w:t>
            </w:r>
          </w:p>
        </w:tc>
        <w:tc>
          <w:tcPr>
            <w:tcW w:w="1276" w:type="dxa"/>
            <w:vAlign w:val="center"/>
          </w:tcPr>
          <w:p w:rsidR="00E42102" w:rsidRDefault="00947A15">
            <w:pPr>
              <w:jc w:val="center"/>
            </w:pPr>
            <w:r>
              <w:rPr>
                <w:rFonts w:eastAsiaTheme="minorEastAsia"/>
                <w:kern w:val="0"/>
                <w:sz w:val="24"/>
                <w:szCs w:val="24"/>
              </w:rPr>
              <w:t>603799</w:t>
            </w:r>
          </w:p>
        </w:tc>
        <w:tc>
          <w:tcPr>
            <w:tcW w:w="1701" w:type="dxa"/>
            <w:vAlign w:val="center"/>
          </w:tcPr>
          <w:p w:rsidR="00E42102" w:rsidRDefault="00947A15">
            <w:pPr>
              <w:jc w:val="center"/>
            </w:pPr>
            <w:r>
              <w:rPr>
                <w:rFonts w:eastAsiaTheme="minorEastAsia"/>
                <w:kern w:val="0"/>
                <w:sz w:val="24"/>
                <w:szCs w:val="24"/>
              </w:rPr>
              <w:t>华友钴业</w:t>
            </w:r>
          </w:p>
        </w:tc>
        <w:tc>
          <w:tcPr>
            <w:tcW w:w="1276" w:type="dxa"/>
            <w:vAlign w:val="center"/>
          </w:tcPr>
          <w:p w:rsidR="00E42102" w:rsidRDefault="00947A15">
            <w:pPr>
              <w:jc w:val="right"/>
            </w:pPr>
            <w:r>
              <w:rPr>
                <w:rFonts w:eastAsiaTheme="minorEastAsia"/>
                <w:kern w:val="0"/>
                <w:sz w:val="24"/>
                <w:szCs w:val="24"/>
              </w:rPr>
              <w:t>764,758.00</w:t>
            </w:r>
          </w:p>
        </w:tc>
        <w:tc>
          <w:tcPr>
            <w:tcW w:w="1842" w:type="dxa"/>
            <w:vAlign w:val="center"/>
          </w:tcPr>
          <w:p w:rsidR="00E42102" w:rsidRDefault="00947A15">
            <w:pPr>
              <w:jc w:val="right"/>
            </w:pPr>
            <w:r>
              <w:rPr>
                <w:rFonts w:eastAsiaTheme="minorEastAsia"/>
                <w:kern w:val="0"/>
                <w:sz w:val="24"/>
                <w:szCs w:val="24"/>
              </w:rPr>
              <w:t>79,075,977.20</w:t>
            </w:r>
          </w:p>
        </w:tc>
        <w:tc>
          <w:tcPr>
            <w:tcW w:w="1616" w:type="dxa"/>
            <w:vAlign w:val="center"/>
          </w:tcPr>
          <w:p w:rsidR="00E42102" w:rsidRDefault="00947A15">
            <w:pPr>
              <w:jc w:val="right"/>
            </w:pPr>
            <w:r>
              <w:rPr>
                <w:rFonts w:eastAsiaTheme="minorEastAsia"/>
                <w:kern w:val="0"/>
                <w:sz w:val="24"/>
                <w:szCs w:val="24"/>
              </w:rPr>
              <w:t>2.97</w:t>
            </w:r>
          </w:p>
        </w:tc>
      </w:tr>
      <w:tr w:rsidR="00E42102">
        <w:tc>
          <w:tcPr>
            <w:tcW w:w="817" w:type="dxa"/>
            <w:vAlign w:val="center"/>
          </w:tcPr>
          <w:p w:rsidR="00E42102" w:rsidRDefault="00947A15">
            <w:pPr>
              <w:jc w:val="center"/>
            </w:pPr>
            <w:r>
              <w:rPr>
                <w:rFonts w:eastAsiaTheme="minorEastAsia"/>
                <w:kern w:val="0"/>
                <w:sz w:val="24"/>
                <w:szCs w:val="24"/>
              </w:rPr>
              <w:t>9</w:t>
            </w:r>
          </w:p>
        </w:tc>
        <w:tc>
          <w:tcPr>
            <w:tcW w:w="1276" w:type="dxa"/>
            <w:vAlign w:val="center"/>
          </w:tcPr>
          <w:p w:rsidR="00E42102" w:rsidRDefault="00947A15">
            <w:pPr>
              <w:jc w:val="center"/>
            </w:pPr>
            <w:r>
              <w:rPr>
                <w:rFonts w:eastAsiaTheme="minorEastAsia"/>
                <w:kern w:val="0"/>
                <w:sz w:val="24"/>
                <w:szCs w:val="24"/>
              </w:rPr>
              <w:t>600438</w:t>
            </w:r>
          </w:p>
        </w:tc>
        <w:tc>
          <w:tcPr>
            <w:tcW w:w="1701" w:type="dxa"/>
            <w:vAlign w:val="center"/>
          </w:tcPr>
          <w:p w:rsidR="00E42102" w:rsidRDefault="00947A15">
            <w:pPr>
              <w:jc w:val="center"/>
            </w:pPr>
            <w:r>
              <w:rPr>
                <w:rFonts w:eastAsiaTheme="minorEastAsia"/>
                <w:kern w:val="0"/>
                <w:sz w:val="24"/>
                <w:szCs w:val="24"/>
              </w:rPr>
              <w:t>通威股份</w:t>
            </w:r>
          </w:p>
        </w:tc>
        <w:tc>
          <w:tcPr>
            <w:tcW w:w="1276" w:type="dxa"/>
            <w:vAlign w:val="center"/>
          </w:tcPr>
          <w:p w:rsidR="00E42102" w:rsidRDefault="00947A15">
            <w:pPr>
              <w:jc w:val="right"/>
            </w:pPr>
            <w:r>
              <w:rPr>
                <w:rFonts w:eastAsiaTheme="minorEastAsia"/>
                <w:kern w:val="0"/>
                <w:sz w:val="24"/>
                <w:szCs w:val="24"/>
              </w:rPr>
              <w:t>1,523,400.00</w:t>
            </w:r>
          </w:p>
        </w:tc>
        <w:tc>
          <w:tcPr>
            <w:tcW w:w="1842" w:type="dxa"/>
            <w:vAlign w:val="center"/>
          </w:tcPr>
          <w:p w:rsidR="00E42102" w:rsidRDefault="00947A15">
            <w:pPr>
              <w:jc w:val="right"/>
            </w:pPr>
            <w:r>
              <w:rPr>
                <w:rFonts w:eastAsiaTheme="minorEastAsia"/>
                <w:kern w:val="0"/>
                <w:sz w:val="24"/>
                <w:szCs w:val="24"/>
              </w:rPr>
              <w:t>77,601,996.00</w:t>
            </w:r>
          </w:p>
        </w:tc>
        <w:tc>
          <w:tcPr>
            <w:tcW w:w="1616" w:type="dxa"/>
            <w:vAlign w:val="center"/>
          </w:tcPr>
          <w:p w:rsidR="00E42102" w:rsidRDefault="00947A15">
            <w:pPr>
              <w:jc w:val="right"/>
            </w:pPr>
            <w:r>
              <w:rPr>
                <w:rFonts w:eastAsiaTheme="minorEastAsia"/>
                <w:kern w:val="0"/>
                <w:sz w:val="24"/>
                <w:szCs w:val="24"/>
              </w:rPr>
              <w:t>2.92</w:t>
            </w:r>
          </w:p>
        </w:tc>
      </w:tr>
      <w:tr w:rsidR="00E42102">
        <w:tc>
          <w:tcPr>
            <w:tcW w:w="817" w:type="dxa"/>
            <w:vAlign w:val="center"/>
          </w:tcPr>
          <w:p w:rsidR="00E42102" w:rsidRDefault="00947A15">
            <w:pPr>
              <w:jc w:val="center"/>
            </w:pPr>
            <w:r>
              <w:rPr>
                <w:rFonts w:eastAsiaTheme="minorEastAsia"/>
                <w:kern w:val="0"/>
                <w:sz w:val="24"/>
                <w:szCs w:val="24"/>
              </w:rPr>
              <w:t>10</w:t>
            </w:r>
          </w:p>
        </w:tc>
        <w:tc>
          <w:tcPr>
            <w:tcW w:w="1276" w:type="dxa"/>
            <w:vAlign w:val="center"/>
          </w:tcPr>
          <w:p w:rsidR="00E42102" w:rsidRDefault="00947A15">
            <w:pPr>
              <w:jc w:val="center"/>
            </w:pPr>
            <w:r>
              <w:rPr>
                <w:rFonts w:eastAsiaTheme="minorEastAsia"/>
                <w:kern w:val="0"/>
                <w:sz w:val="24"/>
                <w:szCs w:val="24"/>
              </w:rPr>
              <w:t>H00700</w:t>
            </w:r>
          </w:p>
        </w:tc>
        <w:tc>
          <w:tcPr>
            <w:tcW w:w="1701" w:type="dxa"/>
            <w:vAlign w:val="center"/>
          </w:tcPr>
          <w:p w:rsidR="00E42102" w:rsidRDefault="00947A15">
            <w:pPr>
              <w:jc w:val="center"/>
            </w:pPr>
            <w:r>
              <w:rPr>
                <w:rFonts w:eastAsiaTheme="minorEastAsia"/>
                <w:kern w:val="0"/>
                <w:sz w:val="24"/>
                <w:szCs w:val="24"/>
              </w:rPr>
              <w:t>腾讯控股</w:t>
            </w:r>
          </w:p>
        </w:tc>
        <w:tc>
          <w:tcPr>
            <w:tcW w:w="1276" w:type="dxa"/>
            <w:vAlign w:val="center"/>
          </w:tcPr>
          <w:p w:rsidR="00E42102" w:rsidRDefault="00947A15">
            <w:pPr>
              <w:jc w:val="right"/>
            </w:pPr>
            <w:r>
              <w:rPr>
                <w:rFonts w:eastAsiaTheme="minorEastAsia"/>
                <w:kern w:val="0"/>
                <w:sz w:val="24"/>
                <w:szCs w:val="24"/>
              </w:rPr>
              <w:t>167,600.00</w:t>
            </w:r>
          </w:p>
        </w:tc>
        <w:tc>
          <w:tcPr>
            <w:tcW w:w="1842" w:type="dxa"/>
            <w:vAlign w:val="center"/>
          </w:tcPr>
          <w:p w:rsidR="00E42102" w:rsidRDefault="00947A15">
            <w:pPr>
              <w:jc w:val="right"/>
            </w:pPr>
            <w:r>
              <w:rPr>
                <w:rFonts w:eastAsiaTheme="minorEastAsia"/>
                <w:kern w:val="0"/>
                <w:sz w:val="24"/>
                <w:szCs w:val="24"/>
              </w:rPr>
              <w:t>64,421,062.96</w:t>
            </w:r>
          </w:p>
        </w:tc>
        <w:tc>
          <w:tcPr>
            <w:tcW w:w="1616" w:type="dxa"/>
            <w:vAlign w:val="center"/>
          </w:tcPr>
          <w:p w:rsidR="00E42102" w:rsidRDefault="00947A15">
            <w:pPr>
              <w:jc w:val="right"/>
            </w:pPr>
            <w:r>
              <w:rPr>
                <w:rFonts w:eastAsiaTheme="minorEastAsia"/>
                <w:kern w:val="0"/>
                <w:sz w:val="24"/>
                <w:szCs w:val="24"/>
              </w:rPr>
              <w:t>2.42</w:t>
            </w:r>
          </w:p>
        </w:tc>
      </w:tr>
      <w:bookmarkEnd w:id="1"/>
    </w:tbl>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5.4 </w:t>
      </w:r>
      <w:r w:rsidRPr="00FF6B9A">
        <w:rPr>
          <w:rFonts w:eastAsiaTheme="minorEastAsia"/>
          <w:b/>
          <w:bCs/>
          <w:color w:val="000000" w:themeColor="text1"/>
          <w:kern w:val="0"/>
          <w:sz w:val="24"/>
          <w:szCs w:val="24"/>
        </w:rPr>
        <w:t>报告期末按债券品种分类的债券投资组合</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本基金本报告期末未持有债券。</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5.5 </w:t>
      </w:r>
      <w:r w:rsidRPr="00FF6B9A">
        <w:rPr>
          <w:rFonts w:eastAsiaTheme="minorEastAsia"/>
          <w:b/>
          <w:bCs/>
          <w:color w:val="000000" w:themeColor="text1"/>
          <w:kern w:val="0"/>
          <w:sz w:val="24"/>
          <w:szCs w:val="24"/>
        </w:rPr>
        <w:t>报告期末按公允价值占基金资产净值比例大小排序的前五名债券投资明细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本基金本报告期末未持有债券。</w:t>
      </w:r>
    </w:p>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5.6 </w:t>
      </w:r>
      <w:r w:rsidRPr="00FF6B9A">
        <w:rPr>
          <w:rFonts w:eastAsiaTheme="minorEastAsia"/>
          <w:b/>
          <w:bCs/>
          <w:color w:val="000000" w:themeColor="text1"/>
          <w:kern w:val="0"/>
          <w:sz w:val="24"/>
          <w:szCs w:val="24"/>
        </w:rPr>
        <w:t>报告期末按公允价值占基金资产净值比例大小排序的前十名资产支持证券投资明细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本基金本报告期末未持有资产支持证券。</w:t>
      </w:r>
    </w:p>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5.7 </w:t>
      </w:r>
      <w:r w:rsidRPr="00FF6B9A">
        <w:rPr>
          <w:rFonts w:eastAsiaTheme="minorEastAsia"/>
          <w:b/>
          <w:bCs/>
          <w:color w:val="000000" w:themeColor="text1"/>
          <w:kern w:val="0"/>
          <w:sz w:val="24"/>
          <w:szCs w:val="24"/>
        </w:rPr>
        <w:t>报告期末按公允价值占基金资产净值比例大小排序的前五名贵金属投资明细</w:t>
      </w:r>
    </w:p>
    <w:p w:rsidR="00D06738" w:rsidRPr="00FF6B9A" w:rsidRDefault="00454D20">
      <w:pPr>
        <w:widowControl/>
        <w:spacing w:line="360" w:lineRule="auto"/>
        <w:jc w:val="left"/>
        <w:rPr>
          <w:color w:val="000000" w:themeColor="text1"/>
        </w:rPr>
      </w:pPr>
      <w:r w:rsidRPr="00FF6B9A">
        <w:rPr>
          <w:color w:val="000000" w:themeColor="text1"/>
        </w:rPr>
        <w:t>本基金本报告期末未持有贵金属。</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5.8 </w:t>
      </w:r>
      <w:r w:rsidRPr="00FF6B9A">
        <w:rPr>
          <w:rFonts w:eastAsiaTheme="minorEastAsia"/>
          <w:b/>
          <w:bCs/>
          <w:color w:val="000000" w:themeColor="text1"/>
          <w:kern w:val="0"/>
          <w:sz w:val="24"/>
          <w:szCs w:val="24"/>
        </w:rPr>
        <w:t>报告期末按公允价值占基金资产净值比例大小排序的前五名权证投资明细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本基金本报告期末未持有权证。</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5.9 </w:t>
      </w:r>
      <w:r w:rsidRPr="00FF6B9A">
        <w:rPr>
          <w:rFonts w:eastAsiaTheme="minorEastAsia"/>
          <w:b/>
          <w:bCs/>
          <w:color w:val="000000" w:themeColor="text1"/>
          <w:kern w:val="0"/>
          <w:sz w:val="24"/>
          <w:szCs w:val="24"/>
        </w:rPr>
        <w:t>报告期末本基金投资的股指期货交易情况说明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本基金本报告期末未持有股指期货。</w:t>
      </w:r>
    </w:p>
    <w:p w:rsidR="00D06738" w:rsidRPr="00FF6B9A" w:rsidRDefault="00D06738">
      <w:pPr>
        <w:adjustRightInd w:val="0"/>
        <w:snapToGrid w:val="0"/>
        <w:spacing w:line="360" w:lineRule="exac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lastRenderedPageBreak/>
        <w:t>5.10</w:t>
      </w:r>
      <w:r w:rsidRPr="00FF6B9A">
        <w:rPr>
          <w:rFonts w:eastAsiaTheme="minorEastAsia"/>
          <w:b/>
          <w:bCs/>
          <w:color w:val="000000" w:themeColor="text1"/>
          <w:kern w:val="0"/>
          <w:sz w:val="24"/>
          <w:szCs w:val="24"/>
        </w:rPr>
        <w:t>报告期末本基金投资的国债期货交易情况说明</w:t>
      </w:r>
    </w:p>
    <w:p w:rsidR="00D06738" w:rsidRPr="00FF6B9A" w:rsidRDefault="00454D20">
      <w:pPr>
        <w:autoSpaceDE w:val="0"/>
        <w:autoSpaceDN w:val="0"/>
        <w:adjustRightInd w:val="0"/>
        <w:spacing w:line="360" w:lineRule="auto"/>
        <w:jc w:val="left"/>
        <w:rPr>
          <w:rFonts w:eastAsiaTheme="minorEastAsia"/>
          <w:color w:val="000000" w:themeColor="text1"/>
          <w:sz w:val="24"/>
          <w:szCs w:val="24"/>
        </w:rPr>
      </w:pPr>
      <w:r w:rsidRPr="00FF6B9A">
        <w:rPr>
          <w:rFonts w:eastAsiaTheme="minorEastAsia"/>
          <w:color w:val="000000" w:themeColor="text1"/>
          <w:sz w:val="24"/>
          <w:szCs w:val="24"/>
        </w:rPr>
        <w:t>本基金本报告期末未持有国债期货。</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 </w:t>
      </w:r>
      <w:r w:rsidRPr="00FF6B9A">
        <w:rPr>
          <w:rFonts w:eastAsiaTheme="minorEastAsia"/>
          <w:b/>
          <w:bCs/>
          <w:color w:val="000000" w:themeColor="text1"/>
          <w:kern w:val="0"/>
          <w:sz w:val="24"/>
          <w:szCs w:val="24"/>
        </w:rPr>
        <w:t>投资组合报告附注</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5.11.1</w:t>
      </w:r>
      <w:r w:rsidRPr="00FF6B9A">
        <w:rPr>
          <w:rFonts w:eastAsiaTheme="minorEastAsia"/>
          <w:color w:val="000000" w:themeColor="text1"/>
          <w:sz w:val="24"/>
          <w:szCs w:val="24"/>
        </w:rPr>
        <w:t>本基金投资的前十名证券的发行主体本期未出现被监管部门立案调查，或在报告编制日前一年内受到公开谴责、处罚的情形。</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5.11.2</w:t>
      </w:r>
      <w:r w:rsidRPr="00FF6B9A">
        <w:rPr>
          <w:rFonts w:eastAsiaTheme="minorEastAsia"/>
          <w:color w:val="000000" w:themeColor="text1"/>
          <w:sz w:val="24"/>
          <w:szCs w:val="24"/>
        </w:rPr>
        <w:t>报告期内本基金投资的前十名股票中没有在基金合同规定备选股票库之外的股票。</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5.11.3 </w:t>
      </w:r>
      <w:r w:rsidRPr="00FF6B9A">
        <w:rPr>
          <w:rFonts w:eastAsiaTheme="minorEastAsia"/>
          <w:b/>
          <w:bCs/>
          <w:color w:val="000000" w:themeColor="text1"/>
          <w:kern w:val="0"/>
          <w:sz w:val="24"/>
          <w:szCs w:val="24"/>
        </w:rPr>
        <w:t>其他资产构成</w:t>
      </w:r>
    </w:p>
    <w:tbl>
      <w:tblPr>
        <w:tblStyle w:val="aff4"/>
        <w:tblW w:w="8513" w:type="dxa"/>
        <w:tblInd w:w="15" w:type="dxa"/>
        <w:tblLayout w:type="fixed"/>
        <w:tblLook w:val="04A0" w:firstRow="1" w:lastRow="0" w:firstColumn="1" w:lastColumn="0" w:noHBand="0" w:noVBand="1"/>
      </w:tblPr>
      <w:tblGrid>
        <w:gridCol w:w="1235"/>
        <w:gridCol w:w="2470"/>
        <w:gridCol w:w="4808"/>
      </w:tblGrid>
      <w:tr w:rsidR="00D06738" w:rsidRPr="00FF6B9A">
        <w:tc>
          <w:tcPr>
            <w:tcW w:w="123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247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名称</w:t>
            </w:r>
          </w:p>
        </w:tc>
        <w:tc>
          <w:tcPr>
            <w:tcW w:w="480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1</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存出保证金</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1,384,998.99</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2</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应收证券清算款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566,390.00</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3</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应收股利</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4</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应收利息</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86,201.96</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5</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应收申购款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202,071.11</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6</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其他应收款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7</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待摊费用</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8</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9</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合计</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2,239,662.06</w:t>
            </w:r>
          </w:p>
        </w:tc>
      </w:tr>
    </w:tbl>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5.11.4</w:t>
      </w:r>
      <w:r w:rsidRPr="00FF6B9A">
        <w:rPr>
          <w:rFonts w:eastAsiaTheme="minorEastAsia"/>
          <w:b/>
          <w:bCs/>
          <w:color w:val="000000" w:themeColor="text1"/>
          <w:kern w:val="0"/>
          <w:sz w:val="24"/>
          <w:szCs w:val="24"/>
        </w:rPr>
        <w:t>报告期末持有的处于转股期的可转换债券明细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本基金本报告期末未持有处于转股期的可转换债券。</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5.11.5</w:t>
      </w:r>
      <w:r w:rsidRPr="00FF6B9A">
        <w:rPr>
          <w:rFonts w:eastAsiaTheme="minorEastAsia"/>
          <w:b/>
          <w:bCs/>
          <w:color w:val="000000" w:themeColor="text1"/>
          <w:kern w:val="0"/>
          <w:sz w:val="24"/>
          <w:szCs w:val="24"/>
        </w:rPr>
        <w:t>报告期末前十名股票中存在流通受限情况的说明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本基金本报告期末前十名股票中不存在流通受限情况。</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5.11.6</w:t>
      </w:r>
      <w:r w:rsidRPr="00FF6B9A">
        <w:rPr>
          <w:rFonts w:eastAsiaTheme="minorEastAsia"/>
          <w:b/>
          <w:bCs/>
          <w:color w:val="000000" w:themeColor="text1"/>
          <w:kern w:val="0"/>
          <w:sz w:val="24"/>
          <w:szCs w:val="24"/>
        </w:rPr>
        <w:t>投资组合报告附注的其他文字描述部分</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因四舍五入原因</w:t>
      </w:r>
      <w:r w:rsidRPr="00FF6B9A">
        <w:rPr>
          <w:rFonts w:eastAsiaTheme="minorEastAsia"/>
          <w:color w:val="000000" w:themeColor="text1"/>
        </w:rPr>
        <w:t>,</w:t>
      </w:r>
      <w:r w:rsidRPr="00FF6B9A">
        <w:rPr>
          <w:rFonts w:eastAsiaTheme="minorEastAsia"/>
          <w:color w:val="000000" w:themeColor="text1"/>
        </w:rPr>
        <w:t>投资组合报告中分项之和与合计可能存在尾差。</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lastRenderedPageBreak/>
        <w:t xml:space="preserve">§6  </w:t>
      </w:r>
      <w:r w:rsidRPr="00FF6B9A">
        <w:rPr>
          <w:rFonts w:eastAsiaTheme="minorEastAsia"/>
          <w:color w:val="000000" w:themeColor="text1"/>
          <w:kern w:val="0"/>
          <w:sz w:val="24"/>
          <w:szCs w:val="24"/>
        </w:rPr>
        <w:t>开放式基金份额变动</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sz w:val="24"/>
          <w:szCs w:val="24"/>
        </w:rPr>
      </w:pPr>
      <w:r w:rsidRPr="00FF6B9A">
        <w:rPr>
          <w:rFonts w:eastAsiaTheme="minor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2,329,436,558.78</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9,329,145.42</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减：报告期期间基金总赎回份额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2,338,765,704.20</w:t>
            </w:r>
          </w:p>
        </w:tc>
      </w:tr>
    </w:tbl>
    <w:p w:rsidR="00D06738" w:rsidRPr="00FF6B9A" w:rsidRDefault="00454D20">
      <w:pPr>
        <w:pStyle w:val="1"/>
        <w:tabs>
          <w:tab w:val="center" w:pos="4156"/>
          <w:tab w:val="right" w:pos="8312"/>
        </w:tabs>
        <w:spacing w:beforeLines="100" w:before="312" w:afterLines="100" w:after="312" w:line="360" w:lineRule="auto"/>
        <w:jc w:val="center"/>
        <w:rPr>
          <w:color w:val="000000" w:themeColor="text1"/>
          <w:sz w:val="24"/>
          <w:szCs w:val="24"/>
        </w:rPr>
      </w:pPr>
      <w:r w:rsidRPr="00FF6B9A">
        <w:rPr>
          <w:rFonts w:eastAsiaTheme="minorEastAsia"/>
          <w:color w:val="000000" w:themeColor="text1"/>
          <w:kern w:val="0"/>
          <w:sz w:val="24"/>
          <w:szCs w:val="24"/>
        </w:rPr>
        <w:t xml:space="preserve">§7  </w:t>
      </w:r>
      <w:r w:rsidRPr="00FF6B9A">
        <w:rPr>
          <w:color w:val="000000" w:themeColor="text1"/>
          <w:sz w:val="24"/>
          <w:szCs w:val="24"/>
        </w:rPr>
        <w:t>基金管理人运用固有资金投资本基金情况</w:t>
      </w:r>
    </w:p>
    <w:p w:rsidR="00D06738" w:rsidRPr="00FF6B9A" w:rsidRDefault="00454D20">
      <w:pPr>
        <w:spacing w:line="360" w:lineRule="auto"/>
        <w:jc w:val="left"/>
        <w:rPr>
          <w:color w:val="000000" w:themeColor="text1"/>
          <w:sz w:val="24"/>
          <w:szCs w:val="24"/>
        </w:rPr>
      </w:pPr>
      <w:r w:rsidRPr="00FF6B9A">
        <w:rPr>
          <w:b/>
          <w:color w:val="000000" w:themeColor="text1"/>
          <w:sz w:val="24"/>
        </w:rPr>
        <w:t xml:space="preserve">7.1 </w:t>
      </w:r>
      <w:r w:rsidRPr="00FF6B9A">
        <w:rPr>
          <w:b/>
          <w:color w:val="000000" w:themeColor="text1"/>
          <w:sz w:val="24"/>
        </w:rPr>
        <w:t>基金管理人持有本基金份额变动情况</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kern w:val="0"/>
        </w:rPr>
        <w:t>无。</w:t>
      </w:r>
    </w:p>
    <w:p w:rsidR="00D06738" w:rsidRPr="00FF6B9A" w:rsidRDefault="00D06738">
      <w:pPr>
        <w:autoSpaceDE w:val="0"/>
        <w:autoSpaceDN w:val="0"/>
        <w:adjustRightInd w:val="0"/>
        <w:spacing w:line="360" w:lineRule="auto"/>
        <w:jc w:val="left"/>
        <w:rPr>
          <w:rFonts w:eastAsiaTheme="minorEastAsia"/>
          <w:color w:val="000000" w:themeColor="text1"/>
          <w:kern w:val="0"/>
          <w:sz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§8  </w:t>
      </w:r>
      <w:r w:rsidRPr="00FF6B9A">
        <w:rPr>
          <w:rFonts w:eastAsiaTheme="minorEastAsia"/>
          <w:color w:val="000000" w:themeColor="text1"/>
          <w:kern w:val="0"/>
          <w:sz w:val="24"/>
          <w:szCs w:val="24"/>
        </w:rPr>
        <w:t>备查文件目录</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8.1 </w:t>
      </w:r>
      <w:r w:rsidRPr="00FF6B9A">
        <w:rPr>
          <w:rFonts w:eastAsiaTheme="minorEastAsia"/>
          <w:b/>
          <w:bCs/>
          <w:color w:val="000000" w:themeColor="text1"/>
          <w:kern w:val="0"/>
          <w:sz w:val="24"/>
          <w:szCs w:val="24"/>
        </w:rPr>
        <w:t>备查文件目录</w:t>
      </w:r>
    </w:p>
    <w:p w:rsidR="00E42102" w:rsidRDefault="00947A15">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一</w:t>
      </w:r>
      <w:r>
        <w:rPr>
          <w:rFonts w:eastAsiaTheme="minorEastAsia"/>
          <w:color w:val="000000" w:themeColor="text1"/>
        </w:rPr>
        <w:t>)</w:t>
      </w:r>
      <w:r>
        <w:rPr>
          <w:rFonts w:eastAsiaTheme="minorEastAsia"/>
          <w:color w:val="000000" w:themeColor="text1"/>
        </w:rPr>
        <w:t>中国证监会准予上投摩根慧见两年持有期混合型证券投资基金募集注册的文件</w:t>
      </w:r>
    </w:p>
    <w:p w:rsidR="00E42102" w:rsidRDefault="00947A15">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二</w:t>
      </w:r>
      <w:r>
        <w:rPr>
          <w:rFonts w:eastAsiaTheme="minorEastAsia"/>
          <w:color w:val="000000" w:themeColor="text1"/>
        </w:rPr>
        <w:t>)</w:t>
      </w:r>
      <w:r>
        <w:rPr>
          <w:rFonts w:eastAsiaTheme="minorEastAsia"/>
          <w:color w:val="000000" w:themeColor="text1"/>
        </w:rPr>
        <w:t>上投摩根慧见两年持有期混合型证券投资基金基金合同</w:t>
      </w:r>
    </w:p>
    <w:p w:rsidR="00E42102" w:rsidRDefault="00947A15">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三</w:t>
      </w:r>
      <w:r>
        <w:rPr>
          <w:rFonts w:eastAsiaTheme="minorEastAsia"/>
          <w:color w:val="000000" w:themeColor="text1"/>
        </w:rPr>
        <w:t>)</w:t>
      </w:r>
      <w:r>
        <w:rPr>
          <w:rFonts w:eastAsiaTheme="minorEastAsia"/>
          <w:color w:val="000000" w:themeColor="text1"/>
        </w:rPr>
        <w:t>上投摩根慧见两年持有期混合型证券投资基金托管协议</w:t>
      </w:r>
    </w:p>
    <w:p w:rsidR="00E42102" w:rsidRDefault="00947A15">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四</w:t>
      </w:r>
      <w:r>
        <w:rPr>
          <w:rFonts w:eastAsiaTheme="minorEastAsia"/>
          <w:color w:val="000000" w:themeColor="text1"/>
        </w:rPr>
        <w:t>)</w:t>
      </w:r>
      <w:r>
        <w:rPr>
          <w:rFonts w:eastAsiaTheme="minorEastAsia"/>
          <w:color w:val="000000" w:themeColor="text1"/>
        </w:rPr>
        <w:t>法律意见书</w:t>
      </w:r>
    </w:p>
    <w:p w:rsidR="00E42102" w:rsidRDefault="00947A15">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五</w:t>
      </w:r>
      <w:r>
        <w:rPr>
          <w:rFonts w:eastAsiaTheme="minorEastAsia"/>
          <w:color w:val="000000" w:themeColor="text1"/>
        </w:rPr>
        <w:t>)</w:t>
      </w:r>
      <w:r>
        <w:rPr>
          <w:rFonts w:eastAsiaTheme="minorEastAsia"/>
          <w:color w:val="000000" w:themeColor="text1"/>
        </w:rPr>
        <w:t>基金管理人业务资格批件、营业执照</w:t>
      </w:r>
    </w:p>
    <w:p w:rsidR="00E42102" w:rsidRDefault="00947A15">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六</w:t>
      </w:r>
      <w:r>
        <w:rPr>
          <w:rFonts w:eastAsiaTheme="minorEastAsia"/>
          <w:color w:val="000000" w:themeColor="text1"/>
        </w:rPr>
        <w:t>)</w:t>
      </w:r>
      <w:r>
        <w:rPr>
          <w:rFonts w:eastAsiaTheme="minorEastAsia"/>
          <w:color w:val="000000" w:themeColor="text1"/>
        </w:rPr>
        <w:t>基金托管人业务资格批件、营业执照</w:t>
      </w:r>
    </w:p>
    <w:p w:rsidR="00E42102" w:rsidRDefault="00947A15">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七</w:t>
      </w:r>
      <w:r>
        <w:rPr>
          <w:rFonts w:eastAsiaTheme="minorEastAsia"/>
          <w:color w:val="000000" w:themeColor="text1"/>
        </w:rPr>
        <w:t>)</w:t>
      </w:r>
      <w:r>
        <w:rPr>
          <w:rFonts w:eastAsiaTheme="minorEastAsia"/>
          <w:color w:val="000000" w:themeColor="text1"/>
        </w:rPr>
        <w:t>上投摩根基金管理有限公司开放式基金业务规则</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w:t>
      </w:r>
      <w:r w:rsidRPr="00FF6B9A">
        <w:rPr>
          <w:rFonts w:eastAsiaTheme="minorEastAsia"/>
          <w:color w:val="000000" w:themeColor="text1"/>
        </w:rPr>
        <w:t>八</w:t>
      </w:r>
      <w:r w:rsidRPr="00FF6B9A">
        <w:rPr>
          <w:rFonts w:eastAsiaTheme="minorEastAsia"/>
          <w:color w:val="000000" w:themeColor="text1"/>
        </w:rPr>
        <w:t>)</w:t>
      </w:r>
      <w:r w:rsidRPr="00FF6B9A">
        <w:rPr>
          <w:rFonts w:eastAsiaTheme="minorEastAsia"/>
          <w:color w:val="000000" w:themeColor="text1"/>
        </w:rPr>
        <w:t>中国证监会要求的其他文件</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8.2 </w:t>
      </w:r>
      <w:r w:rsidRPr="00FF6B9A">
        <w:rPr>
          <w:rFonts w:eastAsiaTheme="minorEastAsia"/>
          <w:b/>
          <w:bCs/>
          <w:color w:val="000000" w:themeColor="text1"/>
          <w:kern w:val="0"/>
          <w:sz w:val="24"/>
          <w:szCs w:val="24"/>
        </w:rPr>
        <w:t>存放地点</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基金管理人或基金托管人住所。</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8.3 </w:t>
      </w:r>
      <w:r w:rsidRPr="00FF6B9A">
        <w:rPr>
          <w:rFonts w:eastAsiaTheme="minorEastAsia"/>
          <w:b/>
          <w:bCs/>
          <w:color w:val="000000" w:themeColor="text1"/>
          <w:kern w:val="0"/>
          <w:sz w:val="24"/>
          <w:szCs w:val="24"/>
        </w:rPr>
        <w:t>查阅方式</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lastRenderedPageBreak/>
        <w:t>投资者可在营业时间免费查阅，也可按工本费购买复印件。</w:t>
      </w: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上投摩根基金管理有限公司</w:t>
      </w: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二〇二一年十月二十七日</w:t>
      </w:r>
    </w:p>
    <w:p w:rsidR="00D06738" w:rsidRPr="00FF6B9A" w:rsidRDefault="00D06738">
      <w:pPr>
        <w:spacing w:line="360" w:lineRule="auto"/>
        <w:ind w:left="840"/>
        <w:jc w:val="right"/>
        <w:rPr>
          <w:rFonts w:eastAsiaTheme="minorEastAsia"/>
          <w:b/>
          <w:bCs/>
          <w:color w:val="000000" w:themeColor="text1"/>
          <w:sz w:val="24"/>
          <w:szCs w:val="24"/>
        </w:rPr>
      </w:pPr>
    </w:p>
    <w:p w:rsidR="00D06738" w:rsidRPr="00FF6B9A" w:rsidRDefault="00D06738">
      <w:pPr>
        <w:rPr>
          <w:rFonts w:eastAsiaTheme="minorEastAsia"/>
          <w:color w:val="000000" w:themeColor="text1"/>
          <w:sz w:val="24"/>
          <w:szCs w:val="24"/>
        </w:rPr>
      </w:pPr>
    </w:p>
    <w:sectPr w:rsidR="00D06738" w:rsidRPr="00FF6B9A">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3EA" w:rsidRDefault="007573EA">
      <w:r>
        <w:separator/>
      </w:r>
    </w:p>
  </w:endnote>
  <w:endnote w:type="continuationSeparator" w:id="0">
    <w:p w:rsidR="007573EA" w:rsidRDefault="0075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00A87092" w:rsidRPr="00A87092">
      <w:rPr>
        <w:noProof/>
        <w:lang w:val="zh-CN"/>
      </w:rPr>
      <w:t>1</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A87092">
      <w:rPr>
        <w:rStyle w:val="aff"/>
        <w:noProof/>
      </w:rPr>
      <w:t>2</w:t>
    </w:r>
    <w:r>
      <w:rPr>
        <w:rStyle w:val="aff"/>
      </w:rPr>
      <w:fldChar w:fldCharType="end"/>
    </w:r>
  </w:p>
  <w:p w:rsidR="00454D20" w:rsidRDefault="00454D2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3EA" w:rsidRDefault="007573EA">
      <w:r>
        <w:separator/>
      </w:r>
    </w:p>
  </w:footnote>
  <w:footnote w:type="continuationSeparator" w:id="0">
    <w:p w:rsidR="007573EA" w:rsidRDefault="00757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6"/>
      <w:pBdr>
        <w:bottom w:val="single" w:sz="6" w:space="0" w:color="auto"/>
      </w:pBdr>
      <w:jc w:val="right"/>
    </w:pPr>
    <w:r>
      <w:rPr>
        <w:rFonts w:hint="eastAsia"/>
      </w:rPr>
      <w:t>上投摩根慧见两年持有期混合型证券投资基金</w:t>
    </w:r>
    <w:r>
      <w:rPr>
        <w:rFonts w:hint="eastAsia"/>
      </w:rPr>
      <w:t>2021</w:t>
    </w:r>
    <w:r>
      <w:rPr>
        <w:rFonts w:hint="eastAsia"/>
      </w:rPr>
      <w:t>年第</w:t>
    </w:r>
    <w:r>
      <w:rPr>
        <w:rFonts w:hint="eastAsia"/>
      </w:rPr>
      <w:t>3</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58E0"/>
    <w:rsid w:val="004934E9"/>
    <w:rsid w:val="004943C2"/>
    <w:rsid w:val="004A11A7"/>
    <w:rsid w:val="004C702F"/>
    <w:rsid w:val="004D495A"/>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573EA"/>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47A15"/>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87092"/>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2102"/>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B9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pPr>
      <w:shd w:val="clear" w:color="auto" w:fill="000080"/>
    </w:pPr>
  </w:style>
  <w:style w:type="paragraph" w:styleId="aa">
    <w:name w:val="Body Text"/>
    <w:basedOn w:val="a"/>
    <w:link w:val="ab"/>
    <w:uiPriority w:val="99"/>
    <w:qFormat/>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e">
    <w:name w:val="Plain Text"/>
    <w:basedOn w:val="a"/>
    <w:link w:val="af"/>
    <w:uiPriority w:val="99"/>
    <w:rPr>
      <w:rFonts w:ascii="宋体" w:hAnsi="Courier New" w:cs="宋体"/>
    </w:rPr>
  </w:style>
  <w:style w:type="paragraph" w:styleId="af0">
    <w:name w:val="Date"/>
    <w:basedOn w:val="a"/>
    <w:next w:val="a"/>
    <w:link w:val="af1"/>
    <w:qFormat/>
    <w:rPr>
      <w:sz w:val="24"/>
      <w:szCs w:val="24"/>
    </w:rPr>
  </w:style>
  <w:style w:type="paragraph" w:styleId="21">
    <w:name w:val="Body Text Indent 2"/>
    <w:basedOn w:val="a"/>
    <w:link w:val="22"/>
    <w:uiPriority w:val="99"/>
    <w:qFormat/>
    <w:pPr>
      <w:spacing w:line="560" w:lineRule="exact"/>
      <w:ind w:firstLineChars="200" w:firstLine="480"/>
    </w:pPr>
    <w:rPr>
      <w:rFonts w:ascii="宋体" w:hAnsi="宋体" w:cs="宋体"/>
      <w:color w:val="FF0000"/>
      <w:sz w:val="24"/>
      <w:szCs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af8">
    <w:name w:val="List"/>
    <w:basedOn w:val="aa"/>
    <w:uiPriority w:val="99"/>
    <w:pPr>
      <w:spacing w:after="220" w:line="220" w:lineRule="atLeast"/>
      <w:ind w:left="1440" w:hanging="360"/>
    </w:pPr>
  </w:style>
  <w:style w:type="paragraph" w:styleId="af9">
    <w:name w:val="footnote text"/>
    <w:basedOn w:val="a"/>
    <w:link w:val="afa"/>
    <w:pPr>
      <w:snapToGrid w:val="0"/>
      <w:jc w:val="left"/>
    </w:pPr>
    <w:rPr>
      <w:sz w:val="18"/>
      <w:szCs w:val="18"/>
    </w:rPr>
  </w:style>
  <w:style w:type="paragraph" w:styleId="31">
    <w:name w:val="Body Text Indent 3"/>
    <w:basedOn w:val="a"/>
    <w:link w:val="32"/>
    <w:uiPriority w:val="99"/>
    <w:pPr>
      <w:spacing w:line="560" w:lineRule="exact"/>
      <w:ind w:firstLineChars="200" w:firstLine="420"/>
    </w:pPr>
    <w:rPr>
      <w:rFonts w:ascii="Arial" w:hAnsi="Arial" w:cs="Arial"/>
      <w:color w:val="FF0000"/>
    </w:rPr>
  </w:style>
  <w:style w:type="paragraph" w:styleId="afb">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pPr>
      <w:jc w:val="right"/>
    </w:pPr>
    <w:rPr>
      <w:color w:val="008000"/>
    </w:rPr>
  </w:style>
  <w:style w:type="paragraph" w:styleId="afc">
    <w:name w:val="Title"/>
    <w:basedOn w:val="a"/>
    <w:next w:val="a"/>
    <w:link w:val="afd"/>
    <w:uiPriority w:val="99"/>
    <w:qFormat/>
    <w:pPr>
      <w:spacing w:before="240" w:after="60"/>
      <w:jc w:val="center"/>
      <w:outlineLvl w:val="0"/>
    </w:pPr>
    <w:rPr>
      <w:rFonts w:ascii="Cambria" w:hAnsi="Cambria" w:cs="Cambria"/>
      <w:b/>
      <w:bCs/>
      <w:sz w:val="32"/>
      <w:szCs w:val="32"/>
    </w:rPr>
  </w:style>
  <w:style w:type="character" w:styleId="afe">
    <w:name w:val="Strong"/>
    <w:basedOn w:val="a1"/>
    <w:uiPriority w:val="22"/>
    <w:qFormat/>
    <w:rPr>
      <w:b/>
      <w:bCs/>
    </w:rPr>
  </w:style>
  <w:style w:type="character" w:styleId="aff">
    <w:name w:val="page number"/>
    <w:basedOn w:val="a1"/>
    <w:uiPriority w:val="99"/>
  </w:style>
  <w:style w:type="character" w:styleId="aff0">
    <w:name w:val="FollowedHyperlink"/>
    <w:basedOn w:val="a1"/>
    <w:uiPriority w:val="99"/>
    <w:qFormat/>
    <w:rPr>
      <w:color w:val="800080"/>
      <w:u w:val="single"/>
    </w:rPr>
  </w:style>
  <w:style w:type="character" w:styleId="aff1">
    <w:name w:val="Hyperlink"/>
    <w:basedOn w:val="a1"/>
    <w:uiPriority w:val="99"/>
    <w:rPr>
      <w:color w:val="0000FF"/>
      <w:u w:val="single"/>
    </w:rPr>
  </w:style>
  <w:style w:type="character" w:styleId="aff2">
    <w:name w:val="annotation reference"/>
    <w:basedOn w:val="a1"/>
    <w:uiPriority w:val="99"/>
    <w:semiHidden/>
    <w:qFormat/>
    <w:rPr>
      <w:sz w:val="21"/>
      <w:szCs w:val="21"/>
    </w:rPr>
  </w:style>
  <w:style w:type="character" w:styleId="aff3">
    <w:name w:val="footnote reference"/>
    <w:basedOn w:val="a1"/>
    <w:rPr>
      <w:vertAlign w:val="superscript"/>
    </w:rPr>
  </w:style>
  <w:style w:type="table" w:styleId="aff4">
    <w:name w:val="Table Grid"/>
    <w:basedOn w:val="a2"/>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9"/>
    <w:rPr>
      <w:rFonts w:ascii="Times New Roman" w:eastAsia="宋体" w:hAnsi="Times New Roman" w:cs="Times New Roman"/>
      <w:b/>
      <w:bCs/>
      <w:kern w:val="44"/>
      <w:sz w:val="44"/>
      <w:szCs w:val="44"/>
    </w:rPr>
  </w:style>
  <w:style w:type="character" w:customStyle="1" w:styleId="20">
    <w:name w:val="标题 2 字符"/>
    <w:basedOn w:val="a1"/>
    <w:link w:val="2"/>
    <w:uiPriority w:val="99"/>
    <w:rPr>
      <w:rFonts w:ascii="Arial" w:eastAsia="宋体" w:hAnsi="Arial" w:cs="Arial"/>
      <w:b/>
      <w:bCs/>
      <w:sz w:val="24"/>
      <w:szCs w:val="24"/>
    </w:rPr>
  </w:style>
  <w:style w:type="character" w:customStyle="1" w:styleId="30">
    <w:name w:val="标题 3 字符"/>
    <w:basedOn w:val="a1"/>
    <w:link w:val="3"/>
    <w:uiPriority w:val="99"/>
    <w:rPr>
      <w:rFonts w:ascii="Times New Roman" w:eastAsia="宋体" w:hAnsi="Times New Roman" w:cs="Times New Roman"/>
      <w:b/>
      <w:bCs/>
      <w:sz w:val="32"/>
      <w:szCs w:val="32"/>
    </w:rPr>
  </w:style>
  <w:style w:type="character" w:customStyle="1" w:styleId="ad">
    <w:name w:val="正文文本缩进 字符"/>
    <w:basedOn w:val="a1"/>
    <w:link w:val="ac"/>
    <w:uiPriority w:val="99"/>
    <w:rPr>
      <w:rFonts w:ascii="Arial Unicode MS" w:eastAsia="Arial Unicode MS" w:hAnsi="Arial Unicode MS" w:cs="Arial Unicode MS"/>
      <w:kern w:val="0"/>
      <w:sz w:val="24"/>
      <w:szCs w:val="24"/>
    </w:rPr>
  </w:style>
  <w:style w:type="character" w:customStyle="1" w:styleId="af">
    <w:name w:val="纯文本 字符"/>
    <w:basedOn w:val="a1"/>
    <w:link w:val="ae"/>
    <w:uiPriority w:val="99"/>
    <w:rPr>
      <w:rFonts w:ascii="宋体" w:eastAsia="宋体" w:hAnsi="Courier New" w:cs="宋体"/>
      <w:szCs w:val="21"/>
    </w:rPr>
  </w:style>
  <w:style w:type="character" w:customStyle="1" w:styleId="22">
    <w:name w:val="正文文本缩进 2 字符"/>
    <w:basedOn w:val="a1"/>
    <w:link w:val="21"/>
    <w:uiPriority w:val="99"/>
    <w:rPr>
      <w:rFonts w:ascii="宋体" w:eastAsia="宋体" w:hAnsi="宋体" w:cs="宋体"/>
      <w:color w:val="FF0000"/>
      <w:sz w:val="24"/>
      <w:szCs w:val="24"/>
    </w:rPr>
  </w:style>
  <w:style w:type="character" w:customStyle="1" w:styleId="af5">
    <w:name w:val="页脚 字符"/>
    <w:basedOn w:val="a1"/>
    <w:link w:val="af4"/>
    <w:uiPriority w:val="99"/>
    <w:rPr>
      <w:rFonts w:ascii="Times New Roman" w:eastAsia="宋体" w:hAnsi="Times New Roman" w:cs="Times New Roman"/>
      <w:sz w:val="18"/>
      <w:szCs w:val="18"/>
    </w:rPr>
  </w:style>
  <w:style w:type="character" w:customStyle="1" w:styleId="32">
    <w:name w:val="正文文本缩进 3 字符"/>
    <w:basedOn w:val="a1"/>
    <w:link w:val="31"/>
    <w:uiPriority w:val="99"/>
    <w:rPr>
      <w:rFonts w:ascii="Arial" w:eastAsia="宋体" w:hAnsi="Arial" w:cs="Arial"/>
      <w:color w:val="FF0000"/>
      <w:szCs w:val="21"/>
    </w:rPr>
  </w:style>
  <w:style w:type="character" w:customStyle="1" w:styleId="af7">
    <w:name w:val="页眉 字符"/>
    <w:basedOn w:val="a1"/>
    <w:link w:val="af6"/>
    <w:uiPriority w:val="99"/>
    <w:rPr>
      <w:rFonts w:ascii="Times New Roman" w:eastAsia="宋体" w:hAnsi="Times New Roman" w:cs="Times New Roman"/>
      <w:sz w:val="18"/>
      <w:szCs w:val="18"/>
    </w:rPr>
  </w:style>
  <w:style w:type="character" w:customStyle="1" w:styleId="ab">
    <w:name w:val="正文文本 字符"/>
    <w:basedOn w:val="a1"/>
    <w:link w:val="aa"/>
    <w:uiPriority w:val="99"/>
    <w:qFormat/>
    <w:rPr>
      <w:rFonts w:ascii="Times New Roman" w:eastAsia="宋体" w:hAnsi="Times New Roman" w:cs="Times New Roman"/>
      <w:szCs w:val="21"/>
    </w:rPr>
  </w:style>
  <w:style w:type="character" w:customStyle="1" w:styleId="af1">
    <w:name w:val="日期 字符"/>
    <w:basedOn w:val="a1"/>
    <w:link w:val="af0"/>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af3">
    <w:name w:val="批注框文本 字符"/>
    <w:basedOn w:val="a1"/>
    <w:link w:val="af2"/>
    <w:uiPriority w:val="99"/>
    <w:semiHidden/>
    <w:qFormat/>
    <w:rPr>
      <w:rFonts w:ascii="Times New Roman" w:eastAsia="宋体" w:hAnsi="Times New Roman" w:cs="Times New Roman"/>
      <w:sz w:val="18"/>
      <w:szCs w:val="18"/>
    </w:rPr>
  </w:style>
  <w:style w:type="character" w:customStyle="1" w:styleId="a7">
    <w:name w:val="批注文字 字符"/>
    <w:basedOn w:val="a1"/>
    <w:link w:val="a5"/>
    <w:uiPriority w:val="99"/>
    <w:semiHidden/>
    <w:qFormat/>
    <w:rPr>
      <w:rFonts w:ascii="Times New Roman" w:eastAsia="宋体" w:hAnsi="Times New Roman" w:cs="Times New Roman"/>
      <w:szCs w:val="21"/>
    </w:rPr>
  </w:style>
  <w:style w:type="character" w:customStyle="1" w:styleId="a6">
    <w:name w:val="批注主题 字符"/>
    <w:basedOn w:val="a7"/>
    <w:link w:val="a4"/>
    <w:uiPriority w:val="99"/>
    <w:semiHidden/>
    <w:qFormat/>
    <w:rPr>
      <w:rFonts w:ascii="Times New Roman" w:eastAsia="宋体" w:hAnsi="Times New Roman" w:cs="Times New Roman"/>
      <w:b/>
      <w:bCs/>
      <w:szCs w:val="21"/>
    </w:rPr>
  </w:style>
  <w:style w:type="paragraph" w:customStyle="1" w:styleId="Char">
    <w:name w:val="Char"/>
    <w:basedOn w:val="a"/>
    <w:uiPriority w:val="99"/>
    <w:qFormat/>
  </w:style>
  <w:style w:type="character" w:customStyle="1" w:styleId="a9">
    <w:name w:val="文档结构图 字符"/>
    <w:basedOn w:val="a1"/>
    <w:link w:val="a8"/>
    <w:uiPriority w:val="99"/>
    <w:semiHidden/>
    <w:rPr>
      <w:rFonts w:ascii="Times New Roman" w:eastAsia="宋体" w:hAnsi="Times New Roman" w:cs="Times New Roman"/>
      <w:szCs w:val="21"/>
      <w:shd w:val="clear" w:color="auto" w:fill="000080"/>
    </w:rPr>
  </w:style>
  <w:style w:type="paragraph" w:customStyle="1" w:styleId="aff5">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afa">
    <w:name w:val="脚注文本 字符"/>
    <w:basedOn w:val="a1"/>
    <w:link w:val="af9"/>
    <w:rPr>
      <w:rFonts w:ascii="Times New Roman" w:eastAsia="宋体" w:hAnsi="Times New Roman" w:cs="Times New Roman"/>
      <w:sz w:val="18"/>
      <w:szCs w:val="18"/>
    </w:rPr>
  </w:style>
  <w:style w:type="paragraph" w:customStyle="1" w:styleId="Char1">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afd">
    <w:name w:val="标题 字符"/>
    <w:basedOn w:val="a1"/>
    <w:link w:val="afc"/>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2">
    <w:name w:val="无间隔1"/>
    <w:link w:val="Char0"/>
    <w:uiPriority w:val="1"/>
    <w:qFormat/>
    <w:rPr>
      <w:rFonts w:ascii="Calibri" w:eastAsia="宋体" w:hAnsi="Calibri" w:cs="Calibri"/>
      <w:sz w:val="22"/>
      <w:szCs w:val="22"/>
    </w:rPr>
  </w:style>
  <w:style w:type="character" w:customStyle="1" w:styleId="Char0">
    <w:name w:val="无间隔 Char"/>
    <w:basedOn w:val="a1"/>
    <w:link w:val="12"/>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3">
    <w:name w:val="列表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16B626-D07E-469B-B9F5-5D348245E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14</Pages>
  <Words>1154</Words>
  <Characters>6578</Characters>
  <Application>Microsoft Office Word</Application>
  <DocSecurity>0</DocSecurity>
  <Lines>54</Lines>
  <Paragraphs>15</Paragraphs>
  <ScaleCrop>false</ScaleCrop>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Olivia.Gu@FA</cp:lastModifiedBy>
  <cp:revision>269</cp:revision>
  <dcterms:created xsi:type="dcterms:W3CDTF">2012-10-16T06:07:00Z</dcterms:created>
  <dcterms:modified xsi:type="dcterms:W3CDTF">2021-10-26T03:05:00Z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