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上投摩根慧见两年持有期混合型证券投资基金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报告送出日期：二〇二一年十月二十七日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26</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上投摩根慧见两年持有期混合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17</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2,338,765,704.20</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E42102" w:rsidRDefault="00947A15">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E42102" w:rsidRDefault="00947A1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E42102" w:rsidRDefault="00947A15">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E42102" w:rsidRDefault="00947A15">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成长与价值并重</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E42102" w:rsidRDefault="00947A15">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E42102" w:rsidRDefault="00947A15">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E42102" w:rsidRDefault="00947A15">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E42102" w:rsidRDefault="00947A1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w:t>
            </w:r>
            <w:r w:rsidRPr="00FF6B9A">
              <w:rPr>
                <w:rFonts w:eastAsiaTheme="minorEastAsia"/>
                <w:color w:val="000000" w:themeColor="text1"/>
                <w:kern w:val="0"/>
              </w:rPr>
              <w:lastRenderedPageBreak/>
              <w:t>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*70%+</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947A15" w:rsidRPr="00FF6B9A" w:rsidTr="00947A15">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947A15" w:rsidRPr="00FF6B9A" w:rsidTr="00947A1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104,377,813.00</w:t>
            </w:r>
          </w:p>
        </w:tc>
      </w:tr>
      <w:tr w:rsidR="00947A15" w:rsidRPr="00FF6B9A" w:rsidTr="00947A1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16,406,543.65</w:t>
            </w:r>
          </w:p>
        </w:tc>
      </w:tr>
      <w:tr w:rsidR="00947A15" w:rsidRPr="00FF6B9A" w:rsidTr="00947A1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0.0070</w:t>
            </w:r>
          </w:p>
        </w:tc>
      </w:tr>
      <w:tr w:rsidR="00947A15" w:rsidRPr="00FF6B9A" w:rsidTr="00947A15">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2,661,943,482.32</w:t>
            </w:r>
          </w:p>
        </w:tc>
      </w:tr>
      <w:tr w:rsidR="00947A15" w:rsidRPr="00FF6B9A" w:rsidTr="00947A15">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1.1382</w:t>
            </w:r>
          </w:p>
        </w:tc>
      </w:tr>
    </w:tbl>
    <w:p w:rsidR="00E42102" w:rsidRDefault="00947A1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lastRenderedPageBreak/>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业绩比较基准收益</w:t>
            </w:r>
            <w:r w:rsidRPr="00FF6B9A">
              <w:rPr>
                <w:rFonts w:eastAsiaTheme="minorEastAsia"/>
                <w:color w:val="000000" w:themeColor="text1"/>
                <w:kern w:val="0"/>
              </w:rPr>
              <w:lastRenderedPageBreak/>
              <w:t>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lastRenderedPageBreak/>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E42102">
        <w:tc>
          <w:tcPr>
            <w:tcW w:w="1395" w:type="dxa"/>
            <w:vAlign w:val="center"/>
          </w:tcPr>
          <w:p w:rsidR="00E42102" w:rsidRDefault="00947A15">
            <w:pPr>
              <w:jc w:val="left"/>
            </w:pPr>
            <w:r>
              <w:rPr>
                <w:rFonts w:eastAsiaTheme="minorEastAsia"/>
                <w:color w:val="000000" w:themeColor="text1"/>
                <w:kern w:val="0"/>
              </w:rPr>
              <w:t>过去三个月</w:t>
            </w:r>
          </w:p>
        </w:tc>
        <w:tc>
          <w:tcPr>
            <w:tcW w:w="1092" w:type="dxa"/>
            <w:vAlign w:val="center"/>
          </w:tcPr>
          <w:p w:rsidR="00E42102" w:rsidRDefault="00947A15">
            <w:pPr>
              <w:jc w:val="center"/>
            </w:pPr>
            <w:r>
              <w:rPr>
                <w:rFonts w:eastAsiaTheme="minorEastAsia"/>
                <w:color w:val="000000" w:themeColor="text1"/>
                <w:kern w:val="0"/>
              </w:rPr>
              <w:t>0.62%</w:t>
            </w:r>
          </w:p>
        </w:tc>
        <w:tc>
          <w:tcPr>
            <w:tcW w:w="1161" w:type="dxa"/>
            <w:vAlign w:val="center"/>
          </w:tcPr>
          <w:p w:rsidR="00E42102" w:rsidRDefault="00947A15">
            <w:pPr>
              <w:jc w:val="center"/>
            </w:pPr>
            <w:r>
              <w:rPr>
                <w:rFonts w:eastAsiaTheme="minorEastAsia"/>
                <w:color w:val="000000" w:themeColor="text1"/>
                <w:kern w:val="0"/>
              </w:rPr>
              <w:t>2.00%</w:t>
            </w:r>
          </w:p>
        </w:tc>
        <w:tc>
          <w:tcPr>
            <w:tcW w:w="1181" w:type="dxa"/>
            <w:vAlign w:val="center"/>
          </w:tcPr>
          <w:p w:rsidR="00E42102" w:rsidRDefault="00947A15">
            <w:pPr>
              <w:jc w:val="center"/>
            </w:pPr>
            <w:r>
              <w:rPr>
                <w:rFonts w:eastAsiaTheme="minorEastAsia"/>
                <w:color w:val="000000" w:themeColor="text1"/>
                <w:kern w:val="0"/>
              </w:rPr>
              <w:t>-4.10%</w:t>
            </w:r>
          </w:p>
        </w:tc>
        <w:tc>
          <w:tcPr>
            <w:tcW w:w="1188" w:type="dxa"/>
            <w:vAlign w:val="center"/>
          </w:tcPr>
          <w:p w:rsidR="00E42102" w:rsidRDefault="00947A15">
            <w:pPr>
              <w:jc w:val="center"/>
            </w:pPr>
            <w:r>
              <w:rPr>
                <w:rFonts w:eastAsiaTheme="minorEastAsia"/>
                <w:color w:val="000000" w:themeColor="text1"/>
                <w:kern w:val="0"/>
              </w:rPr>
              <w:t>0.89%</w:t>
            </w:r>
          </w:p>
        </w:tc>
        <w:tc>
          <w:tcPr>
            <w:tcW w:w="1199" w:type="dxa"/>
            <w:vAlign w:val="center"/>
          </w:tcPr>
          <w:p w:rsidR="00E42102" w:rsidRDefault="00947A15">
            <w:pPr>
              <w:jc w:val="center"/>
            </w:pPr>
            <w:r>
              <w:rPr>
                <w:rFonts w:eastAsiaTheme="minorEastAsia"/>
                <w:color w:val="000000" w:themeColor="text1"/>
                <w:kern w:val="0"/>
              </w:rPr>
              <w:t>4.72%</w:t>
            </w:r>
          </w:p>
        </w:tc>
        <w:tc>
          <w:tcPr>
            <w:tcW w:w="1204" w:type="dxa"/>
            <w:vAlign w:val="center"/>
          </w:tcPr>
          <w:p w:rsidR="00E42102" w:rsidRDefault="00947A15">
            <w:pPr>
              <w:jc w:val="center"/>
            </w:pPr>
            <w:r>
              <w:rPr>
                <w:rFonts w:eastAsiaTheme="minorEastAsia"/>
                <w:color w:val="000000" w:themeColor="text1"/>
                <w:kern w:val="0"/>
              </w:rPr>
              <w:t>1.11%</w:t>
            </w:r>
          </w:p>
        </w:tc>
      </w:tr>
      <w:tr w:rsidR="00E42102">
        <w:tc>
          <w:tcPr>
            <w:tcW w:w="1395" w:type="dxa"/>
            <w:vAlign w:val="center"/>
          </w:tcPr>
          <w:p w:rsidR="00E42102" w:rsidRDefault="00947A15">
            <w:pPr>
              <w:jc w:val="left"/>
            </w:pPr>
            <w:r>
              <w:rPr>
                <w:rFonts w:eastAsiaTheme="minorEastAsia"/>
                <w:color w:val="000000" w:themeColor="text1"/>
                <w:kern w:val="0"/>
              </w:rPr>
              <w:t>过去六个月</w:t>
            </w:r>
          </w:p>
        </w:tc>
        <w:tc>
          <w:tcPr>
            <w:tcW w:w="1092" w:type="dxa"/>
            <w:vAlign w:val="center"/>
          </w:tcPr>
          <w:p w:rsidR="00E42102" w:rsidRDefault="00947A15">
            <w:pPr>
              <w:jc w:val="center"/>
            </w:pPr>
            <w:r>
              <w:rPr>
                <w:rFonts w:eastAsiaTheme="minorEastAsia"/>
                <w:color w:val="000000" w:themeColor="text1"/>
                <w:kern w:val="0"/>
              </w:rPr>
              <w:t>8.53%</w:t>
            </w:r>
          </w:p>
        </w:tc>
        <w:tc>
          <w:tcPr>
            <w:tcW w:w="1161" w:type="dxa"/>
            <w:vAlign w:val="center"/>
          </w:tcPr>
          <w:p w:rsidR="00E42102" w:rsidRDefault="00947A15">
            <w:pPr>
              <w:jc w:val="center"/>
            </w:pPr>
            <w:r>
              <w:rPr>
                <w:rFonts w:eastAsiaTheme="minorEastAsia"/>
                <w:color w:val="000000" w:themeColor="text1"/>
                <w:kern w:val="0"/>
              </w:rPr>
              <w:t>1.59%</w:t>
            </w:r>
          </w:p>
        </w:tc>
        <w:tc>
          <w:tcPr>
            <w:tcW w:w="1181" w:type="dxa"/>
            <w:vAlign w:val="center"/>
          </w:tcPr>
          <w:p w:rsidR="00E42102" w:rsidRDefault="00947A15">
            <w:pPr>
              <w:jc w:val="center"/>
            </w:pPr>
            <w:r>
              <w:rPr>
                <w:rFonts w:eastAsiaTheme="minorEastAsia"/>
                <w:color w:val="000000" w:themeColor="text1"/>
                <w:kern w:val="0"/>
              </w:rPr>
              <w:t>-0.74%</w:t>
            </w:r>
          </w:p>
        </w:tc>
        <w:tc>
          <w:tcPr>
            <w:tcW w:w="1188" w:type="dxa"/>
            <w:vAlign w:val="center"/>
          </w:tcPr>
          <w:p w:rsidR="00E42102" w:rsidRDefault="00947A15">
            <w:pPr>
              <w:jc w:val="center"/>
            </w:pPr>
            <w:r>
              <w:rPr>
                <w:rFonts w:eastAsiaTheme="minorEastAsia"/>
                <w:color w:val="000000" w:themeColor="text1"/>
                <w:kern w:val="0"/>
              </w:rPr>
              <w:t>0.79%</w:t>
            </w:r>
          </w:p>
        </w:tc>
        <w:tc>
          <w:tcPr>
            <w:tcW w:w="1199" w:type="dxa"/>
            <w:vAlign w:val="center"/>
          </w:tcPr>
          <w:p w:rsidR="00E42102" w:rsidRDefault="00947A15">
            <w:pPr>
              <w:jc w:val="center"/>
            </w:pPr>
            <w:r>
              <w:rPr>
                <w:rFonts w:eastAsiaTheme="minorEastAsia"/>
                <w:color w:val="000000" w:themeColor="text1"/>
                <w:kern w:val="0"/>
              </w:rPr>
              <w:t>9.27%</w:t>
            </w:r>
          </w:p>
        </w:tc>
        <w:tc>
          <w:tcPr>
            <w:tcW w:w="1204" w:type="dxa"/>
            <w:vAlign w:val="center"/>
          </w:tcPr>
          <w:p w:rsidR="00E42102" w:rsidRDefault="00947A15">
            <w:pPr>
              <w:jc w:val="center"/>
            </w:pPr>
            <w:r>
              <w:rPr>
                <w:rFonts w:eastAsiaTheme="minorEastAsia"/>
                <w:color w:val="000000" w:themeColor="text1"/>
                <w:kern w:val="0"/>
              </w:rPr>
              <w:t>0.80%</w:t>
            </w:r>
          </w:p>
        </w:tc>
      </w:tr>
      <w:tr w:rsidR="00E42102">
        <w:tc>
          <w:tcPr>
            <w:tcW w:w="1395" w:type="dxa"/>
            <w:vAlign w:val="center"/>
          </w:tcPr>
          <w:p w:rsidR="00E42102" w:rsidRDefault="00947A15">
            <w:pPr>
              <w:jc w:val="left"/>
            </w:pPr>
            <w:r>
              <w:rPr>
                <w:rFonts w:eastAsiaTheme="minorEastAsia"/>
                <w:color w:val="000000" w:themeColor="text1"/>
                <w:kern w:val="0"/>
              </w:rPr>
              <w:t>过去一年</w:t>
            </w:r>
          </w:p>
        </w:tc>
        <w:tc>
          <w:tcPr>
            <w:tcW w:w="1092" w:type="dxa"/>
            <w:vAlign w:val="center"/>
          </w:tcPr>
          <w:p w:rsidR="00E42102" w:rsidRDefault="00947A15">
            <w:pPr>
              <w:jc w:val="center"/>
            </w:pPr>
            <w:r>
              <w:rPr>
                <w:rFonts w:eastAsiaTheme="minorEastAsia"/>
                <w:color w:val="000000" w:themeColor="text1"/>
                <w:kern w:val="0"/>
              </w:rPr>
              <w:t>13.59%</w:t>
            </w:r>
          </w:p>
        </w:tc>
        <w:tc>
          <w:tcPr>
            <w:tcW w:w="1161" w:type="dxa"/>
            <w:vAlign w:val="center"/>
          </w:tcPr>
          <w:p w:rsidR="00E42102" w:rsidRDefault="00947A15">
            <w:pPr>
              <w:jc w:val="center"/>
            </w:pPr>
            <w:r>
              <w:rPr>
                <w:rFonts w:eastAsiaTheme="minorEastAsia"/>
                <w:color w:val="000000" w:themeColor="text1"/>
                <w:kern w:val="0"/>
              </w:rPr>
              <w:t>1.59%</w:t>
            </w:r>
          </w:p>
        </w:tc>
        <w:tc>
          <w:tcPr>
            <w:tcW w:w="1181" w:type="dxa"/>
            <w:vAlign w:val="center"/>
          </w:tcPr>
          <w:p w:rsidR="00E42102" w:rsidRDefault="00947A15">
            <w:pPr>
              <w:jc w:val="center"/>
            </w:pPr>
            <w:r>
              <w:rPr>
                <w:rFonts w:eastAsiaTheme="minorEastAsia"/>
                <w:color w:val="000000" w:themeColor="text1"/>
                <w:kern w:val="0"/>
              </w:rPr>
              <w:t>6.59%</w:t>
            </w:r>
          </w:p>
        </w:tc>
        <w:tc>
          <w:tcPr>
            <w:tcW w:w="1188" w:type="dxa"/>
            <w:vAlign w:val="center"/>
          </w:tcPr>
          <w:p w:rsidR="00E42102" w:rsidRDefault="00947A15">
            <w:pPr>
              <w:jc w:val="center"/>
            </w:pPr>
            <w:r>
              <w:rPr>
                <w:rFonts w:eastAsiaTheme="minorEastAsia"/>
                <w:color w:val="000000" w:themeColor="text1"/>
                <w:kern w:val="0"/>
              </w:rPr>
              <w:t>0.89%</w:t>
            </w:r>
          </w:p>
        </w:tc>
        <w:tc>
          <w:tcPr>
            <w:tcW w:w="1199" w:type="dxa"/>
            <w:vAlign w:val="center"/>
          </w:tcPr>
          <w:p w:rsidR="00E42102" w:rsidRDefault="00947A15">
            <w:pPr>
              <w:jc w:val="center"/>
            </w:pPr>
            <w:r>
              <w:rPr>
                <w:rFonts w:eastAsiaTheme="minorEastAsia"/>
                <w:color w:val="000000" w:themeColor="text1"/>
                <w:kern w:val="0"/>
              </w:rPr>
              <w:t>7.00%</w:t>
            </w:r>
          </w:p>
        </w:tc>
        <w:tc>
          <w:tcPr>
            <w:tcW w:w="1204" w:type="dxa"/>
            <w:vAlign w:val="center"/>
          </w:tcPr>
          <w:p w:rsidR="00E42102" w:rsidRDefault="00947A15">
            <w:pPr>
              <w:jc w:val="center"/>
            </w:pPr>
            <w:r>
              <w:rPr>
                <w:rFonts w:eastAsiaTheme="minorEastAsia"/>
                <w:color w:val="000000" w:themeColor="text1"/>
                <w:kern w:val="0"/>
              </w:rPr>
              <w:t>0.70%</w:t>
            </w:r>
          </w:p>
        </w:tc>
      </w:tr>
      <w:tr w:rsidR="00E42102">
        <w:tc>
          <w:tcPr>
            <w:tcW w:w="1395" w:type="dxa"/>
            <w:vAlign w:val="center"/>
          </w:tcPr>
          <w:p w:rsidR="00E42102" w:rsidRDefault="00947A15">
            <w:pPr>
              <w:jc w:val="left"/>
            </w:pPr>
            <w:r>
              <w:rPr>
                <w:rFonts w:eastAsiaTheme="minorEastAsia"/>
                <w:color w:val="000000" w:themeColor="text1"/>
                <w:kern w:val="0"/>
              </w:rPr>
              <w:t>过去三年</w:t>
            </w:r>
          </w:p>
        </w:tc>
        <w:tc>
          <w:tcPr>
            <w:tcW w:w="1092" w:type="dxa"/>
            <w:vAlign w:val="center"/>
          </w:tcPr>
          <w:p w:rsidR="00E42102" w:rsidRDefault="00947A15">
            <w:pPr>
              <w:jc w:val="center"/>
            </w:pPr>
            <w:r>
              <w:rPr>
                <w:rFonts w:eastAsiaTheme="minorEastAsia"/>
                <w:color w:val="000000" w:themeColor="text1"/>
                <w:kern w:val="0"/>
              </w:rPr>
              <w:t>-</w:t>
            </w:r>
          </w:p>
        </w:tc>
        <w:tc>
          <w:tcPr>
            <w:tcW w:w="1161" w:type="dxa"/>
            <w:vAlign w:val="center"/>
          </w:tcPr>
          <w:p w:rsidR="00E42102" w:rsidRDefault="00947A15">
            <w:pPr>
              <w:jc w:val="center"/>
            </w:pPr>
            <w:r>
              <w:rPr>
                <w:rFonts w:eastAsiaTheme="minorEastAsia"/>
                <w:color w:val="000000" w:themeColor="text1"/>
                <w:kern w:val="0"/>
              </w:rPr>
              <w:t>-</w:t>
            </w:r>
          </w:p>
        </w:tc>
        <w:tc>
          <w:tcPr>
            <w:tcW w:w="1181" w:type="dxa"/>
            <w:vAlign w:val="center"/>
          </w:tcPr>
          <w:p w:rsidR="00E42102" w:rsidRDefault="00947A15">
            <w:pPr>
              <w:jc w:val="center"/>
            </w:pPr>
            <w:r>
              <w:rPr>
                <w:rFonts w:eastAsiaTheme="minorEastAsia"/>
                <w:color w:val="000000" w:themeColor="text1"/>
                <w:kern w:val="0"/>
              </w:rPr>
              <w:t>-</w:t>
            </w:r>
          </w:p>
        </w:tc>
        <w:tc>
          <w:tcPr>
            <w:tcW w:w="1188" w:type="dxa"/>
            <w:vAlign w:val="center"/>
          </w:tcPr>
          <w:p w:rsidR="00E42102" w:rsidRDefault="00947A15">
            <w:pPr>
              <w:jc w:val="center"/>
            </w:pPr>
            <w:r>
              <w:rPr>
                <w:rFonts w:eastAsiaTheme="minorEastAsia"/>
                <w:color w:val="000000" w:themeColor="text1"/>
                <w:kern w:val="0"/>
              </w:rPr>
              <w:t>-</w:t>
            </w:r>
          </w:p>
        </w:tc>
        <w:tc>
          <w:tcPr>
            <w:tcW w:w="1199" w:type="dxa"/>
            <w:vAlign w:val="center"/>
          </w:tcPr>
          <w:p w:rsidR="00E42102" w:rsidRDefault="00947A15">
            <w:pPr>
              <w:jc w:val="center"/>
            </w:pPr>
            <w:r>
              <w:rPr>
                <w:rFonts w:eastAsiaTheme="minorEastAsia"/>
                <w:color w:val="000000" w:themeColor="text1"/>
                <w:kern w:val="0"/>
              </w:rPr>
              <w:t>-</w:t>
            </w:r>
          </w:p>
        </w:tc>
        <w:tc>
          <w:tcPr>
            <w:tcW w:w="1204" w:type="dxa"/>
            <w:vAlign w:val="center"/>
          </w:tcPr>
          <w:p w:rsidR="00E42102" w:rsidRDefault="00947A15">
            <w:pPr>
              <w:jc w:val="center"/>
            </w:pPr>
            <w:r>
              <w:rPr>
                <w:rFonts w:eastAsiaTheme="minorEastAsia"/>
                <w:color w:val="000000" w:themeColor="text1"/>
                <w:kern w:val="0"/>
              </w:rPr>
              <w:t>-</w:t>
            </w:r>
          </w:p>
        </w:tc>
      </w:tr>
      <w:tr w:rsidR="00E42102">
        <w:tc>
          <w:tcPr>
            <w:tcW w:w="1395" w:type="dxa"/>
            <w:vAlign w:val="center"/>
          </w:tcPr>
          <w:p w:rsidR="00E42102" w:rsidRDefault="00947A15">
            <w:pPr>
              <w:jc w:val="left"/>
            </w:pPr>
            <w:r>
              <w:rPr>
                <w:rFonts w:eastAsiaTheme="minorEastAsia"/>
                <w:color w:val="000000" w:themeColor="text1"/>
                <w:kern w:val="0"/>
              </w:rPr>
              <w:t>过去五年</w:t>
            </w:r>
          </w:p>
        </w:tc>
        <w:tc>
          <w:tcPr>
            <w:tcW w:w="1092" w:type="dxa"/>
            <w:vAlign w:val="center"/>
          </w:tcPr>
          <w:p w:rsidR="00E42102" w:rsidRDefault="00947A15">
            <w:pPr>
              <w:jc w:val="center"/>
            </w:pPr>
            <w:r>
              <w:rPr>
                <w:rFonts w:eastAsiaTheme="minorEastAsia"/>
                <w:color w:val="000000" w:themeColor="text1"/>
                <w:kern w:val="0"/>
              </w:rPr>
              <w:t>-</w:t>
            </w:r>
          </w:p>
        </w:tc>
        <w:tc>
          <w:tcPr>
            <w:tcW w:w="1161" w:type="dxa"/>
            <w:vAlign w:val="center"/>
          </w:tcPr>
          <w:p w:rsidR="00E42102" w:rsidRDefault="00947A15">
            <w:pPr>
              <w:jc w:val="center"/>
            </w:pPr>
            <w:r>
              <w:rPr>
                <w:rFonts w:eastAsiaTheme="minorEastAsia"/>
                <w:color w:val="000000" w:themeColor="text1"/>
                <w:kern w:val="0"/>
              </w:rPr>
              <w:t>-</w:t>
            </w:r>
          </w:p>
        </w:tc>
        <w:tc>
          <w:tcPr>
            <w:tcW w:w="1181" w:type="dxa"/>
            <w:vAlign w:val="center"/>
          </w:tcPr>
          <w:p w:rsidR="00E42102" w:rsidRDefault="00947A15">
            <w:pPr>
              <w:jc w:val="center"/>
            </w:pPr>
            <w:r>
              <w:rPr>
                <w:rFonts w:eastAsiaTheme="minorEastAsia"/>
                <w:color w:val="000000" w:themeColor="text1"/>
                <w:kern w:val="0"/>
              </w:rPr>
              <w:t>-</w:t>
            </w:r>
          </w:p>
        </w:tc>
        <w:tc>
          <w:tcPr>
            <w:tcW w:w="1188" w:type="dxa"/>
            <w:vAlign w:val="center"/>
          </w:tcPr>
          <w:p w:rsidR="00E42102" w:rsidRDefault="00947A15">
            <w:pPr>
              <w:jc w:val="center"/>
            </w:pPr>
            <w:r>
              <w:rPr>
                <w:rFonts w:eastAsiaTheme="minorEastAsia"/>
                <w:color w:val="000000" w:themeColor="text1"/>
                <w:kern w:val="0"/>
              </w:rPr>
              <w:t>-</w:t>
            </w:r>
          </w:p>
        </w:tc>
        <w:tc>
          <w:tcPr>
            <w:tcW w:w="1199" w:type="dxa"/>
            <w:vAlign w:val="center"/>
          </w:tcPr>
          <w:p w:rsidR="00E42102" w:rsidRDefault="00947A15">
            <w:pPr>
              <w:jc w:val="center"/>
            </w:pPr>
            <w:r>
              <w:rPr>
                <w:rFonts w:eastAsiaTheme="minorEastAsia"/>
                <w:color w:val="000000" w:themeColor="text1"/>
                <w:kern w:val="0"/>
              </w:rPr>
              <w:t>-</w:t>
            </w:r>
          </w:p>
        </w:tc>
        <w:tc>
          <w:tcPr>
            <w:tcW w:w="1204" w:type="dxa"/>
            <w:vAlign w:val="center"/>
          </w:tcPr>
          <w:p w:rsidR="00E42102" w:rsidRDefault="00947A15">
            <w:pPr>
              <w:jc w:val="center"/>
            </w:pPr>
            <w:r>
              <w:rPr>
                <w:rFonts w:eastAsiaTheme="minorEastAsia"/>
                <w:color w:val="000000" w:themeColor="text1"/>
                <w:kern w:val="0"/>
              </w:rPr>
              <w:t>-</w:t>
            </w:r>
          </w:p>
        </w:tc>
      </w:tr>
      <w:tr w:rsidR="00E42102">
        <w:tc>
          <w:tcPr>
            <w:tcW w:w="1395" w:type="dxa"/>
            <w:vAlign w:val="center"/>
          </w:tcPr>
          <w:p w:rsidR="00E42102" w:rsidRDefault="00947A15">
            <w:pPr>
              <w:jc w:val="left"/>
            </w:pPr>
            <w:r>
              <w:rPr>
                <w:rFonts w:eastAsiaTheme="minorEastAsia"/>
                <w:color w:val="000000" w:themeColor="text1"/>
                <w:kern w:val="0"/>
              </w:rPr>
              <w:t>自基金合同生效起至今</w:t>
            </w:r>
          </w:p>
        </w:tc>
        <w:tc>
          <w:tcPr>
            <w:tcW w:w="1092" w:type="dxa"/>
            <w:vAlign w:val="center"/>
          </w:tcPr>
          <w:p w:rsidR="00E42102" w:rsidRDefault="00947A15">
            <w:pPr>
              <w:jc w:val="center"/>
            </w:pPr>
            <w:r>
              <w:rPr>
                <w:rFonts w:eastAsiaTheme="minorEastAsia"/>
                <w:color w:val="000000" w:themeColor="text1"/>
                <w:kern w:val="0"/>
              </w:rPr>
              <w:t>13.82%</w:t>
            </w:r>
          </w:p>
        </w:tc>
        <w:tc>
          <w:tcPr>
            <w:tcW w:w="1161" w:type="dxa"/>
            <w:vAlign w:val="center"/>
          </w:tcPr>
          <w:p w:rsidR="00E42102" w:rsidRDefault="00947A15">
            <w:pPr>
              <w:jc w:val="center"/>
            </w:pPr>
            <w:r>
              <w:rPr>
                <w:rFonts w:eastAsiaTheme="minorEastAsia"/>
                <w:color w:val="000000" w:themeColor="text1"/>
                <w:kern w:val="0"/>
              </w:rPr>
              <w:t>1.56%</w:t>
            </w:r>
          </w:p>
        </w:tc>
        <w:tc>
          <w:tcPr>
            <w:tcW w:w="1181" w:type="dxa"/>
            <w:vAlign w:val="center"/>
          </w:tcPr>
          <w:p w:rsidR="00E42102" w:rsidRDefault="00947A15">
            <w:pPr>
              <w:jc w:val="center"/>
            </w:pPr>
            <w:r>
              <w:rPr>
                <w:rFonts w:eastAsiaTheme="minorEastAsia"/>
                <w:color w:val="000000" w:themeColor="text1"/>
                <w:kern w:val="0"/>
              </w:rPr>
              <w:t>4.91%</w:t>
            </w:r>
          </w:p>
        </w:tc>
        <w:tc>
          <w:tcPr>
            <w:tcW w:w="1188" w:type="dxa"/>
            <w:vAlign w:val="center"/>
          </w:tcPr>
          <w:p w:rsidR="00E42102" w:rsidRDefault="00947A15">
            <w:pPr>
              <w:jc w:val="center"/>
            </w:pPr>
            <w:r>
              <w:rPr>
                <w:rFonts w:eastAsiaTheme="minorEastAsia"/>
                <w:color w:val="000000" w:themeColor="text1"/>
                <w:kern w:val="0"/>
              </w:rPr>
              <w:t>0.89%</w:t>
            </w:r>
          </w:p>
        </w:tc>
        <w:tc>
          <w:tcPr>
            <w:tcW w:w="1199" w:type="dxa"/>
            <w:vAlign w:val="center"/>
          </w:tcPr>
          <w:p w:rsidR="00E42102" w:rsidRDefault="00947A15">
            <w:pPr>
              <w:jc w:val="center"/>
            </w:pPr>
            <w:r>
              <w:rPr>
                <w:rFonts w:eastAsiaTheme="minorEastAsia"/>
                <w:color w:val="000000" w:themeColor="text1"/>
                <w:kern w:val="0"/>
              </w:rPr>
              <w:t>8.91%</w:t>
            </w:r>
          </w:p>
        </w:tc>
        <w:tc>
          <w:tcPr>
            <w:tcW w:w="1204" w:type="dxa"/>
            <w:vAlign w:val="center"/>
          </w:tcPr>
          <w:p w:rsidR="00E42102" w:rsidRDefault="00947A15">
            <w:pPr>
              <w:jc w:val="center"/>
            </w:pPr>
            <w:r>
              <w:rPr>
                <w:rFonts w:eastAsiaTheme="minorEastAsia"/>
                <w:color w:val="000000" w:themeColor="text1"/>
                <w:kern w:val="0"/>
              </w:rPr>
              <w:t>0.67%</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上投摩根慧见两年持有期混合型证券投资基金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17</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E42102" w:rsidRDefault="00947A1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17</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E42102">
        <w:tc>
          <w:tcPr>
            <w:tcW w:w="851" w:type="dxa"/>
            <w:vAlign w:val="center"/>
          </w:tcPr>
          <w:p w:rsidR="00E42102" w:rsidRDefault="00947A15">
            <w:pPr>
              <w:jc w:val="center"/>
            </w:pPr>
            <w:r>
              <w:rPr>
                <w:rFonts w:eastAsiaTheme="minorEastAsia"/>
                <w:color w:val="000000" w:themeColor="text1"/>
              </w:rPr>
              <w:t>李德辉</w:t>
            </w:r>
          </w:p>
        </w:tc>
        <w:tc>
          <w:tcPr>
            <w:tcW w:w="850" w:type="dxa"/>
            <w:vAlign w:val="center"/>
          </w:tcPr>
          <w:p w:rsidR="00E42102" w:rsidRDefault="00947A15">
            <w:pPr>
              <w:jc w:val="center"/>
            </w:pPr>
            <w:r>
              <w:rPr>
                <w:rFonts w:eastAsiaTheme="minorEastAsia"/>
                <w:color w:val="000000" w:themeColor="text1"/>
              </w:rPr>
              <w:t>本基金基金经理</w:t>
            </w:r>
          </w:p>
        </w:tc>
        <w:tc>
          <w:tcPr>
            <w:tcW w:w="1560" w:type="dxa"/>
            <w:vAlign w:val="center"/>
          </w:tcPr>
          <w:p w:rsidR="00E42102" w:rsidRDefault="00947A15">
            <w:pPr>
              <w:jc w:val="center"/>
            </w:pPr>
            <w:r>
              <w:rPr>
                <w:rFonts w:eastAsiaTheme="minorEastAsia"/>
                <w:color w:val="000000" w:themeColor="text1"/>
              </w:rPr>
              <w:t>2020-09-17</w:t>
            </w:r>
          </w:p>
        </w:tc>
        <w:tc>
          <w:tcPr>
            <w:tcW w:w="1559" w:type="dxa"/>
            <w:vAlign w:val="center"/>
          </w:tcPr>
          <w:p w:rsidR="00E42102" w:rsidRDefault="00947A15">
            <w:pPr>
              <w:jc w:val="center"/>
            </w:pPr>
            <w:r>
              <w:rPr>
                <w:rFonts w:eastAsiaTheme="minorEastAsia"/>
                <w:color w:val="000000" w:themeColor="text1"/>
              </w:rPr>
              <w:t>-</w:t>
            </w:r>
          </w:p>
        </w:tc>
        <w:tc>
          <w:tcPr>
            <w:tcW w:w="1417" w:type="dxa"/>
            <w:vAlign w:val="center"/>
          </w:tcPr>
          <w:p w:rsidR="00E42102" w:rsidRDefault="00947A15">
            <w:pPr>
              <w:jc w:val="center"/>
            </w:pPr>
            <w:r>
              <w:rPr>
                <w:rFonts w:eastAsiaTheme="minorEastAsia"/>
                <w:color w:val="000000" w:themeColor="text1"/>
              </w:rPr>
              <w:t>9</w:t>
            </w:r>
            <w:r>
              <w:rPr>
                <w:rFonts w:eastAsiaTheme="minorEastAsia"/>
                <w:color w:val="000000" w:themeColor="text1"/>
              </w:rPr>
              <w:t>年</w:t>
            </w:r>
          </w:p>
        </w:tc>
        <w:tc>
          <w:tcPr>
            <w:tcW w:w="2694" w:type="dxa"/>
            <w:vAlign w:val="center"/>
          </w:tcPr>
          <w:p w:rsidR="00E42102" w:rsidRDefault="00947A15">
            <w:r>
              <w:rPr>
                <w:rFonts w:eastAsiaTheme="minorEastAsia"/>
                <w:color w:val="000000" w:themeColor="text1"/>
              </w:rPr>
              <w:t>李德辉先生，上海交通大学生物医学工程博士，</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月在农银汇理基金管理有限公司担任研究员。自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月起加入上投摩根基金管理有限公司，先后担任研究员、行业专家兼基金经理助理、基金经理、高级基金经理。自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月起担任上投摩根科技前沿灵活配置混合型证券投资基金基金经理，</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月同时担任上投摩根安全战略股票型证券投资基金基金经理及上投摩根双核平衡混合型证券投资基金基金经理，自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月起同时担任上投摩根卓越制造股票型证券投资基金基金经理，自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月起同时担任上投摩根智选</w:t>
            </w:r>
            <w:r>
              <w:rPr>
                <w:rFonts w:eastAsiaTheme="minorEastAsia"/>
                <w:color w:val="000000" w:themeColor="text1"/>
              </w:rPr>
              <w:t>30</w:t>
            </w:r>
            <w:r>
              <w:rPr>
                <w:rFonts w:eastAsiaTheme="minorEastAsia"/>
                <w:color w:val="000000" w:themeColor="text1"/>
              </w:rPr>
              <w:t>混合型证券投资基金基金经理，自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月起同时担任上投摩根慧选成长股票型证券投资基金基金经理，自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月起同时担任上投摩根慧见两年持有期混合型证券投资基金基金经理。</w:t>
            </w:r>
          </w:p>
        </w:tc>
      </w:tr>
    </w:tbl>
    <w:p w:rsidR="00E42102" w:rsidRDefault="00947A1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E42102" w:rsidRDefault="00947A1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李德辉先生为本基金首任基金经理，其任职日期指本基金基金合同生效之日。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w:t>
      </w:r>
      <w:r w:rsidRPr="00FF6B9A">
        <w:rPr>
          <w:rFonts w:eastAsiaTheme="minorEastAsia"/>
          <w:color w:val="000000" w:themeColor="text1"/>
        </w:rPr>
        <w:lastRenderedPageBreak/>
        <w:t>份额持有人谋求利益。基金管理人遵守了《证券投资基金法》及其他有关法律法规、《上投摩根慧见两年持有期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2021</w:t>
      </w:r>
      <w:r>
        <w:rPr>
          <w:rFonts w:eastAsiaTheme="minorEastAsia"/>
          <w:color w:val="000000" w:themeColor="text1"/>
        </w:rPr>
        <w:t>年三季度权益市场总体横盘震荡，板块之间分化和波动较大，三季度市场核心逻辑是涨价和高景气度。全球疫情导致供给不足，叠加中国的</w:t>
      </w:r>
      <w:r>
        <w:rPr>
          <w:rFonts w:eastAsiaTheme="minorEastAsia"/>
          <w:color w:val="000000" w:themeColor="text1"/>
        </w:rPr>
        <w:t>“</w:t>
      </w:r>
      <w:r>
        <w:rPr>
          <w:rFonts w:eastAsiaTheme="minorEastAsia"/>
          <w:color w:val="000000" w:themeColor="text1"/>
        </w:rPr>
        <w:t>能耗双控</w:t>
      </w:r>
      <w:r>
        <w:rPr>
          <w:rFonts w:eastAsiaTheme="minorEastAsia"/>
          <w:color w:val="000000" w:themeColor="text1"/>
        </w:rPr>
        <w:t>”</w:t>
      </w:r>
      <w:r>
        <w:rPr>
          <w:rFonts w:eastAsiaTheme="minorEastAsia"/>
          <w:color w:val="000000" w:themeColor="text1"/>
        </w:rPr>
        <w:t>和限电政策，使得三</w:t>
      </w:r>
      <w:r>
        <w:rPr>
          <w:rFonts w:eastAsiaTheme="minorEastAsia"/>
          <w:color w:val="000000" w:themeColor="text1"/>
        </w:rPr>
        <w:lastRenderedPageBreak/>
        <w:t>季度多种商品涨价幅度较大，这类资产有较强相对收益。高景气度板块主要指新能源和半导体军工，这些板块未来几年潜在增速较快。本基金三季度从中长期考虑，重点配置新能源车板块，均衡配置了光伏、军工、消费、医药、化工等板块，总体绩效持平于大盘。</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展望四季度宏观经济仍有压力，需求看不到明显好转，房地产政策难言放松，居民消费也较难看到起色，目前的</w:t>
      </w:r>
      <w:r>
        <w:rPr>
          <w:rFonts w:eastAsiaTheme="minorEastAsia"/>
          <w:color w:val="000000" w:themeColor="text1"/>
        </w:rPr>
        <w:t>“</w:t>
      </w:r>
      <w:r>
        <w:rPr>
          <w:rFonts w:eastAsiaTheme="minorEastAsia"/>
          <w:color w:val="000000" w:themeColor="text1"/>
        </w:rPr>
        <w:t>能耗双控</w:t>
      </w:r>
      <w:r>
        <w:rPr>
          <w:rFonts w:eastAsiaTheme="minorEastAsia"/>
          <w:color w:val="000000" w:themeColor="text1"/>
        </w:rPr>
        <w:t>”</w:t>
      </w:r>
      <w:r>
        <w:rPr>
          <w:rFonts w:eastAsiaTheme="minorEastAsia"/>
          <w:color w:val="000000" w:themeColor="text1"/>
        </w:rPr>
        <w:t>政策降低了制造业企业的开工率。但是市场担心的滞涨风险仍然较低，仍有较多缓解上游资源品价格的办法。虽然短期市场在消化风险，但是从中长期看股票市场趋势向上，仍有不少行业和企业处于较快成长期，从而具备较好的投资机会。</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从行业看，我们看好：新能源、科技、军工等成长性行业，以及医药、消费、资产管理等稳定性行业。新能源方面，</w:t>
      </w:r>
      <w:r>
        <w:rPr>
          <w:rFonts w:eastAsiaTheme="minorEastAsia"/>
          <w:color w:val="000000" w:themeColor="text1"/>
        </w:rPr>
        <w:t>“</w:t>
      </w:r>
      <w:r>
        <w:rPr>
          <w:rFonts w:eastAsiaTheme="minorEastAsia"/>
          <w:color w:val="000000" w:themeColor="text1"/>
        </w:rPr>
        <w:t>碳中和</w:t>
      </w:r>
      <w:r>
        <w:rPr>
          <w:rFonts w:eastAsiaTheme="minorEastAsia"/>
          <w:color w:val="000000" w:themeColor="text1"/>
        </w:rPr>
        <w:t>”</w:t>
      </w:r>
      <w:r>
        <w:rPr>
          <w:rFonts w:eastAsiaTheme="minorEastAsia"/>
          <w:color w:val="000000" w:themeColor="text1"/>
        </w:rPr>
        <w:t>政策要求长期能源结构转型，必然加大电动汽车的普及和提高光伏风电等新型能源的占比，使得这些行业未来的需求增长空间很大，虽然目前这些板块的估值已反应了该预期，但是把久期拉长，仍然可以通过高增长消化估值问题。科技方面，我们看好有较强网络效应的互联网公司，看好具有硬核创新能力的软件或半导体公司。军工方面，需求未来几年有明确增加，行业主流公司的市场化能力越来越强，未来增长有望延续。医药方面，看好受益于创新的研发外包服务和医疗服务公司。消费方面，看好有较强护城河和稳定的需求增长的高端消费品公司。资产管理方面，看好权益市场的长期快速发展。</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个股选择上，我们坚持供给端有壁垒和需求端有增长两个维度，希望通过优秀公司的韧性来降低行业需求的波动性风险，力争获取长期稳定超额收益。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本报告期上投摩根慧见两年持有期混合份额净值增长率为</w:t>
      </w:r>
      <w:r w:rsidRPr="00FF6B9A">
        <w:rPr>
          <w:rFonts w:eastAsiaTheme="minorEastAsia"/>
          <w:color w:val="000000" w:themeColor="text1"/>
        </w:rPr>
        <w:t>:0.62%</w:t>
      </w:r>
      <w:r w:rsidRPr="00FF6B9A">
        <w:rPr>
          <w:rFonts w:eastAsiaTheme="minorEastAsia"/>
          <w:color w:val="000000" w:themeColor="text1"/>
        </w:rPr>
        <w:t>，同期业绩比较基准收益率为</w:t>
      </w:r>
      <w:r w:rsidRPr="00FF6B9A">
        <w:rPr>
          <w:rFonts w:eastAsiaTheme="minorEastAsia"/>
          <w:color w:val="000000" w:themeColor="text1"/>
        </w:rPr>
        <w:t>:-4.10%</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1,910,599,434.70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70.83</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1,910,599,434.70</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70.83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784,783,318.94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29.09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2,239,662.06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0.08</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2,697,622,415.70</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注：本基金本报告期末通过港股通交易机制投资的港股市值为</w:t>
      </w:r>
      <w:r w:rsidR="00947A15">
        <w:rPr>
          <w:rFonts w:eastAsiaTheme="minorEastAsia"/>
          <w:color w:val="000000" w:themeColor="text1"/>
        </w:rPr>
        <w:t>141,209,832.78</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占净值比例</w:t>
      </w:r>
      <w:r w:rsidR="00947A15">
        <w:rPr>
          <w:rFonts w:eastAsiaTheme="minorEastAsia"/>
          <w:color w:val="000000" w:themeColor="text1"/>
        </w:rPr>
        <w:t>5.30</w:t>
      </w:r>
      <w:r w:rsidRPr="00FF6B9A">
        <w:rPr>
          <w:rFonts w:eastAsiaTheme="minorEastAsia"/>
          <w:color w:val="000000" w:themeColor="text1"/>
        </w:rPr>
        <w:t>%</w:t>
      </w:r>
      <w:r w:rsidRPr="00FF6B9A">
        <w:rPr>
          <w:rFonts w:eastAsiaTheme="minorEastAsia"/>
          <w:color w:val="000000" w:themeColor="text1"/>
        </w:rPr>
        <w:t>。</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1,374,643,237.46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51.64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65,092,543.73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2.45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156,447,943.75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5.88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8,705.25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105,147,640.00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47,737,928.80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218,348.07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5,150,558.00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14,942,696.86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0.56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1,769,389,601.92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66.47</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E42102">
        <w:trPr>
          <w:jc w:val="center"/>
        </w:trPr>
        <w:tc>
          <w:tcPr>
            <w:tcW w:w="2397" w:type="dxa"/>
            <w:vAlign w:val="center"/>
          </w:tcPr>
          <w:p w:rsidR="00E42102" w:rsidRDefault="00947A15">
            <w:pPr>
              <w:jc w:val="center"/>
            </w:pPr>
            <w:r>
              <w:rPr>
                <w:rFonts w:eastAsiaTheme="minorEastAsia"/>
                <w:color w:val="000000" w:themeColor="text1"/>
                <w:kern w:val="0"/>
              </w:rPr>
              <w:t xml:space="preserve">A </w:t>
            </w:r>
            <w:r>
              <w:rPr>
                <w:rFonts w:eastAsiaTheme="minorEastAsia"/>
                <w:color w:val="000000" w:themeColor="text1"/>
                <w:kern w:val="0"/>
              </w:rPr>
              <w:t>基础材料</w:t>
            </w:r>
          </w:p>
        </w:tc>
        <w:tc>
          <w:tcPr>
            <w:tcW w:w="3119" w:type="dxa"/>
            <w:vAlign w:val="center"/>
          </w:tcPr>
          <w:p w:rsidR="00E42102" w:rsidRDefault="00947A15">
            <w:pPr>
              <w:jc w:val="center"/>
            </w:pPr>
            <w:r>
              <w:rPr>
                <w:rFonts w:eastAsiaTheme="minorEastAsia"/>
                <w:color w:val="000000" w:themeColor="text1"/>
                <w:kern w:val="0"/>
              </w:rPr>
              <w:t>8,469,820.99</w:t>
            </w:r>
          </w:p>
        </w:tc>
        <w:tc>
          <w:tcPr>
            <w:tcW w:w="3118" w:type="dxa"/>
            <w:vAlign w:val="center"/>
          </w:tcPr>
          <w:p w:rsidR="00E42102" w:rsidRDefault="00947A15">
            <w:pPr>
              <w:jc w:val="center"/>
            </w:pPr>
            <w:r>
              <w:rPr>
                <w:rFonts w:eastAsiaTheme="minorEastAsia"/>
                <w:color w:val="000000" w:themeColor="text1"/>
                <w:kern w:val="0"/>
              </w:rPr>
              <w:t>0.32</w:t>
            </w:r>
          </w:p>
        </w:tc>
      </w:tr>
      <w:tr w:rsidR="00E42102">
        <w:trPr>
          <w:jc w:val="center"/>
        </w:trPr>
        <w:tc>
          <w:tcPr>
            <w:tcW w:w="2397" w:type="dxa"/>
            <w:vAlign w:val="center"/>
          </w:tcPr>
          <w:p w:rsidR="00E42102" w:rsidRDefault="00947A15">
            <w:pPr>
              <w:jc w:val="center"/>
            </w:pPr>
            <w:r>
              <w:rPr>
                <w:rFonts w:eastAsiaTheme="minorEastAsia"/>
                <w:color w:val="000000" w:themeColor="text1"/>
                <w:kern w:val="0"/>
              </w:rPr>
              <w:t xml:space="preserve">B </w:t>
            </w:r>
            <w:r>
              <w:rPr>
                <w:rFonts w:eastAsiaTheme="minorEastAsia"/>
                <w:color w:val="000000" w:themeColor="text1"/>
                <w:kern w:val="0"/>
              </w:rPr>
              <w:t>消费者非必需品</w:t>
            </w:r>
          </w:p>
        </w:tc>
        <w:tc>
          <w:tcPr>
            <w:tcW w:w="3119" w:type="dxa"/>
            <w:vAlign w:val="center"/>
          </w:tcPr>
          <w:p w:rsidR="00E42102" w:rsidRDefault="00947A15">
            <w:pPr>
              <w:jc w:val="center"/>
            </w:pPr>
            <w:r>
              <w:rPr>
                <w:rFonts w:eastAsiaTheme="minorEastAsia"/>
                <w:color w:val="000000" w:themeColor="text1"/>
                <w:kern w:val="0"/>
              </w:rPr>
              <w:t>56,921.12</w:t>
            </w:r>
          </w:p>
        </w:tc>
        <w:tc>
          <w:tcPr>
            <w:tcW w:w="3118" w:type="dxa"/>
            <w:vAlign w:val="center"/>
          </w:tcPr>
          <w:p w:rsidR="00E42102" w:rsidRDefault="00947A15">
            <w:pPr>
              <w:jc w:val="center"/>
            </w:pPr>
            <w:r>
              <w:rPr>
                <w:rFonts w:eastAsiaTheme="minorEastAsia"/>
                <w:color w:val="000000" w:themeColor="text1"/>
                <w:kern w:val="0"/>
              </w:rPr>
              <w:t>0.00</w:t>
            </w:r>
          </w:p>
        </w:tc>
      </w:tr>
      <w:tr w:rsidR="00E42102">
        <w:trPr>
          <w:jc w:val="center"/>
        </w:trPr>
        <w:tc>
          <w:tcPr>
            <w:tcW w:w="2397" w:type="dxa"/>
            <w:vAlign w:val="center"/>
          </w:tcPr>
          <w:p w:rsidR="00E42102" w:rsidRDefault="00947A15">
            <w:pPr>
              <w:jc w:val="center"/>
            </w:pPr>
            <w:r>
              <w:rPr>
                <w:rFonts w:eastAsiaTheme="minorEastAsia"/>
                <w:color w:val="000000" w:themeColor="text1"/>
                <w:kern w:val="0"/>
              </w:rPr>
              <w:t xml:space="preserve">C </w:t>
            </w:r>
            <w:r>
              <w:rPr>
                <w:rFonts w:eastAsiaTheme="minorEastAsia"/>
                <w:color w:val="000000" w:themeColor="text1"/>
                <w:kern w:val="0"/>
              </w:rPr>
              <w:t>消费者常用品</w:t>
            </w:r>
          </w:p>
        </w:tc>
        <w:tc>
          <w:tcPr>
            <w:tcW w:w="3119" w:type="dxa"/>
            <w:vAlign w:val="center"/>
          </w:tcPr>
          <w:p w:rsidR="00E42102" w:rsidRDefault="00947A15">
            <w:pPr>
              <w:jc w:val="center"/>
            </w:pPr>
            <w:r>
              <w:rPr>
                <w:rFonts w:eastAsiaTheme="minorEastAsia"/>
                <w:color w:val="000000" w:themeColor="text1"/>
                <w:kern w:val="0"/>
              </w:rPr>
              <w:t>-</w:t>
            </w:r>
          </w:p>
        </w:tc>
        <w:tc>
          <w:tcPr>
            <w:tcW w:w="3118" w:type="dxa"/>
            <w:vAlign w:val="center"/>
          </w:tcPr>
          <w:p w:rsidR="00E42102" w:rsidRDefault="00947A15">
            <w:pPr>
              <w:jc w:val="center"/>
            </w:pPr>
            <w:r>
              <w:rPr>
                <w:rFonts w:eastAsiaTheme="minorEastAsia"/>
                <w:color w:val="000000" w:themeColor="text1"/>
                <w:kern w:val="0"/>
              </w:rPr>
              <w:t>-</w:t>
            </w:r>
          </w:p>
        </w:tc>
      </w:tr>
      <w:tr w:rsidR="00E42102">
        <w:trPr>
          <w:jc w:val="center"/>
        </w:trPr>
        <w:tc>
          <w:tcPr>
            <w:tcW w:w="2397" w:type="dxa"/>
            <w:vAlign w:val="center"/>
          </w:tcPr>
          <w:p w:rsidR="00E42102" w:rsidRDefault="00947A15">
            <w:pPr>
              <w:jc w:val="center"/>
            </w:pPr>
            <w:r>
              <w:rPr>
                <w:rFonts w:eastAsiaTheme="minorEastAsia"/>
                <w:color w:val="000000" w:themeColor="text1"/>
                <w:kern w:val="0"/>
              </w:rPr>
              <w:t xml:space="preserve">D </w:t>
            </w:r>
            <w:r>
              <w:rPr>
                <w:rFonts w:eastAsiaTheme="minorEastAsia"/>
                <w:color w:val="000000" w:themeColor="text1"/>
                <w:kern w:val="0"/>
              </w:rPr>
              <w:t>能源</w:t>
            </w:r>
          </w:p>
        </w:tc>
        <w:tc>
          <w:tcPr>
            <w:tcW w:w="3119" w:type="dxa"/>
            <w:vAlign w:val="center"/>
          </w:tcPr>
          <w:p w:rsidR="00E42102" w:rsidRDefault="00947A15">
            <w:pPr>
              <w:jc w:val="center"/>
            </w:pPr>
            <w:r>
              <w:rPr>
                <w:rFonts w:eastAsiaTheme="minorEastAsia"/>
                <w:color w:val="000000" w:themeColor="text1"/>
                <w:kern w:val="0"/>
              </w:rPr>
              <w:t>-</w:t>
            </w:r>
          </w:p>
        </w:tc>
        <w:tc>
          <w:tcPr>
            <w:tcW w:w="3118" w:type="dxa"/>
            <w:vAlign w:val="center"/>
          </w:tcPr>
          <w:p w:rsidR="00E42102" w:rsidRDefault="00947A15">
            <w:pPr>
              <w:jc w:val="center"/>
            </w:pPr>
            <w:r>
              <w:rPr>
                <w:rFonts w:eastAsiaTheme="minorEastAsia"/>
                <w:color w:val="000000" w:themeColor="text1"/>
                <w:kern w:val="0"/>
              </w:rPr>
              <w:t>-</w:t>
            </w:r>
          </w:p>
        </w:tc>
      </w:tr>
      <w:tr w:rsidR="00E42102">
        <w:trPr>
          <w:jc w:val="center"/>
        </w:trPr>
        <w:tc>
          <w:tcPr>
            <w:tcW w:w="2397" w:type="dxa"/>
            <w:vAlign w:val="center"/>
          </w:tcPr>
          <w:p w:rsidR="00E42102" w:rsidRDefault="00947A15">
            <w:pPr>
              <w:jc w:val="center"/>
            </w:pPr>
            <w:r>
              <w:rPr>
                <w:rFonts w:eastAsiaTheme="minorEastAsia"/>
                <w:color w:val="000000" w:themeColor="text1"/>
                <w:kern w:val="0"/>
              </w:rPr>
              <w:t xml:space="preserve">E </w:t>
            </w:r>
            <w:r>
              <w:rPr>
                <w:rFonts w:eastAsiaTheme="minorEastAsia"/>
                <w:color w:val="000000" w:themeColor="text1"/>
                <w:kern w:val="0"/>
              </w:rPr>
              <w:t>金融</w:t>
            </w:r>
          </w:p>
        </w:tc>
        <w:tc>
          <w:tcPr>
            <w:tcW w:w="3119" w:type="dxa"/>
            <w:vAlign w:val="center"/>
          </w:tcPr>
          <w:p w:rsidR="00E42102" w:rsidRDefault="00947A15">
            <w:pPr>
              <w:jc w:val="center"/>
            </w:pPr>
            <w:r>
              <w:rPr>
                <w:rFonts w:eastAsiaTheme="minorEastAsia"/>
                <w:color w:val="000000" w:themeColor="text1"/>
                <w:kern w:val="0"/>
              </w:rPr>
              <w:t>-</w:t>
            </w:r>
          </w:p>
        </w:tc>
        <w:tc>
          <w:tcPr>
            <w:tcW w:w="3118" w:type="dxa"/>
            <w:vAlign w:val="center"/>
          </w:tcPr>
          <w:p w:rsidR="00E42102" w:rsidRDefault="00947A15">
            <w:pPr>
              <w:jc w:val="center"/>
            </w:pPr>
            <w:r>
              <w:rPr>
                <w:rFonts w:eastAsiaTheme="minorEastAsia"/>
                <w:color w:val="000000" w:themeColor="text1"/>
                <w:kern w:val="0"/>
              </w:rPr>
              <w:t>-</w:t>
            </w:r>
          </w:p>
        </w:tc>
      </w:tr>
      <w:tr w:rsidR="00E42102">
        <w:trPr>
          <w:jc w:val="center"/>
        </w:trPr>
        <w:tc>
          <w:tcPr>
            <w:tcW w:w="2397" w:type="dxa"/>
            <w:vAlign w:val="center"/>
          </w:tcPr>
          <w:p w:rsidR="00E42102" w:rsidRDefault="00947A15">
            <w:pPr>
              <w:jc w:val="center"/>
            </w:pPr>
            <w:r>
              <w:rPr>
                <w:rFonts w:eastAsiaTheme="minorEastAsia"/>
                <w:color w:val="000000" w:themeColor="text1"/>
                <w:kern w:val="0"/>
              </w:rPr>
              <w:t xml:space="preserve">F </w:t>
            </w:r>
            <w:r>
              <w:rPr>
                <w:rFonts w:eastAsiaTheme="minorEastAsia"/>
                <w:color w:val="000000" w:themeColor="text1"/>
                <w:kern w:val="0"/>
              </w:rPr>
              <w:t>医疗保健</w:t>
            </w:r>
          </w:p>
        </w:tc>
        <w:tc>
          <w:tcPr>
            <w:tcW w:w="3119" w:type="dxa"/>
            <w:vAlign w:val="center"/>
          </w:tcPr>
          <w:p w:rsidR="00E42102" w:rsidRDefault="00947A15">
            <w:pPr>
              <w:jc w:val="center"/>
            </w:pPr>
            <w:r>
              <w:rPr>
                <w:rFonts w:eastAsiaTheme="minorEastAsia"/>
                <w:color w:val="000000" w:themeColor="text1"/>
                <w:kern w:val="0"/>
              </w:rPr>
              <w:t>24,290,571.75</w:t>
            </w:r>
          </w:p>
        </w:tc>
        <w:tc>
          <w:tcPr>
            <w:tcW w:w="3118" w:type="dxa"/>
            <w:vAlign w:val="center"/>
          </w:tcPr>
          <w:p w:rsidR="00E42102" w:rsidRDefault="00947A15">
            <w:pPr>
              <w:jc w:val="center"/>
            </w:pPr>
            <w:r>
              <w:rPr>
                <w:rFonts w:eastAsiaTheme="minorEastAsia"/>
                <w:color w:val="000000" w:themeColor="text1"/>
                <w:kern w:val="0"/>
              </w:rPr>
              <w:t>0.91</w:t>
            </w:r>
          </w:p>
        </w:tc>
      </w:tr>
      <w:tr w:rsidR="00E42102">
        <w:trPr>
          <w:jc w:val="center"/>
        </w:trPr>
        <w:tc>
          <w:tcPr>
            <w:tcW w:w="2397" w:type="dxa"/>
            <w:vAlign w:val="center"/>
          </w:tcPr>
          <w:p w:rsidR="00E42102" w:rsidRDefault="00947A15">
            <w:pPr>
              <w:jc w:val="center"/>
            </w:pPr>
            <w:r>
              <w:rPr>
                <w:rFonts w:eastAsiaTheme="minorEastAsia"/>
                <w:color w:val="000000" w:themeColor="text1"/>
                <w:kern w:val="0"/>
              </w:rPr>
              <w:t xml:space="preserve">G </w:t>
            </w:r>
            <w:r>
              <w:rPr>
                <w:rFonts w:eastAsiaTheme="minorEastAsia"/>
                <w:color w:val="000000" w:themeColor="text1"/>
                <w:kern w:val="0"/>
              </w:rPr>
              <w:t>工业</w:t>
            </w:r>
          </w:p>
        </w:tc>
        <w:tc>
          <w:tcPr>
            <w:tcW w:w="3119" w:type="dxa"/>
            <w:vAlign w:val="center"/>
          </w:tcPr>
          <w:p w:rsidR="00E42102" w:rsidRDefault="00947A15">
            <w:pPr>
              <w:jc w:val="center"/>
            </w:pPr>
            <w:r>
              <w:rPr>
                <w:rFonts w:eastAsiaTheme="minorEastAsia"/>
                <w:color w:val="000000" w:themeColor="text1"/>
                <w:kern w:val="0"/>
              </w:rPr>
              <w:t>-</w:t>
            </w:r>
          </w:p>
        </w:tc>
        <w:tc>
          <w:tcPr>
            <w:tcW w:w="3118" w:type="dxa"/>
            <w:vAlign w:val="center"/>
          </w:tcPr>
          <w:p w:rsidR="00E42102" w:rsidRDefault="00947A15">
            <w:pPr>
              <w:jc w:val="center"/>
            </w:pPr>
            <w:r>
              <w:rPr>
                <w:rFonts w:eastAsiaTheme="minorEastAsia"/>
                <w:color w:val="000000" w:themeColor="text1"/>
                <w:kern w:val="0"/>
              </w:rPr>
              <w:t>-</w:t>
            </w:r>
          </w:p>
        </w:tc>
      </w:tr>
      <w:tr w:rsidR="00E42102">
        <w:trPr>
          <w:jc w:val="center"/>
        </w:trPr>
        <w:tc>
          <w:tcPr>
            <w:tcW w:w="2397" w:type="dxa"/>
            <w:vAlign w:val="center"/>
          </w:tcPr>
          <w:p w:rsidR="00E42102" w:rsidRDefault="00947A15">
            <w:pPr>
              <w:jc w:val="center"/>
            </w:pPr>
            <w:r>
              <w:rPr>
                <w:rFonts w:eastAsiaTheme="minorEastAsia"/>
                <w:color w:val="000000" w:themeColor="text1"/>
                <w:kern w:val="0"/>
              </w:rPr>
              <w:t xml:space="preserve">H </w:t>
            </w:r>
            <w:r>
              <w:rPr>
                <w:rFonts w:eastAsiaTheme="minorEastAsia"/>
                <w:color w:val="000000" w:themeColor="text1"/>
                <w:kern w:val="0"/>
              </w:rPr>
              <w:t>信息技术</w:t>
            </w:r>
          </w:p>
        </w:tc>
        <w:tc>
          <w:tcPr>
            <w:tcW w:w="3119" w:type="dxa"/>
            <w:vAlign w:val="center"/>
          </w:tcPr>
          <w:p w:rsidR="00E42102" w:rsidRDefault="00947A15">
            <w:pPr>
              <w:jc w:val="center"/>
            </w:pPr>
            <w:r>
              <w:rPr>
                <w:rFonts w:eastAsiaTheme="minorEastAsia"/>
                <w:color w:val="000000" w:themeColor="text1"/>
                <w:kern w:val="0"/>
              </w:rPr>
              <w:t>2,320,305.36</w:t>
            </w:r>
          </w:p>
        </w:tc>
        <w:tc>
          <w:tcPr>
            <w:tcW w:w="3118" w:type="dxa"/>
            <w:vAlign w:val="center"/>
          </w:tcPr>
          <w:p w:rsidR="00E42102" w:rsidRDefault="00947A15">
            <w:pPr>
              <w:jc w:val="center"/>
            </w:pPr>
            <w:r>
              <w:rPr>
                <w:rFonts w:eastAsiaTheme="minorEastAsia"/>
                <w:color w:val="000000" w:themeColor="text1"/>
                <w:kern w:val="0"/>
              </w:rPr>
              <w:t>0.09</w:t>
            </w:r>
          </w:p>
        </w:tc>
      </w:tr>
      <w:tr w:rsidR="00E42102">
        <w:trPr>
          <w:jc w:val="center"/>
        </w:trPr>
        <w:tc>
          <w:tcPr>
            <w:tcW w:w="2397" w:type="dxa"/>
            <w:vAlign w:val="center"/>
          </w:tcPr>
          <w:p w:rsidR="00E42102" w:rsidRDefault="00947A15">
            <w:pPr>
              <w:jc w:val="center"/>
            </w:pPr>
            <w:r>
              <w:rPr>
                <w:rFonts w:eastAsiaTheme="minorEastAsia"/>
                <w:color w:val="000000" w:themeColor="text1"/>
                <w:kern w:val="0"/>
              </w:rPr>
              <w:t xml:space="preserve">I </w:t>
            </w:r>
            <w:r>
              <w:rPr>
                <w:rFonts w:eastAsiaTheme="minorEastAsia"/>
                <w:color w:val="000000" w:themeColor="text1"/>
                <w:kern w:val="0"/>
              </w:rPr>
              <w:t>电信服务</w:t>
            </w:r>
          </w:p>
        </w:tc>
        <w:tc>
          <w:tcPr>
            <w:tcW w:w="3119" w:type="dxa"/>
            <w:vAlign w:val="center"/>
          </w:tcPr>
          <w:p w:rsidR="00E42102" w:rsidRDefault="00947A15">
            <w:pPr>
              <w:jc w:val="center"/>
            </w:pPr>
            <w:r>
              <w:rPr>
                <w:rFonts w:eastAsiaTheme="minorEastAsia"/>
                <w:color w:val="000000" w:themeColor="text1"/>
                <w:kern w:val="0"/>
              </w:rPr>
              <w:t>64,421,062.96</w:t>
            </w:r>
          </w:p>
        </w:tc>
        <w:tc>
          <w:tcPr>
            <w:tcW w:w="3118" w:type="dxa"/>
            <w:vAlign w:val="center"/>
          </w:tcPr>
          <w:p w:rsidR="00E42102" w:rsidRDefault="00947A15">
            <w:pPr>
              <w:jc w:val="center"/>
            </w:pPr>
            <w:r>
              <w:rPr>
                <w:rFonts w:eastAsiaTheme="minorEastAsia"/>
                <w:color w:val="000000" w:themeColor="text1"/>
                <w:kern w:val="0"/>
              </w:rPr>
              <w:t>2.42</w:t>
            </w:r>
          </w:p>
        </w:tc>
      </w:tr>
      <w:tr w:rsidR="00E42102">
        <w:trPr>
          <w:jc w:val="center"/>
        </w:trPr>
        <w:tc>
          <w:tcPr>
            <w:tcW w:w="2397" w:type="dxa"/>
            <w:vAlign w:val="center"/>
          </w:tcPr>
          <w:p w:rsidR="00E42102" w:rsidRDefault="00947A15">
            <w:pPr>
              <w:jc w:val="center"/>
            </w:pPr>
            <w:r>
              <w:rPr>
                <w:rFonts w:eastAsiaTheme="minorEastAsia"/>
                <w:color w:val="000000" w:themeColor="text1"/>
                <w:kern w:val="0"/>
              </w:rPr>
              <w:t xml:space="preserve">J </w:t>
            </w:r>
            <w:r>
              <w:rPr>
                <w:rFonts w:eastAsiaTheme="minorEastAsia"/>
                <w:color w:val="000000" w:themeColor="text1"/>
                <w:kern w:val="0"/>
              </w:rPr>
              <w:t>公用事业</w:t>
            </w:r>
          </w:p>
        </w:tc>
        <w:tc>
          <w:tcPr>
            <w:tcW w:w="3119" w:type="dxa"/>
            <w:vAlign w:val="center"/>
          </w:tcPr>
          <w:p w:rsidR="00E42102" w:rsidRDefault="00947A15">
            <w:pPr>
              <w:jc w:val="center"/>
            </w:pPr>
            <w:r>
              <w:rPr>
                <w:rFonts w:eastAsiaTheme="minorEastAsia"/>
                <w:color w:val="000000" w:themeColor="text1"/>
                <w:kern w:val="0"/>
              </w:rPr>
              <w:t>41,651,150.60</w:t>
            </w:r>
          </w:p>
        </w:tc>
        <w:tc>
          <w:tcPr>
            <w:tcW w:w="3118" w:type="dxa"/>
            <w:vAlign w:val="center"/>
          </w:tcPr>
          <w:p w:rsidR="00E42102" w:rsidRDefault="00947A15">
            <w:pPr>
              <w:jc w:val="center"/>
            </w:pPr>
            <w:r>
              <w:rPr>
                <w:rFonts w:eastAsiaTheme="minorEastAsia"/>
                <w:color w:val="000000" w:themeColor="text1"/>
                <w:kern w:val="0"/>
              </w:rPr>
              <w:t>1.56</w:t>
            </w:r>
          </w:p>
        </w:tc>
      </w:tr>
      <w:tr w:rsidR="00E42102">
        <w:trPr>
          <w:jc w:val="center"/>
        </w:trPr>
        <w:tc>
          <w:tcPr>
            <w:tcW w:w="2397" w:type="dxa"/>
            <w:vAlign w:val="center"/>
          </w:tcPr>
          <w:p w:rsidR="00E42102" w:rsidRDefault="00947A15">
            <w:pPr>
              <w:jc w:val="center"/>
            </w:pPr>
            <w:r>
              <w:rPr>
                <w:rFonts w:eastAsiaTheme="minorEastAsia"/>
                <w:color w:val="000000" w:themeColor="text1"/>
                <w:kern w:val="0"/>
              </w:rPr>
              <w:t xml:space="preserve">K </w:t>
            </w:r>
            <w:r>
              <w:rPr>
                <w:rFonts w:eastAsiaTheme="minorEastAsia"/>
                <w:color w:val="000000" w:themeColor="text1"/>
                <w:kern w:val="0"/>
              </w:rPr>
              <w:t>房地产</w:t>
            </w:r>
          </w:p>
        </w:tc>
        <w:tc>
          <w:tcPr>
            <w:tcW w:w="3119" w:type="dxa"/>
            <w:vAlign w:val="center"/>
          </w:tcPr>
          <w:p w:rsidR="00E42102" w:rsidRDefault="00947A15">
            <w:pPr>
              <w:jc w:val="center"/>
            </w:pPr>
            <w:r>
              <w:rPr>
                <w:rFonts w:eastAsiaTheme="minorEastAsia"/>
                <w:color w:val="000000" w:themeColor="text1"/>
                <w:kern w:val="0"/>
              </w:rPr>
              <w:t>-</w:t>
            </w:r>
          </w:p>
        </w:tc>
        <w:tc>
          <w:tcPr>
            <w:tcW w:w="3118" w:type="dxa"/>
            <w:vAlign w:val="center"/>
          </w:tcPr>
          <w:p w:rsidR="00E42102" w:rsidRDefault="00947A15">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141,209,832.78</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5.30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E42102">
        <w:tc>
          <w:tcPr>
            <w:tcW w:w="817" w:type="dxa"/>
            <w:vAlign w:val="center"/>
          </w:tcPr>
          <w:p w:rsidR="00E42102" w:rsidRDefault="00947A15">
            <w:pPr>
              <w:jc w:val="center"/>
            </w:pPr>
            <w:r>
              <w:rPr>
                <w:rFonts w:eastAsiaTheme="minorEastAsia"/>
                <w:kern w:val="0"/>
                <w:sz w:val="24"/>
                <w:szCs w:val="24"/>
              </w:rPr>
              <w:t>1</w:t>
            </w:r>
          </w:p>
        </w:tc>
        <w:tc>
          <w:tcPr>
            <w:tcW w:w="1276" w:type="dxa"/>
            <w:vAlign w:val="center"/>
          </w:tcPr>
          <w:p w:rsidR="00E42102" w:rsidRDefault="00947A15">
            <w:pPr>
              <w:jc w:val="center"/>
            </w:pPr>
            <w:r>
              <w:rPr>
                <w:rFonts w:eastAsiaTheme="minorEastAsia"/>
                <w:kern w:val="0"/>
                <w:sz w:val="24"/>
                <w:szCs w:val="24"/>
              </w:rPr>
              <w:t>300390</w:t>
            </w:r>
          </w:p>
        </w:tc>
        <w:tc>
          <w:tcPr>
            <w:tcW w:w="1701" w:type="dxa"/>
            <w:vAlign w:val="center"/>
          </w:tcPr>
          <w:p w:rsidR="00E42102" w:rsidRDefault="00947A15">
            <w:pPr>
              <w:jc w:val="center"/>
            </w:pPr>
            <w:r>
              <w:rPr>
                <w:rFonts w:eastAsiaTheme="minorEastAsia"/>
                <w:kern w:val="0"/>
                <w:sz w:val="24"/>
                <w:szCs w:val="24"/>
              </w:rPr>
              <w:t>天华超净</w:t>
            </w:r>
          </w:p>
        </w:tc>
        <w:tc>
          <w:tcPr>
            <w:tcW w:w="1276" w:type="dxa"/>
            <w:vAlign w:val="center"/>
          </w:tcPr>
          <w:p w:rsidR="00E42102" w:rsidRDefault="00947A15">
            <w:pPr>
              <w:jc w:val="right"/>
            </w:pPr>
            <w:r>
              <w:rPr>
                <w:rFonts w:eastAsiaTheme="minorEastAsia"/>
                <w:kern w:val="0"/>
                <w:sz w:val="24"/>
                <w:szCs w:val="24"/>
              </w:rPr>
              <w:t>2,039,054.00</w:t>
            </w:r>
          </w:p>
        </w:tc>
        <w:tc>
          <w:tcPr>
            <w:tcW w:w="1842" w:type="dxa"/>
            <w:vAlign w:val="center"/>
          </w:tcPr>
          <w:p w:rsidR="00E42102" w:rsidRDefault="00947A15">
            <w:pPr>
              <w:jc w:val="right"/>
            </w:pPr>
            <w:r>
              <w:rPr>
                <w:rFonts w:eastAsiaTheme="minorEastAsia"/>
                <w:kern w:val="0"/>
                <w:sz w:val="24"/>
                <w:szCs w:val="24"/>
              </w:rPr>
              <w:t>218,892,446.90</w:t>
            </w:r>
          </w:p>
        </w:tc>
        <w:tc>
          <w:tcPr>
            <w:tcW w:w="1616" w:type="dxa"/>
            <w:vAlign w:val="center"/>
          </w:tcPr>
          <w:p w:rsidR="00E42102" w:rsidRDefault="00947A15">
            <w:pPr>
              <w:jc w:val="right"/>
            </w:pPr>
            <w:r>
              <w:rPr>
                <w:rFonts w:eastAsiaTheme="minorEastAsia"/>
                <w:kern w:val="0"/>
                <w:sz w:val="24"/>
                <w:szCs w:val="24"/>
              </w:rPr>
              <w:t>8.22</w:t>
            </w:r>
          </w:p>
        </w:tc>
      </w:tr>
      <w:tr w:rsidR="00E42102">
        <w:tc>
          <w:tcPr>
            <w:tcW w:w="817" w:type="dxa"/>
            <w:vAlign w:val="center"/>
          </w:tcPr>
          <w:p w:rsidR="00E42102" w:rsidRDefault="00947A15">
            <w:pPr>
              <w:jc w:val="center"/>
            </w:pPr>
            <w:r>
              <w:rPr>
                <w:rFonts w:eastAsiaTheme="minorEastAsia"/>
                <w:kern w:val="0"/>
                <w:sz w:val="24"/>
                <w:szCs w:val="24"/>
              </w:rPr>
              <w:t>2</w:t>
            </w:r>
          </w:p>
        </w:tc>
        <w:tc>
          <w:tcPr>
            <w:tcW w:w="1276" w:type="dxa"/>
            <w:vAlign w:val="center"/>
          </w:tcPr>
          <w:p w:rsidR="00E42102" w:rsidRDefault="00947A15">
            <w:pPr>
              <w:jc w:val="center"/>
            </w:pPr>
            <w:r>
              <w:rPr>
                <w:rFonts w:eastAsiaTheme="minorEastAsia"/>
                <w:kern w:val="0"/>
                <w:sz w:val="24"/>
                <w:szCs w:val="24"/>
              </w:rPr>
              <w:t>300750</w:t>
            </w:r>
          </w:p>
        </w:tc>
        <w:tc>
          <w:tcPr>
            <w:tcW w:w="1701" w:type="dxa"/>
            <w:vAlign w:val="center"/>
          </w:tcPr>
          <w:p w:rsidR="00E42102" w:rsidRDefault="00947A15">
            <w:pPr>
              <w:jc w:val="center"/>
            </w:pPr>
            <w:r>
              <w:rPr>
                <w:rFonts w:eastAsiaTheme="minorEastAsia"/>
                <w:kern w:val="0"/>
                <w:sz w:val="24"/>
                <w:szCs w:val="24"/>
              </w:rPr>
              <w:t>宁德时代</w:t>
            </w:r>
          </w:p>
        </w:tc>
        <w:tc>
          <w:tcPr>
            <w:tcW w:w="1276" w:type="dxa"/>
            <w:vAlign w:val="center"/>
          </w:tcPr>
          <w:p w:rsidR="00E42102" w:rsidRDefault="00947A15">
            <w:pPr>
              <w:jc w:val="right"/>
            </w:pPr>
            <w:r>
              <w:rPr>
                <w:rFonts w:eastAsiaTheme="minorEastAsia"/>
                <w:kern w:val="0"/>
                <w:sz w:val="24"/>
                <w:szCs w:val="24"/>
              </w:rPr>
              <w:t>355,526.00</w:t>
            </w:r>
          </w:p>
        </w:tc>
        <w:tc>
          <w:tcPr>
            <w:tcW w:w="1842" w:type="dxa"/>
            <w:vAlign w:val="center"/>
          </w:tcPr>
          <w:p w:rsidR="00E42102" w:rsidRDefault="00947A15">
            <w:pPr>
              <w:jc w:val="right"/>
            </w:pPr>
            <w:r>
              <w:rPr>
                <w:rFonts w:eastAsiaTheme="minorEastAsia"/>
                <w:kern w:val="0"/>
                <w:sz w:val="24"/>
                <w:szCs w:val="24"/>
              </w:rPr>
              <w:t>186,910,683.98</w:t>
            </w:r>
          </w:p>
        </w:tc>
        <w:tc>
          <w:tcPr>
            <w:tcW w:w="1616" w:type="dxa"/>
            <w:vAlign w:val="center"/>
          </w:tcPr>
          <w:p w:rsidR="00E42102" w:rsidRDefault="00947A15">
            <w:pPr>
              <w:jc w:val="right"/>
            </w:pPr>
            <w:r>
              <w:rPr>
                <w:rFonts w:eastAsiaTheme="minorEastAsia"/>
                <w:kern w:val="0"/>
                <w:sz w:val="24"/>
                <w:szCs w:val="24"/>
              </w:rPr>
              <w:t>7.02</w:t>
            </w:r>
          </w:p>
        </w:tc>
      </w:tr>
      <w:tr w:rsidR="00E42102">
        <w:tc>
          <w:tcPr>
            <w:tcW w:w="817" w:type="dxa"/>
            <w:vAlign w:val="center"/>
          </w:tcPr>
          <w:p w:rsidR="00E42102" w:rsidRDefault="00947A15">
            <w:pPr>
              <w:jc w:val="center"/>
            </w:pPr>
            <w:r>
              <w:rPr>
                <w:rFonts w:eastAsiaTheme="minorEastAsia"/>
                <w:kern w:val="0"/>
                <w:sz w:val="24"/>
                <w:szCs w:val="24"/>
              </w:rPr>
              <w:t>3</w:t>
            </w:r>
          </w:p>
        </w:tc>
        <w:tc>
          <w:tcPr>
            <w:tcW w:w="1276" w:type="dxa"/>
            <w:vAlign w:val="center"/>
          </w:tcPr>
          <w:p w:rsidR="00E42102" w:rsidRDefault="00947A15">
            <w:pPr>
              <w:jc w:val="center"/>
            </w:pPr>
            <w:r>
              <w:rPr>
                <w:rFonts w:eastAsiaTheme="minorEastAsia"/>
                <w:kern w:val="0"/>
                <w:sz w:val="24"/>
                <w:szCs w:val="24"/>
              </w:rPr>
              <w:t>300059</w:t>
            </w:r>
          </w:p>
        </w:tc>
        <w:tc>
          <w:tcPr>
            <w:tcW w:w="1701" w:type="dxa"/>
            <w:vAlign w:val="center"/>
          </w:tcPr>
          <w:p w:rsidR="00E42102" w:rsidRDefault="00947A15">
            <w:pPr>
              <w:jc w:val="center"/>
            </w:pPr>
            <w:r>
              <w:rPr>
                <w:rFonts w:eastAsiaTheme="minorEastAsia"/>
                <w:kern w:val="0"/>
                <w:sz w:val="24"/>
                <w:szCs w:val="24"/>
              </w:rPr>
              <w:t>东方财富</w:t>
            </w:r>
          </w:p>
        </w:tc>
        <w:tc>
          <w:tcPr>
            <w:tcW w:w="1276" w:type="dxa"/>
            <w:vAlign w:val="center"/>
          </w:tcPr>
          <w:p w:rsidR="00E42102" w:rsidRDefault="00947A15">
            <w:pPr>
              <w:jc w:val="right"/>
            </w:pPr>
            <w:r>
              <w:rPr>
                <w:rFonts w:eastAsiaTheme="minorEastAsia"/>
                <w:kern w:val="0"/>
                <w:sz w:val="24"/>
                <w:szCs w:val="24"/>
              </w:rPr>
              <w:t>4,551,875.00</w:t>
            </w:r>
          </w:p>
        </w:tc>
        <w:tc>
          <w:tcPr>
            <w:tcW w:w="1842" w:type="dxa"/>
            <w:vAlign w:val="center"/>
          </w:tcPr>
          <w:p w:rsidR="00E42102" w:rsidRDefault="00947A15">
            <w:pPr>
              <w:jc w:val="right"/>
            </w:pPr>
            <w:r>
              <w:rPr>
                <w:rFonts w:eastAsiaTheme="minorEastAsia"/>
                <w:kern w:val="0"/>
                <w:sz w:val="24"/>
                <w:szCs w:val="24"/>
              </w:rPr>
              <w:t>156,447,943.75</w:t>
            </w:r>
          </w:p>
        </w:tc>
        <w:tc>
          <w:tcPr>
            <w:tcW w:w="1616" w:type="dxa"/>
            <w:vAlign w:val="center"/>
          </w:tcPr>
          <w:p w:rsidR="00E42102" w:rsidRDefault="00947A15">
            <w:pPr>
              <w:jc w:val="right"/>
            </w:pPr>
            <w:r>
              <w:rPr>
                <w:rFonts w:eastAsiaTheme="minorEastAsia"/>
                <w:kern w:val="0"/>
                <w:sz w:val="24"/>
                <w:szCs w:val="24"/>
              </w:rPr>
              <w:t>5.88</w:t>
            </w:r>
          </w:p>
        </w:tc>
      </w:tr>
      <w:tr w:rsidR="00E42102">
        <w:tc>
          <w:tcPr>
            <w:tcW w:w="817" w:type="dxa"/>
            <w:vAlign w:val="center"/>
          </w:tcPr>
          <w:p w:rsidR="00E42102" w:rsidRDefault="00947A15">
            <w:pPr>
              <w:jc w:val="center"/>
            </w:pPr>
            <w:r>
              <w:rPr>
                <w:rFonts w:eastAsiaTheme="minorEastAsia"/>
                <w:kern w:val="0"/>
                <w:sz w:val="24"/>
                <w:szCs w:val="24"/>
              </w:rPr>
              <w:t>4</w:t>
            </w:r>
          </w:p>
        </w:tc>
        <w:tc>
          <w:tcPr>
            <w:tcW w:w="1276" w:type="dxa"/>
            <w:vAlign w:val="center"/>
          </w:tcPr>
          <w:p w:rsidR="00E42102" w:rsidRDefault="00947A15">
            <w:pPr>
              <w:jc w:val="center"/>
            </w:pPr>
            <w:r>
              <w:rPr>
                <w:rFonts w:eastAsiaTheme="minorEastAsia"/>
                <w:kern w:val="0"/>
                <w:sz w:val="24"/>
                <w:szCs w:val="24"/>
              </w:rPr>
              <w:t>601888</w:t>
            </w:r>
          </w:p>
        </w:tc>
        <w:tc>
          <w:tcPr>
            <w:tcW w:w="1701" w:type="dxa"/>
            <w:vAlign w:val="center"/>
          </w:tcPr>
          <w:p w:rsidR="00E42102" w:rsidRDefault="00947A15">
            <w:pPr>
              <w:jc w:val="center"/>
            </w:pPr>
            <w:r>
              <w:rPr>
                <w:rFonts w:eastAsiaTheme="minorEastAsia"/>
                <w:kern w:val="0"/>
                <w:sz w:val="24"/>
                <w:szCs w:val="24"/>
              </w:rPr>
              <w:t>中国中免</w:t>
            </w:r>
          </w:p>
        </w:tc>
        <w:tc>
          <w:tcPr>
            <w:tcW w:w="1276" w:type="dxa"/>
            <w:vAlign w:val="center"/>
          </w:tcPr>
          <w:p w:rsidR="00E42102" w:rsidRDefault="00947A15">
            <w:pPr>
              <w:jc w:val="right"/>
            </w:pPr>
            <w:r>
              <w:rPr>
                <w:rFonts w:eastAsiaTheme="minorEastAsia"/>
                <w:kern w:val="0"/>
                <w:sz w:val="24"/>
                <w:szCs w:val="24"/>
              </w:rPr>
              <w:t>404,414.0</w:t>
            </w:r>
            <w:r>
              <w:rPr>
                <w:rFonts w:eastAsiaTheme="minorEastAsia"/>
                <w:kern w:val="0"/>
                <w:sz w:val="24"/>
                <w:szCs w:val="24"/>
              </w:rPr>
              <w:lastRenderedPageBreak/>
              <w:t>0</w:t>
            </w:r>
          </w:p>
        </w:tc>
        <w:tc>
          <w:tcPr>
            <w:tcW w:w="1842" w:type="dxa"/>
            <w:vAlign w:val="center"/>
          </w:tcPr>
          <w:p w:rsidR="00E42102" w:rsidRDefault="00947A15">
            <w:pPr>
              <w:jc w:val="right"/>
            </w:pPr>
            <w:r>
              <w:rPr>
                <w:rFonts w:eastAsiaTheme="minorEastAsia"/>
                <w:kern w:val="0"/>
                <w:sz w:val="24"/>
                <w:szCs w:val="24"/>
              </w:rPr>
              <w:lastRenderedPageBreak/>
              <w:t>105,147,640.00</w:t>
            </w:r>
          </w:p>
        </w:tc>
        <w:tc>
          <w:tcPr>
            <w:tcW w:w="1616" w:type="dxa"/>
            <w:vAlign w:val="center"/>
          </w:tcPr>
          <w:p w:rsidR="00E42102" w:rsidRDefault="00947A15">
            <w:pPr>
              <w:jc w:val="right"/>
            </w:pPr>
            <w:r>
              <w:rPr>
                <w:rFonts w:eastAsiaTheme="minorEastAsia"/>
                <w:kern w:val="0"/>
                <w:sz w:val="24"/>
                <w:szCs w:val="24"/>
              </w:rPr>
              <w:t>3.95</w:t>
            </w:r>
          </w:p>
        </w:tc>
      </w:tr>
      <w:tr w:rsidR="00E42102">
        <w:tc>
          <w:tcPr>
            <w:tcW w:w="817" w:type="dxa"/>
            <w:vAlign w:val="center"/>
          </w:tcPr>
          <w:p w:rsidR="00E42102" w:rsidRDefault="00947A15">
            <w:pPr>
              <w:jc w:val="center"/>
            </w:pPr>
            <w:r>
              <w:rPr>
                <w:rFonts w:eastAsiaTheme="minorEastAsia"/>
                <w:kern w:val="0"/>
                <w:sz w:val="24"/>
                <w:szCs w:val="24"/>
              </w:rPr>
              <w:t>5</w:t>
            </w:r>
          </w:p>
        </w:tc>
        <w:tc>
          <w:tcPr>
            <w:tcW w:w="1276" w:type="dxa"/>
            <w:vAlign w:val="center"/>
          </w:tcPr>
          <w:p w:rsidR="00E42102" w:rsidRDefault="00947A15">
            <w:pPr>
              <w:jc w:val="center"/>
            </w:pPr>
            <w:r>
              <w:rPr>
                <w:rFonts w:eastAsiaTheme="minorEastAsia"/>
                <w:kern w:val="0"/>
                <w:sz w:val="24"/>
                <w:szCs w:val="24"/>
              </w:rPr>
              <w:t>300014</w:t>
            </w:r>
          </w:p>
        </w:tc>
        <w:tc>
          <w:tcPr>
            <w:tcW w:w="1701" w:type="dxa"/>
            <w:vAlign w:val="center"/>
          </w:tcPr>
          <w:p w:rsidR="00E42102" w:rsidRDefault="00947A15">
            <w:pPr>
              <w:jc w:val="center"/>
            </w:pPr>
            <w:r>
              <w:rPr>
                <w:rFonts w:eastAsiaTheme="minorEastAsia"/>
                <w:kern w:val="0"/>
                <w:sz w:val="24"/>
                <w:szCs w:val="24"/>
              </w:rPr>
              <w:t>亿纬锂能</w:t>
            </w:r>
          </w:p>
        </w:tc>
        <w:tc>
          <w:tcPr>
            <w:tcW w:w="1276" w:type="dxa"/>
            <w:vAlign w:val="center"/>
          </w:tcPr>
          <w:p w:rsidR="00E42102" w:rsidRDefault="00947A15">
            <w:pPr>
              <w:jc w:val="right"/>
            </w:pPr>
            <w:r>
              <w:rPr>
                <w:rFonts w:eastAsiaTheme="minorEastAsia"/>
                <w:kern w:val="0"/>
                <w:sz w:val="24"/>
                <w:szCs w:val="24"/>
              </w:rPr>
              <w:t>1,020,371.00</w:t>
            </w:r>
          </w:p>
        </w:tc>
        <w:tc>
          <w:tcPr>
            <w:tcW w:w="1842" w:type="dxa"/>
            <w:vAlign w:val="center"/>
          </w:tcPr>
          <w:p w:rsidR="00E42102" w:rsidRDefault="00947A15">
            <w:pPr>
              <w:jc w:val="right"/>
            </w:pPr>
            <w:r>
              <w:rPr>
                <w:rFonts w:eastAsiaTheme="minorEastAsia"/>
                <w:kern w:val="0"/>
                <w:sz w:val="24"/>
                <w:szCs w:val="24"/>
              </w:rPr>
              <w:t>101,047,340.13</w:t>
            </w:r>
          </w:p>
        </w:tc>
        <w:tc>
          <w:tcPr>
            <w:tcW w:w="1616" w:type="dxa"/>
            <w:vAlign w:val="center"/>
          </w:tcPr>
          <w:p w:rsidR="00E42102" w:rsidRDefault="00947A15">
            <w:pPr>
              <w:jc w:val="right"/>
            </w:pPr>
            <w:r>
              <w:rPr>
                <w:rFonts w:eastAsiaTheme="minorEastAsia"/>
                <w:kern w:val="0"/>
                <w:sz w:val="24"/>
                <w:szCs w:val="24"/>
              </w:rPr>
              <w:t>3.80</w:t>
            </w:r>
          </w:p>
        </w:tc>
      </w:tr>
      <w:tr w:rsidR="00E42102">
        <w:tc>
          <w:tcPr>
            <w:tcW w:w="817" w:type="dxa"/>
            <w:vAlign w:val="center"/>
          </w:tcPr>
          <w:p w:rsidR="00E42102" w:rsidRDefault="00947A15">
            <w:pPr>
              <w:jc w:val="center"/>
            </w:pPr>
            <w:r>
              <w:rPr>
                <w:rFonts w:eastAsiaTheme="minorEastAsia"/>
                <w:kern w:val="0"/>
                <w:sz w:val="24"/>
                <w:szCs w:val="24"/>
              </w:rPr>
              <w:t>6</w:t>
            </w:r>
          </w:p>
        </w:tc>
        <w:tc>
          <w:tcPr>
            <w:tcW w:w="1276" w:type="dxa"/>
            <w:vAlign w:val="center"/>
          </w:tcPr>
          <w:p w:rsidR="00E42102" w:rsidRDefault="00947A15">
            <w:pPr>
              <w:jc w:val="center"/>
            </w:pPr>
            <w:r>
              <w:rPr>
                <w:rFonts w:eastAsiaTheme="minorEastAsia"/>
                <w:kern w:val="0"/>
                <w:sz w:val="24"/>
                <w:szCs w:val="24"/>
              </w:rPr>
              <w:t>002709</w:t>
            </w:r>
          </w:p>
        </w:tc>
        <w:tc>
          <w:tcPr>
            <w:tcW w:w="1701" w:type="dxa"/>
            <w:vAlign w:val="center"/>
          </w:tcPr>
          <w:p w:rsidR="00E42102" w:rsidRDefault="00947A15">
            <w:pPr>
              <w:jc w:val="center"/>
            </w:pPr>
            <w:r>
              <w:rPr>
                <w:rFonts w:eastAsiaTheme="minorEastAsia"/>
                <w:kern w:val="0"/>
                <w:sz w:val="24"/>
                <w:szCs w:val="24"/>
              </w:rPr>
              <w:t>天赐材料</w:t>
            </w:r>
          </w:p>
        </w:tc>
        <w:tc>
          <w:tcPr>
            <w:tcW w:w="1276" w:type="dxa"/>
            <w:vAlign w:val="center"/>
          </w:tcPr>
          <w:p w:rsidR="00E42102" w:rsidRDefault="00947A15">
            <w:pPr>
              <w:jc w:val="right"/>
            </w:pPr>
            <w:r>
              <w:rPr>
                <w:rFonts w:eastAsiaTheme="minorEastAsia"/>
                <w:kern w:val="0"/>
                <w:sz w:val="24"/>
                <w:szCs w:val="24"/>
              </w:rPr>
              <w:t>622,590.00</w:t>
            </w:r>
          </w:p>
        </w:tc>
        <w:tc>
          <w:tcPr>
            <w:tcW w:w="1842" w:type="dxa"/>
            <w:vAlign w:val="center"/>
          </w:tcPr>
          <w:p w:rsidR="00E42102" w:rsidRDefault="00947A15">
            <w:pPr>
              <w:jc w:val="right"/>
            </w:pPr>
            <w:r>
              <w:rPr>
                <w:rFonts w:eastAsiaTheme="minorEastAsia"/>
                <w:kern w:val="0"/>
                <w:sz w:val="24"/>
                <w:szCs w:val="24"/>
              </w:rPr>
              <w:t>94,708,390.80</w:t>
            </w:r>
          </w:p>
        </w:tc>
        <w:tc>
          <w:tcPr>
            <w:tcW w:w="1616" w:type="dxa"/>
            <w:vAlign w:val="center"/>
          </w:tcPr>
          <w:p w:rsidR="00E42102" w:rsidRDefault="00947A15">
            <w:pPr>
              <w:jc w:val="right"/>
            </w:pPr>
            <w:r>
              <w:rPr>
                <w:rFonts w:eastAsiaTheme="minorEastAsia"/>
                <w:kern w:val="0"/>
                <w:sz w:val="24"/>
                <w:szCs w:val="24"/>
              </w:rPr>
              <w:t>3.56</w:t>
            </w:r>
          </w:p>
        </w:tc>
      </w:tr>
      <w:tr w:rsidR="00E42102">
        <w:tc>
          <w:tcPr>
            <w:tcW w:w="817" w:type="dxa"/>
            <w:vAlign w:val="center"/>
          </w:tcPr>
          <w:p w:rsidR="00E42102" w:rsidRDefault="00947A15">
            <w:pPr>
              <w:jc w:val="center"/>
            </w:pPr>
            <w:r>
              <w:rPr>
                <w:rFonts w:eastAsiaTheme="minorEastAsia"/>
                <w:kern w:val="0"/>
                <w:sz w:val="24"/>
                <w:szCs w:val="24"/>
              </w:rPr>
              <w:t>7</w:t>
            </w:r>
          </w:p>
        </w:tc>
        <w:tc>
          <w:tcPr>
            <w:tcW w:w="1276" w:type="dxa"/>
            <w:vAlign w:val="center"/>
          </w:tcPr>
          <w:p w:rsidR="00E42102" w:rsidRDefault="00947A15">
            <w:pPr>
              <w:jc w:val="center"/>
            </w:pPr>
            <w:r>
              <w:rPr>
                <w:rFonts w:eastAsiaTheme="minorEastAsia"/>
                <w:kern w:val="0"/>
                <w:sz w:val="24"/>
                <w:szCs w:val="24"/>
              </w:rPr>
              <w:t>000301</w:t>
            </w:r>
          </w:p>
        </w:tc>
        <w:tc>
          <w:tcPr>
            <w:tcW w:w="1701" w:type="dxa"/>
            <w:vAlign w:val="center"/>
          </w:tcPr>
          <w:p w:rsidR="00E42102" w:rsidRDefault="00947A15">
            <w:pPr>
              <w:jc w:val="center"/>
            </w:pPr>
            <w:r>
              <w:rPr>
                <w:rFonts w:eastAsiaTheme="minorEastAsia"/>
                <w:kern w:val="0"/>
                <w:sz w:val="24"/>
                <w:szCs w:val="24"/>
              </w:rPr>
              <w:t>东方盛虹</w:t>
            </w:r>
          </w:p>
        </w:tc>
        <w:tc>
          <w:tcPr>
            <w:tcW w:w="1276" w:type="dxa"/>
            <w:vAlign w:val="center"/>
          </w:tcPr>
          <w:p w:rsidR="00E42102" w:rsidRDefault="00947A15">
            <w:pPr>
              <w:jc w:val="right"/>
            </w:pPr>
            <w:r>
              <w:rPr>
                <w:rFonts w:eastAsiaTheme="minorEastAsia"/>
                <w:kern w:val="0"/>
                <w:sz w:val="24"/>
                <w:szCs w:val="24"/>
              </w:rPr>
              <w:t>2,841,300.00</w:t>
            </w:r>
          </w:p>
        </w:tc>
        <w:tc>
          <w:tcPr>
            <w:tcW w:w="1842" w:type="dxa"/>
            <w:vAlign w:val="center"/>
          </w:tcPr>
          <w:p w:rsidR="00E42102" w:rsidRDefault="00947A15">
            <w:pPr>
              <w:jc w:val="right"/>
            </w:pPr>
            <w:r>
              <w:rPr>
                <w:rFonts w:eastAsiaTheme="minorEastAsia"/>
                <w:kern w:val="0"/>
                <w:sz w:val="24"/>
                <w:szCs w:val="24"/>
              </w:rPr>
              <w:t>79,897,356.00</w:t>
            </w:r>
          </w:p>
        </w:tc>
        <w:tc>
          <w:tcPr>
            <w:tcW w:w="1616" w:type="dxa"/>
            <w:vAlign w:val="center"/>
          </w:tcPr>
          <w:p w:rsidR="00E42102" w:rsidRDefault="00947A15">
            <w:pPr>
              <w:jc w:val="right"/>
            </w:pPr>
            <w:r>
              <w:rPr>
                <w:rFonts w:eastAsiaTheme="minorEastAsia"/>
                <w:kern w:val="0"/>
                <w:sz w:val="24"/>
                <w:szCs w:val="24"/>
              </w:rPr>
              <w:t>3.00</w:t>
            </w:r>
          </w:p>
        </w:tc>
      </w:tr>
      <w:tr w:rsidR="00E42102">
        <w:tc>
          <w:tcPr>
            <w:tcW w:w="817" w:type="dxa"/>
            <w:vAlign w:val="center"/>
          </w:tcPr>
          <w:p w:rsidR="00E42102" w:rsidRDefault="00947A15">
            <w:pPr>
              <w:jc w:val="center"/>
            </w:pPr>
            <w:r>
              <w:rPr>
                <w:rFonts w:eastAsiaTheme="minorEastAsia"/>
                <w:kern w:val="0"/>
                <w:sz w:val="24"/>
                <w:szCs w:val="24"/>
              </w:rPr>
              <w:t>8</w:t>
            </w:r>
          </w:p>
        </w:tc>
        <w:tc>
          <w:tcPr>
            <w:tcW w:w="1276" w:type="dxa"/>
            <w:vAlign w:val="center"/>
          </w:tcPr>
          <w:p w:rsidR="00E42102" w:rsidRDefault="00947A15">
            <w:pPr>
              <w:jc w:val="center"/>
            </w:pPr>
            <w:r>
              <w:rPr>
                <w:rFonts w:eastAsiaTheme="minorEastAsia"/>
                <w:kern w:val="0"/>
                <w:sz w:val="24"/>
                <w:szCs w:val="24"/>
              </w:rPr>
              <w:t>603799</w:t>
            </w:r>
          </w:p>
        </w:tc>
        <w:tc>
          <w:tcPr>
            <w:tcW w:w="1701" w:type="dxa"/>
            <w:vAlign w:val="center"/>
          </w:tcPr>
          <w:p w:rsidR="00E42102" w:rsidRDefault="00947A15">
            <w:pPr>
              <w:jc w:val="center"/>
            </w:pPr>
            <w:r>
              <w:rPr>
                <w:rFonts w:eastAsiaTheme="minorEastAsia"/>
                <w:kern w:val="0"/>
                <w:sz w:val="24"/>
                <w:szCs w:val="24"/>
              </w:rPr>
              <w:t>华友钴业</w:t>
            </w:r>
          </w:p>
        </w:tc>
        <w:tc>
          <w:tcPr>
            <w:tcW w:w="1276" w:type="dxa"/>
            <w:vAlign w:val="center"/>
          </w:tcPr>
          <w:p w:rsidR="00E42102" w:rsidRDefault="00947A15">
            <w:pPr>
              <w:jc w:val="right"/>
            </w:pPr>
            <w:r>
              <w:rPr>
                <w:rFonts w:eastAsiaTheme="minorEastAsia"/>
                <w:kern w:val="0"/>
                <w:sz w:val="24"/>
                <w:szCs w:val="24"/>
              </w:rPr>
              <w:t>764,758.00</w:t>
            </w:r>
          </w:p>
        </w:tc>
        <w:tc>
          <w:tcPr>
            <w:tcW w:w="1842" w:type="dxa"/>
            <w:vAlign w:val="center"/>
          </w:tcPr>
          <w:p w:rsidR="00E42102" w:rsidRDefault="00947A15">
            <w:pPr>
              <w:jc w:val="right"/>
            </w:pPr>
            <w:r>
              <w:rPr>
                <w:rFonts w:eastAsiaTheme="minorEastAsia"/>
                <w:kern w:val="0"/>
                <w:sz w:val="24"/>
                <w:szCs w:val="24"/>
              </w:rPr>
              <w:t>79,075,977.20</w:t>
            </w:r>
          </w:p>
        </w:tc>
        <w:tc>
          <w:tcPr>
            <w:tcW w:w="1616" w:type="dxa"/>
            <w:vAlign w:val="center"/>
          </w:tcPr>
          <w:p w:rsidR="00E42102" w:rsidRDefault="00947A15">
            <w:pPr>
              <w:jc w:val="right"/>
            </w:pPr>
            <w:r>
              <w:rPr>
                <w:rFonts w:eastAsiaTheme="minorEastAsia"/>
                <w:kern w:val="0"/>
                <w:sz w:val="24"/>
                <w:szCs w:val="24"/>
              </w:rPr>
              <w:t>2.97</w:t>
            </w:r>
          </w:p>
        </w:tc>
      </w:tr>
      <w:tr w:rsidR="00E42102">
        <w:tc>
          <w:tcPr>
            <w:tcW w:w="817" w:type="dxa"/>
            <w:vAlign w:val="center"/>
          </w:tcPr>
          <w:p w:rsidR="00E42102" w:rsidRDefault="00947A15">
            <w:pPr>
              <w:jc w:val="center"/>
            </w:pPr>
            <w:r>
              <w:rPr>
                <w:rFonts w:eastAsiaTheme="minorEastAsia"/>
                <w:kern w:val="0"/>
                <w:sz w:val="24"/>
                <w:szCs w:val="24"/>
              </w:rPr>
              <w:t>9</w:t>
            </w:r>
          </w:p>
        </w:tc>
        <w:tc>
          <w:tcPr>
            <w:tcW w:w="1276" w:type="dxa"/>
            <w:vAlign w:val="center"/>
          </w:tcPr>
          <w:p w:rsidR="00E42102" w:rsidRDefault="00947A15">
            <w:pPr>
              <w:jc w:val="center"/>
            </w:pPr>
            <w:r>
              <w:rPr>
                <w:rFonts w:eastAsiaTheme="minorEastAsia"/>
                <w:kern w:val="0"/>
                <w:sz w:val="24"/>
                <w:szCs w:val="24"/>
              </w:rPr>
              <w:t>600438</w:t>
            </w:r>
          </w:p>
        </w:tc>
        <w:tc>
          <w:tcPr>
            <w:tcW w:w="1701" w:type="dxa"/>
            <w:vAlign w:val="center"/>
          </w:tcPr>
          <w:p w:rsidR="00E42102" w:rsidRDefault="00947A15">
            <w:pPr>
              <w:jc w:val="center"/>
            </w:pPr>
            <w:r>
              <w:rPr>
                <w:rFonts w:eastAsiaTheme="minorEastAsia"/>
                <w:kern w:val="0"/>
                <w:sz w:val="24"/>
                <w:szCs w:val="24"/>
              </w:rPr>
              <w:t>通威股份</w:t>
            </w:r>
          </w:p>
        </w:tc>
        <w:tc>
          <w:tcPr>
            <w:tcW w:w="1276" w:type="dxa"/>
            <w:vAlign w:val="center"/>
          </w:tcPr>
          <w:p w:rsidR="00E42102" w:rsidRDefault="00947A15">
            <w:pPr>
              <w:jc w:val="right"/>
            </w:pPr>
            <w:r>
              <w:rPr>
                <w:rFonts w:eastAsiaTheme="minorEastAsia"/>
                <w:kern w:val="0"/>
                <w:sz w:val="24"/>
                <w:szCs w:val="24"/>
              </w:rPr>
              <w:t>1,523,400.00</w:t>
            </w:r>
          </w:p>
        </w:tc>
        <w:tc>
          <w:tcPr>
            <w:tcW w:w="1842" w:type="dxa"/>
            <w:vAlign w:val="center"/>
          </w:tcPr>
          <w:p w:rsidR="00E42102" w:rsidRDefault="00947A15">
            <w:pPr>
              <w:jc w:val="right"/>
            </w:pPr>
            <w:r>
              <w:rPr>
                <w:rFonts w:eastAsiaTheme="minorEastAsia"/>
                <w:kern w:val="0"/>
                <w:sz w:val="24"/>
                <w:szCs w:val="24"/>
              </w:rPr>
              <w:t>77,601,996.00</w:t>
            </w:r>
          </w:p>
        </w:tc>
        <w:tc>
          <w:tcPr>
            <w:tcW w:w="1616" w:type="dxa"/>
            <w:vAlign w:val="center"/>
          </w:tcPr>
          <w:p w:rsidR="00E42102" w:rsidRDefault="00947A15">
            <w:pPr>
              <w:jc w:val="right"/>
            </w:pPr>
            <w:r>
              <w:rPr>
                <w:rFonts w:eastAsiaTheme="minorEastAsia"/>
                <w:kern w:val="0"/>
                <w:sz w:val="24"/>
                <w:szCs w:val="24"/>
              </w:rPr>
              <w:t>2.92</w:t>
            </w:r>
          </w:p>
        </w:tc>
      </w:tr>
      <w:tr w:rsidR="00E42102">
        <w:tc>
          <w:tcPr>
            <w:tcW w:w="817" w:type="dxa"/>
            <w:vAlign w:val="center"/>
          </w:tcPr>
          <w:p w:rsidR="00E42102" w:rsidRDefault="00947A15">
            <w:pPr>
              <w:jc w:val="center"/>
            </w:pPr>
            <w:r>
              <w:rPr>
                <w:rFonts w:eastAsiaTheme="minorEastAsia"/>
                <w:kern w:val="0"/>
                <w:sz w:val="24"/>
                <w:szCs w:val="24"/>
              </w:rPr>
              <w:t>10</w:t>
            </w:r>
          </w:p>
        </w:tc>
        <w:tc>
          <w:tcPr>
            <w:tcW w:w="1276" w:type="dxa"/>
            <w:vAlign w:val="center"/>
          </w:tcPr>
          <w:p w:rsidR="00E42102" w:rsidRDefault="00947A15">
            <w:pPr>
              <w:jc w:val="center"/>
            </w:pPr>
            <w:r>
              <w:rPr>
                <w:rFonts w:eastAsiaTheme="minorEastAsia"/>
                <w:kern w:val="0"/>
                <w:sz w:val="24"/>
                <w:szCs w:val="24"/>
              </w:rPr>
              <w:t>H00700</w:t>
            </w:r>
          </w:p>
        </w:tc>
        <w:tc>
          <w:tcPr>
            <w:tcW w:w="1701" w:type="dxa"/>
            <w:vAlign w:val="center"/>
          </w:tcPr>
          <w:p w:rsidR="00E42102" w:rsidRDefault="00947A15">
            <w:pPr>
              <w:jc w:val="center"/>
            </w:pPr>
            <w:r>
              <w:rPr>
                <w:rFonts w:eastAsiaTheme="minorEastAsia"/>
                <w:kern w:val="0"/>
                <w:sz w:val="24"/>
                <w:szCs w:val="24"/>
              </w:rPr>
              <w:t>腾讯控股</w:t>
            </w:r>
          </w:p>
        </w:tc>
        <w:tc>
          <w:tcPr>
            <w:tcW w:w="1276" w:type="dxa"/>
            <w:vAlign w:val="center"/>
          </w:tcPr>
          <w:p w:rsidR="00E42102" w:rsidRDefault="00947A15">
            <w:pPr>
              <w:jc w:val="right"/>
            </w:pPr>
            <w:r>
              <w:rPr>
                <w:rFonts w:eastAsiaTheme="minorEastAsia"/>
                <w:kern w:val="0"/>
                <w:sz w:val="24"/>
                <w:szCs w:val="24"/>
              </w:rPr>
              <w:t>167,600.00</w:t>
            </w:r>
          </w:p>
        </w:tc>
        <w:tc>
          <w:tcPr>
            <w:tcW w:w="1842" w:type="dxa"/>
            <w:vAlign w:val="center"/>
          </w:tcPr>
          <w:p w:rsidR="00E42102" w:rsidRDefault="00947A15">
            <w:pPr>
              <w:jc w:val="right"/>
            </w:pPr>
            <w:r>
              <w:rPr>
                <w:rFonts w:eastAsiaTheme="minorEastAsia"/>
                <w:kern w:val="0"/>
                <w:sz w:val="24"/>
                <w:szCs w:val="24"/>
              </w:rPr>
              <w:t>64,421,062.96</w:t>
            </w:r>
          </w:p>
        </w:tc>
        <w:tc>
          <w:tcPr>
            <w:tcW w:w="1616" w:type="dxa"/>
            <w:vAlign w:val="center"/>
          </w:tcPr>
          <w:p w:rsidR="00E42102" w:rsidRDefault="00947A15">
            <w:pPr>
              <w:jc w:val="right"/>
            </w:pPr>
            <w:r>
              <w:rPr>
                <w:rFonts w:eastAsiaTheme="minorEastAsia"/>
                <w:kern w:val="0"/>
                <w:sz w:val="24"/>
                <w:szCs w:val="24"/>
              </w:rPr>
              <w:t>2.42</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1,384,998.99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566,390.00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86,201.96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202,071.11</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2,239,662.06</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2,329,436,558.78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9,329,145.42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2,338,765,704.20</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中国证监会准予上投摩根慧见两年持有期混合型证券投资基金募集注册的文件</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上投摩根慧见两年持有期混合型证券投资基金基金合同</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上投摩根慧见两年持有期混合型证券投资基金托管协议</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E42102" w:rsidRDefault="00947A1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lastRenderedPageBreak/>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二〇二一年十月二十七日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A87092" w:rsidRPr="00A87092">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A87092">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上投摩根慧见两年持有期混合型证券投资基金</w:t>
    </w:r>
    <w:r>
      <w:rPr>
        <w:rFonts w:hint="eastAsia"/>
      </w:rPr>
      <w:t>2021</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47A15"/>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87092"/>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2102"/>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6B626-D07E-469B-B9F5-5D348245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269</cp:revision>
  <dcterms:created xsi:type="dcterms:W3CDTF">2012-10-16T06:07:00Z</dcterms:created>
  <dcterms:modified xsi:type="dcterms:W3CDTF">2021-10-26T03:05:00Z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