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上投摩根慧见两年持有期混合型证券投资基金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2021年3月31日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二〇二一年四月二十二日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基金托管人中国建设银行股份有限公司根据本基金合同规定，于2021年4月21日复核了本报告中的财务指标、净值表现和投资组合报告等内容，保证复核内容不存在虚假记载、误导性陈述或者重大遗漏。 </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本报告期自2021年1月1日起至3月31日止。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上投摩根慧见两年持有期混合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009998</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009998</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2020年9月17日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2,318,018,581.16</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采用定量及定性研究方法，通过自上而下资产配置与自下而上精选个股相结合，基于严格的风险控制，力争实现基金资产的长期增值。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坚持“成长与价值并重”的选股理念，依托基金管理人的研究平台，自上而下形成行业配置观点，选择中长期有较大发展空间的优势行业进行重点配置；同时自下而上形成个股配置观点，挖掘并灵活投资于各行业中最具有</w:t>
            </w:r>
            <w:r>
              <w:rPr>
                <w:rFonts w:asciiTheme="minorEastAsia" w:eastAsiaTheme="minorEastAsia" w:hAnsiTheme="minorEastAsia"/>
                <w:color w:val="000000" w:themeColor="text1"/>
                <w:kern w:val="0"/>
              </w:rPr>
              <w:lastRenderedPageBreak/>
              <w:t>投资价值的上市公司；通过行业配置与个股选择，获取超越业绩比较基准的超额收益。在控制风险的前提下，本基金将优先配置股票资产，本基金股票资产占基金资产的投资比例为60%-95%，其中港股通标的股票的投资比例不超过基金资产的30%，且不超过股票资产的50%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中证800指数收益率*70%+中证港股通指数收益率*10%+上证国债指数收益率*20%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642FD" w:rsidTr="00E642FD">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2021年1月1日-2021年3月31日</w:t>
            </w:r>
            <w:r>
              <w:rPr>
                <w:rFonts w:asciiTheme="minorEastAsia" w:eastAsiaTheme="minorEastAsia" w:hAnsiTheme="minorEastAsia" w:cs="宋体" w:hint="eastAsia"/>
                <w:color w:val="000000" w:themeColor="text1"/>
              </w:rPr>
              <w:t>)</w:t>
            </w:r>
          </w:p>
        </w:tc>
      </w:tr>
      <w:tr w:rsidR="00E642FD" w:rsidTr="00E642F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43,637,998.49</w:t>
            </w:r>
          </w:p>
        </w:tc>
      </w:tr>
      <w:tr w:rsidR="00E642FD" w:rsidTr="00E642F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-151,019,097.39</w:t>
            </w:r>
          </w:p>
        </w:tc>
      </w:tr>
      <w:tr w:rsidR="00E642FD" w:rsidTr="00E642F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-0.0668</w:t>
            </w:r>
          </w:p>
        </w:tc>
      </w:tr>
      <w:tr w:rsidR="00E642FD" w:rsidTr="00E642F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2,430,883,972.16</w:t>
            </w:r>
          </w:p>
        </w:tc>
      </w:tr>
      <w:tr w:rsidR="00E642FD" w:rsidTr="00E642FD">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1.0487</w:t>
            </w:r>
          </w:p>
        </w:tc>
      </w:tr>
    </w:tbl>
    <w:p w:rsidR="004C7400" w:rsidRDefault="00E642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lastRenderedPageBreak/>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4C7400">
        <w:tc>
          <w:tcPr>
            <w:tcW w:w="1395" w:type="dxa"/>
            <w:vAlign w:val="center"/>
          </w:tcPr>
          <w:p w:rsidR="004C7400" w:rsidRDefault="00E642FD">
            <w:pPr>
              <w:jc w:val="left"/>
            </w:pPr>
            <w:r>
              <w:rPr>
                <w:rFonts w:asciiTheme="minorEastAsia" w:eastAsiaTheme="minorEastAsia" w:hAnsiTheme="minorEastAsia"/>
                <w:color w:val="000000" w:themeColor="text1"/>
                <w:kern w:val="0"/>
              </w:rPr>
              <w:t>过去三个月</w:t>
            </w:r>
          </w:p>
        </w:tc>
        <w:tc>
          <w:tcPr>
            <w:tcW w:w="1092" w:type="dxa"/>
            <w:vAlign w:val="center"/>
          </w:tcPr>
          <w:p w:rsidR="004C7400" w:rsidRDefault="00E642FD">
            <w:pPr>
              <w:jc w:val="center"/>
            </w:pPr>
            <w:r>
              <w:rPr>
                <w:rFonts w:asciiTheme="minorEastAsia" w:eastAsiaTheme="minorEastAsia" w:hAnsiTheme="minorEastAsia"/>
                <w:color w:val="000000" w:themeColor="text1"/>
                <w:kern w:val="0"/>
              </w:rPr>
              <w:t>-5.51%</w:t>
            </w:r>
          </w:p>
        </w:tc>
        <w:tc>
          <w:tcPr>
            <w:tcW w:w="1161" w:type="dxa"/>
            <w:vAlign w:val="center"/>
          </w:tcPr>
          <w:p w:rsidR="004C7400" w:rsidRDefault="00E642FD">
            <w:pPr>
              <w:jc w:val="center"/>
            </w:pPr>
            <w:r>
              <w:rPr>
                <w:rFonts w:asciiTheme="minorEastAsia" w:eastAsiaTheme="minorEastAsia" w:hAnsiTheme="minorEastAsia"/>
                <w:color w:val="000000" w:themeColor="text1"/>
                <w:kern w:val="0"/>
              </w:rPr>
              <w:t>2.07%</w:t>
            </w:r>
          </w:p>
        </w:tc>
        <w:tc>
          <w:tcPr>
            <w:tcW w:w="1181" w:type="dxa"/>
            <w:vAlign w:val="center"/>
          </w:tcPr>
          <w:p w:rsidR="004C7400" w:rsidRDefault="00E642FD">
            <w:pPr>
              <w:jc w:val="center"/>
            </w:pPr>
            <w:r>
              <w:rPr>
                <w:rFonts w:asciiTheme="minorEastAsia" w:eastAsiaTheme="minorEastAsia" w:hAnsiTheme="minorEastAsia"/>
                <w:color w:val="000000" w:themeColor="text1"/>
                <w:kern w:val="0"/>
              </w:rPr>
              <w:t>-1.33%</w:t>
            </w:r>
          </w:p>
        </w:tc>
        <w:tc>
          <w:tcPr>
            <w:tcW w:w="1188" w:type="dxa"/>
            <w:vAlign w:val="center"/>
          </w:tcPr>
          <w:p w:rsidR="004C7400" w:rsidRDefault="00E642FD">
            <w:pPr>
              <w:jc w:val="center"/>
            </w:pPr>
            <w:r>
              <w:rPr>
                <w:rFonts w:asciiTheme="minorEastAsia" w:eastAsiaTheme="minorEastAsia" w:hAnsiTheme="minorEastAsia"/>
                <w:color w:val="000000" w:themeColor="text1"/>
                <w:kern w:val="0"/>
              </w:rPr>
              <w:t>1.16%</w:t>
            </w:r>
          </w:p>
        </w:tc>
        <w:tc>
          <w:tcPr>
            <w:tcW w:w="1199" w:type="dxa"/>
            <w:vAlign w:val="center"/>
          </w:tcPr>
          <w:p w:rsidR="004C7400" w:rsidRDefault="00E642FD">
            <w:pPr>
              <w:jc w:val="center"/>
            </w:pPr>
            <w:r>
              <w:rPr>
                <w:rFonts w:asciiTheme="minorEastAsia" w:eastAsiaTheme="minorEastAsia" w:hAnsiTheme="minorEastAsia"/>
                <w:color w:val="000000" w:themeColor="text1"/>
                <w:kern w:val="0"/>
              </w:rPr>
              <w:t>-4.18%</w:t>
            </w:r>
          </w:p>
        </w:tc>
        <w:tc>
          <w:tcPr>
            <w:tcW w:w="1204" w:type="dxa"/>
            <w:vAlign w:val="center"/>
          </w:tcPr>
          <w:p w:rsidR="004C7400" w:rsidRDefault="00E642FD">
            <w:pPr>
              <w:jc w:val="center"/>
            </w:pPr>
            <w:r>
              <w:rPr>
                <w:rFonts w:asciiTheme="minorEastAsia" w:eastAsiaTheme="minorEastAsia" w:hAnsiTheme="minorEastAsia"/>
                <w:color w:val="000000" w:themeColor="text1"/>
                <w:kern w:val="0"/>
              </w:rPr>
              <w:t>0.91%</w:t>
            </w:r>
          </w:p>
        </w:tc>
      </w:tr>
      <w:tr w:rsidR="004C7400">
        <w:tc>
          <w:tcPr>
            <w:tcW w:w="1395" w:type="dxa"/>
            <w:vAlign w:val="center"/>
          </w:tcPr>
          <w:p w:rsidR="004C7400" w:rsidRDefault="00E642FD">
            <w:pPr>
              <w:jc w:val="left"/>
            </w:pPr>
            <w:r>
              <w:rPr>
                <w:rFonts w:asciiTheme="minorEastAsia" w:eastAsiaTheme="minorEastAsia" w:hAnsiTheme="minorEastAsia"/>
                <w:color w:val="000000" w:themeColor="text1"/>
                <w:kern w:val="0"/>
              </w:rPr>
              <w:t>过去六个月</w:t>
            </w:r>
          </w:p>
        </w:tc>
        <w:tc>
          <w:tcPr>
            <w:tcW w:w="1092" w:type="dxa"/>
            <w:vAlign w:val="center"/>
          </w:tcPr>
          <w:p w:rsidR="004C7400" w:rsidRDefault="00E642FD">
            <w:pPr>
              <w:jc w:val="center"/>
            </w:pPr>
            <w:r>
              <w:rPr>
                <w:rFonts w:asciiTheme="minorEastAsia" w:eastAsiaTheme="minorEastAsia" w:hAnsiTheme="minorEastAsia"/>
                <w:color w:val="000000" w:themeColor="text1"/>
                <w:kern w:val="0"/>
              </w:rPr>
              <w:t>4.66%</w:t>
            </w:r>
          </w:p>
        </w:tc>
        <w:tc>
          <w:tcPr>
            <w:tcW w:w="1161" w:type="dxa"/>
            <w:vAlign w:val="center"/>
          </w:tcPr>
          <w:p w:rsidR="004C7400" w:rsidRDefault="00E642FD">
            <w:pPr>
              <w:jc w:val="center"/>
            </w:pPr>
            <w:r>
              <w:rPr>
                <w:rFonts w:asciiTheme="minorEastAsia" w:eastAsiaTheme="minorEastAsia" w:hAnsiTheme="minorEastAsia"/>
                <w:color w:val="000000" w:themeColor="text1"/>
                <w:kern w:val="0"/>
              </w:rPr>
              <w:t>1.60%</w:t>
            </w:r>
          </w:p>
        </w:tc>
        <w:tc>
          <w:tcPr>
            <w:tcW w:w="1181" w:type="dxa"/>
            <w:vAlign w:val="center"/>
          </w:tcPr>
          <w:p w:rsidR="004C7400" w:rsidRDefault="00E642FD">
            <w:pPr>
              <w:jc w:val="center"/>
            </w:pPr>
            <w:r>
              <w:rPr>
                <w:rFonts w:asciiTheme="minorEastAsia" w:eastAsiaTheme="minorEastAsia" w:hAnsiTheme="minorEastAsia"/>
                <w:color w:val="000000" w:themeColor="text1"/>
                <w:kern w:val="0"/>
              </w:rPr>
              <w:t>7.55%</w:t>
            </w:r>
          </w:p>
        </w:tc>
        <w:tc>
          <w:tcPr>
            <w:tcW w:w="1188" w:type="dxa"/>
            <w:vAlign w:val="center"/>
          </w:tcPr>
          <w:p w:rsidR="004C7400" w:rsidRDefault="00E642FD">
            <w:pPr>
              <w:jc w:val="center"/>
            </w:pPr>
            <w:r>
              <w:rPr>
                <w:rFonts w:asciiTheme="minorEastAsia" w:eastAsiaTheme="minorEastAsia" w:hAnsiTheme="minorEastAsia"/>
                <w:color w:val="000000" w:themeColor="text1"/>
                <w:kern w:val="0"/>
              </w:rPr>
              <w:t>0.98%</w:t>
            </w:r>
          </w:p>
        </w:tc>
        <w:tc>
          <w:tcPr>
            <w:tcW w:w="1199" w:type="dxa"/>
            <w:vAlign w:val="center"/>
          </w:tcPr>
          <w:p w:rsidR="004C7400" w:rsidRDefault="00E642FD">
            <w:pPr>
              <w:jc w:val="center"/>
            </w:pPr>
            <w:r>
              <w:rPr>
                <w:rFonts w:asciiTheme="minorEastAsia" w:eastAsiaTheme="minorEastAsia" w:hAnsiTheme="minorEastAsia"/>
                <w:color w:val="000000" w:themeColor="text1"/>
                <w:kern w:val="0"/>
              </w:rPr>
              <w:t>-2.89%</w:t>
            </w:r>
          </w:p>
        </w:tc>
        <w:tc>
          <w:tcPr>
            <w:tcW w:w="1204" w:type="dxa"/>
            <w:vAlign w:val="center"/>
          </w:tcPr>
          <w:p w:rsidR="004C7400" w:rsidRDefault="00E642FD">
            <w:pPr>
              <w:jc w:val="center"/>
            </w:pPr>
            <w:r>
              <w:rPr>
                <w:rFonts w:asciiTheme="minorEastAsia" w:eastAsiaTheme="minorEastAsia" w:hAnsiTheme="minorEastAsia"/>
                <w:color w:val="000000" w:themeColor="text1"/>
                <w:kern w:val="0"/>
              </w:rPr>
              <w:t>0.62%</w:t>
            </w:r>
          </w:p>
        </w:tc>
      </w:tr>
      <w:tr w:rsidR="004C7400">
        <w:tc>
          <w:tcPr>
            <w:tcW w:w="1395" w:type="dxa"/>
            <w:vAlign w:val="center"/>
          </w:tcPr>
          <w:p w:rsidR="004C7400" w:rsidRDefault="00E642FD">
            <w:pPr>
              <w:jc w:val="left"/>
            </w:pPr>
            <w:r>
              <w:rPr>
                <w:rFonts w:asciiTheme="minorEastAsia" w:eastAsiaTheme="minorEastAsia" w:hAnsiTheme="minorEastAsia"/>
                <w:color w:val="000000" w:themeColor="text1"/>
                <w:kern w:val="0"/>
              </w:rPr>
              <w:t>过去一年</w:t>
            </w:r>
          </w:p>
        </w:tc>
        <w:tc>
          <w:tcPr>
            <w:tcW w:w="1092"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61"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81"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88"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99" w:type="dxa"/>
            <w:vAlign w:val="center"/>
          </w:tcPr>
          <w:p w:rsidR="004C7400" w:rsidRDefault="00E642FD">
            <w:pPr>
              <w:jc w:val="center"/>
            </w:pPr>
            <w:r>
              <w:rPr>
                <w:rFonts w:asciiTheme="minorEastAsia" w:eastAsiaTheme="minorEastAsia" w:hAnsiTheme="minorEastAsia"/>
                <w:color w:val="000000" w:themeColor="text1"/>
                <w:kern w:val="0"/>
              </w:rPr>
              <w:t>-</w:t>
            </w:r>
          </w:p>
        </w:tc>
        <w:tc>
          <w:tcPr>
            <w:tcW w:w="1204" w:type="dxa"/>
            <w:vAlign w:val="center"/>
          </w:tcPr>
          <w:p w:rsidR="004C7400" w:rsidRDefault="00E642FD">
            <w:pPr>
              <w:jc w:val="center"/>
            </w:pPr>
            <w:r>
              <w:rPr>
                <w:rFonts w:asciiTheme="minorEastAsia" w:eastAsiaTheme="minorEastAsia" w:hAnsiTheme="minorEastAsia"/>
                <w:color w:val="000000" w:themeColor="text1"/>
                <w:kern w:val="0"/>
              </w:rPr>
              <w:t>-</w:t>
            </w:r>
          </w:p>
        </w:tc>
      </w:tr>
      <w:tr w:rsidR="004C7400">
        <w:tc>
          <w:tcPr>
            <w:tcW w:w="1395" w:type="dxa"/>
            <w:vAlign w:val="center"/>
          </w:tcPr>
          <w:p w:rsidR="004C7400" w:rsidRDefault="00E642FD">
            <w:pPr>
              <w:jc w:val="left"/>
            </w:pPr>
            <w:r>
              <w:rPr>
                <w:rFonts w:asciiTheme="minorEastAsia" w:eastAsiaTheme="minorEastAsia" w:hAnsiTheme="minorEastAsia"/>
                <w:color w:val="000000" w:themeColor="text1"/>
                <w:kern w:val="0"/>
              </w:rPr>
              <w:t>过去三年</w:t>
            </w:r>
          </w:p>
        </w:tc>
        <w:tc>
          <w:tcPr>
            <w:tcW w:w="1092"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61"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81"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88"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99" w:type="dxa"/>
            <w:vAlign w:val="center"/>
          </w:tcPr>
          <w:p w:rsidR="004C7400" w:rsidRDefault="00E642FD">
            <w:pPr>
              <w:jc w:val="center"/>
            </w:pPr>
            <w:r>
              <w:rPr>
                <w:rFonts w:asciiTheme="minorEastAsia" w:eastAsiaTheme="minorEastAsia" w:hAnsiTheme="minorEastAsia"/>
                <w:color w:val="000000" w:themeColor="text1"/>
                <w:kern w:val="0"/>
              </w:rPr>
              <w:t>-</w:t>
            </w:r>
          </w:p>
        </w:tc>
        <w:tc>
          <w:tcPr>
            <w:tcW w:w="1204" w:type="dxa"/>
            <w:vAlign w:val="center"/>
          </w:tcPr>
          <w:p w:rsidR="004C7400" w:rsidRDefault="00E642FD">
            <w:pPr>
              <w:jc w:val="center"/>
            </w:pPr>
            <w:r>
              <w:rPr>
                <w:rFonts w:asciiTheme="minorEastAsia" w:eastAsiaTheme="minorEastAsia" w:hAnsiTheme="minorEastAsia"/>
                <w:color w:val="000000" w:themeColor="text1"/>
                <w:kern w:val="0"/>
              </w:rPr>
              <w:t>-</w:t>
            </w:r>
          </w:p>
        </w:tc>
      </w:tr>
      <w:tr w:rsidR="004C7400">
        <w:tc>
          <w:tcPr>
            <w:tcW w:w="1395" w:type="dxa"/>
            <w:vAlign w:val="center"/>
          </w:tcPr>
          <w:p w:rsidR="004C7400" w:rsidRDefault="00E642FD">
            <w:pPr>
              <w:jc w:val="left"/>
            </w:pPr>
            <w:r>
              <w:rPr>
                <w:rFonts w:asciiTheme="minorEastAsia" w:eastAsiaTheme="minorEastAsia" w:hAnsiTheme="minorEastAsia"/>
                <w:color w:val="000000" w:themeColor="text1"/>
                <w:kern w:val="0"/>
              </w:rPr>
              <w:t>过去五年</w:t>
            </w:r>
          </w:p>
        </w:tc>
        <w:tc>
          <w:tcPr>
            <w:tcW w:w="1092"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61"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81"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88" w:type="dxa"/>
            <w:vAlign w:val="center"/>
          </w:tcPr>
          <w:p w:rsidR="004C7400" w:rsidRDefault="00E642FD">
            <w:pPr>
              <w:jc w:val="center"/>
            </w:pPr>
            <w:r>
              <w:rPr>
                <w:rFonts w:asciiTheme="minorEastAsia" w:eastAsiaTheme="minorEastAsia" w:hAnsiTheme="minorEastAsia"/>
                <w:color w:val="000000" w:themeColor="text1"/>
                <w:kern w:val="0"/>
              </w:rPr>
              <w:t>-</w:t>
            </w:r>
          </w:p>
        </w:tc>
        <w:tc>
          <w:tcPr>
            <w:tcW w:w="1199" w:type="dxa"/>
            <w:vAlign w:val="center"/>
          </w:tcPr>
          <w:p w:rsidR="004C7400" w:rsidRDefault="00E642FD">
            <w:pPr>
              <w:jc w:val="center"/>
            </w:pPr>
            <w:r>
              <w:rPr>
                <w:rFonts w:asciiTheme="minorEastAsia" w:eastAsiaTheme="minorEastAsia" w:hAnsiTheme="minorEastAsia"/>
                <w:color w:val="000000" w:themeColor="text1"/>
                <w:kern w:val="0"/>
              </w:rPr>
              <w:t>-</w:t>
            </w:r>
          </w:p>
        </w:tc>
        <w:tc>
          <w:tcPr>
            <w:tcW w:w="1204" w:type="dxa"/>
            <w:vAlign w:val="center"/>
          </w:tcPr>
          <w:p w:rsidR="004C7400" w:rsidRDefault="00E642FD">
            <w:pPr>
              <w:jc w:val="center"/>
            </w:pPr>
            <w:r>
              <w:rPr>
                <w:rFonts w:asciiTheme="minorEastAsia" w:eastAsiaTheme="minorEastAsia" w:hAnsiTheme="minorEastAsia"/>
                <w:color w:val="000000" w:themeColor="text1"/>
                <w:kern w:val="0"/>
              </w:rPr>
              <w:t>-</w:t>
            </w:r>
          </w:p>
        </w:tc>
      </w:tr>
      <w:tr w:rsidR="004C7400">
        <w:tc>
          <w:tcPr>
            <w:tcW w:w="1395" w:type="dxa"/>
            <w:vAlign w:val="center"/>
          </w:tcPr>
          <w:p w:rsidR="004C7400" w:rsidRDefault="00E642FD">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4C7400" w:rsidRDefault="00E642FD">
            <w:pPr>
              <w:jc w:val="center"/>
            </w:pPr>
            <w:r>
              <w:rPr>
                <w:rFonts w:asciiTheme="minorEastAsia" w:eastAsiaTheme="minorEastAsia" w:hAnsiTheme="minorEastAsia"/>
                <w:color w:val="000000" w:themeColor="text1"/>
                <w:kern w:val="0"/>
              </w:rPr>
              <w:t>4.87%</w:t>
            </w:r>
          </w:p>
        </w:tc>
        <w:tc>
          <w:tcPr>
            <w:tcW w:w="1161" w:type="dxa"/>
            <w:vAlign w:val="center"/>
          </w:tcPr>
          <w:p w:rsidR="004C7400" w:rsidRDefault="00E642FD">
            <w:pPr>
              <w:jc w:val="center"/>
            </w:pPr>
            <w:r>
              <w:rPr>
                <w:rFonts w:asciiTheme="minorEastAsia" w:eastAsiaTheme="minorEastAsia" w:hAnsiTheme="minorEastAsia"/>
                <w:color w:val="000000" w:themeColor="text1"/>
                <w:kern w:val="0"/>
              </w:rPr>
              <w:t>1.54%</w:t>
            </w:r>
          </w:p>
        </w:tc>
        <w:tc>
          <w:tcPr>
            <w:tcW w:w="1181" w:type="dxa"/>
            <w:vAlign w:val="center"/>
          </w:tcPr>
          <w:p w:rsidR="004C7400" w:rsidRDefault="00E642FD">
            <w:pPr>
              <w:jc w:val="center"/>
            </w:pPr>
            <w:r>
              <w:rPr>
                <w:rFonts w:asciiTheme="minorEastAsia" w:eastAsiaTheme="minorEastAsia" w:hAnsiTheme="minorEastAsia"/>
                <w:color w:val="000000" w:themeColor="text1"/>
                <w:kern w:val="0"/>
              </w:rPr>
              <w:t>5.81%</w:t>
            </w:r>
          </w:p>
        </w:tc>
        <w:tc>
          <w:tcPr>
            <w:tcW w:w="1188" w:type="dxa"/>
            <w:vAlign w:val="center"/>
          </w:tcPr>
          <w:p w:rsidR="004C7400" w:rsidRDefault="00E642FD">
            <w:pPr>
              <w:jc w:val="center"/>
            </w:pPr>
            <w:r>
              <w:rPr>
                <w:rFonts w:asciiTheme="minorEastAsia" w:eastAsiaTheme="minorEastAsia" w:hAnsiTheme="minorEastAsia"/>
                <w:color w:val="000000" w:themeColor="text1"/>
                <w:kern w:val="0"/>
              </w:rPr>
              <w:t>0.97%</w:t>
            </w:r>
          </w:p>
        </w:tc>
        <w:tc>
          <w:tcPr>
            <w:tcW w:w="1199" w:type="dxa"/>
            <w:vAlign w:val="center"/>
          </w:tcPr>
          <w:p w:rsidR="004C7400" w:rsidRDefault="00E642FD">
            <w:pPr>
              <w:jc w:val="center"/>
            </w:pPr>
            <w:r>
              <w:rPr>
                <w:rFonts w:asciiTheme="minorEastAsia" w:eastAsiaTheme="minorEastAsia" w:hAnsiTheme="minorEastAsia"/>
                <w:color w:val="000000" w:themeColor="text1"/>
                <w:kern w:val="0"/>
              </w:rPr>
              <w:t>-0.94%</w:t>
            </w:r>
          </w:p>
        </w:tc>
        <w:tc>
          <w:tcPr>
            <w:tcW w:w="1204" w:type="dxa"/>
            <w:vAlign w:val="center"/>
          </w:tcPr>
          <w:p w:rsidR="004C7400" w:rsidRDefault="00E642FD">
            <w:pPr>
              <w:jc w:val="center"/>
            </w:pPr>
            <w:r>
              <w:rPr>
                <w:rFonts w:asciiTheme="minorEastAsia" w:eastAsiaTheme="minorEastAsia" w:hAnsiTheme="minorEastAsia"/>
                <w:color w:val="000000" w:themeColor="text1"/>
                <w:kern w:val="0"/>
              </w:rPr>
              <w:t>0.57%</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上投摩根慧见两年持有期混合型证券投资基金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2020年9月17日</w:t>
      </w:r>
      <w:r>
        <w:rPr>
          <w:rFonts w:asciiTheme="minorEastAsia" w:eastAsiaTheme="minorEastAsia" w:hAnsiTheme="minorEastAsia" w:hint="eastAsia"/>
          <w:color w:val="000000" w:themeColor="text1"/>
        </w:rPr>
        <w:t>至2021年3月31日)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C7400" w:rsidRDefault="00E642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注：本基金合同生效日为2020年9月17日，截至本报告期末本基金合同生效未满一年。</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本基金建仓期为本基金合同生效日起6个月，建仓期结束时资产配置比例符合本基金基金合同规定。</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4C7400">
        <w:tc>
          <w:tcPr>
            <w:tcW w:w="851" w:type="dxa"/>
            <w:vAlign w:val="center"/>
          </w:tcPr>
          <w:p w:rsidR="004C7400" w:rsidRDefault="00E642FD">
            <w:pPr>
              <w:jc w:val="center"/>
            </w:pPr>
            <w:r>
              <w:rPr>
                <w:rFonts w:asciiTheme="minorEastAsia" w:eastAsiaTheme="minorEastAsia" w:hAnsiTheme="minorEastAsia"/>
                <w:color w:val="000000" w:themeColor="text1"/>
              </w:rPr>
              <w:t>李德辉</w:t>
            </w:r>
          </w:p>
        </w:tc>
        <w:tc>
          <w:tcPr>
            <w:tcW w:w="850" w:type="dxa"/>
            <w:vAlign w:val="center"/>
          </w:tcPr>
          <w:p w:rsidR="004C7400" w:rsidRDefault="00E642FD">
            <w:pPr>
              <w:jc w:val="center"/>
            </w:pPr>
            <w:r>
              <w:rPr>
                <w:rFonts w:asciiTheme="minorEastAsia" w:eastAsiaTheme="minorEastAsia" w:hAnsiTheme="minorEastAsia"/>
                <w:color w:val="000000" w:themeColor="text1"/>
              </w:rPr>
              <w:t>本基金基金经理</w:t>
            </w:r>
          </w:p>
        </w:tc>
        <w:tc>
          <w:tcPr>
            <w:tcW w:w="1560" w:type="dxa"/>
            <w:vAlign w:val="center"/>
          </w:tcPr>
          <w:p w:rsidR="004C7400" w:rsidRDefault="00E642FD">
            <w:pPr>
              <w:jc w:val="center"/>
            </w:pPr>
            <w:r>
              <w:rPr>
                <w:rFonts w:asciiTheme="minorEastAsia" w:eastAsiaTheme="minorEastAsia" w:hAnsiTheme="minorEastAsia"/>
                <w:color w:val="000000" w:themeColor="text1"/>
              </w:rPr>
              <w:t>2020-09-17</w:t>
            </w:r>
          </w:p>
        </w:tc>
        <w:tc>
          <w:tcPr>
            <w:tcW w:w="1559" w:type="dxa"/>
            <w:vAlign w:val="center"/>
          </w:tcPr>
          <w:p w:rsidR="004C7400" w:rsidRDefault="00E642FD">
            <w:pPr>
              <w:jc w:val="center"/>
            </w:pPr>
            <w:r>
              <w:rPr>
                <w:rFonts w:asciiTheme="minorEastAsia" w:eastAsiaTheme="minorEastAsia" w:hAnsiTheme="minorEastAsia"/>
                <w:color w:val="000000" w:themeColor="text1"/>
              </w:rPr>
              <w:t>-</w:t>
            </w:r>
          </w:p>
        </w:tc>
        <w:tc>
          <w:tcPr>
            <w:tcW w:w="1417" w:type="dxa"/>
            <w:vAlign w:val="center"/>
          </w:tcPr>
          <w:p w:rsidR="004C7400" w:rsidRDefault="00E642FD">
            <w:pPr>
              <w:jc w:val="center"/>
            </w:pPr>
            <w:r>
              <w:rPr>
                <w:rFonts w:asciiTheme="minorEastAsia" w:eastAsiaTheme="minorEastAsia" w:hAnsiTheme="minorEastAsia"/>
                <w:color w:val="000000" w:themeColor="text1"/>
              </w:rPr>
              <w:t>9年</w:t>
            </w:r>
          </w:p>
        </w:tc>
        <w:tc>
          <w:tcPr>
            <w:tcW w:w="2694" w:type="dxa"/>
            <w:vAlign w:val="center"/>
          </w:tcPr>
          <w:p w:rsidR="004C7400" w:rsidRDefault="00E642FD">
            <w:r>
              <w:rPr>
                <w:rFonts w:asciiTheme="minorEastAsia" w:eastAsiaTheme="minorEastAsia" w:hAnsiTheme="minorEastAsia"/>
                <w:color w:val="000000" w:themeColor="text1"/>
              </w:rPr>
              <w:t>李德辉先生，上海交通大学生物医学工程博士，2012年7月至2014年7月在农银汇理基金管理有限公司担任研究员。自2014年8月起加入上投摩根基金管理有限公司，先后担任研究员、行业专家兼基金经理助理、基金经理、高级基金经理。自2016年11月起担任上投摩根科技前沿灵活配置混合型证券投资基金基金经理，2018年3月至2019年7月同时担任上投摩根安全战略股票型证券投资基金基金经理及上投摩根双核平衡混合型证券投资基金基金经理，自2018年6月起同时担任上投摩根卓越制造股票型证券投资基金基金经理，自2019年3月起同时担任上投摩根智选30混合型证券投资基金基金经理，自2020年1月起同时担任上投摩根慧选成长股票型证券投资基金基金经理，自2020年9月起同时担任上投摩根慧见两年持有期混合型证券投资基金基金经理。</w:t>
            </w:r>
          </w:p>
        </w:tc>
      </w:tr>
    </w:tbl>
    <w:p w:rsidR="004C7400" w:rsidRDefault="00E642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4C7400" w:rsidRDefault="00E642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2.李德辉先生为本基金首任基金经理，其任职日期指本基金基金合同生效之日。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3.证券从业的含义遵从行业协会《证券业从业人员资格管理办法》的相关规定。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慧见两年持有期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lastRenderedPageBreak/>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2021年一季度权益市场波动较大，市场担心流动性、货币政策收缩预期以及整个市场相对位置较高。本基金由于结构相对偏重核心资产，导致业绩跑输市场。</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二季度，我们认为大概率宏观经济和流动性都是从高位区域回到长期合理区域，这个过程可能影响部分公司的盈利预期和估值水平，前期市场下跌已反映了部分预期，但未来可能仍有一些不确定性。从长期潜在预期回报看，目前市场大部分市值较大、质地优良的核心资产年化回报属于中低水平，较过去两年有较大幅度下降，但中长期看仍是不差的资产。组合管理方面，我们将采取更均衡的行业配置，兼顾确定性的核心资产和低估值的价值股，平衡组合风格和波动。</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我们中长期看好的成长赛道仍为科技、新能源汽车、医药、消费等行业。科技行业，我们仍看好传统有较强网络效应的互联网公司，同时看好新兴有较强创新能力的软件或半导体公司。新能源汽车行业，看好电动化和智能化的普及，希望能布局一些有潜质的公司。医药行业，人口老龄化带来总需求增加，但是支付能力又相对不足，需要选择有较强创新能力或者需求来自海外的公司来应对不确定性。消费行业，我们看好成熟赛道的优质龙头公司，同时积极挖掘新兴赛道的潜力公司，因为年轻人会带来新的品牌崛起。短周期我们偏防御选择一些公用事业和金融等低估值资产。</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个股选择上，我们坚持供给端有壁垒和需求端有增长两个维度，希望通过优秀公司的韧性来降低行业需求的波动性风险，力争获取长期稳定超额收益。</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本报告期上投摩根慧见两年持有期混合份额净值增长率为:-5.51%，同期业绩比较基准收益率为:-1.33%。</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w:t>
            </w:r>
            <w:r>
              <w:rPr>
                <w:rFonts w:asciiTheme="minorEastAsia" w:eastAsiaTheme="minorEastAsia" w:hAnsiTheme="minorEastAsia" w:hint="eastAsia"/>
                <w:color w:val="000000" w:themeColor="text1"/>
                <w:kern w:val="0"/>
              </w:rPr>
              <w:lastRenderedPageBreak/>
              <w:t>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1,545,987,735.69</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62.48</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1,545,987,735.69</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62.48</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908,505,874.90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36.72</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19,974,264.21</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0.81</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2,474,467,874.80</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w:t>
      </w:r>
      <w:r w:rsidR="00E642FD" w:rsidRPr="00E642FD">
        <w:rPr>
          <w:rFonts w:asciiTheme="minorEastAsia" w:eastAsiaTheme="minorEastAsia" w:hAnsiTheme="minorEastAsia" w:hint="eastAsia"/>
          <w:color w:val="000000" w:themeColor="text1"/>
        </w:rPr>
        <w:t>本基金本报告期末通过港股通交易机制投资的港股市值为514,908,028.92元,占净值比例21.18%</w:t>
      </w:r>
      <w:r>
        <w:rPr>
          <w:rFonts w:asciiTheme="minorEastAsia" w:eastAsiaTheme="minorEastAsia" w:hAnsiTheme="minorEastAsia" w:hint="eastAsia"/>
          <w:color w:val="000000" w:themeColor="text1"/>
        </w:rPr>
        <w:t>。</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778,933.61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0.03</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544,962,857.89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22.42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100,983,965.12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110,842,943.25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96,590,954.00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3.97</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108,331.32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111,576,260.64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4.59</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64,165,474.20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2.64</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1,069,986.74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0.04</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1,031,079,706.77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42.42</w:t>
            </w:r>
          </w:p>
        </w:tc>
      </w:tr>
    </w:tbl>
    <w:p w:rsidR="00D06738" w:rsidRDefault="00454D20">
      <w:pPr>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 5.2.2报告期末按行业分类的港股通投资股票投资组合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trPr>
          <w:jc w:val="center"/>
        </w:trPr>
        <w:tc>
          <w:tcPr>
            <w:tcW w:w="239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行业类别</w:t>
            </w:r>
          </w:p>
        </w:tc>
        <w:tc>
          <w:tcPr>
            <w:tcW w:w="311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公允价值（人民币）</w:t>
            </w:r>
          </w:p>
        </w:tc>
        <w:tc>
          <w:tcPr>
            <w:tcW w:w="3118"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A 基础材料</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B 消费者非必需品</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187,506,679.98</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7.71</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C 消费者常用品</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D 能源</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E 金融</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99,932,308.32</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4.11</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F 医疗保健</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G 工业</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H 信息技术</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I 电信服务</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227,469,040.62</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9.36</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J 公用事业</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4C7400">
        <w:trPr>
          <w:jc w:val="center"/>
        </w:trPr>
        <w:tc>
          <w:tcPr>
            <w:tcW w:w="2397" w:type="dxa"/>
            <w:vAlign w:val="center"/>
          </w:tcPr>
          <w:p w:rsidR="004C7400" w:rsidRDefault="00E642FD">
            <w:pPr>
              <w:jc w:val="center"/>
            </w:pPr>
            <w:r>
              <w:rPr>
                <w:rFonts w:asciiTheme="minorEastAsia" w:eastAsiaTheme="minorEastAsia" w:hAnsiTheme="minorEastAsia" w:cs="宋体"/>
                <w:color w:val="000000" w:themeColor="text1"/>
                <w:kern w:val="0"/>
              </w:rPr>
              <w:t>K 房地产</w:t>
            </w:r>
          </w:p>
        </w:tc>
        <w:tc>
          <w:tcPr>
            <w:tcW w:w="3119" w:type="dxa"/>
            <w:vAlign w:val="center"/>
          </w:tcPr>
          <w:p w:rsidR="004C7400" w:rsidRDefault="00E642FD">
            <w:pPr>
              <w:jc w:val="center"/>
            </w:pPr>
            <w:r>
              <w:rPr>
                <w:rFonts w:asciiTheme="minorEastAsia" w:eastAsiaTheme="minorEastAsia" w:hAnsiTheme="minorEastAsia" w:cs="宋体"/>
                <w:color w:val="000000" w:themeColor="text1"/>
                <w:kern w:val="0"/>
              </w:rPr>
              <w:t>-</w:t>
            </w:r>
          </w:p>
        </w:tc>
        <w:tc>
          <w:tcPr>
            <w:tcW w:w="3118" w:type="dxa"/>
            <w:vAlign w:val="center"/>
          </w:tcPr>
          <w:p w:rsidR="004C7400" w:rsidRDefault="00E642FD">
            <w:pPr>
              <w:jc w:val="center"/>
            </w:pPr>
            <w:r>
              <w:rPr>
                <w:rFonts w:asciiTheme="minorEastAsia" w:eastAsiaTheme="minorEastAsia" w:hAnsiTheme="minorEastAsia" w:cs="宋体"/>
                <w:color w:val="000000" w:themeColor="text1"/>
                <w:kern w:val="0"/>
              </w:rPr>
              <w:t>-</w:t>
            </w:r>
          </w:p>
        </w:tc>
      </w:tr>
      <w:tr w:rsidR="00D06738">
        <w:trPr>
          <w:jc w:val="center"/>
        </w:trPr>
        <w:tc>
          <w:tcPr>
            <w:tcW w:w="239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3119" w:type="dxa"/>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514,908,028.92</w:t>
            </w:r>
          </w:p>
        </w:tc>
        <w:tc>
          <w:tcPr>
            <w:tcW w:w="3118" w:type="dxa"/>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21.18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1</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00700</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腾讯控股</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431,700.00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222,567,165.66</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9.16</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2</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600519</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贵州茅台</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76,434.00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153,555,906.00</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6.32</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3</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601888</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中国中免</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364,533.00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111,576,260.64</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4.59</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4</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600900</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长江电力</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4,710,073.00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100,983,965.12</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4.15</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5</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00388</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香港交易所</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258,500.00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99,932,308.32</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4.11</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lastRenderedPageBreak/>
              <w:t>6</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600031</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三一重工</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2,685,523.00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91,710,610.45</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3.77</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7</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000333</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美的集团</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1,074,506.00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88,356,628.38</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3.63</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8</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000858</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五 粮 液</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264,147.00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70,786,113.06</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2.91</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9</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603259</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药明康德</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457,671.00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64,165,474.20</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2.64</w:t>
            </w:r>
          </w:p>
        </w:tc>
      </w:tr>
      <w:tr w:rsidR="004C7400">
        <w:tc>
          <w:tcPr>
            <w:tcW w:w="817" w:type="dxa"/>
            <w:vAlign w:val="center"/>
          </w:tcPr>
          <w:p w:rsidR="004C7400" w:rsidRDefault="00E642FD">
            <w:pPr>
              <w:jc w:val="center"/>
            </w:pPr>
            <w:r>
              <w:rPr>
                <w:rFonts w:asciiTheme="minorEastAsia" w:eastAsiaTheme="minorEastAsia" w:hAnsiTheme="minorEastAsia" w:cs="宋体"/>
                <w:color w:val="000000" w:themeColor="text1"/>
                <w:kern w:val="0"/>
              </w:rPr>
              <w:t>10</w:t>
            </w:r>
          </w:p>
        </w:tc>
        <w:tc>
          <w:tcPr>
            <w:tcW w:w="1276" w:type="dxa"/>
            <w:vAlign w:val="center"/>
          </w:tcPr>
          <w:p w:rsidR="004C7400" w:rsidRDefault="00E642FD">
            <w:pPr>
              <w:jc w:val="center"/>
            </w:pPr>
            <w:r>
              <w:rPr>
                <w:rFonts w:asciiTheme="minorEastAsia" w:eastAsiaTheme="minorEastAsia" w:hAnsiTheme="minorEastAsia" w:cs="宋体"/>
                <w:color w:val="000000" w:themeColor="text1"/>
                <w:kern w:val="0"/>
              </w:rPr>
              <w:t>03690</w:t>
            </w:r>
          </w:p>
        </w:tc>
        <w:tc>
          <w:tcPr>
            <w:tcW w:w="1701" w:type="dxa"/>
            <w:vAlign w:val="center"/>
          </w:tcPr>
          <w:p w:rsidR="004C7400" w:rsidRDefault="00E642FD">
            <w:pPr>
              <w:jc w:val="center"/>
            </w:pPr>
            <w:r>
              <w:rPr>
                <w:rFonts w:asciiTheme="minorEastAsia" w:eastAsiaTheme="minorEastAsia" w:hAnsiTheme="minorEastAsia" w:cs="宋体"/>
                <w:color w:val="000000" w:themeColor="text1"/>
                <w:kern w:val="0"/>
              </w:rPr>
              <w:t>美团－Ｗ</w:t>
            </w:r>
          </w:p>
        </w:tc>
        <w:tc>
          <w:tcPr>
            <w:tcW w:w="1276" w:type="dxa"/>
            <w:vAlign w:val="center"/>
          </w:tcPr>
          <w:p w:rsidR="004C7400" w:rsidRDefault="00E642FD">
            <w:pPr>
              <w:jc w:val="right"/>
            </w:pPr>
            <w:r>
              <w:rPr>
                <w:rFonts w:asciiTheme="minorEastAsia" w:eastAsiaTheme="minorEastAsia" w:hAnsiTheme="minorEastAsia" w:cs="宋体"/>
                <w:color w:val="000000" w:themeColor="text1"/>
                <w:kern w:val="0"/>
              </w:rPr>
              <w:t>251,100.00</w:t>
            </w:r>
          </w:p>
        </w:tc>
        <w:tc>
          <w:tcPr>
            <w:tcW w:w="1842" w:type="dxa"/>
            <w:vAlign w:val="center"/>
          </w:tcPr>
          <w:p w:rsidR="004C7400" w:rsidRDefault="00E642FD">
            <w:pPr>
              <w:jc w:val="right"/>
            </w:pPr>
            <w:r>
              <w:rPr>
                <w:rFonts w:asciiTheme="minorEastAsia" w:eastAsiaTheme="minorEastAsia" w:hAnsiTheme="minorEastAsia" w:cs="宋体"/>
                <w:color w:val="000000" w:themeColor="text1"/>
                <w:kern w:val="0"/>
              </w:rPr>
              <w:t>63,285,404.94</w:t>
            </w:r>
          </w:p>
        </w:tc>
        <w:tc>
          <w:tcPr>
            <w:tcW w:w="1616" w:type="dxa"/>
            <w:vAlign w:val="center"/>
          </w:tcPr>
          <w:p w:rsidR="004C7400" w:rsidRDefault="00E642FD">
            <w:pPr>
              <w:jc w:val="right"/>
            </w:pPr>
            <w:r>
              <w:rPr>
                <w:rFonts w:asciiTheme="minorEastAsia" w:eastAsiaTheme="minorEastAsia" w:hAnsiTheme="minorEastAsia" w:cs="宋体"/>
                <w:color w:val="000000" w:themeColor="text1"/>
                <w:kern w:val="0"/>
              </w:rPr>
              <w:t>2.60</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本基金投资的前十名证券的发行主体本期未出现被监管部门立案调查，</w:t>
      </w:r>
      <w:r>
        <w:rPr>
          <w:rFonts w:asciiTheme="minorEastAsia" w:eastAsiaTheme="minorEastAsia" w:hAnsiTheme="minorEastAsia"/>
          <w:color w:val="000000" w:themeColor="text1"/>
          <w:sz w:val="24"/>
          <w:szCs w:val="24"/>
        </w:rPr>
        <w:lastRenderedPageBreak/>
        <w:t>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861,342.62</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18,862,412.96</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102,258.69</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148,249.94</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19,974,264.21</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2,196,544,808.96</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121,473,772.20</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减：</w:t>
            </w: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2,318,018,581.16</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(一)中国证监会准予上投摩根慧见两年持有期混合型证券投资基金募集注册的文件</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(二)上投摩根慧见两年持有期混合型证券投资基金基金合同</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(三)上投摩根慧见两年持有期混合型证券投资基金托管协议</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(四)法律意见书</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(五)基金管理人业务资格批件、营业执照</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(六)基金托管人业务资格批件、营业执照</w:t>
      </w:r>
    </w:p>
    <w:p w:rsidR="004C7400" w:rsidRDefault="00E642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(七)上投摩根基金管理有限公司开放式基金业务规则</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(八)中国证监会要求的其他文件</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二〇二一年四月二十二日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36011" w:rsidRPr="00B3601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36011">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上投摩根慧见两年持有期混合型证券投资基金</w:t>
    </w:r>
    <w:r>
      <w:rPr>
        <w:rFonts w:hint="eastAsia"/>
      </w:rPr>
      <w:t>2021</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C7400"/>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36011"/>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642FD"/>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284D7-6246-4644-A95D-60FA40A7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268</cp:revision>
  <dcterms:created xsi:type="dcterms:W3CDTF">2012-10-16T06:07:00Z</dcterms:created>
  <dcterms:modified xsi:type="dcterms:W3CDTF">2021-04-21T08:32:00Z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