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上投摩根慧见两年持有期混合型证券投资基金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2020年第4季度报告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2020年12月31日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二〇二一年一月二十二日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基金托管人中国建设银行股份有限公司根据本基金合同规定，于2021年1月21日复核了本报告中的财务指标、净值表现和投资组合报告等内容，保证复核内容不存在虚假记载、误导性陈述或者重大遗漏。 </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本报告期自2020年10月1日起至12月31日止。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上投摩根慧见两年持有期混合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009998</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009998</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2020年9月17日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2,196,544,808.96</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采用定量及定性研究方法，通过自上而下资产配置与自下而上精选个股相结合，基于严格的风险控制，力争实现基金资产的长期增值。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坚持“成长与价值并重”的选股理念，依托基金管理人的研究平台，自上而下形成行业配置观点，选择中长期有较大发展空间的优势行业进行重点配置；同时自下而上形成个股配置观点，挖掘并灵活投资于各行业中最具有</w:t>
            </w:r>
            <w:r>
              <w:rPr>
                <w:rFonts w:asciiTheme="minorEastAsia" w:eastAsiaTheme="minorEastAsia" w:hAnsiTheme="minorEastAsia"/>
                <w:color w:val="000000" w:themeColor="text1"/>
                <w:kern w:val="0"/>
              </w:rPr>
              <w:lastRenderedPageBreak/>
              <w:t>投资价值的上市公司；通过行业配置与个股选择，获取超越业绩比较基准的超额收益。在控制风险的前提下，本基金将优先配置股票资产，本基金股票资产占基金资产的投资比例为60%-95%，其中港股通标的股票的投资比例不超过基金资产的30%，且不超过股票资产的50%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中证800指数收益率*70%+中证港股通指数收益率*10%+上证国债指数收益率*20%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本基金属于混合型基金产品，预期风险和收益水平高于债券型基金和货币市场基金，低于股票型基金。</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A0975" w:rsidTr="00AA0975">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2020年10月1日-2020年12月31日</w:t>
            </w:r>
            <w:r>
              <w:rPr>
                <w:rFonts w:asciiTheme="minorEastAsia" w:eastAsiaTheme="minorEastAsia" w:hAnsiTheme="minorEastAsia" w:cs="宋体" w:hint="eastAsia"/>
                <w:color w:val="000000" w:themeColor="text1"/>
              </w:rPr>
              <w:t>)</w:t>
            </w:r>
          </w:p>
        </w:tc>
      </w:tr>
      <w:tr w:rsidR="00AA0975" w:rsidTr="00AA0975">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36,191,993.54</w:t>
            </w:r>
          </w:p>
        </w:tc>
      </w:tr>
      <w:tr w:rsidR="00AA0975" w:rsidTr="00AA0975">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234,306,373.82</w:t>
            </w:r>
          </w:p>
        </w:tc>
      </w:tr>
      <w:tr w:rsidR="00AA0975" w:rsidTr="00AA0975">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0.1087</w:t>
            </w:r>
          </w:p>
        </w:tc>
      </w:tr>
      <w:tr w:rsidR="00AA0975" w:rsidTr="00AA0975">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2,437,728,551.89</w:t>
            </w:r>
          </w:p>
        </w:tc>
      </w:tr>
      <w:tr w:rsidR="00AA0975" w:rsidTr="00AA0975">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1.1098</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w:t>
            </w:r>
            <w:r>
              <w:rPr>
                <w:rFonts w:asciiTheme="minorEastAsia" w:eastAsiaTheme="minorEastAsia" w:hAnsiTheme="minorEastAsia" w:cs="Arial" w:hint="eastAsia"/>
                <w:color w:val="000000" w:themeColor="text1"/>
                <w:kern w:val="0"/>
              </w:rPr>
              <w:lastRenderedPageBreak/>
              <w:t>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B15639">
        <w:tc>
          <w:tcPr>
            <w:tcW w:w="1395" w:type="dxa"/>
            <w:vAlign w:val="center"/>
          </w:tcPr>
          <w:p w:rsidR="00B15639" w:rsidRDefault="00AA0975">
            <w:pPr>
              <w:jc w:val="left"/>
            </w:pPr>
            <w:r>
              <w:rPr>
                <w:rFonts w:asciiTheme="minorEastAsia" w:eastAsiaTheme="minorEastAsia" w:hAnsiTheme="minorEastAsia"/>
                <w:color w:val="000000" w:themeColor="text1"/>
                <w:kern w:val="0"/>
              </w:rPr>
              <w:t>过去三个月</w:t>
            </w:r>
          </w:p>
        </w:tc>
        <w:tc>
          <w:tcPr>
            <w:tcW w:w="1092" w:type="dxa"/>
            <w:vAlign w:val="center"/>
          </w:tcPr>
          <w:p w:rsidR="00B15639" w:rsidRDefault="00AA0975">
            <w:pPr>
              <w:jc w:val="center"/>
            </w:pPr>
            <w:r>
              <w:rPr>
                <w:rFonts w:asciiTheme="minorEastAsia" w:eastAsiaTheme="minorEastAsia" w:hAnsiTheme="minorEastAsia"/>
                <w:color w:val="000000" w:themeColor="text1"/>
                <w:kern w:val="0"/>
              </w:rPr>
              <w:t>10.76%</w:t>
            </w:r>
          </w:p>
        </w:tc>
        <w:tc>
          <w:tcPr>
            <w:tcW w:w="1161" w:type="dxa"/>
            <w:vAlign w:val="center"/>
          </w:tcPr>
          <w:p w:rsidR="00B15639" w:rsidRDefault="00AA0975">
            <w:pPr>
              <w:jc w:val="center"/>
            </w:pPr>
            <w:r>
              <w:rPr>
                <w:rFonts w:asciiTheme="minorEastAsia" w:eastAsiaTheme="minorEastAsia" w:hAnsiTheme="minorEastAsia"/>
                <w:color w:val="000000" w:themeColor="text1"/>
                <w:kern w:val="0"/>
              </w:rPr>
              <w:t>0.95%</w:t>
            </w:r>
          </w:p>
        </w:tc>
        <w:tc>
          <w:tcPr>
            <w:tcW w:w="1181" w:type="dxa"/>
            <w:vAlign w:val="center"/>
          </w:tcPr>
          <w:p w:rsidR="00B15639" w:rsidRDefault="00AA0975">
            <w:pPr>
              <w:jc w:val="center"/>
            </w:pPr>
            <w:r>
              <w:rPr>
                <w:rFonts w:asciiTheme="minorEastAsia" w:eastAsiaTheme="minorEastAsia" w:hAnsiTheme="minorEastAsia"/>
                <w:color w:val="000000" w:themeColor="text1"/>
                <w:kern w:val="0"/>
              </w:rPr>
              <w:t>9.04%</w:t>
            </w:r>
          </w:p>
        </w:tc>
        <w:tc>
          <w:tcPr>
            <w:tcW w:w="1188" w:type="dxa"/>
            <w:vAlign w:val="center"/>
          </w:tcPr>
          <w:p w:rsidR="00B15639" w:rsidRDefault="00AA0975">
            <w:pPr>
              <w:jc w:val="center"/>
            </w:pPr>
            <w:r>
              <w:rPr>
                <w:rFonts w:asciiTheme="minorEastAsia" w:eastAsiaTheme="minorEastAsia" w:hAnsiTheme="minorEastAsia"/>
                <w:color w:val="000000" w:themeColor="text1"/>
                <w:kern w:val="0"/>
              </w:rPr>
              <w:t>0.77%</w:t>
            </w:r>
          </w:p>
        </w:tc>
        <w:tc>
          <w:tcPr>
            <w:tcW w:w="1199" w:type="dxa"/>
            <w:vAlign w:val="center"/>
          </w:tcPr>
          <w:p w:rsidR="00B15639" w:rsidRDefault="00AA0975">
            <w:pPr>
              <w:jc w:val="center"/>
            </w:pPr>
            <w:r>
              <w:rPr>
                <w:rFonts w:asciiTheme="minorEastAsia" w:eastAsiaTheme="minorEastAsia" w:hAnsiTheme="minorEastAsia"/>
                <w:color w:val="000000" w:themeColor="text1"/>
                <w:kern w:val="0"/>
              </w:rPr>
              <w:t>1.72%</w:t>
            </w:r>
          </w:p>
        </w:tc>
        <w:tc>
          <w:tcPr>
            <w:tcW w:w="1204" w:type="dxa"/>
            <w:vAlign w:val="center"/>
          </w:tcPr>
          <w:p w:rsidR="00B15639" w:rsidRDefault="00AA0975">
            <w:pPr>
              <w:jc w:val="center"/>
            </w:pPr>
            <w:r>
              <w:rPr>
                <w:rFonts w:asciiTheme="minorEastAsia" w:eastAsiaTheme="minorEastAsia" w:hAnsiTheme="minorEastAsia"/>
                <w:color w:val="000000" w:themeColor="text1"/>
                <w:kern w:val="0"/>
              </w:rPr>
              <w:t>0.18%</w:t>
            </w:r>
          </w:p>
        </w:tc>
      </w:tr>
      <w:tr w:rsidR="00B15639">
        <w:tc>
          <w:tcPr>
            <w:tcW w:w="1395" w:type="dxa"/>
            <w:vAlign w:val="center"/>
          </w:tcPr>
          <w:p w:rsidR="00B15639" w:rsidRDefault="00AA0975">
            <w:pPr>
              <w:jc w:val="left"/>
            </w:pPr>
            <w:r>
              <w:rPr>
                <w:rFonts w:asciiTheme="minorEastAsia" w:eastAsiaTheme="minorEastAsia" w:hAnsiTheme="minorEastAsia"/>
                <w:color w:val="000000" w:themeColor="text1"/>
                <w:kern w:val="0"/>
              </w:rPr>
              <w:t>过去六个月</w:t>
            </w:r>
          </w:p>
        </w:tc>
        <w:tc>
          <w:tcPr>
            <w:tcW w:w="1092"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6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8"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99" w:type="dxa"/>
            <w:vAlign w:val="center"/>
          </w:tcPr>
          <w:p w:rsidR="00B15639" w:rsidRDefault="00AA0975">
            <w:pPr>
              <w:jc w:val="center"/>
            </w:pPr>
            <w:r>
              <w:rPr>
                <w:rFonts w:asciiTheme="minorEastAsia" w:eastAsiaTheme="minorEastAsia" w:hAnsiTheme="minorEastAsia"/>
                <w:color w:val="000000" w:themeColor="text1"/>
                <w:kern w:val="0"/>
              </w:rPr>
              <w:t>-</w:t>
            </w:r>
          </w:p>
        </w:tc>
        <w:tc>
          <w:tcPr>
            <w:tcW w:w="1204" w:type="dxa"/>
            <w:vAlign w:val="center"/>
          </w:tcPr>
          <w:p w:rsidR="00B15639" w:rsidRDefault="00AA0975">
            <w:pPr>
              <w:jc w:val="center"/>
            </w:pPr>
            <w:r>
              <w:rPr>
                <w:rFonts w:asciiTheme="minorEastAsia" w:eastAsiaTheme="minorEastAsia" w:hAnsiTheme="minorEastAsia"/>
                <w:color w:val="000000" w:themeColor="text1"/>
                <w:kern w:val="0"/>
              </w:rPr>
              <w:t>-</w:t>
            </w:r>
          </w:p>
        </w:tc>
      </w:tr>
      <w:tr w:rsidR="00B15639">
        <w:tc>
          <w:tcPr>
            <w:tcW w:w="1395" w:type="dxa"/>
            <w:vAlign w:val="center"/>
          </w:tcPr>
          <w:p w:rsidR="00B15639" w:rsidRDefault="00AA0975">
            <w:pPr>
              <w:jc w:val="left"/>
            </w:pPr>
            <w:r>
              <w:rPr>
                <w:rFonts w:asciiTheme="minorEastAsia" w:eastAsiaTheme="minorEastAsia" w:hAnsiTheme="minorEastAsia"/>
                <w:color w:val="000000" w:themeColor="text1"/>
                <w:kern w:val="0"/>
              </w:rPr>
              <w:t>过去一年</w:t>
            </w:r>
          </w:p>
        </w:tc>
        <w:tc>
          <w:tcPr>
            <w:tcW w:w="1092"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6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8"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99" w:type="dxa"/>
            <w:vAlign w:val="center"/>
          </w:tcPr>
          <w:p w:rsidR="00B15639" w:rsidRDefault="00AA0975">
            <w:pPr>
              <w:jc w:val="center"/>
            </w:pPr>
            <w:r>
              <w:rPr>
                <w:rFonts w:asciiTheme="minorEastAsia" w:eastAsiaTheme="minorEastAsia" w:hAnsiTheme="minorEastAsia"/>
                <w:color w:val="000000" w:themeColor="text1"/>
                <w:kern w:val="0"/>
              </w:rPr>
              <w:t>-</w:t>
            </w:r>
          </w:p>
        </w:tc>
        <w:tc>
          <w:tcPr>
            <w:tcW w:w="1204" w:type="dxa"/>
            <w:vAlign w:val="center"/>
          </w:tcPr>
          <w:p w:rsidR="00B15639" w:rsidRDefault="00AA0975">
            <w:pPr>
              <w:jc w:val="center"/>
            </w:pPr>
            <w:r>
              <w:rPr>
                <w:rFonts w:asciiTheme="minorEastAsia" w:eastAsiaTheme="minorEastAsia" w:hAnsiTheme="minorEastAsia"/>
                <w:color w:val="000000" w:themeColor="text1"/>
                <w:kern w:val="0"/>
              </w:rPr>
              <w:t>-</w:t>
            </w:r>
          </w:p>
        </w:tc>
      </w:tr>
      <w:tr w:rsidR="00B15639">
        <w:tc>
          <w:tcPr>
            <w:tcW w:w="1395" w:type="dxa"/>
            <w:vAlign w:val="center"/>
          </w:tcPr>
          <w:p w:rsidR="00B15639" w:rsidRDefault="00AA0975">
            <w:pPr>
              <w:jc w:val="left"/>
            </w:pPr>
            <w:r>
              <w:rPr>
                <w:rFonts w:asciiTheme="minorEastAsia" w:eastAsiaTheme="minorEastAsia" w:hAnsiTheme="minorEastAsia"/>
                <w:color w:val="000000" w:themeColor="text1"/>
                <w:kern w:val="0"/>
              </w:rPr>
              <w:t>过去三年</w:t>
            </w:r>
          </w:p>
        </w:tc>
        <w:tc>
          <w:tcPr>
            <w:tcW w:w="1092"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6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8"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99" w:type="dxa"/>
            <w:vAlign w:val="center"/>
          </w:tcPr>
          <w:p w:rsidR="00B15639" w:rsidRDefault="00AA0975">
            <w:pPr>
              <w:jc w:val="center"/>
            </w:pPr>
            <w:r>
              <w:rPr>
                <w:rFonts w:asciiTheme="minorEastAsia" w:eastAsiaTheme="minorEastAsia" w:hAnsiTheme="minorEastAsia"/>
                <w:color w:val="000000" w:themeColor="text1"/>
                <w:kern w:val="0"/>
              </w:rPr>
              <w:t>-</w:t>
            </w:r>
          </w:p>
        </w:tc>
        <w:tc>
          <w:tcPr>
            <w:tcW w:w="1204" w:type="dxa"/>
            <w:vAlign w:val="center"/>
          </w:tcPr>
          <w:p w:rsidR="00B15639" w:rsidRDefault="00AA0975">
            <w:pPr>
              <w:jc w:val="center"/>
            </w:pPr>
            <w:r>
              <w:rPr>
                <w:rFonts w:asciiTheme="minorEastAsia" w:eastAsiaTheme="minorEastAsia" w:hAnsiTheme="minorEastAsia"/>
                <w:color w:val="000000" w:themeColor="text1"/>
                <w:kern w:val="0"/>
              </w:rPr>
              <w:t>-</w:t>
            </w:r>
          </w:p>
        </w:tc>
      </w:tr>
      <w:tr w:rsidR="00B15639">
        <w:tc>
          <w:tcPr>
            <w:tcW w:w="1395" w:type="dxa"/>
            <w:vAlign w:val="center"/>
          </w:tcPr>
          <w:p w:rsidR="00B15639" w:rsidRDefault="00AA0975">
            <w:pPr>
              <w:jc w:val="left"/>
            </w:pPr>
            <w:r>
              <w:rPr>
                <w:rFonts w:asciiTheme="minorEastAsia" w:eastAsiaTheme="minorEastAsia" w:hAnsiTheme="minorEastAsia"/>
                <w:color w:val="000000" w:themeColor="text1"/>
                <w:kern w:val="0"/>
              </w:rPr>
              <w:t>过去五年</w:t>
            </w:r>
          </w:p>
        </w:tc>
        <w:tc>
          <w:tcPr>
            <w:tcW w:w="1092"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6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1"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88" w:type="dxa"/>
            <w:vAlign w:val="center"/>
          </w:tcPr>
          <w:p w:rsidR="00B15639" w:rsidRDefault="00AA0975">
            <w:pPr>
              <w:jc w:val="center"/>
            </w:pPr>
            <w:r>
              <w:rPr>
                <w:rFonts w:asciiTheme="minorEastAsia" w:eastAsiaTheme="minorEastAsia" w:hAnsiTheme="minorEastAsia"/>
                <w:color w:val="000000" w:themeColor="text1"/>
                <w:kern w:val="0"/>
              </w:rPr>
              <w:t>-</w:t>
            </w:r>
          </w:p>
        </w:tc>
        <w:tc>
          <w:tcPr>
            <w:tcW w:w="1199" w:type="dxa"/>
            <w:vAlign w:val="center"/>
          </w:tcPr>
          <w:p w:rsidR="00B15639" w:rsidRDefault="00AA0975">
            <w:pPr>
              <w:jc w:val="center"/>
            </w:pPr>
            <w:r>
              <w:rPr>
                <w:rFonts w:asciiTheme="minorEastAsia" w:eastAsiaTheme="minorEastAsia" w:hAnsiTheme="minorEastAsia"/>
                <w:color w:val="000000" w:themeColor="text1"/>
                <w:kern w:val="0"/>
              </w:rPr>
              <w:t>-</w:t>
            </w:r>
          </w:p>
        </w:tc>
        <w:tc>
          <w:tcPr>
            <w:tcW w:w="1204" w:type="dxa"/>
            <w:vAlign w:val="center"/>
          </w:tcPr>
          <w:p w:rsidR="00B15639" w:rsidRDefault="00AA0975">
            <w:pPr>
              <w:jc w:val="center"/>
            </w:pPr>
            <w:r>
              <w:rPr>
                <w:rFonts w:asciiTheme="minorEastAsia" w:eastAsiaTheme="minorEastAsia" w:hAnsiTheme="minorEastAsia"/>
                <w:color w:val="000000" w:themeColor="text1"/>
                <w:kern w:val="0"/>
              </w:rPr>
              <w:t>-</w:t>
            </w:r>
          </w:p>
        </w:tc>
      </w:tr>
      <w:tr w:rsidR="00B15639">
        <w:tc>
          <w:tcPr>
            <w:tcW w:w="1395" w:type="dxa"/>
            <w:vAlign w:val="center"/>
          </w:tcPr>
          <w:p w:rsidR="00B15639" w:rsidRDefault="00AA0975">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B15639" w:rsidRDefault="00AA0975">
            <w:pPr>
              <w:jc w:val="center"/>
            </w:pPr>
            <w:r>
              <w:rPr>
                <w:rFonts w:asciiTheme="minorEastAsia" w:eastAsiaTheme="minorEastAsia" w:hAnsiTheme="minorEastAsia"/>
                <w:color w:val="000000" w:themeColor="text1"/>
                <w:kern w:val="0"/>
              </w:rPr>
              <w:t>10.98%</w:t>
            </w:r>
          </w:p>
        </w:tc>
        <w:tc>
          <w:tcPr>
            <w:tcW w:w="1161" w:type="dxa"/>
            <w:vAlign w:val="center"/>
          </w:tcPr>
          <w:p w:rsidR="00B15639" w:rsidRDefault="00AA0975">
            <w:pPr>
              <w:jc w:val="center"/>
            </w:pPr>
            <w:r>
              <w:rPr>
                <w:rFonts w:asciiTheme="minorEastAsia" w:eastAsiaTheme="minorEastAsia" w:hAnsiTheme="minorEastAsia"/>
                <w:color w:val="000000" w:themeColor="text1"/>
                <w:kern w:val="0"/>
              </w:rPr>
              <w:t>0.88%</w:t>
            </w:r>
          </w:p>
        </w:tc>
        <w:tc>
          <w:tcPr>
            <w:tcW w:w="1181" w:type="dxa"/>
            <w:vAlign w:val="center"/>
          </w:tcPr>
          <w:p w:rsidR="00B15639" w:rsidRDefault="00AA0975">
            <w:pPr>
              <w:jc w:val="center"/>
            </w:pPr>
            <w:r>
              <w:rPr>
                <w:rFonts w:asciiTheme="minorEastAsia" w:eastAsiaTheme="minorEastAsia" w:hAnsiTheme="minorEastAsia"/>
                <w:color w:val="000000" w:themeColor="text1"/>
                <w:kern w:val="0"/>
              </w:rPr>
              <w:t>7.28%</w:t>
            </w:r>
          </w:p>
        </w:tc>
        <w:tc>
          <w:tcPr>
            <w:tcW w:w="1188" w:type="dxa"/>
            <w:vAlign w:val="center"/>
          </w:tcPr>
          <w:p w:rsidR="00B15639" w:rsidRDefault="00AA0975">
            <w:pPr>
              <w:jc w:val="center"/>
            </w:pPr>
            <w:r>
              <w:rPr>
                <w:rFonts w:asciiTheme="minorEastAsia" w:eastAsiaTheme="minorEastAsia" w:hAnsiTheme="minorEastAsia"/>
                <w:color w:val="000000" w:themeColor="text1"/>
                <w:kern w:val="0"/>
              </w:rPr>
              <w:t>0.78%</w:t>
            </w:r>
          </w:p>
        </w:tc>
        <w:tc>
          <w:tcPr>
            <w:tcW w:w="1199" w:type="dxa"/>
            <w:vAlign w:val="center"/>
          </w:tcPr>
          <w:p w:rsidR="00B15639" w:rsidRDefault="00AA0975">
            <w:pPr>
              <w:jc w:val="center"/>
            </w:pPr>
            <w:r>
              <w:rPr>
                <w:rFonts w:asciiTheme="minorEastAsia" w:eastAsiaTheme="minorEastAsia" w:hAnsiTheme="minorEastAsia"/>
                <w:color w:val="000000" w:themeColor="text1"/>
                <w:kern w:val="0"/>
              </w:rPr>
              <w:t>3.70%</w:t>
            </w:r>
          </w:p>
        </w:tc>
        <w:tc>
          <w:tcPr>
            <w:tcW w:w="1204" w:type="dxa"/>
            <w:vAlign w:val="center"/>
          </w:tcPr>
          <w:p w:rsidR="00B15639" w:rsidRDefault="00AA0975">
            <w:pPr>
              <w:jc w:val="center"/>
            </w:pPr>
            <w:r>
              <w:rPr>
                <w:rFonts w:asciiTheme="minorEastAsia" w:eastAsiaTheme="minorEastAsia" w:hAnsiTheme="minorEastAsia"/>
                <w:color w:val="000000" w:themeColor="text1"/>
                <w:kern w:val="0"/>
              </w:rPr>
              <w:t>0.10%</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上投摩根慧见两年持有期混合型证券投资基金</w:t>
      </w:r>
    </w:p>
    <w:p w:rsidR="00D06738" w:rsidRDefault="00454D20">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2020年9月17日</w:t>
      </w:r>
      <w:r>
        <w:rPr>
          <w:rFonts w:asciiTheme="minorEastAsia" w:eastAsiaTheme="minorEastAsia" w:hAnsiTheme="minorEastAsia" w:hint="eastAsia"/>
          <w:color w:val="000000" w:themeColor="text1"/>
        </w:rPr>
        <w:t>至2020年12月31日)</w:t>
      </w:r>
    </w:p>
    <w:p w:rsidR="00D06738" w:rsidRDefault="00454D20">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A0975" w:rsidRDefault="00AA0975" w:rsidP="00AA097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注：本基金合同生效日为2020年9月17日，截至报告期末本基金合同生效未满一年。</w:t>
      </w:r>
    </w:p>
    <w:p w:rsidR="00AA0975" w:rsidRDefault="00AA0975" w:rsidP="00AA097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本基金建仓期自2020年9月17日至2021年3月16日，本基金报告期内仍处于建仓期。</w:t>
      </w:r>
    </w:p>
    <w:p w:rsidR="00D06738" w:rsidRPr="00AA0975"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B15639">
        <w:tc>
          <w:tcPr>
            <w:tcW w:w="851" w:type="dxa"/>
            <w:vAlign w:val="center"/>
          </w:tcPr>
          <w:p w:rsidR="00B15639" w:rsidRDefault="00AA0975">
            <w:pPr>
              <w:jc w:val="center"/>
            </w:pPr>
            <w:r>
              <w:rPr>
                <w:rFonts w:asciiTheme="minorEastAsia" w:eastAsiaTheme="minorEastAsia" w:hAnsiTheme="minorEastAsia"/>
                <w:color w:val="000000" w:themeColor="text1"/>
              </w:rPr>
              <w:t>李德辉</w:t>
            </w:r>
          </w:p>
        </w:tc>
        <w:tc>
          <w:tcPr>
            <w:tcW w:w="850" w:type="dxa"/>
            <w:vAlign w:val="center"/>
          </w:tcPr>
          <w:p w:rsidR="00B15639" w:rsidRDefault="00AA0975">
            <w:pPr>
              <w:jc w:val="center"/>
            </w:pPr>
            <w:r>
              <w:rPr>
                <w:rFonts w:asciiTheme="minorEastAsia" w:eastAsiaTheme="minorEastAsia" w:hAnsiTheme="minorEastAsia"/>
                <w:color w:val="000000" w:themeColor="text1"/>
              </w:rPr>
              <w:t>本基金基金经理</w:t>
            </w:r>
          </w:p>
        </w:tc>
        <w:tc>
          <w:tcPr>
            <w:tcW w:w="1560" w:type="dxa"/>
            <w:vAlign w:val="center"/>
          </w:tcPr>
          <w:p w:rsidR="00B15639" w:rsidRDefault="00AA0975">
            <w:pPr>
              <w:jc w:val="center"/>
            </w:pPr>
            <w:r>
              <w:rPr>
                <w:rFonts w:asciiTheme="minorEastAsia" w:eastAsiaTheme="minorEastAsia" w:hAnsiTheme="minorEastAsia"/>
                <w:color w:val="000000" w:themeColor="text1"/>
              </w:rPr>
              <w:t>2020-09-17</w:t>
            </w:r>
          </w:p>
        </w:tc>
        <w:tc>
          <w:tcPr>
            <w:tcW w:w="1559" w:type="dxa"/>
            <w:vAlign w:val="center"/>
          </w:tcPr>
          <w:p w:rsidR="00B15639" w:rsidRDefault="00AA0975">
            <w:pPr>
              <w:jc w:val="center"/>
            </w:pPr>
            <w:r>
              <w:rPr>
                <w:rFonts w:asciiTheme="minorEastAsia" w:eastAsiaTheme="minorEastAsia" w:hAnsiTheme="minorEastAsia"/>
                <w:color w:val="000000" w:themeColor="text1"/>
              </w:rPr>
              <w:t>-</w:t>
            </w:r>
          </w:p>
        </w:tc>
        <w:tc>
          <w:tcPr>
            <w:tcW w:w="1417" w:type="dxa"/>
            <w:vAlign w:val="center"/>
          </w:tcPr>
          <w:p w:rsidR="00B15639" w:rsidRDefault="00AA0975">
            <w:pPr>
              <w:jc w:val="center"/>
            </w:pPr>
            <w:r>
              <w:rPr>
                <w:rFonts w:asciiTheme="minorEastAsia" w:eastAsiaTheme="minorEastAsia" w:hAnsiTheme="minorEastAsia"/>
                <w:color w:val="000000" w:themeColor="text1"/>
              </w:rPr>
              <w:t>8年</w:t>
            </w:r>
          </w:p>
        </w:tc>
        <w:tc>
          <w:tcPr>
            <w:tcW w:w="2694" w:type="dxa"/>
            <w:vAlign w:val="center"/>
          </w:tcPr>
          <w:p w:rsidR="00B15639" w:rsidRDefault="00AA0975">
            <w:r>
              <w:rPr>
                <w:rFonts w:asciiTheme="minorEastAsia" w:eastAsiaTheme="minorEastAsia" w:hAnsiTheme="minorEastAsia"/>
                <w:color w:val="000000" w:themeColor="text1"/>
              </w:rPr>
              <w:t>李德辉先生，上海交通大学生物医学工程博士，自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自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rsidR="00B15639" w:rsidRDefault="00AA097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B15639" w:rsidRDefault="00AA097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2.李德辉先生为本基金首任基金经理，其任职日期指本基金基金合同生效之日。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慧见两年持有期混合型证券投资基金基金合同》的规定。基金经理对个股和投资组合的</w:t>
      </w:r>
      <w:r>
        <w:rPr>
          <w:rFonts w:asciiTheme="minorEastAsia" w:eastAsiaTheme="minorEastAsia" w:hAnsiTheme="minorEastAsia"/>
          <w:color w:val="000000" w:themeColor="text1"/>
        </w:rPr>
        <w:lastRenderedPageBreak/>
        <w:t>比例遵循了投资决策委员会的授权限制，基金投资比例符合基金合同和法律法规的要求。</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2020年四季度权益市场震荡上行，经济延续复苏，流动性保持适度宽裕，结构上新能源汽车、光伏、消费等长期成长性好的资产表现更加强劲。本基金维持成长风格的配置，行业上超配了电子、新能源、医药、消费等方向核心资产，取得了不错的效果，超赢市场和基金基准。</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展望2021年第一季度，我们认为国内经济延续复苏态势，流动性仍适度宽松，权益市场整体谨慎乐观。全年看我们认为经济和流动性大体上都在目前偏好状态回落到合理状态，</w:t>
      </w:r>
      <w:r>
        <w:rPr>
          <w:rFonts w:asciiTheme="minorEastAsia" w:eastAsiaTheme="minorEastAsia" w:hAnsiTheme="minorEastAsia"/>
          <w:color w:val="000000" w:themeColor="text1"/>
        </w:rPr>
        <w:lastRenderedPageBreak/>
        <w:t>整体对权益市场的影响偏中性。中长期角度看，我们认为宏观总需求大概率将逐步放缓，微观层面会出现竞争替代和马太效应加剧的现象。从投资角度看，优选需求韧性强、竞争格局好、护城河高的一些行业和公司，增强组合的稳定性。</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具体来看，我们看好科技、新能源汽车、医药、消费等行业。科技行业：我们认为线上经济正在加速替代线下经济，线上化、云化有助于提升全产业链效率，有较强网络效应的互联网公司仍是稀缺的核心资产。新能源汽车行业：电动化和智能化趋势已经获得消费者认可，行业渗透率有望快速提升，未来成长空间较大。医药行业：人口老龄化导致医疗总需求增加，但是支付能力难以赶上需求增长，全产业链降价将会是必然的趋势，有创新能力的公司将是竞争中受益者。消费行业：伴随经济复苏和居民财富效应，高端消费品和中低端高性价比产品都需求旺盛，消费行业各细分品类也呈现品牌集中化趋势。</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个股选择上，我们优选具有持续成长性、竞争力较强的平台型公司，希望通过优秀公司的韧性来降低行业需求的波动性风险，力争获取长期稳定超额收益。</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本报告期上投摩根慧见两年持有期混合份额净值增长率为:10.76%，同期业绩比较基准收益率为:9.04%。</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1,869,493,093.53</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65.54</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1,869,493,093.53</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65.54</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388,000,000.00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13.60</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593,337,306.70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20.80</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1,551,141.26</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0.05</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2,852,381,541.49</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Pr="00E834D0" w:rsidRDefault="00E834D0" w:rsidP="00E834D0">
      <w:pPr>
        <w:autoSpaceDE w:val="0"/>
        <w:autoSpaceDN w:val="0"/>
        <w:adjustRightInd w:val="0"/>
        <w:spacing w:line="360" w:lineRule="auto"/>
        <w:ind w:firstLineChars="100" w:firstLine="210"/>
        <w:jc w:val="left"/>
        <w:rPr>
          <w:rFonts w:asciiTheme="minorEastAsia" w:eastAsiaTheme="minorEastAsia" w:hAnsiTheme="minorEastAsia" w:cs="宋体"/>
          <w:color w:val="000000" w:themeColor="text1"/>
          <w:kern w:val="0"/>
        </w:rPr>
      </w:pPr>
      <w:r w:rsidRPr="00E834D0">
        <w:rPr>
          <w:rFonts w:asciiTheme="minorEastAsia" w:eastAsiaTheme="minorEastAsia" w:hAnsiTheme="minorEastAsia" w:cs="宋体" w:hint="eastAsia"/>
          <w:color w:val="000000" w:themeColor="text1"/>
          <w:kern w:val="0"/>
        </w:rPr>
        <w:t>注：本基金本报告期末通过港股通交易机制投资的港股市值为359,663,996.84元,占净值比例14.75%。</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1,029,890,284.76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42.25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72,591,585.42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825,545.51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0.03</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177,300,523.08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7.27</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111,116.14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197,650,036.50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8.11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30,545,739.20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914,266.08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1,509,829,096.69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61.94</w:t>
            </w:r>
          </w:p>
        </w:tc>
      </w:tr>
    </w:tbl>
    <w:p w:rsidR="00D06738" w:rsidRDefault="00454D20">
      <w:pPr>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 5.2.2报告期末按行业分类的港股通投资股票投资组合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trPr>
          <w:jc w:val="center"/>
        </w:trPr>
        <w:tc>
          <w:tcPr>
            <w:tcW w:w="239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行业类别</w:t>
            </w:r>
          </w:p>
        </w:tc>
        <w:tc>
          <w:tcPr>
            <w:tcW w:w="311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公允价值（人民币）</w:t>
            </w:r>
          </w:p>
        </w:tc>
        <w:tc>
          <w:tcPr>
            <w:tcW w:w="3118"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A 基础材料</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B 消费者非必需品</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150,675,291.14</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6.18</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C 消费者常用品</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D 能源</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E 金融</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F 医疗保健</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G 工业</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H 信息技术</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7,769,751.16</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0.32</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I 电信服务</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201,218,954.54</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8.25</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J 公用事业</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B15639">
        <w:trPr>
          <w:jc w:val="center"/>
        </w:trPr>
        <w:tc>
          <w:tcPr>
            <w:tcW w:w="2397" w:type="dxa"/>
            <w:vAlign w:val="center"/>
          </w:tcPr>
          <w:p w:rsidR="00B15639" w:rsidRDefault="00AA0975">
            <w:pPr>
              <w:jc w:val="center"/>
            </w:pPr>
            <w:r>
              <w:rPr>
                <w:rFonts w:asciiTheme="minorEastAsia" w:eastAsiaTheme="minorEastAsia" w:hAnsiTheme="minorEastAsia" w:cs="宋体"/>
                <w:color w:val="000000" w:themeColor="text1"/>
                <w:kern w:val="0"/>
              </w:rPr>
              <w:t>K 房地产</w:t>
            </w:r>
          </w:p>
        </w:tc>
        <w:tc>
          <w:tcPr>
            <w:tcW w:w="3119" w:type="dxa"/>
            <w:vAlign w:val="center"/>
          </w:tcPr>
          <w:p w:rsidR="00B15639" w:rsidRDefault="00AA0975">
            <w:pPr>
              <w:jc w:val="center"/>
            </w:pPr>
            <w:r>
              <w:rPr>
                <w:rFonts w:asciiTheme="minorEastAsia" w:eastAsiaTheme="minorEastAsia" w:hAnsiTheme="minorEastAsia" w:cs="宋体"/>
                <w:color w:val="000000" w:themeColor="text1"/>
                <w:kern w:val="0"/>
              </w:rPr>
              <w:t>-</w:t>
            </w:r>
          </w:p>
        </w:tc>
        <w:tc>
          <w:tcPr>
            <w:tcW w:w="3118" w:type="dxa"/>
            <w:vAlign w:val="center"/>
          </w:tcPr>
          <w:p w:rsidR="00B15639" w:rsidRDefault="00AA0975">
            <w:pPr>
              <w:jc w:val="center"/>
            </w:pPr>
            <w:r>
              <w:rPr>
                <w:rFonts w:asciiTheme="minorEastAsia" w:eastAsiaTheme="minorEastAsia" w:hAnsiTheme="minorEastAsia" w:cs="宋体"/>
                <w:color w:val="000000" w:themeColor="text1"/>
                <w:kern w:val="0"/>
              </w:rPr>
              <w:t>-</w:t>
            </w:r>
          </w:p>
        </w:tc>
      </w:tr>
      <w:tr w:rsidR="00D06738">
        <w:trPr>
          <w:jc w:val="center"/>
        </w:trPr>
        <w:tc>
          <w:tcPr>
            <w:tcW w:w="239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3119" w:type="dxa"/>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359,663,996.84</w:t>
            </w:r>
          </w:p>
        </w:tc>
        <w:tc>
          <w:tcPr>
            <w:tcW w:w="3118" w:type="dxa"/>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14.75</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1</w:t>
            </w:r>
          </w:p>
        </w:tc>
        <w:tc>
          <w:tcPr>
            <w:tcW w:w="1276" w:type="dxa"/>
            <w:vAlign w:val="center"/>
          </w:tcPr>
          <w:p w:rsidR="00B15639" w:rsidRDefault="00AA0975">
            <w:pPr>
              <w:jc w:val="center"/>
            </w:pPr>
            <w:bookmarkStart w:id="0" w:name="_GoBack"/>
            <w:bookmarkEnd w:id="0"/>
            <w:r>
              <w:rPr>
                <w:rFonts w:asciiTheme="minorEastAsia" w:eastAsiaTheme="minorEastAsia" w:hAnsiTheme="minorEastAsia" w:cs="宋体"/>
                <w:color w:val="000000" w:themeColor="text1"/>
                <w:kern w:val="0"/>
              </w:rPr>
              <w:t>00700</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腾讯控股</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423,900.00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201,218,954.54</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8.25</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2</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601888</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中国中免</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699,770.00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197,650,036.50</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8.11</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3</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002475</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立讯精密</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2,536,419.00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142,343,834.28</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5.84</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4</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600519</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贵州茅台</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38,034.00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75,991,932.00</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3.12</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5</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02020</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安踏体育</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719,000.00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74,371,602.76</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3.05</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6</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000568</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泸州老窖</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324,672.00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73,427,819.52</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3.01</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7</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002352</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顺丰控股</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822,754.00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72,591,585.42</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2.98</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8</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000858</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五粮液</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248,360.00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72,483,866.00</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2.97</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9</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000333</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美的集团</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710,100.00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69,902,244.00</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2.87</w:t>
            </w:r>
          </w:p>
        </w:tc>
      </w:tr>
      <w:tr w:rsidR="00B15639">
        <w:tc>
          <w:tcPr>
            <w:tcW w:w="817" w:type="dxa"/>
            <w:vAlign w:val="center"/>
          </w:tcPr>
          <w:p w:rsidR="00B15639" w:rsidRDefault="00AA0975">
            <w:pPr>
              <w:jc w:val="center"/>
            </w:pPr>
            <w:r>
              <w:rPr>
                <w:rFonts w:asciiTheme="minorEastAsia" w:eastAsiaTheme="minorEastAsia" w:hAnsiTheme="minorEastAsia" w:cs="宋体"/>
                <w:color w:val="000000" w:themeColor="text1"/>
                <w:kern w:val="0"/>
              </w:rPr>
              <w:t>10</w:t>
            </w:r>
          </w:p>
        </w:tc>
        <w:tc>
          <w:tcPr>
            <w:tcW w:w="1276" w:type="dxa"/>
            <w:vAlign w:val="center"/>
          </w:tcPr>
          <w:p w:rsidR="00B15639" w:rsidRDefault="00AA0975">
            <w:pPr>
              <w:jc w:val="center"/>
            </w:pPr>
            <w:r>
              <w:rPr>
                <w:rFonts w:asciiTheme="minorEastAsia" w:eastAsiaTheme="minorEastAsia" w:hAnsiTheme="minorEastAsia" w:cs="宋体"/>
                <w:color w:val="000000" w:themeColor="text1"/>
                <w:kern w:val="0"/>
              </w:rPr>
              <w:t>600036</w:t>
            </w:r>
          </w:p>
        </w:tc>
        <w:tc>
          <w:tcPr>
            <w:tcW w:w="1701" w:type="dxa"/>
            <w:vAlign w:val="center"/>
          </w:tcPr>
          <w:p w:rsidR="00B15639" w:rsidRDefault="00AA0975">
            <w:pPr>
              <w:jc w:val="center"/>
            </w:pPr>
            <w:r>
              <w:rPr>
                <w:rFonts w:asciiTheme="minorEastAsia" w:eastAsiaTheme="minorEastAsia" w:hAnsiTheme="minorEastAsia" w:cs="宋体"/>
                <w:color w:val="000000" w:themeColor="text1"/>
                <w:kern w:val="0"/>
              </w:rPr>
              <w:t>招商银行</w:t>
            </w:r>
          </w:p>
        </w:tc>
        <w:tc>
          <w:tcPr>
            <w:tcW w:w="1276" w:type="dxa"/>
            <w:vAlign w:val="center"/>
          </w:tcPr>
          <w:p w:rsidR="00B15639" w:rsidRDefault="00AA0975">
            <w:pPr>
              <w:jc w:val="right"/>
            </w:pPr>
            <w:r>
              <w:rPr>
                <w:rFonts w:asciiTheme="minorEastAsia" w:eastAsiaTheme="minorEastAsia" w:hAnsiTheme="minorEastAsia" w:cs="宋体"/>
                <w:color w:val="000000" w:themeColor="text1"/>
                <w:kern w:val="0"/>
              </w:rPr>
              <w:t>1,524,092.00</w:t>
            </w:r>
          </w:p>
        </w:tc>
        <w:tc>
          <w:tcPr>
            <w:tcW w:w="1842" w:type="dxa"/>
            <w:vAlign w:val="center"/>
          </w:tcPr>
          <w:p w:rsidR="00B15639" w:rsidRDefault="00AA0975">
            <w:pPr>
              <w:jc w:val="right"/>
            </w:pPr>
            <w:r>
              <w:rPr>
                <w:rFonts w:asciiTheme="minorEastAsia" w:eastAsiaTheme="minorEastAsia" w:hAnsiTheme="minorEastAsia" w:cs="宋体"/>
                <w:color w:val="000000" w:themeColor="text1"/>
                <w:kern w:val="0"/>
              </w:rPr>
              <w:t>66,983,843.40</w:t>
            </w:r>
          </w:p>
        </w:tc>
        <w:tc>
          <w:tcPr>
            <w:tcW w:w="1616" w:type="dxa"/>
            <w:vAlign w:val="center"/>
          </w:tcPr>
          <w:p w:rsidR="00B15639" w:rsidRDefault="00AA0975">
            <w:pPr>
              <w:jc w:val="right"/>
            </w:pPr>
            <w:r>
              <w:rPr>
                <w:rFonts w:asciiTheme="minorEastAsia" w:eastAsiaTheme="minorEastAsia" w:hAnsiTheme="minorEastAsia" w:cs="宋体"/>
                <w:color w:val="000000" w:themeColor="text1"/>
                <w:kern w:val="0"/>
              </w:rPr>
              <w:t>2.75</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本基金投资的前十名证券的发行主体本期未出现被监管部门立案调查，或在报告编制日前一年内受到公开谴责、处罚的情形。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484,493.42</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75,904.36</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990,743.48</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1,551,141.26</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2,117,353,273.63</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79,191,535.33</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2,196,544,808.96</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(一)中国证监会准予上投摩根慧见两年持有期混合型证券投资基金募集注册的文件</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(二)上投摩根慧见两年持有期混合型证券投资基金基金合同</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(三)上投摩根慧见两年持有期混合型证券投资基金托管协议</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(四)法律意见书</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(五)基金管理人业务资格批件、营业执照</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(六)基金托管人业务资格批件、营业执照</w:t>
      </w:r>
    </w:p>
    <w:p w:rsidR="00B15639" w:rsidRDefault="00AA097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(七)上投摩根基金管理有限公司开放式基金业务规则</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(八)中国证监会要求的其他文件</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二〇二一年一月二十二日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20" w:rsidRDefault="00454D20">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C0607D" w:rsidRPr="00C0607D">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20" w:rsidRDefault="00454D2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0607D">
      <w:rPr>
        <w:rStyle w:val="af3"/>
        <w:noProof/>
      </w:rPr>
      <w:t>9</w:t>
    </w:r>
    <w:r>
      <w:rPr>
        <w:rStyle w:val="af3"/>
      </w:rPr>
      <w:fldChar w:fldCharType="end"/>
    </w:r>
  </w:p>
  <w:p w:rsidR="00454D20" w:rsidRDefault="00454D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20" w:rsidRDefault="00454D20">
    <w:pPr>
      <w:pStyle w:val="ad"/>
      <w:pBdr>
        <w:bottom w:val="single" w:sz="6" w:space="0" w:color="auto"/>
      </w:pBdr>
      <w:jc w:val="right"/>
    </w:pPr>
    <w:r>
      <w:rPr>
        <w:rFonts w:hint="eastAsia"/>
      </w:rPr>
      <w:t>上投摩根慧见两年持有期混合型证券投资基金</w:t>
    </w:r>
    <w:r>
      <w:rPr>
        <w:rFonts w:hint="eastAsia"/>
      </w:rPr>
      <w:t>2020</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0975"/>
    <w:rsid w:val="00AA3A38"/>
    <w:rsid w:val="00AA4F94"/>
    <w:rsid w:val="00AB047E"/>
    <w:rsid w:val="00AB2D90"/>
    <w:rsid w:val="00AC592E"/>
    <w:rsid w:val="00AC6C10"/>
    <w:rsid w:val="00AC7BC6"/>
    <w:rsid w:val="00AD24AA"/>
    <w:rsid w:val="00AE7962"/>
    <w:rsid w:val="00B12B7D"/>
    <w:rsid w:val="00B15639"/>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0607D"/>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834D0"/>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 w:id="150983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18FB3-98ED-467B-B37E-F7FFE443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Kate.Hu@FA</cp:lastModifiedBy>
  <cp:revision>269</cp:revision>
  <dcterms:created xsi:type="dcterms:W3CDTF">2012-10-16T06:07:00Z</dcterms:created>
  <dcterms:modified xsi:type="dcterms:W3CDTF">2021-01-19T06:26:00Z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