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F3640" w:rsidRDefault="006F3640">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F3640" w:rsidRDefault="006F3640">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F3640" w:rsidRDefault="006F3640">
      <w:pPr>
        <w:spacing w:line="360" w:lineRule="auto"/>
        <w:jc w:val="center"/>
        <w:rPr>
          <w:rFonts w:hint="eastAsia"/>
        </w:rPr>
      </w:pPr>
      <w:r>
        <w:rPr>
          <w:rFonts w:ascii="宋体" w:hAnsi="宋体" w:hint="eastAsia"/>
          <w:b/>
          <w:bCs/>
          <w:color w:val="000000" w:themeColor="text1"/>
          <w:sz w:val="48"/>
          <w:szCs w:val="30"/>
        </w:rPr>
        <w:t>摩根瑞盛</w:t>
      </w:r>
      <w:r>
        <w:rPr>
          <w:rFonts w:ascii="宋体" w:hAnsi="宋体" w:hint="eastAsia"/>
          <w:b/>
          <w:bCs/>
          <w:color w:val="000000" w:themeColor="text1"/>
          <w:sz w:val="48"/>
          <w:szCs w:val="30"/>
        </w:rPr>
        <w:t>87</w:t>
      </w:r>
      <w:r>
        <w:rPr>
          <w:rFonts w:ascii="宋体" w:hAnsi="宋体" w:hint="eastAsia"/>
          <w:b/>
          <w:bCs/>
          <w:color w:val="000000" w:themeColor="text1"/>
          <w:sz w:val="48"/>
          <w:szCs w:val="30"/>
        </w:rPr>
        <w:t>个月定期开放债券型证券投资基金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F3640" w:rsidRDefault="006F364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F3640" w:rsidRDefault="006F3640">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3640" w:rsidRDefault="006F3640">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F3640" w:rsidRDefault="006F3640">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兴业银行股份有限公</w:t>
      </w:r>
      <w:r>
        <w:rPr>
          <w:rFonts w:ascii="宋体" w:hAnsi="宋体" w:hint="eastAsia"/>
          <w:b/>
          <w:bCs/>
          <w:sz w:val="28"/>
          <w:szCs w:val="30"/>
        </w:rPr>
        <w:t>司</w:t>
      </w:r>
    </w:p>
    <w:p w:rsidR="006F3640" w:rsidRDefault="006F3640">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F3640" w:rsidRDefault="006F3640">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F3640" w:rsidRDefault="006F3640">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基金托管人兴业银行股份有限公司根据本基金合同约定，于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F3640" w:rsidRDefault="006F3640">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563828569"/>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rPr>
                <w:rFonts w:hint="eastAsia"/>
              </w:rPr>
            </w:pPr>
            <w:bookmarkStart w:id="32" w:name="OLE_LINK1"/>
            <w:bookmarkEnd w:id="15"/>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摩根瑞盛</w:t>
            </w:r>
            <w:r>
              <w:rPr>
                <w:rFonts w:asciiTheme="minorEastAsia" w:eastAsiaTheme="minorEastAsia" w:hAnsiTheme="minorEastAsia" w:hint="eastAsia"/>
              </w:rPr>
              <w:t>87</w:t>
            </w:r>
            <w:r>
              <w:rPr>
                <w:rFonts w:asciiTheme="minorEastAsia" w:eastAsiaTheme="minorEastAsia" w:hAnsiTheme="minorEastAsia" w:hint="eastAsia"/>
              </w:rPr>
              <w:t>个月定期开放债</w:t>
            </w:r>
            <w:r>
              <w:rPr>
                <w:rFonts w:asciiTheme="minorEastAsia" w:eastAsiaTheme="minorEastAsia" w:hAnsiTheme="minorEastAsia" w:hint="eastAsia"/>
              </w:rPr>
              <w:t>券</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00989</w:t>
            </w:r>
            <w:r>
              <w:rPr>
                <w:rFonts w:asciiTheme="minorEastAsia" w:eastAsiaTheme="minorEastAsia" w:hAnsiTheme="minorEastAsia" w:hint="eastAsia"/>
              </w:rPr>
              <w:t>5</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契约型定期开放</w:t>
            </w:r>
            <w:r>
              <w:rPr>
                <w:rFonts w:asciiTheme="minorEastAsia" w:eastAsiaTheme="minorEastAsia" w:hAnsiTheme="minorEastAsia" w:hint="eastAsia"/>
              </w:rPr>
              <w:t>式</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2020</w:t>
            </w:r>
            <w:r>
              <w:rPr>
                <w:rFonts w:asciiTheme="minorEastAsia" w:eastAsiaTheme="minorEastAsia" w:hAnsiTheme="minorEastAsia" w:hint="eastAsia"/>
              </w:rPr>
              <w:t>年</w:t>
            </w:r>
            <w:r>
              <w:rPr>
                <w:rFonts w:asciiTheme="minorEastAsia" w:eastAsiaTheme="minorEastAsia" w:hAnsiTheme="minorEastAsia" w:hint="eastAsia"/>
              </w:rPr>
              <w:t>8</w:t>
            </w:r>
            <w:r>
              <w:rPr>
                <w:rFonts w:asciiTheme="minorEastAsia" w:eastAsiaTheme="minorEastAsia" w:hAnsiTheme="minorEastAsia" w:hint="eastAsia"/>
              </w:rPr>
              <w:t>月</w:t>
            </w:r>
            <w:r>
              <w:rPr>
                <w:rFonts w:asciiTheme="minorEastAsia" w:eastAsiaTheme="minorEastAsia" w:hAnsiTheme="minorEastAsia" w:hint="eastAsia"/>
              </w:rPr>
              <w:t>3</w:t>
            </w:r>
            <w:r>
              <w:rPr>
                <w:rFonts w:asciiTheme="minorEastAsia" w:eastAsiaTheme="minorEastAsia" w:hAnsiTheme="minorEastAsia" w:hint="eastAsia"/>
              </w:rPr>
              <w:t>日</w:t>
            </w:r>
          </w:p>
        </w:tc>
      </w:tr>
      <w:tr w:rsidR="00000000">
        <w:trPr>
          <w:divId w:val="1563828569"/>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7,990,077,699.9</w:t>
            </w:r>
            <w:r>
              <w:rPr>
                <w:rFonts w:asciiTheme="minorEastAsia" w:eastAsiaTheme="minorEastAsia" w:hAnsiTheme="minorEastAsia" w:hint="eastAsia"/>
              </w:rPr>
              <w:t>4</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563828569"/>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在严格控制风险的前提下，采用持有到期策略，力争实现长期稳定的投资回报</w:t>
            </w:r>
            <w:r>
              <w:rPr>
                <w:rFonts w:asciiTheme="minorEastAsia" w:eastAsiaTheme="minorEastAsia" w:hAnsiTheme="minorEastAsia" w:hint="eastAsia"/>
              </w:rPr>
              <w:t>。</w:t>
            </w:r>
          </w:p>
        </w:tc>
      </w:tr>
      <w:tr w:rsidR="00000000">
        <w:trPr>
          <w:divId w:val="1563828569"/>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、封闭期投资策略</w:t>
            </w:r>
            <w:r>
              <w:rPr>
                <w:rFonts w:asciiTheme="minorEastAsia" w:eastAsiaTheme="minorEastAsia" w:hAnsiTheme="minorEastAsia" w:hint="eastAsia"/>
              </w:rPr>
              <w:br/>
            </w:r>
            <w:r>
              <w:rPr>
                <w:rFonts w:asciiTheme="minorEastAsia" w:eastAsiaTheme="minorEastAsia" w:hAnsiTheme="minorEastAsia" w:hint="eastAsia"/>
              </w:rPr>
              <w:t>本基金以封闭期为周期进行投资运作。为力争基金资产在开放前可完全变现，本基金在封闭期内采用买入并持有到期投资策略，所投金融资产以收取合同现金流量为目的并持有到期，所投资产到期日（或回售日）不得晚于封闭运作期到期日。</w:t>
            </w:r>
            <w:r>
              <w:rPr>
                <w:rFonts w:asciiTheme="minorEastAsia" w:eastAsiaTheme="minorEastAsia" w:hAnsiTheme="minorEastAsia" w:hint="eastAsia"/>
              </w:rPr>
              <w:br/>
            </w:r>
            <w:r>
              <w:rPr>
                <w:rFonts w:asciiTheme="minorEastAsia" w:eastAsiaTheme="minorEastAsia" w:hAnsiTheme="minorEastAsia" w:hint="eastAsia"/>
              </w:rPr>
              <w:t>封闭期具体投资策略包括信用债投资策略、杠杆投资策略、资产支持证券投资策略、封闭期现金管理策略。</w:t>
            </w:r>
            <w:r>
              <w:rPr>
                <w:rFonts w:asciiTheme="minorEastAsia" w:eastAsiaTheme="minorEastAsia" w:hAnsiTheme="minorEastAsia" w:hint="eastAsia"/>
              </w:rPr>
              <w:br/>
              <w:t>2</w:t>
            </w:r>
            <w:r>
              <w:rPr>
                <w:rFonts w:asciiTheme="minorEastAsia" w:eastAsiaTheme="minorEastAsia" w:hAnsiTheme="minorEastAsia" w:hint="eastAsia"/>
              </w:rPr>
              <w:t>、开放期投资策略</w:t>
            </w:r>
            <w:r>
              <w:rPr>
                <w:rFonts w:asciiTheme="minorEastAsia" w:eastAsiaTheme="minorEastAsia" w:hAnsiTheme="minorEastAsia" w:hint="eastAsia"/>
              </w:rPr>
              <w:br/>
            </w:r>
            <w:r>
              <w:rPr>
                <w:rFonts w:asciiTheme="minorEastAsia" w:eastAsiaTheme="minorEastAsia" w:hAnsiTheme="minorEastAsia" w:hint="eastAsia"/>
              </w:rPr>
              <w:t>开放期内，将保持资产适当的流动性，以应付当时市场条件下的赎回要求，并降低资产的流动性风险，做好流动性管理</w:t>
            </w:r>
            <w:r>
              <w:rPr>
                <w:rFonts w:asciiTheme="minorEastAsia" w:eastAsiaTheme="minorEastAsia" w:hAnsiTheme="minorEastAsia" w:hint="eastAsia"/>
              </w:rPr>
              <w:t>。</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在每个封闭期，本基金的业绩比较基准为该封闭期起始日公布的三年定期存款利率（税后）</w:t>
            </w:r>
            <w:r>
              <w:rPr>
                <w:rFonts w:asciiTheme="minorEastAsia" w:eastAsiaTheme="minorEastAsia" w:hAnsiTheme="minorEastAsia" w:hint="eastAsia"/>
              </w:rPr>
              <w:t>+1.25</w:t>
            </w:r>
            <w:r>
              <w:rPr>
                <w:rFonts w:asciiTheme="minorEastAsia" w:eastAsiaTheme="minorEastAsia" w:hAnsiTheme="minorEastAsia" w:hint="eastAsia"/>
              </w:rPr>
              <w:t>%</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本基金为债券型基金，一般而言，其长期平均风险和预期收益率低于股票型基金、混合型基金，高于货币市场基金</w:t>
            </w:r>
            <w:r>
              <w:rPr>
                <w:rFonts w:asciiTheme="minorEastAsia" w:eastAsiaTheme="minorEastAsia" w:hAnsiTheme="minorEastAsia" w:hint="eastAsia"/>
              </w:rPr>
              <w:t>。</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56382856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F3640" w:rsidRDefault="006F3640">
            <w:pPr>
              <w:widowControl/>
              <w:spacing w:line="315" w:lineRule="atLeast"/>
              <w:jc w:val="left"/>
            </w:pPr>
            <w:r>
              <w:rPr>
                <w:rFonts w:asciiTheme="minorEastAsia" w:eastAsiaTheme="minorEastAsia" w:hAnsiTheme="minorEastAsia" w:hint="eastAsia"/>
              </w:rPr>
              <w:t>兴业银行股份有限公</w:t>
            </w:r>
            <w:r>
              <w:rPr>
                <w:rFonts w:asciiTheme="minorEastAsia" w:eastAsiaTheme="minorEastAsia" w:hAnsiTheme="minorEastAsia" w:hint="eastAsia"/>
              </w:rPr>
              <w:t>司</w:t>
            </w:r>
          </w:p>
        </w:tc>
      </w:tr>
    </w:tbl>
    <w:p w:rsidR="006F3640" w:rsidRDefault="006F3640">
      <w:pPr>
        <w:pStyle w:val="XBRLTitle1"/>
        <w:spacing w:before="156" w:line="360" w:lineRule="auto"/>
        <w:ind w:left="425"/>
      </w:pPr>
      <w:bookmarkStart w:id="33" w:name="_Toc17898180"/>
      <w:bookmarkStart w:id="34" w:name="_Toc17897938"/>
      <w:bookmarkStart w:id="35" w:name="_Toc512519482"/>
      <w:bookmarkStart w:id="36" w:name="_Toc481075049"/>
      <w:bookmarkStart w:id="37" w:name="_Toc438646455"/>
      <w:bookmarkStart w:id="38" w:name="_Toc490050003"/>
      <w:bookmarkStart w:id="39" w:name="_Toc513295848"/>
      <w:bookmarkStart w:id="40" w:name="_Toc513295894"/>
      <w:bookmarkStart w:id="41" w:name="m401_tab"/>
      <w:bookmarkStart w:id="42" w:name="m401"/>
      <w:bookmarkEnd w:id="32"/>
      <w:r>
        <w:rPr>
          <w:rFonts w:hAnsi="宋体" w:hint="eastAsia"/>
        </w:rPr>
        <w:t>主要财务指标和基金净值表</w:t>
      </w:r>
      <w:r>
        <w:rPr>
          <w:rFonts w:hAnsi="宋体" w:hint="eastAsia"/>
        </w:rPr>
        <w:t>现</w:t>
      </w:r>
      <w:bookmarkEnd w:id="33"/>
      <w:bookmarkEnd w:id="34"/>
      <w:bookmarkEnd w:id="35"/>
      <w:bookmarkEnd w:id="36"/>
      <w:bookmarkEnd w:id="37"/>
      <w:bookmarkEnd w:id="38"/>
      <w:bookmarkEnd w:id="39"/>
      <w:bookmarkEnd w:id="40"/>
      <w:r>
        <w:rPr>
          <w:rFonts w:hAnsi="宋体" w:hint="eastAsia"/>
        </w:rPr>
        <w:t xml:space="preserve"> </w:t>
      </w:r>
    </w:p>
    <w:p w:rsidR="006F3640" w:rsidRDefault="006F3640">
      <w:pPr>
        <w:pStyle w:val="XBRLTitle2"/>
        <w:spacing w:before="156" w:line="360" w:lineRule="auto"/>
        <w:ind w:left="454"/>
        <w:rPr>
          <w:rFonts w:hint="eastAsia"/>
        </w:rPr>
      </w:pPr>
      <w:bookmarkStart w:id="43" w:name="_Toc17898181"/>
      <w:bookmarkStart w:id="44" w:name="_Toc17897939"/>
      <w:bookmarkStart w:id="45" w:name="_Toc512519483"/>
      <w:bookmarkStart w:id="46" w:name="_Toc481075050"/>
      <w:bookmarkStart w:id="47" w:name="_Toc438646456"/>
      <w:bookmarkStart w:id="48" w:name="_Toc490050004"/>
      <w:bookmarkStart w:id="49" w:name="_Toc513295849"/>
      <w:bookmarkStart w:id="50" w:name="_Toc513295895"/>
      <w:r>
        <w:rPr>
          <w:rFonts w:hAnsi="宋体" w:hint="eastAsia"/>
        </w:rPr>
        <w:t>主要财务指</w:t>
      </w:r>
      <w:r>
        <w:rPr>
          <w:rFonts w:hAnsi="宋体" w:hint="eastAsia"/>
        </w:rPr>
        <w:t>标</w:t>
      </w:r>
      <w:bookmarkEnd w:id="43"/>
      <w:bookmarkEnd w:id="44"/>
      <w:bookmarkEnd w:id="45"/>
      <w:bookmarkEnd w:id="46"/>
      <w:bookmarkEnd w:id="47"/>
      <w:bookmarkEnd w:id="48"/>
      <w:bookmarkEnd w:id="49"/>
      <w:bookmarkEnd w:id="50"/>
      <w:r>
        <w:rPr>
          <w:rFonts w:hAnsi="宋体" w:hint="eastAsia"/>
        </w:rPr>
        <w:t xml:space="preserve"> </w:t>
      </w:r>
    </w:p>
    <w:p w:rsidR="006F3640" w:rsidRDefault="006F3640">
      <w:pPr>
        <w:jc w:val="right"/>
        <w:divId w:val="5624417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56244170"/>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F3640" w:rsidRDefault="006F3640">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F3640" w:rsidRDefault="006F3640">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562441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rPr>
                <w:rFonts w:hint="eastAsia"/>
              </w:rPr>
            </w:pPr>
            <w:r>
              <w:rPr>
                <w:rFonts w:ascii="宋体" w:hAnsi="宋体" w:hint="eastAsia"/>
                <w:szCs w:val="24"/>
                <w:lang w:eastAsia="zh-Hans"/>
              </w:rPr>
              <w:t>95,368,775.0</w:t>
            </w:r>
            <w:r>
              <w:rPr>
                <w:rFonts w:ascii="宋体" w:hAnsi="宋体" w:hint="eastAsia"/>
                <w:szCs w:val="24"/>
                <w:lang w:eastAsia="zh-Hans"/>
              </w:rPr>
              <w:t>2</w:t>
            </w:r>
          </w:p>
        </w:tc>
      </w:tr>
      <w:tr w:rsidR="00000000">
        <w:trPr>
          <w:divId w:val="562441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rPr>
                <w:rFonts w:hint="eastAsia"/>
              </w:rPr>
            </w:pPr>
            <w:r>
              <w:rPr>
                <w:rFonts w:ascii="宋体" w:hAnsi="宋体" w:hint="eastAsia"/>
                <w:szCs w:val="24"/>
                <w:lang w:eastAsia="zh-Hans"/>
              </w:rPr>
              <w:t>95,368,775.0</w:t>
            </w:r>
            <w:r>
              <w:rPr>
                <w:rFonts w:ascii="宋体" w:hAnsi="宋体" w:hint="eastAsia"/>
                <w:szCs w:val="24"/>
                <w:lang w:eastAsia="zh-Hans"/>
              </w:rPr>
              <w:t>2</w:t>
            </w:r>
          </w:p>
        </w:tc>
      </w:tr>
      <w:tr w:rsidR="00000000">
        <w:trPr>
          <w:divId w:val="562441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rPr>
                <w:rFonts w:hint="eastAsia"/>
              </w:rPr>
            </w:pPr>
            <w:r>
              <w:rPr>
                <w:rFonts w:ascii="宋体" w:hAnsi="宋体" w:hint="eastAsia"/>
                <w:szCs w:val="24"/>
                <w:lang w:eastAsia="zh-Hans"/>
              </w:rPr>
              <w:t>0.011</w:t>
            </w:r>
            <w:r>
              <w:rPr>
                <w:rFonts w:ascii="宋体" w:hAnsi="宋体" w:hint="eastAsia"/>
                <w:szCs w:val="24"/>
                <w:lang w:eastAsia="zh-Hans"/>
              </w:rPr>
              <w:t>9</w:t>
            </w:r>
          </w:p>
        </w:tc>
      </w:tr>
      <w:tr w:rsidR="00000000">
        <w:trPr>
          <w:divId w:val="562441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rPr>
                <w:rFonts w:hint="eastAsia"/>
              </w:rPr>
            </w:pPr>
            <w:r>
              <w:rPr>
                <w:rFonts w:ascii="宋体" w:hAnsi="宋体" w:hint="eastAsia"/>
                <w:szCs w:val="24"/>
                <w:lang w:eastAsia="zh-Hans"/>
              </w:rPr>
              <w:t>9,193,579,236.6</w:t>
            </w:r>
            <w:r>
              <w:rPr>
                <w:rFonts w:ascii="宋体" w:hAnsi="宋体" w:hint="eastAsia"/>
                <w:szCs w:val="24"/>
                <w:lang w:eastAsia="zh-Hans"/>
              </w:rPr>
              <w:t>5</w:t>
            </w:r>
          </w:p>
        </w:tc>
      </w:tr>
      <w:tr w:rsidR="00000000">
        <w:trPr>
          <w:divId w:val="562441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rPr>
                <w:rFonts w:hint="eastAsia"/>
              </w:rPr>
            </w:pPr>
            <w:r>
              <w:rPr>
                <w:rFonts w:ascii="宋体" w:hAnsi="宋体" w:hint="eastAsia"/>
                <w:szCs w:val="24"/>
                <w:lang w:eastAsia="zh-Hans"/>
              </w:rPr>
              <w:t>1.150</w:t>
            </w:r>
            <w:r>
              <w:rPr>
                <w:rFonts w:ascii="宋体" w:hAnsi="宋体" w:hint="eastAsia"/>
                <w:szCs w:val="24"/>
                <w:lang w:eastAsia="zh-Hans"/>
              </w:rPr>
              <w:t>6</w:t>
            </w:r>
          </w:p>
        </w:tc>
      </w:tr>
    </w:tbl>
    <w:p w:rsidR="006F3640" w:rsidRDefault="006F3640">
      <w:pPr>
        <w:spacing w:line="360" w:lineRule="auto"/>
        <w:divId w:val="1203706696"/>
      </w:pPr>
      <w:r>
        <w:rPr>
          <w:rFonts w:hint="eastAsia"/>
        </w:rPr>
        <w:t>注</w:t>
      </w:r>
      <w:r>
        <w:rPr>
          <w:rFonts w:hint="eastAsia"/>
        </w:rPr>
        <w:t>：</w:t>
      </w:r>
      <w:r>
        <w:rPr>
          <w:rFonts w:ascii="宋体" w:hAnsi="宋体" w:hint="eastAsia"/>
          <w:szCs w:val="24"/>
          <w:lang w:eastAsia="zh-Hans"/>
        </w:rPr>
        <w:t>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br/>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由于本基金采用摊余成本法核算，所以，公允价值变动收益为零，本期已实现收益和本期利润的金额相等</w:t>
      </w:r>
      <w:r>
        <w:rPr>
          <w:rFonts w:ascii="宋体" w:hAnsi="宋体" w:hint="eastAsia"/>
          <w:szCs w:val="24"/>
          <w:lang w:eastAsia="zh-Hans"/>
        </w:rPr>
        <w:t>。</w:t>
      </w:r>
      <w:r>
        <w:rPr>
          <w:rFonts w:ascii="宋体" w:hAnsi="宋体" w:hint="eastAsia"/>
          <w:lang w:eastAsia="zh-Hans"/>
        </w:rPr>
        <w:t xml:space="preserve"> </w:t>
      </w:r>
    </w:p>
    <w:p w:rsidR="006F3640" w:rsidRDefault="006F3640">
      <w:pPr>
        <w:pStyle w:val="XBRLTitle2"/>
        <w:spacing w:before="156" w:line="360" w:lineRule="auto"/>
        <w:ind w:left="454"/>
      </w:pPr>
      <w:bookmarkStart w:id="51" w:name="_Toc17898182"/>
      <w:bookmarkStart w:id="52" w:name="_Toc17897940"/>
      <w:bookmarkStart w:id="53" w:name="_Toc512519484"/>
      <w:bookmarkStart w:id="54" w:name="_Toc481075051"/>
      <w:bookmarkStart w:id="55" w:name="_Toc438646457"/>
      <w:bookmarkStart w:id="56" w:name="_Toc490050005"/>
      <w:bookmarkStart w:id="57" w:name="_Toc513295850"/>
      <w:bookmarkStart w:id="58" w:name="_Toc513295896"/>
      <w:r>
        <w:rPr>
          <w:rFonts w:hAnsi="宋体" w:hint="eastAsia"/>
        </w:rPr>
        <w:t>基金净值表</w:t>
      </w:r>
      <w:r>
        <w:rPr>
          <w:rFonts w:hAnsi="宋体" w:hint="eastAsia"/>
        </w:rPr>
        <w:t>现</w:t>
      </w:r>
      <w:bookmarkEnd w:id="51"/>
      <w:bookmarkEnd w:id="52"/>
      <w:bookmarkEnd w:id="53"/>
      <w:bookmarkEnd w:id="54"/>
      <w:bookmarkEnd w:id="55"/>
      <w:bookmarkEnd w:id="56"/>
      <w:bookmarkEnd w:id="57"/>
      <w:bookmarkEnd w:id="58"/>
      <w:r>
        <w:rPr>
          <w:rFonts w:hAnsi="宋体" w:hint="eastAsia"/>
        </w:rPr>
        <w:t xml:space="preserve"> </w:t>
      </w:r>
    </w:p>
    <w:p w:rsidR="006F3640" w:rsidRDefault="006F3640">
      <w:pPr>
        <w:pStyle w:val="XBRLTitle3"/>
        <w:spacing w:before="156"/>
        <w:ind w:left="0"/>
        <w:rPr>
          <w:rFonts w:hint="eastAsia"/>
        </w:rPr>
      </w:pPr>
      <w:bookmarkStart w:id="59" w:name="_Toc17898183"/>
      <w:bookmarkStart w:id="60" w:name="_Toc512519485"/>
      <w:bookmarkStart w:id="61" w:name="_Toc481075052"/>
      <w:bookmarkStart w:id="62" w:name="_Toc490050006"/>
      <w:bookmarkStart w:id="63" w:name="_Toc513295897"/>
      <w:r>
        <w:rPr>
          <w:rFonts w:hint="eastAsia"/>
        </w:rPr>
        <w:t>基金份额净值增长率及其与同期业绩比较基准收益率的比</w:t>
      </w:r>
      <w:r>
        <w:rPr>
          <w:rFonts w:hint="eastAsia"/>
        </w:rPr>
        <w:t>较</w:t>
      </w:r>
      <w:bookmarkEnd w:id="59"/>
      <w:bookmarkEnd w:id="60"/>
      <w:bookmarkEnd w:id="61"/>
      <w:bookmarkEnd w:id="62"/>
      <w:bookmarkEnd w:id="63"/>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spacing w:line="360" w:lineRule="auto"/>
              <w:jc w:val="center"/>
            </w:pPr>
            <w:r>
              <w:rPr>
                <w:rFonts w:ascii="宋体" w:hAnsi="宋体" w:hint="eastAsia"/>
              </w:rPr>
              <w:t>②－④</w:t>
            </w:r>
            <w:r>
              <w:rPr>
                <w:rFonts w:ascii="宋体" w:hAnsi="宋体" w:hint="eastAsia"/>
              </w:rPr>
              <w:t xml:space="preserve"> </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1.0</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2.0</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2.0</w:t>
            </w:r>
            <w:r>
              <w:rPr>
                <w:rFonts w:ascii="宋体" w:hAnsi="宋体" w:hint="eastAsia"/>
              </w:rPr>
              <w:t>1</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4.2</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4.0</w:t>
            </w:r>
            <w:r>
              <w:rPr>
                <w:rFonts w:ascii="宋体" w:hAnsi="宋体" w:hint="eastAsia"/>
              </w:rPr>
              <w:t>6</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0.2</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12.9</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12.1</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0.7</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center"/>
            </w:pPr>
            <w:r>
              <w:rPr>
                <w:rFonts w:ascii="宋体" w:hAnsi="宋体" w:hint="eastAsia"/>
              </w:rPr>
              <w:t>过去五</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22.3</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20.2</w:t>
            </w:r>
            <w:r>
              <w:rPr>
                <w:rFonts w:ascii="宋体" w:hAnsi="宋体" w:hint="eastAsia"/>
              </w:rPr>
              <w:t>9</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2.1</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26.4</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23.9</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2.4</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F3640" w:rsidRDefault="006F3640">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bl>
    <w:p w:rsidR="006F3640" w:rsidRDefault="006F3640">
      <w:pPr>
        <w:pStyle w:val="XBRLTitle3"/>
        <w:spacing w:before="156"/>
        <w:ind w:left="0"/>
      </w:pPr>
      <w:bookmarkStart w:id="64" w:name="_Toc17898184"/>
      <w:bookmarkStart w:id="65" w:name="_Toc512519486"/>
      <w:bookmarkStart w:id="66" w:name="_Toc481075053"/>
      <w:bookmarkStart w:id="67" w:name="_Toc490050007"/>
      <w:bookmarkStart w:id="68"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4"/>
      <w:bookmarkEnd w:id="65"/>
      <w:bookmarkEnd w:id="66"/>
      <w:bookmarkEnd w:id="67"/>
      <w:bookmarkEnd w:id="68"/>
    </w:p>
    <w:p w:rsidR="006F3640" w:rsidRDefault="006F3640">
      <w:pPr>
        <w:spacing w:line="360" w:lineRule="auto"/>
        <w:jc w:val="left"/>
        <w:rPr>
          <w:rFonts w:hint="eastAsia"/>
        </w:rPr>
      </w:pPr>
      <w:bookmarkStart w:id="69" w:name="m07_04_07_09"/>
      <w:bookmarkStart w:id="70"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F3640" w:rsidRDefault="006F3640">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2020</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F3640" w:rsidRDefault="006F3640">
      <w:pPr>
        <w:pStyle w:val="XBRLTitle1"/>
        <w:spacing w:before="156" w:line="360" w:lineRule="auto"/>
        <w:ind w:left="425"/>
      </w:pPr>
      <w:bookmarkStart w:id="71" w:name="_Toc17898186"/>
      <w:bookmarkStart w:id="72" w:name="_Toc17897942"/>
      <w:bookmarkStart w:id="73" w:name="_Toc481075054"/>
      <w:bookmarkStart w:id="74" w:name="_Toc438646458"/>
      <w:bookmarkStart w:id="75" w:name="_Toc490050008"/>
      <w:bookmarkStart w:id="76" w:name="_Toc512519487"/>
      <w:bookmarkStart w:id="77" w:name="_Toc513295851"/>
      <w:bookmarkStart w:id="78" w:name="_Toc513295899"/>
      <w:r>
        <w:rPr>
          <w:rFonts w:hAnsi="宋体" w:hint="eastAsia"/>
        </w:rPr>
        <w:t>管理人报</w:t>
      </w:r>
      <w:r>
        <w:rPr>
          <w:rFonts w:hAnsi="宋体" w:hint="eastAsia"/>
        </w:rPr>
        <w:t>告</w:t>
      </w:r>
      <w:bookmarkEnd w:id="71"/>
      <w:bookmarkEnd w:id="72"/>
      <w:bookmarkEnd w:id="73"/>
      <w:bookmarkEnd w:id="74"/>
      <w:bookmarkEnd w:id="75"/>
      <w:bookmarkEnd w:id="76"/>
      <w:bookmarkEnd w:id="77"/>
      <w:bookmarkEnd w:id="78"/>
      <w:r>
        <w:rPr>
          <w:rFonts w:hAnsi="宋体" w:hint="eastAsia"/>
        </w:rPr>
        <w:t xml:space="preserve"> </w:t>
      </w:r>
    </w:p>
    <w:p w:rsidR="006F3640" w:rsidRDefault="006F3640">
      <w:pPr>
        <w:pStyle w:val="XBRLTitle2"/>
        <w:spacing w:before="156" w:line="360" w:lineRule="auto"/>
        <w:ind w:left="454"/>
        <w:rPr>
          <w:rFonts w:hint="eastAsia"/>
        </w:rPr>
      </w:pPr>
      <w:bookmarkStart w:id="79" w:name="_Toc17898187"/>
      <w:bookmarkStart w:id="80" w:name="_Toc17897943"/>
      <w:bookmarkStart w:id="81" w:name="_Toc481075055"/>
      <w:bookmarkStart w:id="82" w:name="_Toc438646459"/>
      <w:bookmarkStart w:id="83" w:name="_Toc490050009"/>
      <w:bookmarkStart w:id="84" w:name="_Toc512519488"/>
      <w:bookmarkStart w:id="85" w:name="_Toc513295852"/>
      <w:bookmarkStart w:id="86" w:name="_Toc513295900"/>
      <w:r>
        <w:rPr>
          <w:rFonts w:hAnsi="宋体" w:hint="eastAsia"/>
        </w:rPr>
        <w:t>基金经理（或基金经理小组）简</w:t>
      </w:r>
      <w:r>
        <w:rPr>
          <w:rFonts w:hAnsi="宋体" w:hint="eastAsia"/>
        </w:rPr>
        <w:t>介</w:t>
      </w:r>
      <w:bookmarkEnd w:id="79"/>
      <w:bookmarkEnd w:id="80"/>
      <w:bookmarkEnd w:id="81"/>
      <w:bookmarkEnd w:id="82"/>
      <w:bookmarkEnd w:id="83"/>
      <w:bookmarkEnd w:id="84"/>
      <w:bookmarkEnd w:id="85"/>
      <w:bookmarkEnd w:id="8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34186288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jc w:val="center"/>
              <w:rPr>
                <w:rFonts w:hint="eastAsia"/>
              </w:rPr>
            </w:pPr>
            <w:bookmarkStart w:id="87" w:name="m04_02"/>
            <w:bookmarkEnd w:id="87"/>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34186288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640" w:rsidRDefault="006F364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640" w:rsidRDefault="006F364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640" w:rsidRDefault="006F364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640" w:rsidRDefault="006F3640">
            <w:pPr>
              <w:widowControl/>
              <w:jc w:val="left"/>
            </w:pPr>
          </w:p>
        </w:tc>
      </w:tr>
      <w:tr w:rsidR="00000000">
        <w:trPr>
          <w:divId w:val="34186288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r w:rsidR="00000000">
        <w:trPr>
          <w:divId w:val="34186288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田</w:t>
            </w:r>
            <w:r>
              <w:rPr>
                <w:rFonts w:ascii="宋体" w:hAnsi="宋体" w:hint="eastAsia"/>
                <w:szCs w:val="24"/>
                <w:lang w:eastAsia="zh-Hans"/>
              </w:rPr>
              <w:t>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szCs w:val="24"/>
                <w:lang w:eastAsia="zh-Hans"/>
              </w:rPr>
              <w:t>田原先生曾任中银基金管理有限公司固定收益研究员、专户投资经理、基金经理；自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月加入摩根基金管理（中国）有限公司（原上投摩根基金管理有限公司），现任债券投资部副总监兼基金经理</w:t>
            </w:r>
            <w:r>
              <w:rPr>
                <w:rFonts w:ascii="宋体" w:hAnsi="宋体" w:hint="eastAsia"/>
                <w:szCs w:val="24"/>
                <w:lang w:eastAsia="zh-Hans"/>
              </w:rPr>
              <w:t>。</w:t>
            </w:r>
          </w:p>
        </w:tc>
      </w:tr>
    </w:tbl>
    <w:p w:rsidR="006F3640" w:rsidRDefault="006F3640">
      <w:pPr>
        <w:wordWrap w:val="0"/>
        <w:spacing w:line="360" w:lineRule="auto"/>
        <w:jc w:val="left"/>
        <w:divId w:val="1971473269"/>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F3640" w:rsidRDefault="006F3640">
      <w:pPr>
        <w:pStyle w:val="XBRLTitle2"/>
        <w:spacing w:before="156" w:line="360" w:lineRule="auto"/>
        <w:ind w:left="454"/>
      </w:pPr>
      <w:bookmarkStart w:id="88" w:name="_Toc17898188"/>
      <w:bookmarkStart w:id="89" w:name="_Toc17897944"/>
      <w:bookmarkStart w:id="90" w:name="_Toc481075056"/>
      <w:bookmarkStart w:id="91" w:name="_Toc438646460"/>
      <w:bookmarkStart w:id="92" w:name="_Toc490050010"/>
      <w:bookmarkStart w:id="93" w:name="_Toc512519489"/>
      <w:bookmarkStart w:id="94" w:name="_Toc513295853"/>
      <w:bookmarkStart w:id="95" w:name="_Toc513295901"/>
      <w:bookmarkStart w:id="96" w:name="m402"/>
      <w:r>
        <w:rPr>
          <w:rFonts w:hAnsi="宋体" w:hint="eastAsia"/>
        </w:rPr>
        <w:t>管理人对报告期内本基金运作遵规守信情况的说</w:t>
      </w:r>
      <w:r>
        <w:rPr>
          <w:rFonts w:hAnsi="宋体" w:hint="eastAsia"/>
        </w:rPr>
        <w:t>明</w:t>
      </w:r>
      <w:bookmarkEnd w:id="88"/>
      <w:bookmarkEnd w:id="89"/>
      <w:bookmarkEnd w:id="90"/>
      <w:bookmarkEnd w:id="91"/>
      <w:bookmarkEnd w:id="92"/>
      <w:bookmarkEnd w:id="93"/>
      <w:bookmarkEnd w:id="94"/>
      <w:bookmarkEnd w:id="95"/>
      <w:r>
        <w:rPr>
          <w:rFonts w:hAnsi="宋体" w:hint="eastAsia"/>
        </w:rPr>
        <w:t xml:space="preserve"> </w:t>
      </w:r>
    </w:p>
    <w:p w:rsidR="006F3640" w:rsidRDefault="006F3640">
      <w:pPr>
        <w:spacing w:line="360" w:lineRule="auto"/>
        <w:ind w:firstLineChars="200" w:firstLine="420"/>
        <w:jc w:val="left"/>
        <w:rPr>
          <w:rFonts w:hint="eastAsia"/>
        </w:rPr>
      </w:pPr>
      <w:bookmarkStart w:id="97" w:name="m403"/>
      <w:bookmarkEnd w:id="96"/>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F3640" w:rsidRDefault="006F3640">
      <w:pPr>
        <w:pStyle w:val="XBRLTitle2"/>
        <w:spacing w:before="156" w:line="360" w:lineRule="auto"/>
        <w:ind w:left="454"/>
      </w:pPr>
      <w:bookmarkStart w:id="98" w:name="_Toc17898189"/>
      <w:bookmarkStart w:id="99" w:name="_Toc17897945"/>
      <w:bookmarkStart w:id="100" w:name="_Toc481075057"/>
      <w:bookmarkStart w:id="101" w:name="_Toc438646462"/>
      <w:bookmarkStart w:id="102" w:name="_Toc490050011"/>
      <w:bookmarkStart w:id="103" w:name="_Toc512519490"/>
      <w:bookmarkStart w:id="104" w:name="_Toc513295854"/>
      <w:bookmarkStart w:id="105" w:name="_Toc513295902"/>
      <w:bookmarkEnd w:id="97"/>
      <w:r>
        <w:rPr>
          <w:rFonts w:hAnsi="宋体" w:hint="eastAsia"/>
        </w:rPr>
        <w:t>公平交易专项说</w:t>
      </w:r>
      <w:r>
        <w:rPr>
          <w:rFonts w:hAnsi="宋体" w:hint="eastAsia"/>
        </w:rPr>
        <w:t>明</w:t>
      </w:r>
      <w:bookmarkEnd w:id="98"/>
      <w:bookmarkEnd w:id="99"/>
      <w:bookmarkEnd w:id="100"/>
      <w:bookmarkEnd w:id="101"/>
      <w:bookmarkEnd w:id="102"/>
      <w:bookmarkEnd w:id="103"/>
      <w:bookmarkEnd w:id="104"/>
      <w:bookmarkEnd w:id="105"/>
      <w:r>
        <w:rPr>
          <w:rFonts w:hAnsi="宋体" w:hint="eastAsia"/>
        </w:rPr>
        <w:t xml:space="preserve"> </w:t>
      </w:r>
    </w:p>
    <w:p w:rsidR="006F3640" w:rsidRDefault="006F3640">
      <w:pPr>
        <w:pStyle w:val="XBRLTitle3"/>
        <w:spacing w:before="156"/>
        <w:ind w:left="0"/>
        <w:rPr>
          <w:rFonts w:hint="eastAsia"/>
        </w:rPr>
      </w:pPr>
      <w:bookmarkStart w:id="106" w:name="_Toc17898190"/>
      <w:bookmarkStart w:id="107" w:name="_Toc481075058"/>
      <w:bookmarkStart w:id="108" w:name="_Toc490050012"/>
      <w:bookmarkStart w:id="109" w:name="_Toc512519491"/>
      <w:bookmarkStart w:id="110" w:name="_Toc513295903"/>
      <w:bookmarkStart w:id="111" w:name="m404_01_0570"/>
      <w:r>
        <w:rPr>
          <w:rFonts w:hint="eastAsia"/>
        </w:rPr>
        <w:t>公平交易制度的执行情</w:t>
      </w:r>
      <w:r>
        <w:rPr>
          <w:rFonts w:hint="eastAsia"/>
        </w:rPr>
        <w:t>况</w:t>
      </w:r>
      <w:bookmarkEnd w:id="106"/>
      <w:bookmarkEnd w:id="107"/>
      <w:bookmarkEnd w:id="108"/>
      <w:bookmarkEnd w:id="109"/>
      <w:bookmarkEnd w:id="110"/>
    </w:p>
    <w:p w:rsidR="006F3640" w:rsidRDefault="006F3640">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F3640" w:rsidRDefault="006F3640">
      <w:pPr>
        <w:pStyle w:val="XBRLTitle3"/>
        <w:spacing w:before="156"/>
        <w:ind w:left="0"/>
      </w:pPr>
      <w:bookmarkStart w:id="112" w:name="_Toc17898191"/>
      <w:bookmarkStart w:id="113" w:name="_Toc481075059"/>
      <w:bookmarkStart w:id="114" w:name="_Toc490050013"/>
      <w:bookmarkStart w:id="115" w:name="_Toc512519492"/>
      <w:bookmarkStart w:id="116" w:name="_Toc513295904"/>
      <w:bookmarkStart w:id="117" w:name="m404_01_0578"/>
      <w:bookmarkEnd w:id="111"/>
      <w:r>
        <w:rPr>
          <w:rFonts w:hint="eastAsia"/>
        </w:rPr>
        <w:t>异常交易行为的专项说</w:t>
      </w:r>
      <w:r>
        <w:rPr>
          <w:rFonts w:hint="eastAsia"/>
        </w:rPr>
        <w:t>明</w:t>
      </w:r>
      <w:bookmarkEnd w:id="112"/>
      <w:bookmarkEnd w:id="113"/>
      <w:bookmarkEnd w:id="114"/>
      <w:bookmarkEnd w:id="115"/>
      <w:bookmarkEnd w:id="116"/>
    </w:p>
    <w:p w:rsidR="006F3640" w:rsidRDefault="006F3640">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F3640" w:rsidRDefault="006F3640">
      <w:pPr>
        <w:pStyle w:val="XBRLTitle2"/>
        <w:spacing w:before="156" w:line="360" w:lineRule="auto"/>
        <w:ind w:left="454"/>
      </w:pPr>
      <w:bookmarkStart w:id="118" w:name="_Toc17898192"/>
      <w:bookmarkStart w:id="119" w:name="_Toc17897946"/>
      <w:bookmarkStart w:id="120" w:name="_Toc481075061"/>
      <w:bookmarkStart w:id="121" w:name="_Toc490050014"/>
      <w:bookmarkStart w:id="122" w:name="_Toc512519493"/>
      <w:bookmarkStart w:id="123" w:name="_Toc513295855"/>
      <w:bookmarkStart w:id="124" w:name="_Toc513295905"/>
      <w:bookmarkStart w:id="125" w:name="m405_01_2550"/>
      <w:bookmarkEnd w:id="117"/>
      <w:r>
        <w:rPr>
          <w:rFonts w:hAnsi="宋体" w:hint="eastAsia"/>
        </w:rPr>
        <w:t>报告期内基金的投资策略和运作分</w:t>
      </w:r>
      <w:r>
        <w:rPr>
          <w:rFonts w:hAnsi="宋体" w:hint="eastAsia"/>
        </w:rPr>
        <w:t>析</w:t>
      </w:r>
      <w:bookmarkEnd w:id="118"/>
      <w:bookmarkEnd w:id="119"/>
      <w:bookmarkEnd w:id="120"/>
      <w:bookmarkEnd w:id="121"/>
      <w:bookmarkEnd w:id="122"/>
      <w:bookmarkEnd w:id="123"/>
      <w:bookmarkEnd w:id="124"/>
      <w:r>
        <w:rPr>
          <w:rFonts w:hAnsi="宋体" w:hint="eastAsia"/>
        </w:rPr>
        <w:t xml:space="preserve"> </w:t>
      </w:r>
    </w:p>
    <w:p w:rsidR="006F3640" w:rsidRDefault="006F3640">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年第二季度，债券市场走出了强于预期的行情。四月份开始，资金面超预期宽松，资金成本降低到了</w:t>
      </w:r>
      <w:r>
        <w:rPr>
          <w:rFonts w:ascii="宋体" w:hAnsi="宋体" w:cs="宋体" w:hint="eastAsia"/>
          <w:color w:val="000000"/>
          <w:kern w:val="0"/>
        </w:rPr>
        <w:t>1.3%</w:t>
      </w:r>
      <w:r>
        <w:rPr>
          <w:rFonts w:ascii="宋体" w:hAnsi="宋体" w:cs="宋体" w:hint="eastAsia"/>
          <w:color w:val="000000"/>
          <w:kern w:val="0"/>
        </w:rPr>
        <w:t>以下，同时，基本面数据进一步走弱，银行信贷数据依然不振，在诸多利好因素的催化下，债券收益率曲线全面下行。从五月份开始，货币面开始逐步收紧，债券收益率下行的趋势遇到了阻力。进入六月份后，资金并没有按照市场期待的方向重新宽松，银行融出金额迅速收缩，短端资产收益率走高，一年期同业存单（</w:t>
      </w:r>
      <w:r>
        <w:rPr>
          <w:rFonts w:ascii="宋体" w:hAnsi="宋体" w:cs="宋体" w:hint="eastAsia"/>
          <w:color w:val="000000"/>
          <w:kern w:val="0"/>
        </w:rPr>
        <w:t>NCD</w:t>
      </w:r>
      <w:r>
        <w:rPr>
          <w:rFonts w:ascii="宋体" w:hAnsi="宋体" w:cs="宋体" w:hint="eastAsia"/>
          <w:color w:val="000000"/>
          <w:kern w:val="0"/>
        </w:rPr>
        <w:t>）发行价格突破</w:t>
      </w:r>
      <w:r>
        <w:rPr>
          <w:rFonts w:ascii="宋体" w:hAnsi="宋体" w:cs="宋体" w:hint="eastAsia"/>
          <w:color w:val="000000"/>
          <w:kern w:val="0"/>
        </w:rPr>
        <w:t>1.5%</w:t>
      </w:r>
      <w:r>
        <w:rPr>
          <w:rFonts w:ascii="宋体" w:hAnsi="宋体" w:cs="宋体" w:hint="eastAsia"/>
          <w:color w:val="000000"/>
          <w:kern w:val="0"/>
        </w:rPr>
        <w:t>。债券收益率在六月份窄幅波动，长债和超长债收益率下行后略有反弹，目前仍然处于相对低位。</w:t>
      </w:r>
      <w:r>
        <w:rPr>
          <w:rFonts w:ascii="宋体" w:hAnsi="宋体" w:cs="宋体" w:hint="eastAsia"/>
          <w:color w:val="000000"/>
          <w:kern w:val="0"/>
        </w:rPr>
        <w:br/>
      </w:r>
      <w:r>
        <w:rPr>
          <w:rFonts w:ascii="宋体" w:hAnsi="宋体" w:cs="宋体" w:hint="eastAsia"/>
          <w:color w:val="000000"/>
          <w:kern w:val="0"/>
        </w:rPr>
        <w:t xml:space="preserve">　　本基金在本季度维持此前配置，执行摊余成本策略，保持杠杆基本不变。</w:t>
      </w:r>
      <w:r>
        <w:rPr>
          <w:rFonts w:ascii="宋体" w:hAnsi="宋体" w:cs="宋体" w:hint="eastAsia"/>
          <w:color w:val="000000"/>
          <w:kern w:val="0"/>
        </w:rPr>
        <w:br/>
      </w:r>
      <w:r>
        <w:rPr>
          <w:rFonts w:ascii="宋体" w:hAnsi="宋体" w:cs="宋体" w:hint="eastAsia"/>
          <w:color w:val="000000"/>
          <w:kern w:val="0"/>
        </w:rPr>
        <w:t xml:space="preserve">　　展望三季度，我们认为这是今年非常关键的一个时间段。很多决定今年债券市场最终走势的不确定因素或将在三季度确定下来。上半年经济</w:t>
      </w:r>
      <w:r>
        <w:rPr>
          <w:rFonts w:ascii="宋体" w:hAnsi="宋体" w:cs="宋体" w:hint="eastAsia"/>
          <w:color w:val="000000"/>
          <w:kern w:val="0"/>
        </w:rPr>
        <w:t>K</w:t>
      </w:r>
      <w:r>
        <w:rPr>
          <w:rFonts w:ascii="宋体" w:hAnsi="宋体" w:cs="宋体" w:hint="eastAsia"/>
          <w:color w:val="000000"/>
          <w:kern w:val="0"/>
        </w:rPr>
        <w:t>型特征明显，一些行业的发展和出口数据都非常亮眼，但旧动能经济依然在筑底过程当中，银行信贷数据有待改善，国内消费仍有较大提升空间。从宏观数据来看，经济增长数据符合要求。在上述复杂情况下，政府对经济的认知一定程度上决定了后续政策的方向和力度。目前，债券收益率向下面临短端收益率底部的限制，向上空间也有限，因为年初以来部分机构因为各种原因存在欠配或者错过二季度行情的情况，因此配置力量较强。债券收益率向上或者向下的进一步发展均有赖新的因素出现，我们有望将在三季度看到这些因素。相对来说，我们认为乐观情形的可能性更大一些。随着政策预期的落定，市场将回归基本面逻辑，债券收益率曲线有望平坦化下行。从策略上讲，我们将采取更为稳健的持仓，利用好友好的货币环境，保持合理杠杆水平，通过持仓债券追求相对确定的收益。总之，我们将努力做到严格投资纪律，执行好投资决策</w:t>
      </w:r>
      <w:r>
        <w:rPr>
          <w:rFonts w:ascii="宋体" w:hAnsi="宋体" w:cs="宋体" w:hint="eastAsia"/>
          <w:color w:val="000000"/>
          <w:kern w:val="0"/>
        </w:rPr>
        <w:t>。</w:t>
      </w:r>
    </w:p>
    <w:p w:rsidR="006F3640" w:rsidRDefault="006F3640">
      <w:pPr>
        <w:pStyle w:val="XBRLTitle2"/>
        <w:spacing w:before="156" w:line="360" w:lineRule="auto"/>
        <w:ind w:left="454"/>
      </w:pPr>
      <w:bookmarkStart w:id="126" w:name="_Toc17898193"/>
      <w:bookmarkStart w:id="127" w:name="_Toc17897947"/>
      <w:bookmarkStart w:id="128" w:name="_Toc490050015"/>
      <w:bookmarkStart w:id="129" w:name="_Toc481075062"/>
      <w:bookmarkStart w:id="130" w:name="_Toc512519494"/>
      <w:bookmarkStart w:id="131" w:name="_Toc513295856"/>
      <w:bookmarkStart w:id="132" w:name="_Toc513295906"/>
      <w:bookmarkStart w:id="133" w:name="m405_01_2549"/>
      <w:bookmarkEnd w:id="125"/>
      <w:r>
        <w:rPr>
          <w:rFonts w:hAnsi="宋体" w:hint="eastAsia"/>
        </w:rPr>
        <w:t>报告期内基金的业绩表</w:t>
      </w:r>
      <w:r>
        <w:rPr>
          <w:rFonts w:hAnsi="宋体" w:hint="eastAsia"/>
        </w:rPr>
        <w:t>现</w:t>
      </w:r>
      <w:bookmarkEnd w:id="126"/>
      <w:bookmarkEnd w:id="127"/>
      <w:bookmarkEnd w:id="128"/>
      <w:bookmarkEnd w:id="129"/>
      <w:bookmarkEnd w:id="130"/>
      <w:bookmarkEnd w:id="131"/>
      <w:bookmarkEnd w:id="132"/>
      <w:r>
        <w:rPr>
          <w:rFonts w:hAnsi="宋体" w:hint="eastAsia"/>
        </w:rPr>
        <w:t xml:space="preserve"> </w:t>
      </w:r>
      <w:bookmarkEnd w:id="133"/>
    </w:p>
    <w:p w:rsidR="006F3640" w:rsidRDefault="006F3640">
      <w:pPr>
        <w:spacing w:line="360" w:lineRule="auto"/>
        <w:ind w:firstLineChars="200" w:firstLine="420"/>
        <w:rPr>
          <w:rFonts w:hint="eastAsia"/>
        </w:rPr>
      </w:pPr>
      <w:r>
        <w:rPr>
          <w:rFonts w:ascii="宋体" w:hAnsi="宋体" w:hint="eastAsia"/>
        </w:rPr>
        <w:t>本报告期摩根瑞盛</w:t>
      </w:r>
      <w:r>
        <w:rPr>
          <w:rFonts w:ascii="宋体" w:hAnsi="宋体" w:hint="eastAsia"/>
        </w:rPr>
        <w:t>87</w:t>
      </w:r>
      <w:r>
        <w:rPr>
          <w:rFonts w:ascii="宋体" w:hAnsi="宋体" w:hint="eastAsia"/>
        </w:rPr>
        <w:t>个月定期开放债券份额净值增长率为</w:t>
      </w:r>
      <w:r>
        <w:rPr>
          <w:rFonts w:ascii="宋体" w:hAnsi="宋体" w:hint="eastAsia"/>
        </w:rPr>
        <w:t>:1.05%</w:t>
      </w:r>
      <w:r>
        <w:rPr>
          <w:rFonts w:ascii="宋体" w:hAnsi="宋体" w:hint="eastAsia"/>
        </w:rPr>
        <w:t>，同期业绩比较基准收益率为</w:t>
      </w:r>
      <w:r>
        <w:rPr>
          <w:rFonts w:ascii="宋体" w:hAnsi="宋体" w:hint="eastAsia"/>
        </w:rPr>
        <w:t>:1.01%</w:t>
      </w:r>
      <w:r>
        <w:rPr>
          <w:rFonts w:ascii="宋体" w:hAnsi="宋体" w:hint="eastAsia"/>
        </w:rPr>
        <w:t>。</w:t>
      </w:r>
    </w:p>
    <w:p w:rsidR="006F3640" w:rsidRDefault="006F3640">
      <w:pPr>
        <w:pStyle w:val="XBRLTitle2"/>
        <w:spacing w:before="156" w:line="360" w:lineRule="auto"/>
        <w:ind w:left="454"/>
      </w:pPr>
      <w:bookmarkStart w:id="134" w:name="m406"/>
      <w:bookmarkStart w:id="135" w:name="_Toc17898194"/>
      <w:bookmarkStart w:id="136" w:name="_Toc17897948"/>
      <w:bookmarkStart w:id="137" w:name="_Toc490050016"/>
      <w:bookmarkStart w:id="138" w:name="_Toc481075063"/>
      <w:bookmarkStart w:id="139" w:name="_Toc438646465"/>
      <w:bookmarkStart w:id="140" w:name="_Toc512519495"/>
      <w:bookmarkStart w:id="141" w:name="_Toc513295857"/>
      <w:bookmarkStart w:id="142" w:name="_Toc513295907"/>
      <w:bookmarkStart w:id="143" w:name="m407"/>
      <w:bookmarkEnd w:id="134"/>
      <w:r>
        <w:rPr>
          <w:rFonts w:hAnsi="宋体" w:hint="eastAsia"/>
        </w:rPr>
        <w:t>报告期内基金持有人数或基金资产净值预警说</w:t>
      </w:r>
      <w:r>
        <w:rPr>
          <w:rFonts w:hAnsi="宋体" w:hint="eastAsia"/>
        </w:rPr>
        <w:t>明</w:t>
      </w:r>
      <w:bookmarkEnd w:id="135"/>
      <w:bookmarkEnd w:id="136"/>
      <w:bookmarkEnd w:id="137"/>
      <w:bookmarkEnd w:id="138"/>
      <w:bookmarkEnd w:id="139"/>
      <w:bookmarkEnd w:id="140"/>
      <w:bookmarkEnd w:id="141"/>
      <w:bookmarkEnd w:id="142"/>
      <w:r>
        <w:rPr>
          <w:rFonts w:hAnsi="宋体" w:hint="eastAsia"/>
        </w:rPr>
        <w:t xml:space="preserve"> </w:t>
      </w:r>
    </w:p>
    <w:p w:rsidR="006F3640" w:rsidRDefault="006F3640">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F3640" w:rsidRDefault="006F3640">
      <w:pPr>
        <w:pStyle w:val="XBRLTitle1"/>
        <w:spacing w:before="156" w:line="360" w:lineRule="auto"/>
        <w:ind w:left="425"/>
      </w:pPr>
      <w:bookmarkStart w:id="144" w:name="_Toc17898195"/>
      <w:bookmarkStart w:id="145" w:name="_Toc17897949"/>
      <w:bookmarkStart w:id="146" w:name="_Toc512519496"/>
      <w:bookmarkStart w:id="147" w:name="_Toc481075064"/>
      <w:bookmarkStart w:id="148" w:name="_Toc438646466"/>
      <w:bookmarkStart w:id="149" w:name="_Toc490050017"/>
      <w:bookmarkStart w:id="150" w:name="_Toc513295858"/>
      <w:bookmarkStart w:id="151" w:name="_Toc513295908"/>
      <w:bookmarkEnd w:id="143"/>
      <w:r>
        <w:rPr>
          <w:rFonts w:hAnsi="宋体" w:hint="eastAsia"/>
        </w:rPr>
        <w:t>投资组合报</w:t>
      </w:r>
      <w:r>
        <w:rPr>
          <w:rFonts w:hAnsi="宋体" w:hint="eastAsia"/>
        </w:rPr>
        <w:t>告</w:t>
      </w:r>
      <w:bookmarkEnd w:id="144"/>
      <w:bookmarkEnd w:id="145"/>
      <w:bookmarkEnd w:id="146"/>
      <w:bookmarkEnd w:id="147"/>
      <w:bookmarkEnd w:id="148"/>
      <w:bookmarkEnd w:id="149"/>
      <w:bookmarkEnd w:id="150"/>
      <w:bookmarkEnd w:id="151"/>
      <w:r>
        <w:rPr>
          <w:rFonts w:hAnsi="宋体" w:hint="eastAsia"/>
        </w:rPr>
        <w:t xml:space="preserve"> </w:t>
      </w:r>
    </w:p>
    <w:p w:rsidR="006F3640" w:rsidRDefault="006F3640">
      <w:pPr>
        <w:pStyle w:val="XBRLTitle2"/>
        <w:spacing w:before="156" w:line="360" w:lineRule="auto"/>
        <w:ind w:left="454"/>
        <w:rPr>
          <w:rFonts w:hint="eastAsia"/>
        </w:rPr>
      </w:pPr>
      <w:bookmarkStart w:id="152" w:name="_Toc17898196"/>
      <w:bookmarkStart w:id="153" w:name="_Toc17897950"/>
      <w:bookmarkStart w:id="154" w:name="_Toc481075065"/>
      <w:bookmarkStart w:id="155" w:name="_Toc438646467"/>
      <w:bookmarkStart w:id="156" w:name="_Toc490050018"/>
      <w:bookmarkStart w:id="157" w:name="_Toc512519497"/>
      <w:bookmarkStart w:id="158" w:name="_Toc513295859"/>
      <w:bookmarkStart w:id="159" w:name="_Toc513295909"/>
      <w:bookmarkStart w:id="160" w:name="m501"/>
      <w:r>
        <w:rPr>
          <w:rFonts w:hAnsi="宋体" w:hint="eastAsia"/>
        </w:rPr>
        <w:t>报告期末基金资产组合情</w:t>
      </w:r>
      <w:r>
        <w:rPr>
          <w:rFonts w:hAnsi="宋体" w:hint="eastAsia"/>
        </w:rPr>
        <w:t>况</w:t>
      </w:r>
      <w:bookmarkEnd w:id="152"/>
      <w:bookmarkEnd w:id="153"/>
      <w:bookmarkEnd w:id="154"/>
      <w:bookmarkEnd w:id="155"/>
      <w:bookmarkEnd w:id="156"/>
      <w:bookmarkEnd w:id="157"/>
      <w:bookmarkEnd w:id="158"/>
      <w:bookmarkEnd w:id="159"/>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rPr>
                <w:rFonts w:hint="eastAsia"/>
              </w:rPr>
            </w:pPr>
            <w:bookmarkStart w:id="161" w:name="m08QD_01_tab"/>
            <w:bookmarkEnd w:id="161"/>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13,706,570,667.8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98.1</w:t>
            </w:r>
            <w:r>
              <w:rPr>
                <w:rFonts w:ascii="宋体" w:hAnsi="宋体" w:hint="eastAsia"/>
                <w:szCs w:val="24"/>
                <w:lang w:eastAsia="zh-Hans"/>
              </w:rPr>
              <w:t>7</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13,706,570,667.8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98.1</w:t>
            </w:r>
            <w:r>
              <w:rPr>
                <w:rFonts w:ascii="宋体" w:hAnsi="宋体" w:hint="eastAsia"/>
                <w:szCs w:val="24"/>
                <w:lang w:eastAsia="zh-Hans"/>
              </w:rPr>
              <w:t>7</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246,520,922.6</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1.7</w:t>
            </w:r>
            <w:r>
              <w:rPr>
                <w:rFonts w:ascii="宋体" w:hAnsi="宋体" w:hint="eastAsia"/>
                <w:szCs w:val="24"/>
                <w:lang w:eastAsia="zh-Hans"/>
              </w:rPr>
              <w:t>7</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9,640,501.8</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186485547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F3640" w:rsidRDefault="006F364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13,962,732,092.2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100.0</w:t>
            </w:r>
            <w:r>
              <w:rPr>
                <w:rFonts w:ascii="宋体" w:hAnsi="宋体" w:hint="eastAsia"/>
                <w:szCs w:val="24"/>
                <w:lang w:eastAsia="zh-Hans"/>
              </w:rPr>
              <w:t>0</w:t>
            </w:r>
          </w:p>
        </w:tc>
      </w:tr>
    </w:tbl>
    <w:p w:rsidR="006F3640" w:rsidRDefault="006F3640">
      <w:pPr>
        <w:pStyle w:val="XBRLTitle2"/>
        <w:spacing w:before="156" w:line="360" w:lineRule="auto"/>
        <w:ind w:left="454"/>
      </w:pPr>
      <w:bookmarkStart w:id="162" w:name="_Toc17898197"/>
      <w:bookmarkStart w:id="163" w:name="_Toc17897951"/>
      <w:bookmarkStart w:id="164" w:name="_Toc512519498"/>
      <w:bookmarkStart w:id="165" w:name="_Toc481075066"/>
      <w:bookmarkStart w:id="166" w:name="_Toc438646468"/>
      <w:bookmarkStart w:id="167" w:name="_Toc490050019"/>
      <w:bookmarkStart w:id="168" w:name="_Toc513295860"/>
      <w:bookmarkStart w:id="169" w:name="_Toc513295910"/>
      <w:bookmarkEnd w:id="160"/>
      <w:r>
        <w:rPr>
          <w:rFonts w:hAnsi="宋体" w:hint="eastAsia"/>
        </w:rPr>
        <w:t>报告期末按行业分类的股票投资组</w:t>
      </w:r>
      <w:r>
        <w:rPr>
          <w:rFonts w:hAnsi="宋体" w:hint="eastAsia"/>
        </w:rPr>
        <w:t>合</w:t>
      </w:r>
      <w:bookmarkEnd w:id="162"/>
      <w:bookmarkEnd w:id="163"/>
      <w:bookmarkEnd w:id="164"/>
      <w:bookmarkEnd w:id="165"/>
      <w:bookmarkEnd w:id="166"/>
      <w:bookmarkEnd w:id="167"/>
      <w:bookmarkEnd w:id="168"/>
      <w:bookmarkEnd w:id="169"/>
      <w:r>
        <w:rPr>
          <w:rFonts w:hAnsi="宋体" w:hint="eastAsia"/>
          <w:lang w:eastAsia="zh-CN"/>
        </w:rPr>
        <w:t xml:space="preserve"> </w:t>
      </w:r>
    </w:p>
    <w:p w:rsidR="006F3640" w:rsidRDefault="006F3640">
      <w:pPr>
        <w:pStyle w:val="XBRLTitle3"/>
        <w:spacing w:before="156"/>
        <w:ind w:left="0"/>
        <w:rPr>
          <w:rFonts w:hint="eastAsia"/>
        </w:rPr>
      </w:pPr>
      <w:bookmarkStart w:id="170" w:name="_Toc17898198"/>
      <w:bookmarkStart w:id="171" w:name="_Toc481075067"/>
      <w:bookmarkStart w:id="172" w:name="_Toc490050020"/>
      <w:bookmarkStart w:id="173" w:name="_Toc512519499"/>
      <w:bookmarkStart w:id="174" w:name="_Toc513295911"/>
      <w:r>
        <w:rPr>
          <w:rFonts w:hint="eastAsia"/>
        </w:rPr>
        <w:t>报告期末按行业分类的境内股票投资组</w:t>
      </w:r>
      <w:r>
        <w:rPr>
          <w:rFonts w:hint="eastAsia"/>
        </w:rPr>
        <w:t>合</w:t>
      </w:r>
      <w:bookmarkEnd w:id="170"/>
      <w:bookmarkEnd w:id="171"/>
      <w:bookmarkEnd w:id="172"/>
      <w:bookmarkEnd w:id="173"/>
      <w:bookmarkEnd w:id="174"/>
      <w:r>
        <w:rPr>
          <w:rFonts w:hint="eastAsia"/>
          <w:lang w:eastAsia="zh-CN"/>
        </w:rPr>
        <w:t xml:space="preserve"> </w:t>
      </w:r>
    </w:p>
    <w:p w:rsidR="006F3640" w:rsidRDefault="006F3640">
      <w:pPr>
        <w:spacing w:line="360" w:lineRule="auto"/>
        <w:ind w:firstLineChars="200" w:firstLine="420"/>
        <w:divId w:val="501747777"/>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6F3640" w:rsidRDefault="006F3640">
      <w:pPr>
        <w:pStyle w:val="XBRLTitle3"/>
        <w:spacing w:before="156"/>
        <w:ind w:left="0"/>
      </w:pPr>
      <w:bookmarkStart w:id="175" w:name="_Toc17898199"/>
      <w:bookmarkStart w:id="176" w:name="_Toc481075068"/>
      <w:bookmarkStart w:id="177" w:name="_Toc490050021"/>
      <w:bookmarkStart w:id="178" w:name="_Toc512519500"/>
      <w:bookmarkStart w:id="179" w:name="_Toc513295912"/>
      <w:bookmarkStart w:id="180" w:name="m502_tab"/>
      <w:r>
        <w:rPr>
          <w:rFonts w:hint="eastAsia"/>
        </w:rPr>
        <w:t>报告期末按行业分类的港股通投资股票投资组</w:t>
      </w:r>
      <w:r>
        <w:rPr>
          <w:rFonts w:hint="eastAsia"/>
        </w:rPr>
        <w:t>合</w:t>
      </w:r>
      <w:bookmarkEnd w:id="175"/>
      <w:bookmarkEnd w:id="176"/>
      <w:bookmarkEnd w:id="177"/>
      <w:bookmarkEnd w:id="178"/>
      <w:bookmarkEnd w:id="179"/>
      <w:r>
        <w:rPr>
          <w:rFonts w:hint="eastAsia"/>
          <w:szCs w:val="24"/>
        </w:rPr>
        <w:t xml:space="preserve"> </w:t>
      </w:r>
    </w:p>
    <w:p w:rsidR="006F3640" w:rsidRDefault="006F3640">
      <w:pPr>
        <w:spacing w:line="360" w:lineRule="auto"/>
        <w:ind w:firstLineChars="200" w:firstLine="420"/>
        <w:divId w:val="631443915"/>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6F3640" w:rsidRDefault="006F3640">
      <w:pPr>
        <w:pStyle w:val="XBRLTitle2"/>
        <w:spacing w:before="156"/>
        <w:ind w:left="454"/>
      </w:pPr>
      <w:bookmarkStart w:id="181" w:name="_Toc178982961"/>
      <w:bookmarkStart w:id="182" w:name="_Toc17897958"/>
      <w:bookmarkStart w:id="183" w:name="_Toc485300375"/>
      <w:bookmarkStart w:id="184" w:name="_Toc453852755"/>
      <w:bookmarkStart w:id="185" w:name="_Toc452398761"/>
      <w:bookmarkStart w:id="186" w:name="_Toc454983410"/>
      <w:bookmarkStart w:id="187" w:name="_Toc497398255"/>
      <w:bookmarkStart w:id="188" w:name="_Toc506208451"/>
      <w:bookmarkStart w:id="189" w:name="m08QD_10"/>
      <w:r>
        <w:rPr>
          <w:rFonts w:hint="eastAsia"/>
        </w:rPr>
        <w:t>期末按公允价值占基金资产净值比例大小排序的股票投资明</w:t>
      </w:r>
      <w:r>
        <w:rPr>
          <w:rFonts w:hint="eastAsia"/>
        </w:rPr>
        <w:t>细</w:t>
      </w:r>
      <w:bookmarkEnd w:id="181"/>
    </w:p>
    <w:p w:rsidR="006F3640" w:rsidRDefault="006F3640">
      <w:pPr>
        <w:pStyle w:val="XBRLTitle3"/>
        <w:spacing w:before="156"/>
        <w:ind w:left="0"/>
        <w:rPr>
          <w:rFonts w:hint="eastAsia"/>
        </w:rPr>
      </w:pPr>
      <w:bookmarkStart w:id="190" w:name="_Toc178982962"/>
      <w:bookmarkStart w:id="191" w:name="_Toc485300376"/>
      <w:bookmarkStart w:id="192" w:name="_Toc497398256"/>
      <w:bookmarkStart w:id="193" w:name="_Toc453852756"/>
      <w:bookmarkStart w:id="194" w:name="_Toc454983411"/>
      <w:r>
        <w:rPr>
          <w:rFonts w:hAnsi="宋体" w:hint="eastAsia"/>
        </w:rPr>
        <w:t>报告期末按公允价值占基金资产净值比例大小排序的前十名股票投资明</w:t>
      </w:r>
      <w:r>
        <w:rPr>
          <w:rFonts w:hAnsi="宋体" w:hint="eastAsia"/>
        </w:rPr>
        <w:t>细</w:t>
      </w:r>
      <w:bookmarkEnd w:id="190"/>
      <w:bookmarkEnd w:id="191"/>
      <w:bookmarkEnd w:id="192"/>
      <w:bookmarkEnd w:id="193"/>
      <w:bookmarkEnd w:id="194"/>
    </w:p>
    <w:p w:rsidR="006F3640" w:rsidRDefault="006F3640">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6F3640" w:rsidRDefault="006F3640">
      <w:pPr>
        <w:pStyle w:val="XBRLTitle2"/>
        <w:spacing w:before="156" w:line="360" w:lineRule="auto"/>
        <w:ind w:left="454"/>
      </w:pPr>
      <w:bookmarkStart w:id="195" w:name="_Toc17898201"/>
      <w:bookmarkStart w:id="196" w:name="_Toc17897953"/>
      <w:bookmarkStart w:id="197" w:name="_Toc481075070"/>
      <w:bookmarkStart w:id="198" w:name="_Toc438646471"/>
      <w:bookmarkStart w:id="199" w:name="_Toc490050023"/>
      <w:bookmarkStart w:id="200" w:name="_Toc512519502"/>
      <w:bookmarkStart w:id="201" w:name="_Toc513295862"/>
      <w:bookmarkStart w:id="202" w:name="_Toc513295914"/>
      <w:bookmarkStart w:id="203" w:name="m505"/>
      <w:r>
        <w:rPr>
          <w:rFonts w:hAnsi="宋体" w:hint="eastAsia"/>
        </w:rPr>
        <w:t>报告期末按债券品种分类的债券投资组</w:t>
      </w:r>
      <w:r>
        <w:rPr>
          <w:rFonts w:hAnsi="宋体" w:hint="eastAsia"/>
        </w:rPr>
        <w:t>合</w:t>
      </w:r>
      <w:bookmarkEnd w:id="195"/>
      <w:bookmarkEnd w:id="196"/>
      <w:bookmarkEnd w:id="197"/>
      <w:bookmarkEnd w:id="198"/>
      <w:bookmarkEnd w:id="199"/>
      <w:bookmarkEnd w:id="200"/>
      <w:bookmarkEnd w:id="201"/>
      <w:bookmarkEnd w:id="20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10,564,140,950.2</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114.9</w:t>
            </w:r>
            <w:r>
              <w:rPr>
                <w:rFonts w:ascii="宋体" w:hAnsi="宋体" w:hint="eastAsia"/>
                <w:szCs w:val="24"/>
                <w:lang w:eastAsia="zh-Hans"/>
              </w:rPr>
              <w:t>1</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10,564,140,950.2</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114.9</w:t>
            </w:r>
            <w:r>
              <w:rPr>
                <w:rFonts w:ascii="宋体" w:hAnsi="宋体" w:hint="eastAsia"/>
                <w:szCs w:val="24"/>
                <w:lang w:eastAsia="zh-Hans"/>
              </w:rPr>
              <w:t>1</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3,142,429,717.5</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34.1</w:t>
            </w:r>
            <w:r>
              <w:rPr>
                <w:rFonts w:ascii="宋体" w:hAnsi="宋体" w:hint="eastAsia"/>
                <w:szCs w:val="24"/>
                <w:lang w:eastAsia="zh-Hans"/>
              </w:rPr>
              <w:t>8</w:t>
            </w:r>
          </w:p>
        </w:tc>
      </w:tr>
      <w:tr w:rsidR="00000000">
        <w:trPr>
          <w:divId w:val="62917265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3640" w:rsidRDefault="006F3640">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13,706,570,667.8</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3640" w:rsidRDefault="006F3640">
            <w:pPr>
              <w:jc w:val="right"/>
            </w:pPr>
            <w:r>
              <w:rPr>
                <w:rFonts w:ascii="宋体" w:hAnsi="宋体" w:hint="eastAsia"/>
                <w:szCs w:val="24"/>
                <w:lang w:eastAsia="zh-Hans"/>
              </w:rPr>
              <w:t>149.0</w:t>
            </w:r>
            <w:r>
              <w:rPr>
                <w:rFonts w:ascii="宋体" w:hAnsi="宋体" w:hint="eastAsia"/>
                <w:szCs w:val="24"/>
                <w:lang w:eastAsia="zh-Hans"/>
              </w:rPr>
              <w:t>9</w:t>
            </w:r>
          </w:p>
        </w:tc>
      </w:tr>
    </w:tbl>
    <w:p w:rsidR="006F3640" w:rsidRDefault="006F3640">
      <w:pPr>
        <w:pStyle w:val="XBRLTitle2"/>
        <w:spacing w:before="156" w:line="360" w:lineRule="auto"/>
        <w:ind w:left="454"/>
      </w:pPr>
      <w:bookmarkStart w:id="204" w:name="_Toc17898202"/>
      <w:bookmarkStart w:id="205" w:name="_Toc17897954"/>
      <w:bookmarkStart w:id="206" w:name="_Toc481075071"/>
      <w:bookmarkStart w:id="207" w:name="_Toc438646472"/>
      <w:bookmarkStart w:id="208" w:name="_Toc490050024"/>
      <w:bookmarkStart w:id="209" w:name="_Toc512519503"/>
      <w:bookmarkStart w:id="210" w:name="_Toc513295863"/>
      <w:bookmarkStart w:id="211" w:name="_Toc513295915"/>
      <w:bookmarkStart w:id="212" w:name="m506"/>
      <w:bookmarkEnd w:id="203"/>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4"/>
      <w:bookmarkEnd w:id="205"/>
      <w:bookmarkEnd w:id="206"/>
      <w:bookmarkEnd w:id="207"/>
      <w:bookmarkEnd w:id="208"/>
      <w:bookmarkEnd w:id="209"/>
      <w:bookmarkEnd w:id="210"/>
      <w:bookmarkEnd w:id="211"/>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9291430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3640" w:rsidRDefault="006F3640">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929143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09201800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20</w:t>
            </w:r>
            <w:r>
              <w:rPr>
                <w:rFonts w:ascii="宋体" w:hAnsi="宋体" w:hint="eastAsia"/>
                <w:szCs w:val="24"/>
                <w:lang w:eastAsia="zh-Hans"/>
              </w:rPr>
              <w:t>农发清发</w:t>
            </w:r>
            <w:r>
              <w:rPr>
                <w:rFonts w:ascii="宋体" w:hAnsi="宋体" w:hint="eastAsia"/>
                <w:szCs w:val="24"/>
                <w:lang w:eastAsia="zh-Hans"/>
              </w:rPr>
              <w:t>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29,700,00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2,965,984,172.9</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32.2</w:t>
            </w:r>
            <w:r>
              <w:rPr>
                <w:rFonts w:ascii="宋体" w:hAnsi="宋体" w:hint="eastAsia"/>
                <w:szCs w:val="24"/>
                <w:lang w:eastAsia="zh-Hans"/>
              </w:rPr>
              <w:t>6</w:t>
            </w:r>
          </w:p>
        </w:tc>
      </w:tr>
      <w:tr w:rsidR="00000000">
        <w:trPr>
          <w:divId w:val="4929143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20020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20</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28,700,00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2,962,158,054.1</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32.2</w:t>
            </w:r>
            <w:r>
              <w:rPr>
                <w:rFonts w:ascii="宋体" w:hAnsi="宋体" w:hint="eastAsia"/>
                <w:szCs w:val="24"/>
                <w:lang w:eastAsia="zh-Hans"/>
              </w:rPr>
              <w:t>2</w:t>
            </w:r>
          </w:p>
        </w:tc>
      </w:tr>
      <w:tr w:rsidR="00000000">
        <w:trPr>
          <w:divId w:val="4929143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17041</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17</w:t>
            </w:r>
            <w:r>
              <w:rPr>
                <w:rFonts w:ascii="宋体" w:hAnsi="宋体" w:hint="eastAsia"/>
                <w:szCs w:val="24"/>
                <w:lang w:eastAsia="zh-Hans"/>
              </w:rPr>
              <w:t>农发</w:t>
            </w:r>
            <w:r>
              <w:rPr>
                <w:rFonts w:ascii="宋体" w:hAnsi="宋体" w:hint="eastAsia"/>
                <w:szCs w:val="24"/>
                <w:lang w:eastAsia="zh-Hans"/>
              </w:rPr>
              <w:t>1</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24,800,00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2,594,846,291.8</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28.2</w:t>
            </w:r>
            <w:r>
              <w:rPr>
                <w:rFonts w:ascii="宋体" w:hAnsi="宋体" w:hint="eastAsia"/>
                <w:szCs w:val="24"/>
                <w:lang w:eastAsia="zh-Hans"/>
              </w:rPr>
              <w:t>2</w:t>
            </w:r>
          </w:p>
        </w:tc>
      </w:tr>
      <w:tr w:rsidR="00000000">
        <w:trPr>
          <w:divId w:val="4929143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17021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17</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0</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15,100,00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1,529,168,080.5</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16.6</w:t>
            </w:r>
            <w:r>
              <w:rPr>
                <w:rFonts w:ascii="宋体" w:hAnsi="宋体" w:hint="eastAsia"/>
                <w:szCs w:val="24"/>
                <w:lang w:eastAsia="zh-Hans"/>
              </w:rPr>
              <w:t>3</w:t>
            </w:r>
          </w:p>
        </w:tc>
      </w:tr>
      <w:tr w:rsidR="00000000">
        <w:trPr>
          <w:divId w:val="4929143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16099</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szCs w:val="24"/>
                <w:lang w:eastAsia="zh-Hans"/>
              </w:rPr>
              <w:t>20</w:t>
            </w:r>
            <w:r>
              <w:rPr>
                <w:rFonts w:ascii="宋体" w:hAnsi="宋体" w:hint="eastAsia"/>
                <w:szCs w:val="24"/>
                <w:lang w:eastAsia="zh-Hans"/>
              </w:rPr>
              <w:t>江苏</w:t>
            </w:r>
            <w:r>
              <w:rPr>
                <w:rFonts w:ascii="宋体" w:hAnsi="宋体" w:hint="eastAsia"/>
                <w:szCs w:val="24"/>
                <w:lang w:eastAsia="zh-Hans"/>
              </w:rPr>
              <w:t>1</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7,100,00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728,378,275.1</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szCs w:val="24"/>
                <w:lang w:eastAsia="zh-Hans"/>
              </w:rPr>
              <w:t>7.9</w:t>
            </w:r>
            <w:r>
              <w:rPr>
                <w:rFonts w:ascii="宋体" w:hAnsi="宋体" w:hint="eastAsia"/>
                <w:szCs w:val="24"/>
                <w:lang w:eastAsia="zh-Hans"/>
              </w:rPr>
              <w:t>2</w:t>
            </w:r>
          </w:p>
        </w:tc>
      </w:tr>
    </w:tbl>
    <w:p w:rsidR="006F3640" w:rsidRDefault="006F3640">
      <w:pPr>
        <w:pStyle w:val="XBRLTitle2"/>
        <w:spacing w:before="156" w:line="360" w:lineRule="auto"/>
        <w:ind w:left="454"/>
      </w:pPr>
      <w:bookmarkStart w:id="213" w:name="_Toc17898203"/>
      <w:bookmarkStart w:id="214" w:name="_Toc17897955"/>
      <w:bookmarkStart w:id="215" w:name="_Toc481075072"/>
      <w:bookmarkStart w:id="216" w:name="_Toc438646473"/>
      <w:bookmarkStart w:id="217" w:name="_Toc490050025"/>
      <w:bookmarkStart w:id="218" w:name="_Toc512519504"/>
      <w:bookmarkStart w:id="219" w:name="_Toc513295864"/>
      <w:bookmarkStart w:id="220" w:name="_Toc513295916"/>
      <w:bookmarkStart w:id="221" w:name="m507"/>
      <w:bookmarkEnd w:id="212"/>
      <w:r>
        <w:rPr>
          <w:rFonts w:hAnsi="宋体" w:hint="eastAsia"/>
        </w:rPr>
        <w:t>报告期末按公允价值占基金资产净值比例大小排序的前十名资产支持证券投资明</w:t>
      </w:r>
      <w:r>
        <w:rPr>
          <w:rFonts w:hAnsi="宋体" w:hint="eastAsia"/>
        </w:rPr>
        <w:t>细</w:t>
      </w:r>
      <w:bookmarkEnd w:id="213"/>
      <w:bookmarkEnd w:id="214"/>
      <w:bookmarkEnd w:id="215"/>
      <w:bookmarkEnd w:id="216"/>
      <w:bookmarkEnd w:id="217"/>
      <w:bookmarkEnd w:id="218"/>
      <w:bookmarkEnd w:id="219"/>
      <w:bookmarkEnd w:id="220"/>
      <w:r>
        <w:rPr>
          <w:rFonts w:hAnsi="宋体" w:hint="eastAsia"/>
        </w:rPr>
        <w:t xml:space="preserve"> </w:t>
      </w:r>
    </w:p>
    <w:p w:rsidR="006F3640" w:rsidRDefault="006F3640">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F3640" w:rsidRDefault="006F3640">
      <w:pPr>
        <w:pStyle w:val="XBRLTitle2"/>
        <w:spacing w:before="156" w:line="360" w:lineRule="auto"/>
        <w:ind w:left="454"/>
      </w:pPr>
      <w:bookmarkStart w:id="222" w:name="_Toc17898204"/>
      <w:bookmarkStart w:id="223" w:name="_Toc17897956"/>
      <w:bookmarkStart w:id="224" w:name="_Toc481075073"/>
      <w:bookmarkStart w:id="225" w:name="_Toc438646474"/>
      <w:bookmarkStart w:id="226" w:name="_Toc490050026"/>
      <w:bookmarkStart w:id="227" w:name="_Toc512519505"/>
      <w:bookmarkStart w:id="228" w:name="_Toc513295865"/>
      <w:bookmarkStart w:id="229" w:name="_Toc513295917"/>
      <w:bookmarkStart w:id="230" w:name="m508"/>
      <w:bookmarkEnd w:id="221"/>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2"/>
      <w:bookmarkEnd w:id="223"/>
      <w:bookmarkEnd w:id="224"/>
      <w:bookmarkEnd w:id="225"/>
      <w:bookmarkEnd w:id="226"/>
      <w:bookmarkEnd w:id="227"/>
      <w:bookmarkEnd w:id="228"/>
      <w:bookmarkEnd w:id="229"/>
      <w:r>
        <w:rPr>
          <w:rFonts w:hAnsi="宋体" w:hint="eastAsia"/>
        </w:rPr>
        <w:t xml:space="preserve"> </w:t>
      </w:r>
    </w:p>
    <w:p w:rsidR="006F3640" w:rsidRDefault="006F3640">
      <w:pPr>
        <w:spacing w:line="360" w:lineRule="auto"/>
        <w:ind w:firstLineChars="200" w:firstLine="420"/>
        <w:divId w:val="153427066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F3640" w:rsidRDefault="006F3640">
      <w:pPr>
        <w:pStyle w:val="XBRLTitle2"/>
        <w:spacing w:before="156" w:line="360" w:lineRule="auto"/>
        <w:ind w:left="454"/>
      </w:pPr>
      <w:bookmarkStart w:id="231" w:name="_Toc17898205"/>
      <w:bookmarkStart w:id="232" w:name="_Toc17897957"/>
      <w:bookmarkStart w:id="233" w:name="_Toc481075074"/>
      <w:bookmarkStart w:id="234" w:name="_Toc438646475"/>
      <w:bookmarkStart w:id="235" w:name="_Toc490050027"/>
      <w:bookmarkStart w:id="236" w:name="_Toc512519506"/>
      <w:bookmarkStart w:id="237" w:name="_Toc513295866"/>
      <w:bookmarkStart w:id="238" w:name="_Toc513295918"/>
      <w:bookmarkStart w:id="239" w:name="m509"/>
      <w:bookmarkEnd w:id="230"/>
      <w:r>
        <w:rPr>
          <w:rFonts w:hAnsi="宋体" w:hint="eastAsia"/>
        </w:rPr>
        <w:t>报告期末按公允价值占基金资产净值比例大小排序的前五名权证投资明</w:t>
      </w:r>
      <w:r>
        <w:rPr>
          <w:rFonts w:hAnsi="宋体" w:hint="eastAsia"/>
        </w:rPr>
        <w:t>细</w:t>
      </w:r>
      <w:bookmarkEnd w:id="231"/>
      <w:bookmarkEnd w:id="232"/>
      <w:bookmarkEnd w:id="233"/>
      <w:bookmarkEnd w:id="234"/>
      <w:bookmarkEnd w:id="235"/>
      <w:bookmarkEnd w:id="236"/>
      <w:bookmarkEnd w:id="237"/>
      <w:bookmarkEnd w:id="238"/>
      <w:r>
        <w:rPr>
          <w:rFonts w:hAnsi="宋体" w:hint="eastAsia"/>
        </w:rPr>
        <w:t xml:space="preserve"> </w:t>
      </w:r>
      <w:bookmarkEnd w:id="239"/>
    </w:p>
    <w:p w:rsidR="006F3640" w:rsidRDefault="006F3640">
      <w:pPr>
        <w:spacing w:line="360" w:lineRule="auto"/>
        <w:ind w:firstLineChars="200" w:firstLine="420"/>
        <w:divId w:val="205527495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F3640" w:rsidRDefault="006F3640">
      <w:pPr>
        <w:pStyle w:val="XBRLTitle2"/>
        <w:spacing w:before="156"/>
        <w:ind w:left="454"/>
      </w:pPr>
      <w:bookmarkStart w:id="240" w:name="_Toc17898206"/>
      <w:r>
        <w:rPr>
          <w:rFonts w:hint="eastAsia"/>
        </w:rPr>
        <w:t>报告期末本基金投资的股指期货交易情况说</w:t>
      </w:r>
      <w:r>
        <w:rPr>
          <w:rFonts w:hint="eastAsia"/>
        </w:rPr>
        <w:t>明</w:t>
      </w:r>
      <w:bookmarkEnd w:id="16"/>
      <w:bookmarkEnd w:id="69"/>
      <w:bookmarkEnd w:id="70"/>
      <w:bookmarkEnd w:id="182"/>
      <w:bookmarkEnd w:id="183"/>
      <w:bookmarkEnd w:id="184"/>
      <w:bookmarkEnd w:id="185"/>
      <w:bookmarkEnd w:id="186"/>
      <w:bookmarkEnd w:id="187"/>
      <w:bookmarkEnd w:id="188"/>
      <w:bookmarkEnd w:id="189"/>
      <w:bookmarkEnd w:id="240"/>
    </w:p>
    <w:p w:rsidR="006F3640" w:rsidRDefault="006F3640">
      <w:pPr>
        <w:spacing w:line="360" w:lineRule="auto"/>
        <w:ind w:firstLineChars="200" w:firstLine="420"/>
        <w:divId w:val="211336087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F3640" w:rsidRDefault="006F3640">
      <w:pPr>
        <w:pStyle w:val="XBRLTitle2"/>
        <w:spacing w:before="156" w:line="360" w:lineRule="auto"/>
        <w:ind w:left="454"/>
      </w:pPr>
      <w:bookmarkStart w:id="241" w:name="_Toc17898209"/>
      <w:bookmarkStart w:id="242" w:name="_Toc17897959"/>
      <w:bookmarkStart w:id="243" w:name="_Toc512519510"/>
      <w:bookmarkStart w:id="244" w:name="_Toc481075078"/>
      <w:bookmarkStart w:id="245" w:name="_Toc490050031"/>
      <w:bookmarkStart w:id="246" w:name="_Toc513295868"/>
      <w:bookmarkStart w:id="247" w:name="_Toc513295922"/>
      <w:bookmarkStart w:id="248" w:name="_Toc438646476"/>
      <w:r>
        <w:rPr>
          <w:rFonts w:hAnsi="宋体" w:hint="eastAsia"/>
        </w:rPr>
        <w:t>报告期末本基金投资的国债期货交易情况说</w:t>
      </w:r>
      <w:r>
        <w:rPr>
          <w:rFonts w:hAnsi="宋体" w:hint="eastAsia"/>
        </w:rPr>
        <w:t>明</w:t>
      </w:r>
      <w:bookmarkEnd w:id="241"/>
      <w:bookmarkEnd w:id="242"/>
      <w:bookmarkEnd w:id="243"/>
      <w:bookmarkEnd w:id="244"/>
      <w:bookmarkEnd w:id="245"/>
      <w:bookmarkEnd w:id="246"/>
      <w:bookmarkEnd w:id="247"/>
      <w:r>
        <w:rPr>
          <w:rFonts w:hAnsi="宋体" w:hint="eastAsia"/>
        </w:rPr>
        <w:t xml:space="preserve"> </w:t>
      </w:r>
      <w:bookmarkEnd w:id="248"/>
    </w:p>
    <w:p w:rsidR="006F3640" w:rsidRDefault="006F3640">
      <w:pPr>
        <w:spacing w:line="360" w:lineRule="auto"/>
        <w:ind w:firstLineChars="200" w:firstLine="420"/>
        <w:divId w:val="963655934"/>
        <w:rPr>
          <w:rFonts w:hint="eastAsia"/>
        </w:rPr>
      </w:pPr>
      <w:bookmarkStart w:id="249" w:name="m510_01_1597"/>
      <w:bookmarkStart w:id="250" w:name="m510_01_1598"/>
      <w:bookmarkEnd w:id="249"/>
      <w:r>
        <w:rPr>
          <w:rFonts w:ascii="宋体" w:hAnsi="宋体" w:hint="eastAsia"/>
          <w:szCs w:val="21"/>
          <w:lang w:eastAsia="zh-Hans"/>
        </w:rPr>
        <w:t>本基金本报告期末未持有国债期货</w:t>
      </w:r>
      <w:r>
        <w:rPr>
          <w:rFonts w:ascii="宋体" w:hAnsi="宋体" w:hint="eastAsia"/>
          <w:szCs w:val="21"/>
          <w:lang w:eastAsia="zh-Hans"/>
        </w:rPr>
        <w:t>。</w:t>
      </w:r>
    </w:p>
    <w:p w:rsidR="006F3640" w:rsidRDefault="006F3640">
      <w:pPr>
        <w:pStyle w:val="XBRLTitle2"/>
        <w:spacing w:before="156" w:line="360" w:lineRule="auto"/>
        <w:ind w:left="454"/>
      </w:pPr>
      <w:bookmarkStart w:id="251" w:name="_Toc17898213"/>
      <w:bookmarkStart w:id="252" w:name="_Toc17897960"/>
      <w:bookmarkStart w:id="253" w:name="_Toc512519514"/>
      <w:bookmarkStart w:id="254" w:name="_Toc481075082"/>
      <w:bookmarkStart w:id="255" w:name="_Toc490050035"/>
      <w:bookmarkStart w:id="256" w:name="_Toc513295869"/>
      <w:bookmarkStart w:id="257" w:name="_Toc513295926"/>
      <w:r>
        <w:rPr>
          <w:rFonts w:hAnsi="宋体" w:hint="eastAsia"/>
        </w:rPr>
        <w:t>投资组合报告附</w:t>
      </w:r>
      <w:r>
        <w:rPr>
          <w:rFonts w:hAnsi="宋体" w:hint="eastAsia"/>
        </w:rPr>
        <w:t>注</w:t>
      </w:r>
      <w:bookmarkEnd w:id="251"/>
      <w:bookmarkEnd w:id="252"/>
      <w:bookmarkEnd w:id="253"/>
      <w:bookmarkEnd w:id="254"/>
      <w:bookmarkEnd w:id="255"/>
      <w:bookmarkEnd w:id="256"/>
      <w:bookmarkEnd w:id="257"/>
      <w:r>
        <w:rPr>
          <w:rFonts w:hAnsi="宋体" w:hint="eastAsia"/>
        </w:rPr>
        <w:t xml:space="preserve"> </w:t>
      </w:r>
    </w:p>
    <w:p w:rsidR="006F3640" w:rsidRDefault="006F3640">
      <w:pPr>
        <w:pStyle w:val="XBRLTitle3"/>
        <w:spacing w:before="156"/>
        <w:ind w:left="0"/>
        <w:rPr>
          <w:rFonts w:hint="eastAsia"/>
        </w:rPr>
      </w:pPr>
      <w:bookmarkStart w:id="258" w:name="_Toc513295927"/>
      <w:bookmarkStart w:id="259" w:name="_Toc490050036"/>
      <w:bookmarkStart w:id="260" w:name="_Toc481075083"/>
      <w:bookmarkStart w:id="261" w:name="_Toc512519515"/>
      <w:bookmarkStart w:id="262" w:name="_Toc17898214"/>
      <w:bookmarkEnd w:id="258"/>
      <w:bookmarkEnd w:id="259"/>
      <w:bookmarkEnd w:id="260"/>
      <w:bookmarkEnd w:id="261"/>
      <w:r>
        <w:rPr>
          <w:rFonts w:hint="eastAsia"/>
        </w:rPr>
        <w:t> </w:t>
      </w:r>
      <w:bookmarkEnd w:id="262"/>
    </w:p>
    <w:p w:rsidR="006F3640" w:rsidRDefault="006F3640">
      <w:pPr>
        <w:spacing w:line="360" w:lineRule="auto"/>
        <w:ind w:firstLineChars="200" w:firstLine="420"/>
        <w:rPr>
          <w:rFonts w:hint="eastAsia"/>
        </w:rPr>
      </w:pPr>
      <w:r>
        <w:rPr>
          <w:rFonts w:ascii="宋体" w:hAnsi="宋体" w:hint="eastAsia"/>
        </w:rPr>
        <w:t>本基金投资的前十名证券的发行主体中，中国农业发展银行报告编制日前一年内曾受到国家金融监督管理总局的处罚，国家开发银行报告编制日前一年内曾受到央行、国家外汇管理局北京市分局的处罚。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6F3640" w:rsidRDefault="006F3640">
      <w:pPr>
        <w:pStyle w:val="XBRLTitle3"/>
        <w:spacing w:before="156"/>
        <w:ind w:left="0"/>
      </w:pPr>
      <w:bookmarkStart w:id="263" w:name="_Toc490050037"/>
      <w:bookmarkStart w:id="264" w:name="_Toc481075084"/>
      <w:bookmarkStart w:id="265" w:name="_Toc512519516"/>
      <w:bookmarkStart w:id="266" w:name="_Toc513295928"/>
      <w:bookmarkStart w:id="267" w:name="_Toc17898215"/>
      <w:bookmarkEnd w:id="263"/>
      <w:bookmarkEnd w:id="264"/>
      <w:bookmarkEnd w:id="265"/>
      <w:r>
        <w:rPr>
          <w:rFonts w:hint="eastAsia"/>
        </w:rPr>
        <w:t> </w:t>
      </w:r>
      <w:bookmarkEnd w:id="266"/>
      <w:bookmarkEnd w:id="267"/>
    </w:p>
    <w:p w:rsidR="006F3640" w:rsidRDefault="006F3640">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F3640" w:rsidRDefault="006F3640">
      <w:pPr>
        <w:pStyle w:val="XBRLTitle3"/>
        <w:spacing w:before="156"/>
        <w:ind w:left="0"/>
      </w:pPr>
      <w:bookmarkStart w:id="268" w:name="_Toc17898216"/>
      <w:bookmarkStart w:id="269" w:name="_Toc481075085"/>
      <w:bookmarkStart w:id="270" w:name="_Toc490050038"/>
      <w:bookmarkStart w:id="271" w:name="_Toc512519517"/>
      <w:bookmarkStart w:id="272" w:name="_Toc513295929"/>
      <w:bookmarkStart w:id="273" w:name="m510_02"/>
      <w:bookmarkEnd w:id="250"/>
      <w:r>
        <w:rPr>
          <w:rFonts w:hint="eastAsia"/>
        </w:rPr>
        <w:t>其他资产构</w:t>
      </w:r>
      <w:r>
        <w:rPr>
          <w:rFonts w:hint="eastAsia"/>
        </w:rPr>
        <w:t>成</w:t>
      </w:r>
      <w:bookmarkEnd w:id="268"/>
      <w:bookmarkEnd w:id="269"/>
      <w:bookmarkEnd w:id="270"/>
      <w:bookmarkEnd w:id="271"/>
      <w:bookmarkEnd w:id="2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2597098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jc w:val="center"/>
            </w:pPr>
            <w:r>
              <w:rPr>
                <w:rFonts w:ascii="宋体" w:hAnsi="宋体" w:hint="eastAsia"/>
              </w:rPr>
              <w:t>金额（元</w:t>
            </w:r>
            <w:r>
              <w:rPr>
                <w:rFonts w:ascii="宋体" w:hAnsi="宋体" w:hint="eastAsia"/>
              </w:rPr>
              <w:t>）</w:t>
            </w:r>
            <w:r>
              <w:t xml:space="preserve"> </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9,640,501.8</w:t>
            </w:r>
            <w:r>
              <w:rPr>
                <w:rFonts w:ascii="宋体" w:hAnsi="宋体" w:hint="eastAsia"/>
              </w:rPr>
              <w:t>1</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w:t>
            </w:r>
          </w:p>
        </w:tc>
      </w:tr>
      <w:tr w:rsidR="00000000">
        <w:trPr>
          <w:divId w:val="82597098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jc w:val="right"/>
            </w:pPr>
            <w:r>
              <w:rPr>
                <w:rFonts w:ascii="宋体" w:hAnsi="宋体" w:hint="eastAsia"/>
              </w:rPr>
              <w:t>9,640,501.8</w:t>
            </w:r>
            <w:r>
              <w:rPr>
                <w:rFonts w:ascii="宋体" w:hAnsi="宋体" w:hint="eastAsia"/>
              </w:rPr>
              <w:t>1</w:t>
            </w:r>
          </w:p>
        </w:tc>
      </w:tr>
    </w:tbl>
    <w:p w:rsidR="006F3640" w:rsidRDefault="006F3640">
      <w:pPr>
        <w:pStyle w:val="XBRLTitle3"/>
        <w:spacing w:before="156"/>
        <w:ind w:left="0"/>
      </w:pPr>
      <w:bookmarkStart w:id="274" w:name="_Toc17898217"/>
      <w:bookmarkStart w:id="275" w:name="_Toc481075086"/>
      <w:bookmarkStart w:id="276" w:name="_Toc490050039"/>
      <w:bookmarkStart w:id="277" w:name="_Toc512519518"/>
      <w:bookmarkStart w:id="278" w:name="_Toc513295930"/>
      <w:bookmarkStart w:id="279" w:name="m510_03"/>
      <w:bookmarkEnd w:id="273"/>
      <w:r>
        <w:rPr>
          <w:rFonts w:hint="eastAsia"/>
        </w:rPr>
        <w:t>报告期末持有的处于转股期的可转换债券明</w:t>
      </w:r>
      <w:r>
        <w:rPr>
          <w:rFonts w:hint="eastAsia"/>
        </w:rPr>
        <w:t>细</w:t>
      </w:r>
      <w:bookmarkEnd w:id="274"/>
      <w:bookmarkEnd w:id="275"/>
      <w:bookmarkEnd w:id="276"/>
      <w:bookmarkEnd w:id="277"/>
      <w:bookmarkEnd w:id="278"/>
    </w:p>
    <w:p w:rsidR="006F3640" w:rsidRDefault="006F3640">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F3640" w:rsidRDefault="006F3640">
      <w:pPr>
        <w:pStyle w:val="XBRLTitle3"/>
        <w:spacing w:before="156"/>
        <w:ind w:left="0"/>
      </w:pPr>
      <w:bookmarkStart w:id="280" w:name="_Toc17898218"/>
      <w:bookmarkStart w:id="281" w:name="_Toc481075087"/>
      <w:bookmarkStart w:id="282" w:name="_Toc490050040"/>
      <w:bookmarkStart w:id="283" w:name="_Toc512519519"/>
      <w:bookmarkStart w:id="284" w:name="_Toc513295931"/>
      <w:bookmarkStart w:id="285" w:name="m510_04"/>
      <w:bookmarkEnd w:id="279"/>
      <w:r>
        <w:rPr>
          <w:rFonts w:hint="eastAsia"/>
        </w:rPr>
        <w:t>报告期末前十名股票中存在流通受限情况的说</w:t>
      </w:r>
      <w:r>
        <w:rPr>
          <w:rFonts w:hint="eastAsia"/>
        </w:rPr>
        <w:t>明</w:t>
      </w:r>
      <w:bookmarkEnd w:id="280"/>
      <w:bookmarkEnd w:id="281"/>
      <w:bookmarkEnd w:id="282"/>
      <w:bookmarkEnd w:id="283"/>
      <w:bookmarkEnd w:id="284"/>
    </w:p>
    <w:p w:rsidR="006F3640" w:rsidRDefault="006F3640">
      <w:pPr>
        <w:spacing w:line="360" w:lineRule="auto"/>
        <w:ind w:firstLineChars="200" w:firstLine="420"/>
        <w:jc w:val="left"/>
        <w:divId w:val="1646685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F3640" w:rsidRDefault="006F3640">
      <w:pPr>
        <w:pStyle w:val="XBRLTitle3"/>
        <w:spacing w:before="156"/>
        <w:ind w:left="0"/>
      </w:pPr>
      <w:bookmarkStart w:id="286" w:name="_Toc17898219"/>
      <w:bookmarkStart w:id="287" w:name="_Toc512519520"/>
      <w:bookmarkStart w:id="288" w:name="_Toc481075088"/>
      <w:bookmarkStart w:id="289" w:name="_Toc490050041"/>
      <w:bookmarkStart w:id="290" w:name="_Toc513295932"/>
      <w:bookmarkStart w:id="291" w:name="m510_05_1678"/>
      <w:bookmarkEnd w:id="285"/>
      <w:r>
        <w:rPr>
          <w:rFonts w:hint="eastAsia"/>
        </w:rPr>
        <w:t>投资组合报告附注的其他文字描述部</w:t>
      </w:r>
      <w:r>
        <w:rPr>
          <w:rFonts w:hint="eastAsia"/>
        </w:rPr>
        <w:t>分</w:t>
      </w:r>
      <w:bookmarkEnd w:id="286"/>
      <w:bookmarkEnd w:id="287"/>
      <w:bookmarkEnd w:id="288"/>
      <w:bookmarkEnd w:id="289"/>
      <w:bookmarkEnd w:id="290"/>
      <w:r>
        <w:rPr>
          <w:rFonts w:hint="eastAsia"/>
          <w:sz w:val="21"/>
        </w:rPr>
        <w:t xml:space="preserve"> </w:t>
      </w:r>
    </w:p>
    <w:p w:rsidR="006F3640" w:rsidRDefault="006F3640">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1"/>
      <w:r>
        <w:rPr>
          <w:rFonts w:ascii="宋体" w:hAnsi="宋体" w:hint="eastAsia"/>
        </w:rPr>
        <w:t xml:space="preserve"> </w:t>
      </w:r>
    </w:p>
    <w:p w:rsidR="006F3640" w:rsidRDefault="006F3640">
      <w:pPr>
        <w:pStyle w:val="XBRLTitle1"/>
        <w:spacing w:before="156" w:line="360" w:lineRule="auto"/>
        <w:ind w:left="425"/>
      </w:pPr>
      <w:bookmarkStart w:id="292" w:name="_Toc17898220"/>
      <w:bookmarkStart w:id="293" w:name="_Toc17897961"/>
      <w:bookmarkStart w:id="294" w:name="_Toc512519521"/>
      <w:bookmarkStart w:id="295" w:name="_Toc481075089"/>
      <w:bookmarkStart w:id="296" w:name="_Toc438646477"/>
      <w:bookmarkStart w:id="297" w:name="_Toc490050042"/>
      <w:bookmarkStart w:id="298" w:name="_Toc513295870"/>
      <w:bookmarkStart w:id="299" w:name="_Toc513295933"/>
      <w:bookmarkStart w:id="300" w:name="m601"/>
      <w:bookmarkEnd w:id="180"/>
      <w:r>
        <w:rPr>
          <w:rFonts w:hAnsi="宋体" w:hint="eastAsia"/>
        </w:rPr>
        <w:t>开放式基金份额变</w:t>
      </w:r>
      <w:r>
        <w:rPr>
          <w:rFonts w:hAnsi="宋体" w:hint="eastAsia"/>
        </w:rPr>
        <w:t>动</w:t>
      </w:r>
      <w:bookmarkStart w:id="301" w:name="m601_tab"/>
      <w:bookmarkEnd w:id="292"/>
      <w:bookmarkEnd w:id="293"/>
      <w:bookmarkEnd w:id="294"/>
      <w:bookmarkEnd w:id="295"/>
      <w:bookmarkEnd w:id="296"/>
      <w:bookmarkEnd w:id="297"/>
      <w:bookmarkEnd w:id="298"/>
      <w:bookmarkEnd w:id="299"/>
      <w:r>
        <w:rPr>
          <w:rFonts w:hAnsi="宋体" w:hint="eastAsia"/>
        </w:rPr>
        <w:t xml:space="preserve"> </w:t>
      </w:r>
    </w:p>
    <w:p w:rsidR="006F3640" w:rsidRDefault="006F3640">
      <w:pPr>
        <w:wordWrap w:val="0"/>
        <w:spacing w:line="360" w:lineRule="auto"/>
        <w:jc w:val="right"/>
        <w:divId w:val="519665664"/>
        <w:rPr>
          <w:rFonts w:hint="eastAsia"/>
        </w:rPr>
      </w:pPr>
      <w:bookmarkStart w:id="302"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rPr>
          <w:divId w:val="519665664"/>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02"/>
          <w:p w:rsidR="006F3640" w:rsidRDefault="006F36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pPr>
            <w:r>
              <w:rPr>
                <w:rFonts w:ascii="宋体" w:hAnsi="宋体" w:hint="eastAsia"/>
                <w:kern w:val="0"/>
                <w:szCs w:val="24"/>
                <w:lang w:eastAsia="zh-Hans"/>
              </w:rPr>
              <w:t>7,990,077,699.9</w:t>
            </w:r>
            <w:r>
              <w:rPr>
                <w:rFonts w:ascii="宋体" w:hAnsi="宋体" w:hint="eastAsia"/>
                <w:kern w:val="0"/>
                <w:szCs w:val="24"/>
                <w:lang w:eastAsia="zh-Hans"/>
              </w:rPr>
              <w:t>4</w:t>
            </w:r>
          </w:p>
        </w:tc>
      </w:tr>
      <w:tr w:rsidR="00000000">
        <w:trPr>
          <w:divId w:val="519665664"/>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pPr>
            <w:r>
              <w:rPr>
                <w:rFonts w:ascii="宋体" w:hAnsi="宋体" w:hint="eastAsia"/>
                <w:lang w:eastAsia="zh-Hans"/>
              </w:rPr>
              <w:t>-</w:t>
            </w:r>
          </w:p>
        </w:tc>
      </w:tr>
      <w:tr w:rsidR="00000000">
        <w:trPr>
          <w:divId w:val="519665664"/>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pPr>
            <w:r>
              <w:rPr>
                <w:rFonts w:ascii="宋体" w:hAnsi="宋体" w:hint="eastAsia"/>
                <w:lang w:eastAsia="zh-Hans"/>
              </w:rPr>
              <w:t>-</w:t>
            </w:r>
          </w:p>
        </w:tc>
      </w:tr>
      <w:tr w:rsidR="00000000">
        <w:trPr>
          <w:divId w:val="519665664"/>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pPr>
            <w:r>
              <w:rPr>
                <w:rFonts w:ascii="宋体" w:hAnsi="宋体" w:hint="eastAsia"/>
                <w:lang w:eastAsia="zh-Hans"/>
              </w:rPr>
              <w:t>-</w:t>
            </w:r>
          </w:p>
        </w:tc>
      </w:tr>
      <w:tr w:rsidR="00000000">
        <w:trPr>
          <w:divId w:val="519665664"/>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3640" w:rsidRDefault="006F3640">
            <w:pPr>
              <w:jc w:val="right"/>
            </w:pPr>
            <w:r>
              <w:rPr>
                <w:rFonts w:ascii="宋体" w:hAnsi="宋体" w:hint="eastAsia"/>
                <w:szCs w:val="24"/>
                <w:lang w:eastAsia="zh-Hans"/>
              </w:rPr>
              <w:t>7,990,077,699.9</w:t>
            </w:r>
            <w:r>
              <w:rPr>
                <w:rFonts w:ascii="宋体" w:hAnsi="宋体" w:hint="eastAsia"/>
                <w:szCs w:val="24"/>
                <w:lang w:eastAsia="zh-Hans"/>
              </w:rPr>
              <w:t>4</w:t>
            </w:r>
            <w:r>
              <w:rPr>
                <w:rFonts w:ascii="宋体" w:hAnsi="宋体" w:hint="eastAsia"/>
                <w:lang w:eastAsia="zh-Hans"/>
              </w:rPr>
              <w:t xml:space="preserve"> </w:t>
            </w:r>
          </w:p>
        </w:tc>
      </w:tr>
    </w:tbl>
    <w:p w:rsidR="006F3640" w:rsidRDefault="006F3640">
      <w:pPr>
        <w:spacing w:line="360" w:lineRule="auto"/>
        <w:jc w:val="left"/>
        <w:divId w:val="519665664"/>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6F3640" w:rsidRDefault="006F3640">
      <w:pPr>
        <w:pStyle w:val="XBRLTitle1"/>
        <w:spacing w:before="156" w:line="360" w:lineRule="auto"/>
        <w:ind w:left="425"/>
      </w:pPr>
      <w:bookmarkStart w:id="303" w:name="_Toc17898221"/>
      <w:bookmarkStart w:id="304" w:name="_Toc17897962"/>
      <w:bookmarkStart w:id="305" w:name="m7manage01"/>
      <w:bookmarkStart w:id="306" w:name="_Toc512519522"/>
      <w:bookmarkStart w:id="307" w:name="_Toc481075090"/>
      <w:bookmarkStart w:id="308" w:name="_Toc438646478"/>
      <w:bookmarkStart w:id="309" w:name="_Toc490050043"/>
      <w:bookmarkStart w:id="310" w:name="_Toc513295871"/>
      <w:bookmarkStart w:id="311" w:name="_Toc513295934"/>
      <w:bookmarkEnd w:id="300"/>
      <w:bookmarkEnd w:id="301"/>
      <w:r>
        <w:rPr>
          <w:rFonts w:hAnsi="宋体" w:hint="eastAsia"/>
        </w:rPr>
        <w:t>基金管理人运用固有资金投资本基金情</w:t>
      </w:r>
      <w:r>
        <w:rPr>
          <w:rFonts w:hAnsi="宋体" w:hint="eastAsia"/>
        </w:rPr>
        <w:t>况</w:t>
      </w:r>
      <w:bookmarkEnd w:id="303"/>
      <w:bookmarkEnd w:id="304"/>
      <w:bookmarkEnd w:id="305"/>
      <w:bookmarkEnd w:id="306"/>
      <w:bookmarkEnd w:id="307"/>
      <w:bookmarkEnd w:id="308"/>
      <w:bookmarkEnd w:id="309"/>
      <w:bookmarkEnd w:id="310"/>
      <w:bookmarkEnd w:id="311"/>
      <w:r>
        <w:rPr>
          <w:rFonts w:hAnsi="宋体" w:hint="eastAsia"/>
        </w:rPr>
        <w:t xml:space="preserve"> </w:t>
      </w:r>
    </w:p>
    <w:p w:rsidR="006F3640" w:rsidRDefault="006F3640">
      <w:pPr>
        <w:pStyle w:val="XBRLTitle2"/>
        <w:spacing w:before="156" w:line="360" w:lineRule="auto"/>
        <w:ind w:left="454"/>
        <w:rPr>
          <w:rFonts w:hint="eastAsia"/>
        </w:rPr>
      </w:pPr>
      <w:bookmarkStart w:id="312" w:name="_Toc17898222"/>
      <w:bookmarkStart w:id="313" w:name="_Toc17897963"/>
      <w:bookmarkStart w:id="314" w:name="_Toc512519523"/>
      <w:bookmarkStart w:id="315" w:name="_Toc481075091"/>
      <w:bookmarkStart w:id="316" w:name="_Toc458599606"/>
      <w:bookmarkStart w:id="317" w:name="_Toc490050044"/>
      <w:bookmarkStart w:id="318" w:name="_Toc513295872"/>
      <w:bookmarkStart w:id="319" w:name="_Toc513295935"/>
      <w:r>
        <w:rPr>
          <w:rFonts w:hAnsi="宋体" w:hint="eastAsia"/>
        </w:rPr>
        <w:t>基金管理人持有本基金份额变动情</w:t>
      </w:r>
      <w:r>
        <w:rPr>
          <w:rFonts w:hAnsi="宋体" w:hint="eastAsia"/>
        </w:rPr>
        <w:t>况</w:t>
      </w:r>
      <w:bookmarkEnd w:id="312"/>
      <w:bookmarkEnd w:id="313"/>
      <w:bookmarkEnd w:id="314"/>
      <w:bookmarkEnd w:id="315"/>
      <w:bookmarkEnd w:id="316"/>
      <w:bookmarkEnd w:id="317"/>
      <w:bookmarkEnd w:id="318"/>
      <w:bookmarkEnd w:id="319"/>
      <w:r>
        <w:rPr>
          <w:rFonts w:hAnsi="宋体" w:hint="eastAsia"/>
          <w:lang w:eastAsia="zh-CN"/>
        </w:rPr>
        <w:t xml:space="preserve"> </w:t>
      </w:r>
    </w:p>
    <w:p w:rsidR="006F3640" w:rsidRDefault="006F3640">
      <w:pPr>
        <w:spacing w:line="360" w:lineRule="auto"/>
        <w:ind w:firstLineChars="200" w:firstLine="420"/>
        <w:jc w:val="left"/>
        <w:divId w:val="989405424"/>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6F3640" w:rsidRDefault="006F3640">
      <w:pPr>
        <w:pStyle w:val="XBRLTitle2"/>
        <w:spacing w:before="156" w:line="360" w:lineRule="auto"/>
        <w:ind w:left="454"/>
      </w:pPr>
      <w:bookmarkStart w:id="320" w:name="_Toc17898223"/>
      <w:bookmarkStart w:id="321" w:name="_Toc17897964"/>
      <w:bookmarkStart w:id="322" w:name="_Toc512519524"/>
      <w:bookmarkStart w:id="323" w:name="_Toc481075092"/>
      <w:bookmarkStart w:id="324" w:name="_Toc458599607"/>
      <w:bookmarkStart w:id="325" w:name="_Toc490050045"/>
      <w:bookmarkStart w:id="326" w:name="_Toc513295873"/>
      <w:bookmarkStart w:id="327" w:name="_Toc513295936"/>
      <w:r>
        <w:rPr>
          <w:rFonts w:hAnsi="宋体" w:hint="eastAsia"/>
        </w:rPr>
        <w:t>基金管理人运用固有资金投资本基金交易明</w:t>
      </w:r>
      <w:r>
        <w:rPr>
          <w:rFonts w:hAnsi="宋体" w:hint="eastAsia"/>
        </w:rPr>
        <w:t>细</w:t>
      </w:r>
      <w:bookmarkEnd w:id="320"/>
      <w:bookmarkEnd w:id="321"/>
      <w:bookmarkEnd w:id="322"/>
      <w:bookmarkEnd w:id="323"/>
      <w:bookmarkEnd w:id="324"/>
      <w:bookmarkEnd w:id="325"/>
      <w:bookmarkEnd w:id="326"/>
      <w:bookmarkEnd w:id="327"/>
      <w:r>
        <w:rPr>
          <w:rFonts w:hAnsi="宋体" w:hint="eastAsia"/>
          <w:lang w:eastAsia="zh-CN"/>
        </w:rPr>
        <w:t xml:space="preserve"> </w:t>
      </w:r>
    </w:p>
    <w:p w:rsidR="006F3640" w:rsidRDefault="006F3640">
      <w:pPr>
        <w:spacing w:line="360" w:lineRule="auto"/>
        <w:ind w:firstLineChars="200" w:firstLine="420"/>
        <w:jc w:val="left"/>
        <w:divId w:val="489297652"/>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F3640" w:rsidRDefault="006F3640">
      <w:pPr>
        <w:pStyle w:val="XBRLTitle1"/>
        <w:spacing w:before="156" w:line="360" w:lineRule="auto"/>
        <w:ind w:left="425"/>
      </w:pPr>
      <w:bookmarkStart w:id="328" w:name="_Toc17898225"/>
      <w:bookmarkStart w:id="329" w:name="_Toc17897966"/>
      <w:bookmarkStart w:id="330" w:name="_Toc512519526"/>
      <w:bookmarkStart w:id="331" w:name="_Toc490050046"/>
      <w:bookmarkStart w:id="332" w:name="_Toc481075094"/>
      <w:bookmarkStart w:id="333" w:name="_Toc479856294"/>
      <w:bookmarkStart w:id="334" w:name="_Toc513295875"/>
      <w:bookmarkStart w:id="335" w:name="_Toc513295938"/>
      <w:bookmarkStart w:id="336" w:name="m701"/>
      <w:r>
        <w:rPr>
          <w:rFonts w:hAnsi="宋体" w:hint="eastAsia"/>
        </w:rPr>
        <w:t>影响投资者决策的其他重要信</w:t>
      </w:r>
      <w:r>
        <w:rPr>
          <w:rFonts w:hAnsi="宋体" w:hint="eastAsia"/>
        </w:rPr>
        <w:t>息</w:t>
      </w:r>
      <w:bookmarkEnd w:id="328"/>
      <w:bookmarkEnd w:id="329"/>
      <w:bookmarkEnd w:id="330"/>
      <w:bookmarkEnd w:id="331"/>
      <w:bookmarkEnd w:id="332"/>
      <w:bookmarkEnd w:id="333"/>
      <w:bookmarkEnd w:id="334"/>
      <w:bookmarkEnd w:id="335"/>
      <w:r>
        <w:rPr>
          <w:rFonts w:hAnsi="宋体" w:hint="eastAsia"/>
          <w:lang w:eastAsia="zh-CN"/>
        </w:rPr>
        <w:t xml:space="preserve"> </w:t>
      </w:r>
    </w:p>
    <w:p w:rsidR="006F3640" w:rsidRDefault="006F3640">
      <w:pPr>
        <w:pStyle w:val="XBRLTitle2"/>
        <w:spacing w:before="156" w:line="360" w:lineRule="auto"/>
        <w:ind w:left="454"/>
        <w:rPr>
          <w:rFonts w:hint="eastAsia"/>
        </w:rPr>
      </w:pPr>
      <w:bookmarkStart w:id="337" w:name="_Toc17898226"/>
      <w:bookmarkStart w:id="338" w:name="_Toc17897967"/>
      <w:bookmarkStart w:id="339" w:name="_Toc512519527"/>
      <w:bookmarkStart w:id="340" w:name="_Toc481075095"/>
      <w:bookmarkStart w:id="341" w:name="_Toc490050047"/>
      <w:bookmarkStart w:id="342" w:name="_Toc513295876"/>
      <w:bookmarkStart w:id="343"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7"/>
      <w:bookmarkEnd w:id="338"/>
      <w:bookmarkEnd w:id="339"/>
      <w:bookmarkEnd w:id="340"/>
      <w:bookmarkEnd w:id="341"/>
      <w:bookmarkEnd w:id="342"/>
      <w:bookmarkEnd w:id="343"/>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879"/>
        <w:gridCol w:w="975"/>
        <w:gridCol w:w="1710"/>
        <w:gridCol w:w="1020"/>
        <w:gridCol w:w="1055"/>
        <w:gridCol w:w="1710"/>
        <w:gridCol w:w="1246"/>
      </w:tblGrid>
      <w:tr w:rsidR="00000000">
        <w:trPr>
          <w:divId w:val="1024014799"/>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jc w:val="center"/>
              <w:rPr>
                <w:rFonts w:hint="eastAsia"/>
              </w:rPr>
            </w:pPr>
            <w:bookmarkStart w:id="344" w:name="OLE_LINK42"/>
            <w:bookmarkStart w:id="345" w:name="OLE_LINK41"/>
            <w:bookmarkStart w:id="346" w:name="m13_01"/>
            <w:bookmarkStart w:id="347" w:name="m13_01_01"/>
            <w:bookmarkStart w:id="348" w:name="_Toc433036733"/>
            <w:bookmarkStart w:id="349" w:name="m12_01"/>
            <w:bookmarkEnd w:id="22"/>
            <w:bookmarkEnd w:id="41"/>
            <w:bookmarkEnd w:id="42"/>
            <w:bookmarkEnd w:id="344"/>
            <w:bookmarkEnd w:id="345"/>
            <w:bookmarkEnd w:id="346"/>
            <w:bookmarkEnd w:id="347"/>
            <w:bookmarkEnd w:id="348"/>
            <w:bookmarkEnd w:id="349"/>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02401479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640" w:rsidRDefault="006F3640">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期初</w:t>
            </w:r>
            <w:r>
              <w:rPr>
                <w:rFonts w:ascii="宋体" w:hAnsi="宋体" w:hint="eastAsia"/>
                <w:color w:val="000000"/>
                <w:kern w:val="0"/>
              </w:rPr>
              <w:t xml:space="preserve"> </w:t>
            </w:r>
          </w:p>
          <w:p w:rsidR="006F3640" w:rsidRDefault="006F3640">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申购</w:t>
            </w:r>
            <w:r>
              <w:rPr>
                <w:rFonts w:ascii="宋体" w:hAnsi="宋体" w:hint="eastAsia"/>
                <w:color w:val="000000"/>
                <w:kern w:val="0"/>
              </w:rPr>
              <w:t xml:space="preserve"> </w:t>
            </w:r>
          </w:p>
          <w:p w:rsidR="006F3640" w:rsidRDefault="006F3640">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赎回</w:t>
            </w:r>
            <w:r>
              <w:rPr>
                <w:rFonts w:ascii="宋体" w:hAnsi="宋体" w:hint="eastAsia"/>
                <w:color w:val="000000"/>
                <w:kern w:val="0"/>
              </w:rPr>
              <w:t xml:space="preserve"> </w:t>
            </w:r>
          </w:p>
          <w:p w:rsidR="006F3640" w:rsidRDefault="006F3640">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3640" w:rsidRDefault="006F3640">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024014799"/>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3,989,999,000.0</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3,989,999,000.0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49.9</w:t>
            </w:r>
            <w:r>
              <w:rPr>
                <w:rFonts w:ascii="宋体" w:hAnsi="宋体" w:hint="eastAsia"/>
                <w:color w:val="000000"/>
                <w:szCs w:val="21"/>
              </w:rPr>
              <w:t>4</w:t>
            </w:r>
            <w:r>
              <w:rPr>
                <w:szCs w:val="21"/>
              </w:rPr>
              <w:t>%</w:t>
            </w:r>
            <w:r>
              <w:t xml:space="preserve"> </w:t>
            </w:r>
          </w:p>
        </w:tc>
      </w:tr>
      <w:tr w:rsidR="00000000">
        <w:trPr>
          <w:divId w:val="102401479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640" w:rsidRDefault="006F3640">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2,199,999,000.0</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2,199,999,000.0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right"/>
            </w:pPr>
            <w:r>
              <w:rPr>
                <w:rFonts w:ascii="宋体" w:hAnsi="宋体" w:hint="eastAsia"/>
                <w:color w:val="000000"/>
                <w:szCs w:val="21"/>
              </w:rPr>
              <w:t>27.5</w:t>
            </w:r>
            <w:r>
              <w:rPr>
                <w:rFonts w:ascii="宋体" w:hAnsi="宋体" w:hint="eastAsia"/>
                <w:color w:val="000000"/>
                <w:szCs w:val="21"/>
              </w:rPr>
              <w:t>3</w:t>
            </w:r>
            <w:r>
              <w:rPr>
                <w:szCs w:val="21"/>
              </w:rPr>
              <w:t>%</w:t>
            </w:r>
            <w:r>
              <w:t xml:space="preserve"> </w:t>
            </w:r>
          </w:p>
        </w:tc>
      </w:tr>
      <w:tr w:rsidR="00000000">
        <w:trPr>
          <w:divId w:val="1024014799"/>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024014799"/>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3640" w:rsidRDefault="006F3640">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6F3640" w:rsidRDefault="006F3640">
      <w:pPr>
        <w:pStyle w:val="XBRLTitle1"/>
        <w:spacing w:before="156" w:line="360" w:lineRule="auto"/>
        <w:ind w:left="425"/>
      </w:pPr>
      <w:bookmarkStart w:id="350" w:name="_Toc17898228"/>
      <w:bookmarkStart w:id="351" w:name="_Toc17897969"/>
      <w:bookmarkStart w:id="352" w:name="_Toc512519529"/>
      <w:bookmarkStart w:id="353" w:name="_Toc490050049"/>
      <w:bookmarkStart w:id="354" w:name="_Toc481075097"/>
      <w:bookmarkStart w:id="355" w:name="_Toc438646481"/>
      <w:bookmarkStart w:id="356" w:name="_Toc513295878"/>
      <w:bookmarkStart w:id="357" w:name="_Toc513295941"/>
      <w:bookmarkEnd w:id="336"/>
      <w:r>
        <w:rPr>
          <w:rFonts w:hAnsi="宋体" w:hint="eastAsia"/>
        </w:rPr>
        <w:t>备查文件目</w:t>
      </w:r>
      <w:r>
        <w:rPr>
          <w:rFonts w:hAnsi="宋体" w:hint="eastAsia"/>
        </w:rPr>
        <w:t>录</w:t>
      </w:r>
      <w:bookmarkEnd w:id="350"/>
      <w:bookmarkEnd w:id="351"/>
      <w:bookmarkEnd w:id="352"/>
      <w:bookmarkEnd w:id="353"/>
      <w:bookmarkEnd w:id="354"/>
      <w:bookmarkEnd w:id="355"/>
      <w:bookmarkEnd w:id="356"/>
      <w:bookmarkEnd w:id="357"/>
      <w:r>
        <w:rPr>
          <w:rFonts w:hAnsi="宋体" w:hint="eastAsia"/>
        </w:rPr>
        <w:t xml:space="preserve"> </w:t>
      </w:r>
    </w:p>
    <w:p w:rsidR="006F3640" w:rsidRDefault="006F3640">
      <w:pPr>
        <w:pStyle w:val="XBRLTitle2"/>
        <w:spacing w:before="156" w:line="360" w:lineRule="auto"/>
        <w:ind w:left="454"/>
        <w:rPr>
          <w:rFonts w:hint="eastAsia"/>
        </w:rPr>
      </w:pPr>
      <w:bookmarkStart w:id="358" w:name="_Toc438646482"/>
      <w:bookmarkStart w:id="359" w:name="_Toc17898229"/>
      <w:bookmarkStart w:id="360" w:name="_Toc17897970"/>
      <w:bookmarkStart w:id="361" w:name="_Toc512519530"/>
      <w:bookmarkStart w:id="362" w:name="_Toc481075098"/>
      <w:bookmarkStart w:id="363" w:name="_Toc490050050"/>
      <w:bookmarkStart w:id="364" w:name="_Toc513295879"/>
      <w:bookmarkStart w:id="365" w:name="_Toc513295942"/>
      <w:bookmarkStart w:id="366" w:name="m801_01_1733"/>
      <w:r>
        <w:rPr>
          <w:rFonts w:hAnsi="宋体" w:hint="eastAsia"/>
        </w:rPr>
        <w:t>备查文件目</w:t>
      </w:r>
      <w:r>
        <w:rPr>
          <w:rFonts w:hAnsi="宋体" w:hint="eastAsia"/>
        </w:rPr>
        <w:t>录</w:t>
      </w:r>
      <w:bookmarkEnd w:id="358"/>
      <w:bookmarkEnd w:id="359"/>
      <w:bookmarkEnd w:id="360"/>
      <w:bookmarkEnd w:id="361"/>
      <w:bookmarkEnd w:id="362"/>
      <w:bookmarkEnd w:id="363"/>
      <w:bookmarkEnd w:id="364"/>
      <w:bookmarkEnd w:id="365"/>
      <w:r>
        <w:rPr>
          <w:rFonts w:hAnsi="宋体" w:hint="eastAsia"/>
        </w:rPr>
        <w:t xml:space="preserve"> </w:t>
      </w:r>
    </w:p>
    <w:p w:rsidR="006F3640" w:rsidRDefault="006F3640">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摩根瑞盛</w:t>
      </w:r>
      <w:r>
        <w:rPr>
          <w:rFonts w:ascii="宋体" w:hAnsi="宋体" w:cs="宋体" w:hint="eastAsia"/>
          <w:color w:val="000000"/>
          <w:kern w:val="0"/>
        </w:rPr>
        <w:t>87</w:t>
      </w:r>
      <w:r>
        <w:rPr>
          <w:rFonts w:ascii="宋体" w:hAnsi="宋体" w:cs="宋体" w:hint="eastAsia"/>
          <w:color w:val="000000"/>
          <w:kern w:val="0"/>
        </w:rPr>
        <w:t>个月定期开放债券型证券投资基金基金合同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摩根瑞盛</w:t>
      </w:r>
      <w:r>
        <w:rPr>
          <w:rFonts w:ascii="宋体" w:hAnsi="宋体" w:cs="宋体" w:hint="eastAsia"/>
          <w:color w:val="000000"/>
          <w:kern w:val="0"/>
        </w:rPr>
        <w:t>87</w:t>
      </w:r>
      <w:r>
        <w:rPr>
          <w:rFonts w:ascii="宋体" w:hAnsi="宋体" w:cs="宋体" w:hint="eastAsia"/>
          <w:color w:val="000000"/>
          <w:kern w:val="0"/>
        </w:rPr>
        <w:t>个月定期开放债券型证券投资基金托管协议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6F3640" w:rsidRDefault="006F3640">
      <w:pPr>
        <w:pStyle w:val="XBRLTitle2"/>
        <w:spacing w:before="156" w:line="360" w:lineRule="auto"/>
        <w:ind w:left="454"/>
      </w:pPr>
      <w:bookmarkStart w:id="367" w:name="_Toc438646483"/>
      <w:bookmarkStart w:id="368" w:name="_Toc17898230"/>
      <w:bookmarkStart w:id="369" w:name="_Toc17897971"/>
      <w:bookmarkStart w:id="370" w:name="_Toc512519531"/>
      <w:bookmarkStart w:id="371" w:name="_Toc481075099"/>
      <w:bookmarkStart w:id="372" w:name="_Toc490050051"/>
      <w:bookmarkStart w:id="373" w:name="_Toc513295880"/>
      <w:bookmarkStart w:id="374" w:name="_Toc513295943"/>
      <w:bookmarkStart w:id="375" w:name="m801_01_1734"/>
      <w:bookmarkEnd w:id="366"/>
      <w:r>
        <w:rPr>
          <w:rFonts w:hAnsi="宋体" w:hint="eastAsia"/>
        </w:rPr>
        <w:t>存放地</w:t>
      </w:r>
      <w:r>
        <w:rPr>
          <w:rFonts w:hAnsi="宋体" w:hint="eastAsia"/>
        </w:rPr>
        <w:t>点</w:t>
      </w:r>
      <w:bookmarkEnd w:id="367"/>
      <w:bookmarkEnd w:id="368"/>
      <w:bookmarkEnd w:id="369"/>
      <w:bookmarkEnd w:id="370"/>
      <w:bookmarkEnd w:id="371"/>
      <w:bookmarkEnd w:id="372"/>
      <w:bookmarkEnd w:id="373"/>
      <w:bookmarkEnd w:id="374"/>
      <w:r>
        <w:rPr>
          <w:rFonts w:hAnsi="宋体" w:hint="eastAsia"/>
        </w:rPr>
        <w:t xml:space="preserve"> </w:t>
      </w:r>
    </w:p>
    <w:p w:rsidR="006F3640" w:rsidRDefault="006F3640">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F3640" w:rsidRDefault="006F3640">
      <w:pPr>
        <w:pStyle w:val="XBRLTitle2"/>
        <w:spacing w:before="156" w:line="360" w:lineRule="auto"/>
        <w:ind w:left="454"/>
      </w:pPr>
      <w:bookmarkStart w:id="376" w:name="_Toc438646484"/>
      <w:bookmarkStart w:id="377" w:name="_Toc17898231"/>
      <w:bookmarkStart w:id="378" w:name="_Toc17897972"/>
      <w:bookmarkStart w:id="379" w:name="_Toc512519532"/>
      <w:bookmarkStart w:id="380" w:name="_Toc481075100"/>
      <w:bookmarkStart w:id="381" w:name="_Toc490050052"/>
      <w:bookmarkStart w:id="382" w:name="_Toc513295881"/>
      <w:bookmarkStart w:id="383" w:name="_Toc513295944"/>
      <w:bookmarkStart w:id="384" w:name="m801_01_1735"/>
      <w:bookmarkEnd w:id="375"/>
      <w:r>
        <w:rPr>
          <w:rFonts w:hAnsi="宋体" w:hint="eastAsia"/>
        </w:rPr>
        <w:t>查阅方</w:t>
      </w:r>
      <w:r>
        <w:rPr>
          <w:rFonts w:hAnsi="宋体" w:hint="eastAsia"/>
        </w:rPr>
        <w:t>式</w:t>
      </w:r>
      <w:bookmarkEnd w:id="376"/>
      <w:bookmarkEnd w:id="377"/>
      <w:bookmarkEnd w:id="378"/>
      <w:bookmarkEnd w:id="379"/>
      <w:bookmarkEnd w:id="380"/>
      <w:bookmarkEnd w:id="381"/>
      <w:bookmarkEnd w:id="382"/>
      <w:bookmarkEnd w:id="383"/>
      <w:r>
        <w:rPr>
          <w:rFonts w:hAnsi="宋体" w:hint="eastAsia"/>
        </w:rPr>
        <w:t xml:space="preserve"> </w:t>
      </w:r>
    </w:p>
    <w:p w:rsidR="006F3640" w:rsidRDefault="006F3640">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4"/>
    <w:p w:rsidR="006F3640" w:rsidRDefault="006F364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F3640" w:rsidRDefault="006F3640">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F3640" w:rsidRDefault="006F3640">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F3640" w:rsidRDefault="006F3640">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F3640">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640" w:rsidRDefault="006F3640">
      <w:pPr>
        <w:rPr>
          <w:szCs w:val="21"/>
        </w:rPr>
      </w:pPr>
      <w:r>
        <w:rPr>
          <w:szCs w:val="21"/>
        </w:rPr>
        <w:separator/>
      </w:r>
      <w:r>
        <w:rPr>
          <w:szCs w:val="21"/>
        </w:rPr>
        <w:t xml:space="preserve"> </w:t>
      </w:r>
    </w:p>
  </w:endnote>
  <w:endnote w:type="continuationSeparator" w:id="0">
    <w:p w:rsidR="006F3640" w:rsidRDefault="006F364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40" w:rsidRDefault="006F364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640" w:rsidRDefault="006F3640">
      <w:pPr>
        <w:rPr>
          <w:szCs w:val="21"/>
        </w:rPr>
      </w:pPr>
      <w:r>
        <w:rPr>
          <w:szCs w:val="21"/>
        </w:rPr>
        <w:separator/>
      </w:r>
      <w:r>
        <w:rPr>
          <w:szCs w:val="21"/>
        </w:rPr>
        <w:t xml:space="preserve"> </w:t>
      </w:r>
    </w:p>
  </w:footnote>
  <w:footnote w:type="continuationSeparator" w:id="0">
    <w:p w:rsidR="006F3640" w:rsidRDefault="006F364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40" w:rsidRDefault="006F3640">
    <w:pPr>
      <w:pStyle w:val="a8"/>
      <w:jc w:val="right"/>
    </w:pPr>
    <w:r>
      <w:rPr>
        <w:rFonts w:ascii="宋体" w:hAnsi="宋体" w:hint="eastAsia"/>
      </w:rPr>
      <w:t>摩根瑞盛</w:t>
    </w:r>
    <w:r>
      <w:rPr>
        <w:rFonts w:ascii="宋体" w:hAnsi="宋体" w:hint="eastAsia"/>
      </w:rPr>
      <w:t>87</w:t>
    </w:r>
    <w:r>
      <w:rPr>
        <w:rFonts w:ascii="宋体" w:hAnsi="宋体" w:hint="eastAsia"/>
      </w:rPr>
      <w:t>个月定期开放债券型证券投资基金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98841002">
    <w:abstractNumId w:val="0"/>
  </w:num>
  <w:num w:numId="2" w16cid:durableId="1812861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03396"/>
    <w:rsid w:val="006F3640"/>
    <w:rsid w:val="00B03396"/>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6853">
      <w:marLeft w:val="0"/>
      <w:marRight w:val="0"/>
      <w:marTop w:val="0"/>
      <w:marBottom w:val="0"/>
      <w:divBdr>
        <w:top w:val="none" w:sz="0" w:space="0" w:color="auto"/>
        <w:left w:val="none" w:sz="0" w:space="0" w:color="auto"/>
        <w:bottom w:val="none" w:sz="0" w:space="0" w:color="auto"/>
        <w:right w:val="none" w:sz="0" w:space="0" w:color="auto"/>
      </w:divBdr>
    </w:div>
    <w:div w:id="27073575">
      <w:marLeft w:val="0"/>
      <w:marRight w:val="0"/>
      <w:marTop w:val="0"/>
      <w:marBottom w:val="0"/>
      <w:divBdr>
        <w:top w:val="none" w:sz="0" w:space="0" w:color="auto"/>
        <w:left w:val="none" w:sz="0" w:space="0" w:color="auto"/>
        <w:bottom w:val="none" w:sz="0" w:space="0" w:color="auto"/>
        <w:right w:val="none" w:sz="0" w:space="0" w:color="auto"/>
      </w:divBdr>
      <w:divsChild>
        <w:div w:id="1864855470">
          <w:marLeft w:val="0"/>
          <w:marRight w:val="0"/>
          <w:marTop w:val="0"/>
          <w:marBottom w:val="0"/>
          <w:divBdr>
            <w:top w:val="none" w:sz="0" w:space="0" w:color="auto"/>
            <w:left w:val="none" w:sz="0" w:space="0" w:color="auto"/>
            <w:bottom w:val="none" w:sz="0" w:space="0" w:color="auto"/>
            <w:right w:val="none" w:sz="0" w:space="0" w:color="auto"/>
          </w:divBdr>
        </w:div>
      </w:divsChild>
    </w:div>
    <w:div w:id="489297652">
      <w:marLeft w:val="0"/>
      <w:marRight w:val="0"/>
      <w:marTop w:val="0"/>
      <w:marBottom w:val="0"/>
      <w:divBdr>
        <w:top w:val="none" w:sz="0" w:space="0" w:color="auto"/>
        <w:left w:val="none" w:sz="0" w:space="0" w:color="auto"/>
        <w:bottom w:val="none" w:sz="0" w:space="0" w:color="auto"/>
        <w:right w:val="none" w:sz="0" w:space="0" w:color="auto"/>
      </w:divBdr>
    </w:div>
    <w:div w:id="492914302">
      <w:marLeft w:val="0"/>
      <w:marRight w:val="0"/>
      <w:marTop w:val="0"/>
      <w:marBottom w:val="0"/>
      <w:divBdr>
        <w:top w:val="none" w:sz="0" w:space="0" w:color="auto"/>
        <w:left w:val="none" w:sz="0" w:space="0" w:color="auto"/>
        <w:bottom w:val="none" w:sz="0" w:space="0" w:color="auto"/>
        <w:right w:val="none" w:sz="0" w:space="0" w:color="auto"/>
      </w:divBdr>
    </w:div>
    <w:div w:id="501747777">
      <w:marLeft w:val="0"/>
      <w:marRight w:val="0"/>
      <w:marTop w:val="0"/>
      <w:marBottom w:val="0"/>
      <w:divBdr>
        <w:top w:val="none" w:sz="0" w:space="0" w:color="auto"/>
        <w:left w:val="none" w:sz="0" w:space="0" w:color="auto"/>
        <w:bottom w:val="none" w:sz="0" w:space="0" w:color="auto"/>
        <w:right w:val="none" w:sz="0" w:space="0" w:color="auto"/>
      </w:divBdr>
    </w:div>
    <w:div w:id="519665664">
      <w:marLeft w:val="0"/>
      <w:marRight w:val="0"/>
      <w:marTop w:val="0"/>
      <w:marBottom w:val="0"/>
      <w:divBdr>
        <w:top w:val="none" w:sz="0" w:space="0" w:color="auto"/>
        <w:left w:val="none" w:sz="0" w:space="0" w:color="auto"/>
        <w:bottom w:val="none" w:sz="0" w:space="0" w:color="auto"/>
        <w:right w:val="none" w:sz="0" w:space="0" w:color="auto"/>
      </w:divBdr>
    </w:div>
    <w:div w:id="629172657">
      <w:marLeft w:val="0"/>
      <w:marRight w:val="0"/>
      <w:marTop w:val="0"/>
      <w:marBottom w:val="0"/>
      <w:divBdr>
        <w:top w:val="none" w:sz="0" w:space="0" w:color="auto"/>
        <w:left w:val="none" w:sz="0" w:space="0" w:color="auto"/>
        <w:bottom w:val="none" w:sz="0" w:space="0" w:color="auto"/>
        <w:right w:val="none" w:sz="0" w:space="0" w:color="auto"/>
      </w:divBdr>
    </w:div>
    <w:div w:id="631443915">
      <w:marLeft w:val="0"/>
      <w:marRight w:val="0"/>
      <w:marTop w:val="0"/>
      <w:marBottom w:val="0"/>
      <w:divBdr>
        <w:top w:val="none" w:sz="0" w:space="0" w:color="auto"/>
        <w:left w:val="none" w:sz="0" w:space="0" w:color="auto"/>
        <w:bottom w:val="none" w:sz="0" w:space="0" w:color="auto"/>
        <w:right w:val="none" w:sz="0" w:space="0" w:color="auto"/>
      </w:divBdr>
    </w:div>
    <w:div w:id="963655934">
      <w:marLeft w:val="0"/>
      <w:marRight w:val="0"/>
      <w:marTop w:val="0"/>
      <w:marBottom w:val="0"/>
      <w:divBdr>
        <w:top w:val="none" w:sz="0" w:space="0" w:color="auto"/>
        <w:left w:val="none" w:sz="0" w:space="0" w:color="auto"/>
        <w:bottom w:val="none" w:sz="0" w:space="0" w:color="auto"/>
        <w:right w:val="none" w:sz="0" w:space="0" w:color="auto"/>
      </w:divBdr>
    </w:div>
    <w:div w:id="984046024">
      <w:marLeft w:val="0"/>
      <w:marRight w:val="0"/>
      <w:marTop w:val="0"/>
      <w:marBottom w:val="0"/>
      <w:divBdr>
        <w:top w:val="none" w:sz="0" w:space="0" w:color="auto"/>
        <w:left w:val="none" w:sz="0" w:space="0" w:color="auto"/>
        <w:bottom w:val="none" w:sz="0" w:space="0" w:color="auto"/>
        <w:right w:val="none" w:sz="0" w:space="0" w:color="auto"/>
      </w:divBdr>
      <w:divsChild>
        <w:div w:id="825970985">
          <w:marLeft w:val="0"/>
          <w:marRight w:val="0"/>
          <w:marTop w:val="0"/>
          <w:marBottom w:val="0"/>
          <w:divBdr>
            <w:top w:val="none" w:sz="0" w:space="0" w:color="auto"/>
            <w:left w:val="none" w:sz="0" w:space="0" w:color="auto"/>
            <w:bottom w:val="none" w:sz="0" w:space="0" w:color="auto"/>
            <w:right w:val="none" w:sz="0" w:space="0" w:color="auto"/>
          </w:divBdr>
        </w:div>
      </w:divsChild>
    </w:div>
    <w:div w:id="989405424">
      <w:marLeft w:val="0"/>
      <w:marRight w:val="0"/>
      <w:marTop w:val="0"/>
      <w:marBottom w:val="0"/>
      <w:divBdr>
        <w:top w:val="none" w:sz="0" w:space="0" w:color="auto"/>
        <w:left w:val="none" w:sz="0" w:space="0" w:color="auto"/>
        <w:bottom w:val="none" w:sz="0" w:space="0" w:color="auto"/>
        <w:right w:val="none" w:sz="0" w:space="0" w:color="auto"/>
      </w:divBdr>
    </w:div>
    <w:div w:id="1203706696">
      <w:marLeft w:val="0"/>
      <w:marRight w:val="0"/>
      <w:marTop w:val="0"/>
      <w:marBottom w:val="0"/>
      <w:divBdr>
        <w:top w:val="none" w:sz="0" w:space="0" w:color="auto"/>
        <w:left w:val="none" w:sz="0" w:space="0" w:color="auto"/>
        <w:bottom w:val="none" w:sz="0" w:space="0" w:color="auto"/>
        <w:right w:val="none" w:sz="0" w:space="0" w:color="auto"/>
      </w:divBdr>
      <w:divsChild>
        <w:div w:id="56244170">
          <w:marLeft w:val="0"/>
          <w:marRight w:val="0"/>
          <w:marTop w:val="0"/>
          <w:marBottom w:val="0"/>
          <w:divBdr>
            <w:top w:val="none" w:sz="0" w:space="0" w:color="auto"/>
            <w:left w:val="none" w:sz="0" w:space="0" w:color="auto"/>
            <w:bottom w:val="none" w:sz="0" w:space="0" w:color="auto"/>
            <w:right w:val="none" w:sz="0" w:space="0" w:color="auto"/>
          </w:divBdr>
        </w:div>
      </w:divsChild>
    </w:div>
    <w:div w:id="1534270666">
      <w:marLeft w:val="0"/>
      <w:marRight w:val="0"/>
      <w:marTop w:val="0"/>
      <w:marBottom w:val="0"/>
      <w:divBdr>
        <w:top w:val="none" w:sz="0" w:space="0" w:color="auto"/>
        <w:left w:val="none" w:sz="0" w:space="0" w:color="auto"/>
        <w:bottom w:val="none" w:sz="0" w:space="0" w:color="auto"/>
        <w:right w:val="none" w:sz="0" w:space="0" w:color="auto"/>
      </w:divBdr>
    </w:div>
    <w:div w:id="1563828569">
      <w:marLeft w:val="0"/>
      <w:marRight w:val="0"/>
      <w:marTop w:val="0"/>
      <w:marBottom w:val="0"/>
      <w:divBdr>
        <w:top w:val="none" w:sz="0" w:space="0" w:color="auto"/>
        <w:left w:val="none" w:sz="0" w:space="0" w:color="auto"/>
        <w:bottom w:val="none" w:sz="0" w:space="0" w:color="auto"/>
        <w:right w:val="none" w:sz="0" w:space="0" w:color="auto"/>
      </w:divBdr>
    </w:div>
    <w:div w:id="1677001538">
      <w:marLeft w:val="0"/>
      <w:marRight w:val="0"/>
      <w:marTop w:val="0"/>
      <w:marBottom w:val="0"/>
      <w:divBdr>
        <w:top w:val="none" w:sz="0" w:space="0" w:color="auto"/>
        <w:left w:val="none" w:sz="0" w:space="0" w:color="auto"/>
        <w:bottom w:val="none" w:sz="0" w:space="0" w:color="auto"/>
        <w:right w:val="none" w:sz="0" w:space="0" w:color="auto"/>
      </w:divBdr>
      <w:divsChild>
        <w:div w:id="1024014799">
          <w:marLeft w:val="0"/>
          <w:marRight w:val="0"/>
          <w:marTop w:val="0"/>
          <w:marBottom w:val="0"/>
          <w:divBdr>
            <w:top w:val="none" w:sz="0" w:space="0" w:color="auto"/>
            <w:left w:val="none" w:sz="0" w:space="0" w:color="auto"/>
            <w:bottom w:val="none" w:sz="0" w:space="0" w:color="auto"/>
            <w:right w:val="none" w:sz="0" w:space="0" w:color="auto"/>
          </w:divBdr>
        </w:div>
      </w:divsChild>
    </w:div>
    <w:div w:id="1971473269">
      <w:marLeft w:val="0"/>
      <w:marRight w:val="0"/>
      <w:marTop w:val="0"/>
      <w:marBottom w:val="0"/>
      <w:divBdr>
        <w:top w:val="none" w:sz="0" w:space="0" w:color="auto"/>
        <w:left w:val="none" w:sz="0" w:space="0" w:color="auto"/>
        <w:bottom w:val="none" w:sz="0" w:space="0" w:color="auto"/>
        <w:right w:val="none" w:sz="0" w:space="0" w:color="auto"/>
      </w:divBdr>
      <w:divsChild>
        <w:div w:id="341862881">
          <w:marLeft w:val="0"/>
          <w:marRight w:val="0"/>
          <w:marTop w:val="0"/>
          <w:marBottom w:val="0"/>
          <w:divBdr>
            <w:top w:val="none" w:sz="0" w:space="0" w:color="auto"/>
            <w:left w:val="none" w:sz="0" w:space="0" w:color="auto"/>
            <w:bottom w:val="none" w:sz="0" w:space="0" w:color="auto"/>
            <w:right w:val="none" w:sz="0" w:space="0" w:color="auto"/>
          </w:divBdr>
        </w:div>
      </w:divsChild>
    </w:div>
    <w:div w:id="2055274956">
      <w:marLeft w:val="0"/>
      <w:marRight w:val="0"/>
      <w:marTop w:val="0"/>
      <w:marBottom w:val="0"/>
      <w:divBdr>
        <w:top w:val="none" w:sz="0" w:space="0" w:color="auto"/>
        <w:left w:val="none" w:sz="0" w:space="0" w:color="auto"/>
        <w:bottom w:val="none" w:sz="0" w:space="0" w:color="auto"/>
        <w:right w:val="none" w:sz="0" w:space="0" w:color="auto"/>
      </w:divBdr>
    </w:div>
    <w:div w:id="21133608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1012</Words>
  <Characters>5773</Characters>
  <Application>Microsoft Office Word</Application>
  <DocSecurity>4</DocSecurity>
  <Lines>48</Lines>
  <Paragraphs>13</Paragraphs>
  <ScaleCrop>false</ScaleCrop>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