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摩根瑞盛</w:t>
      </w:r>
      <w:r w:rsidRPr="00FF6B9A">
        <w:rPr>
          <w:rFonts w:eastAsiaTheme="minorEastAsia"/>
          <w:b/>
          <w:color w:val="000000" w:themeColor="text1"/>
          <w:sz w:val="36"/>
          <w:szCs w:val="36"/>
        </w:rPr>
        <w:t>87</w:t>
      </w:r>
      <w:r w:rsidRPr="00FF6B9A">
        <w:rPr>
          <w:rFonts w:eastAsiaTheme="minorEastAsia"/>
          <w:b/>
          <w:color w:val="000000" w:themeColor="text1"/>
          <w:sz w:val="36"/>
          <w:szCs w:val="36"/>
        </w:rPr>
        <w:t>个月定期开放债券型证券投资基金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报告送出日期：二〇二四年十月二十五日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摩根瑞盛</w:t>
            </w:r>
            <w:r w:rsidRPr="00FF6B9A">
              <w:rPr>
                <w:rFonts w:eastAsiaTheme="minorEastAsia"/>
                <w:color w:val="000000" w:themeColor="text1"/>
                <w:kern w:val="0"/>
              </w:rPr>
              <w:t>87</w:t>
            </w:r>
            <w:r w:rsidRPr="00FF6B9A">
              <w:rPr>
                <w:rFonts w:eastAsiaTheme="minorEastAsia"/>
                <w:color w:val="000000" w:themeColor="text1"/>
                <w:kern w:val="0"/>
              </w:rPr>
              <w:t>个月定期开放债券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契约型定期开放式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7,990,077,699.94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在严格控制风险的前提下，采用持有到期策略，力争实现长期稳定的投资回报。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8F3631" w:rsidRDefault="00562CFE">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、封闭期投资策略</w:t>
            </w:r>
          </w:p>
          <w:p w:rsidR="008F3631" w:rsidRDefault="00562CFE">
            <w:pPr>
              <w:adjustRightInd w:val="0"/>
              <w:spacing w:before="29" w:line="360" w:lineRule="auto"/>
              <w:ind w:left="17"/>
              <w:rPr>
                <w:rFonts w:eastAsiaTheme="minorEastAsia"/>
                <w:color w:val="000000" w:themeColor="text1"/>
              </w:rPr>
            </w:pPr>
            <w:r>
              <w:rPr>
                <w:rFonts w:eastAsiaTheme="minorEastAsia"/>
                <w:color w:val="000000" w:themeColor="text1"/>
                <w:kern w:val="0"/>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w:t>
            </w:r>
            <w:r>
              <w:rPr>
                <w:rFonts w:eastAsiaTheme="minorEastAsia"/>
                <w:color w:val="000000" w:themeColor="text1"/>
                <w:kern w:val="0"/>
              </w:rPr>
              <w:lastRenderedPageBreak/>
              <w:t>作期到期日。</w:t>
            </w:r>
          </w:p>
          <w:p w:rsidR="008F3631" w:rsidRDefault="00562CFE">
            <w:pPr>
              <w:adjustRightInd w:val="0"/>
              <w:spacing w:before="29" w:line="360" w:lineRule="auto"/>
              <w:ind w:left="17"/>
              <w:rPr>
                <w:rFonts w:eastAsiaTheme="minorEastAsia"/>
                <w:color w:val="000000" w:themeColor="text1"/>
              </w:rPr>
            </w:pPr>
            <w:r>
              <w:rPr>
                <w:rFonts w:eastAsiaTheme="minorEastAsia"/>
                <w:color w:val="000000" w:themeColor="text1"/>
                <w:kern w:val="0"/>
              </w:rPr>
              <w:t>封闭期具体投资策略包括信用债投资策略、杠杆投资策略、资产支持证券投资策略、封闭期现金管理策略。</w:t>
            </w:r>
          </w:p>
          <w:p w:rsidR="008F3631" w:rsidRDefault="00562CFE">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、开放期投资策略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开放期内，将保持资产适当的流动性，以应付当时市场条件下的赎回要求，并降低资产的流动性风险，做好流动性管理。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在每个封闭期，本基金的业绩比较基准为该封闭期起始日公布的三年定期存款利率（税后）</w:t>
            </w:r>
            <w:r w:rsidRPr="00FF6B9A">
              <w:rPr>
                <w:rFonts w:eastAsiaTheme="minorEastAsia"/>
                <w:color w:val="000000" w:themeColor="text1"/>
                <w:kern w:val="0"/>
              </w:rPr>
              <w:t>+1.25%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62CFE" w:rsidRPr="00FF6B9A" w:rsidTr="00562CFE">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562CFE" w:rsidRPr="00FF6B9A" w:rsidTr="00562CF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88,757,411.11</w:t>
            </w:r>
          </w:p>
        </w:tc>
      </w:tr>
      <w:tr w:rsidR="00562CFE" w:rsidRPr="00FF6B9A" w:rsidTr="00562CF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88,757,411.11</w:t>
            </w:r>
          </w:p>
        </w:tc>
      </w:tr>
      <w:tr w:rsidR="00562CFE" w:rsidRPr="00FF6B9A" w:rsidTr="00562CF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0.0111</w:t>
            </w:r>
          </w:p>
        </w:tc>
      </w:tr>
      <w:tr w:rsidR="00562CFE" w:rsidRPr="00FF6B9A" w:rsidTr="00562CF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8,710,044,330.67</w:t>
            </w:r>
          </w:p>
        </w:tc>
      </w:tr>
      <w:tr w:rsidR="00562CFE" w:rsidRPr="00FF6B9A" w:rsidTr="00562CFE">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1.0901</w:t>
            </w:r>
          </w:p>
        </w:tc>
      </w:tr>
    </w:tbl>
    <w:p w:rsidR="008F3631" w:rsidRDefault="00562CF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本期已实现收益指基金本期利息收入、投资收益、其他收入（不含公允价值变动收益）扣除相关费用后的余额，本期利润为本期已实现收益加上本期公允价值变动收益，由于本基金</w:t>
      </w:r>
      <w:r w:rsidRPr="00FF6B9A">
        <w:rPr>
          <w:rFonts w:eastAsiaTheme="minorEastAsia"/>
          <w:color w:val="000000" w:themeColor="text1"/>
        </w:rPr>
        <w:lastRenderedPageBreak/>
        <w:t>采用摊余成本法核算，所以，公允价值变动收益为零，本期已实现收益和本期利润的金额相等；</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8F3631">
        <w:tc>
          <w:tcPr>
            <w:tcW w:w="1395" w:type="dxa"/>
            <w:vAlign w:val="center"/>
          </w:tcPr>
          <w:p w:rsidR="008F3631" w:rsidRDefault="00562CFE">
            <w:pPr>
              <w:jc w:val="left"/>
            </w:pPr>
            <w:r>
              <w:rPr>
                <w:rFonts w:eastAsiaTheme="minorEastAsia"/>
                <w:color w:val="000000" w:themeColor="text1"/>
                <w:kern w:val="0"/>
              </w:rPr>
              <w:t>过去三个月</w:t>
            </w:r>
          </w:p>
        </w:tc>
        <w:tc>
          <w:tcPr>
            <w:tcW w:w="1092" w:type="dxa"/>
            <w:vAlign w:val="center"/>
          </w:tcPr>
          <w:p w:rsidR="008F3631" w:rsidRDefault="00562CFE">
            <w:pPr>
              <w:jc w:val="center"/>
            </w:pPr>
            <w:r>
              <w:rPr>
                <w:rFonts w:eastAsiaTheme="minorEastAsia"/>
                <w:color w:val="000000" w:themeColor="text1"/>
                <w:kern w:val="0"/>
              </w:rPr>
              <w:t>1.03%</w:t>
            </w:r>
          </w:p>
        </w:tc>
        <w:tc>
          <w:tcPr>
            <w:tcW w:w="1161" w:type="dxa"/>
            <w:vAlign w:val="center"/>
          </w:tcPr>
          <w:p w:rsidR="008F3631" w:rsidRDefault="00562CFE">
            <w:pPr>
              <w:jc w:val="center"/>
            </w:pPr>
            <w:r>
              <w:rPr>
                <w:rFonts w:eastAsiaTheme="minorEastAsia"/>
                <w:color w:val="000000" w:themeColor="text1"/>
                <w:kern w:val="0"/>
              </w:rPr>
              <w:t>0.01%</w:t>
            </w:r>
          </w:p>
        </w:tc>
        <w:tc>
          <w:tcPr>
            <w:tcW w:w="1181" w:type="dxa"/>
            <w:vAlign w:val="center"/>
          </w:tcPr>
          <w:p w:rsidR="008F3631" w:rsidRDefault="00562CFE">
            <w:pPr>
              <w:jc w:val="center"/>
            </w:pPr>
            <w:r>
              <w:rPr>
                <w:rFonts w:eastAsiaTheme="minorEastAsia"/>
                <w:color w:val="000000" w:themeColor="text1"/>
                <w:kern w:val="0"/>
              </w:rPr>
              <w:t>1.02%</w:t>
            </w:r>
          </w:p>
        </w:tc>
        <w:tc>
          <w:tcPr>
            <w:tcW w:w="1188" w:type="dxa"/>
            <w:vAlign w:val="center"/>
          </w:tcPr>
          <w:p w:rsidR="008F3631" w:rsidRDefault="00562CFE">
            <w:pPr>
              <w:jc w:val="center"/>
            </w:pPr>
            <w:r>
              <w:rPr>
                <w:rFonts w:eastAsiaTheme="minorEastAsia"/>
                <w:color w:val="000000" w:themeColor="text1"/>
                <w:kern w:val="0"/>
              </w:rPr>
              <w:t>0.01%</w:t>
            </w:r>
          </w:p>
        </w:tc>
        <w:tc>
          <w:tcPr>
            <w:tcW w:w="1199" w:type="dxa"/>
            <w:vAlign w:val="center"/>
          </w:tcPr>
          <w:p w:rsidR="008F3631" w:rsidRDefault="00562CFE">
            <w:pPr>
              <w:jc w:val="center"/>
            </w:pPr>
            <w:r>
              <w:rPr>
                <w:rFonts w:eastAsiaTheme="minorEastAsia"/>
                <w:color w:val="000000" w:themeColor="text1"/>
                <w:kern w:val="0"/>
              </w:rPr>
              <w:t>0.01%</w:t>
            </w:r>
          </w:p>
        </w:tc>
        <w:tc>
          <w:tcPr>
            <w:tcW w:w="1204" w:type="dxa"/>
            <w:vAlign w:val="center"/>
          </w:tcPr>
          <w:p w:rsidR="008F3631" w:rsidRDefault="00562CFE">
            <w:pPr>
              <w:jc w:val="center"/>
            </w:pPr>
            <w:r>
              <w:rPr>
                <w:rFonts w:eastAsiaTheme="minorEastAsia"/>
                <w:color w:val="000000" w:themeColor="text1"/>
                <w:kern w:val="0"/>
              </w:rPr>
              <w:t>0.00%</w:t>
            </w:r>
          </w:p>
        </w:tc>
      </w:tr>
      <w:tr w:rsidR="008F3631">
        <w:tc>
          <w:tcPr>
            <w:tcW w:w="1395" w:type="dxa"/>
            <w:vAlign w:val="center"/>
          </w:tcPr>
          <w:p w:rsidR="008F3631" w:rsidRDefault="00562CFE">
            <w:pPr>
              <w:jc w:val="left"/>
            </w:pPr>
            <w:r>
              <w:rPr>
                <w:rFonts w:eastAsiaTheme="minorEastAsia"/>
                <w:color w:val="000000" w:themeColor="text1"/>
                <w:kern w:val="0"/>
              </w:rPr>
              <w:t>过去六个月</w:t>
            </w:r>
          </w:p>
        </w:tc>
        <w:tc>
          <w:tcPr>
            <w:tcW w:w="1092" w:type="dxa"/>
            <w:vAlign w:val="center"/>
          </w:tcPr>
          <w:p w:rsidR="008F3631" w:rsidRDefault="00562CFE">
            <w:pPr>
              <w:jc w:val="center"/>
            </w:pPr>
            <w:r>
              <w:rPr>
                <w:rFonts w:eastAsiaTheme="minorEastAsia"/>
                <w:color w:val="000000" w:themeColor="text1"/>
                <w:kern w:val="0"/>
              </w:rPr>
              <w:t>2.06%</w:t>
            </w:r>
          </w:p>
        </w:tc>
        <w:tc>
          <w:tcPr>
            <w:tcW w:w="1161" w:type="dxa"/>
            <w:vAlign w:val="center"/>
          </w:tcPr>
          <w:p w:rsidR="008F3631" w:rsidRDefault="00562CFE">
            <w:pPr>
              <w:jc w:val="center"/>
            </w:pPr>
            <w:r>
              <w:rPr>
                <w:rFonts w:eastAsiaTheme="minorEastAsia"/>
                <w:color w:val="000000" w:themeColor="text1"/>
                <w:kern w:val="0"/>
              </w:rPr>
              <w:t>0.01%</w:t>
            </w:r>
          </w:p>
        </w:tc>
        <w:tc>
          <w:tcPr>
            <w:tcW w:w="1181" w:type="dxa"/>
            <w:vAlign w:val="center"/>
          </w:tcPr>
          <w:p w:rsidR="008F3631" w:rsidRDefault="00562CFE">
            <w:pPr>
              <w:jc w:val="center"/>
            </w:pPr>
            <w:r>
              <w:rPr>
                <w:rFonts w:eastAsiaTheme="minorEastAsia"/>
                <w:color w:val="000000" w:themeColor="text1"/>
                <w:kern w:val="0"/>
              </w:rPr>
              <w:t>2.03%</w:t>
            </w:r>
          </w:p>
        </w:tc>
        <w:tc>
          <w:tcPr>
            <w:tcW w:w="1188" w:type="dxa"/>
            <w:vAlign w:val="center"/>
          </w:tcPr>
          <w:p w:rsidR="008F3631" w:rsidRDefault="00562CFE">
            <w:pPr>
              <w:jc w:val="center"/>
            </w:pPr>
            <w:r>
              <w:rPr>
                <w:rFonts w:eastAsiaTheme="minorEastAsia"/>
                <w:color w:val="000000" w:themeColor="text1"/>
                <w:kern w:val="0"/>
              </w:rPr>
              <w:t>0.01%</w:t>
            </w:r>
          </w:p>
        </w:tc>
        <w:tc>
          <w:tcPr>
            <w:tcW w:w="1199" w:type="dxa"/>
            <w:vAlign w:val="center"/>
          </w:tcPr>
          <w:p w:rsidR="008F3631" w:rsidRDefault="00562CFE">
            <w:pPr>
              <w:jc w:val="center"/>
            </w:pPr>
            <w:r>
              <w:rPr>
                <w:rFonts w:eastAsiaTheme="minorEastAsia"/>
                <w:color w:val="000000" w:themeColor="text1"/>
                <w:kern w:val="0"/>
              </w:rPr>
              <w:t>0.03%</w:t>
            </w:r>
          </w:p>
        </w:tc>
        <w:tc>
          <w:tcPr>
            <w:tcW w:w="1204" w:type="dxa"/>
            <w:vAlign w:val="center"/>
          </w:tcPr>
          <w:p w:rsidR="008F3631" w:rsidRDefault="00562CFE">
            <w:pPr>
              <w:jc w:val="center"/>
            </w:pPr>
            <w:r>
              <w:rPr>
                <w:rFonts w:eastAsiaTheme="minorEastAsia"/>
                <w:color w:val="000000" w:themeColor="text1"/>
                <w:kern w:val="0"/>
              </w:rPr>
              <w:t>0.00%</w:t>
            </w:r>
          </w:p>
        </w:tc>
      </w:tr>
      <w:tr w:rsidR="008F3631">
        <w:tc>
          <w:tcPr>
            <w:tcW w:w="1395" w:type="dxa"/>
            <w:vAlign w:val="center"/>
          </w:tcPr>
          <w:p w:rsidR="008F3631" w:rsidRDefault="00562CFE">
            <w:pPr>
              <w:jc w:val="left"/>
            </w:pPr>
            <w:r>
              <w:rPr>
                <w:rFonts w:eastAsiaTheme="minorEastAsia"/>
                <w:color w:val="000000" w:themeColor="text1"/>
                <w:kern w:val="0"/>
              </w:rPr>
              <w:t>过去一年</w:t>
            </w:r>
          </w:p>
        </w:tc>
        <w:tc>
          <w:tcPr>
            <w:tcW w:w="1092" w:type="dxa"/>
            <w:vAlign w:val="center"/>
          </w:tcPr>
          <w:p w:rsidR="008F3631" w:rsidRDefault="00562CFE">
            <w:pPr>
              <w:jc w:val="center"/>
            </w:pPr>
            <w:r>
              <w:rPr>
                <w:rFonts w:eastAsiaTheme="minorEastAsia"/>
                <w:color w:val="000000" w:themeColor="text1"/>
                <w:kern w:val="0"/>
              </w:rPr>
              <w:t>4.03%</w:t>
            </w:r>
          </w:p>
        </w:tc>
        <w:tc>
          <w:tcPr>
            <w:tcW w:w="1161" w:type="dxa"/>
            <w:vAlign w:val="center"/>
          </w:tcPr>
          <w:p w:rsidR="008F3631" w:rsidRDefault="00562CFE">
            <w:pPr>
              <w:jc w:val="center"/>
            </w:pPr>
            <w:r>
              <w:rPr>
                <w:rFonts w:eastAsiaTheme="minorEastAsia"/>
                <w:color w:val="000000" w:themeColor="text1"/>
                <w:kern w:val="0"/>
              </w:rPr>
              <w:t>0.01%</w:t>
            </w:r>
          </w:p>
        </w:tc>
        <w:tc>
          <w:tcPr>
            <w:tcW w:w="1181" w:type="dxa"/>
            <w:vAlign w:val="center"/>
          </w:tcPr>
          <w:p w:rsidR="008F3631" w:rsidRDefault="00562CFE">
            <w:pPr>
              <w:jc w:val="center"/>
            </w:pPr>
            <w:r>
              <w:rPr>
                <w:rFonts w:eastAsiaTheme="minorEastAsia"/>
                <w:color w:val="000000" w:themeColor="text1"/>
                <w:kern w:val="0"/>
              </w:rPr>
              <w:t>4.07%</w:t>
            </w:r>
          </w:p>
        </w:tc>
        <w:tc>
          <w:tcPr>
            <w:tcW w:w="1188" w:type="dxa"/>
            <w:vAlign w:val="center"/>
          </w:tcPr>
          <w:p w:rsidR="008F3631" w:rsidRDefault="00562CFE">
            <w:pPr>
              <w:jc w:val="center"/>
            </w:pPr>
            <w:r>
              <w:rPr>
                <w:rFonts w:eastAsiaTheme="minorEastAsia"/>
                <w:color w:val="000000" w:themeColor="text1"/>
                <w:kern w:val="0"/>
              </w:rPr>
              <w:t>0.01%</w:t>
            </w:r>
          </w:p>
        </w:tc>
        <w:tc>
          <w:tcPr>
            <w:tcW w:w="1199" w:type="dxa"/>
            <w:vAlign w:val="center"/>
          </w:tcPr>
          <w:p w:rsidR="008F3631" w:rsidRDefault="00562CFE">
            <w:pPr>
              <w:jc w:val="center"/>
            </w:pPr>
            <w:r>
              <w:rPr>
                <w:rFonts w:eastAsiaTheme="minorEastAsia"/>
                <w:color w:val="000000" w:themeColor="text1"/>
                <w:kern w:val="0"/>
              </w:rPr>
              <w:t>-0.04%</w:t>
            </w:r>
          </w:p>
        </w:tc>
        <w:tc>
          <w:tcPr>
            <w:tcW w:w="1204" w:type="dxa"/>
            <w:vAlign w:val="center"/>
          </w:tcPr>
          <w:p w:rsidR="008F3631" w:rsidRDefault="00562CFE">
            <w:pPr>
              <w:jc w:val="center"/>
            </w:pPr>
            <w:r>
              <w:rPr>
                <w:rFonts w:eastAsiaTheme="minorEastAsia"/>
                <w:color w:val="000000" w:themeColor="text1"/>
                <w:kern w:val="0"/>
              </w:rPr>
              <w:t>0.00%</w:t>
            </w:r>
          </w:p>
        </w:tc>
      </w:tr>
      <w:tr w:rsidR="008F3631">
        <w:tc>
          <w:tcPr>
            <w:tcW w:w="1395" w:type="dxa"/>
            <w:vAlign w:val="center"/>
          </w:tcPr>
          <w:p w:rsidR="008F3631" w:rsidRDefault="00562CFE">
            <w:pPr>
              <w:jc w:val="left"/>
            </w:pPr>
            <w:r>
              <w:rPr>
                <w:rFonts w:eastAsiaTheme="minorEastAsia"/>
                <w:color w:val="000000" w:themeColor="text1"/>
                <w:kern w:val="0"/>
              </w:rPr>
              <w:t>过去三年</w:t>
            </w:r>
          </w:p>
        </w:tc>
        <w:tc>
          <w:tcPr>
            <w:tcW w:w="1092" w:type="dxa"/>
            <w:vAlign w:val="center"/>
          </w:tcPr>
          <w:p w:rsidR="008F3631" w:rsidRDefault="00562CFE">
            <w:pPr>
              <w:jc w:val="center"/>
            </w:pPr>
            <w:r>
              <w:rPr>
                <w:rFonts w:eastAsiaTheme="minorEastAsia"/>
                <w:color w:val="000000" w:themeColor="text1"/>
                <w:kern w:val="0"/>
              </w:rPr>
              <w:t>12.77%</w:t>
            </w:r>
          </w:p>
        </w:tc>
        <w:tc>
          <w:tcPr>
            <w:tcW w:w="1161" w:type="dxa"/>
            <w:vAlign w:val="center"/>
          </w:tcPr>
          <w:p w:rsidR="008F3631" w:rsidRDefault="00562CFE">
            <w:pPr>
              <w:jc w:val="center"/>
            </w:pPr>
            <w:r>
              <w:rPr>
                <w:rFonts w:eastAsiaTheme="minorEastAsia"/>
                <w:color w:val="000000" w:themeColor="text1"/>
                <w:kern w:val="0"/>
              </w:rPr>
              <w:t>0.01%</w:t>
            </w:r>
          </w:p>
        </w:tc>
        <w:tc>
          <w:tcPr>
            <w:tcW w:w="1181" w:type="dxa"/>
            <w:vAlign w:val="center"/>
          </w:tcPr>
          <w:p w:rsidR="008F3631" w:rsidRDefault="00562CFE">
            <w:pPr>
              <w:jc w:val="center"/>
            </w:pPr>
            <w:r>
              <w:rPr>
                <w:rFonts w:eastAsiaTheme="minorEastAsia"/>
                <w:color w:val="000000" w:themeColor="text1"/>
                <w:kern w:val="0"/>
              </w:rPr>
              <w:t>12.18%</w:t>
            </w:r>
          </w:p>
        </w:tc>
        <w:tc>
          <w:tcPr>
            <w:tcW w:w="1188" w:type="dxa"/>
            <w:vAlign w:val="center"/>
          </w:tcPr>
          <w:p w:rsidR="008F3631" w:rsidRDefault="00562CFE">
            <w:pPr>
              <w:jc w:val="center"/>
            </w:pPr>
            <w:r>
              <w:rPr>
                <w:rFonts w:eastAsiaTheme="minorEastAsia"/>
                <w:color w:val="000000" w:themeColor="text1"/>
                <w:kern w:val="0"/>
              </w:rPr>
              <w:t>0.01%</w:t>
            </w:r>
          </w:p>
        </w:tc>
        <w:tc>
          <w:tcPr>
            <w:tcW w:w="1199" w:type="dxa"/>
            <w:vAlign w:val="center"/>
          </w:tcPr>
          <w:p w:rsidR="008F3631" w:rsidRDefault="00562CFE">
            <w:pPr>
              <w:jc w:val="center"/>
            </w:pPr>
            <w:r>
              <w:rPr>
                <w:rFonts w:eastAsiaTheme="minorEastAsia"/>
                <w:color w:val="000000" w:themeColor="text1"/>
                <w:kern w:val="0"/>
              </w:rPr>
              <w:t>0.59%</w:t>
            </w:r>
          </w:p>
        </w:tc>
        <w:tc>
          <w:tcPr>
            <w:tcW w:w="1204" w:type="dxa"/>
            <w:vAlign w:val="center"/>
          </w:tcPr>
          <w:p w:rsidR="008F3631" w:rsidRDefault="00562CFE">
            <w:pPr>
              <w:jc w:val="center"/>
            </w:pPr>
            <w:r>
              <w:rPr>
                <w:rFonts w:eastAsiaTheme="minorEastAsia"/>
                <w:color w:val="000000" w:themeColor="text1"/>
                <w:kern w:val="0"/>
              </w:rPr>
              <w:t>0.00%</w:t>
            </w:r>
          </w:p>
        </w:tc>
      </w:tr>
      <w:tr w:rsidR="008F3631">
        <w:tc>
          <w:tcPr>
            <w:tcW w:w="1395" w:type="dxa"/>
            <w:vAlign w:val="center"/>
          </w:tcPr>
          <w:p w:rsidR="008F3631" w:rsidRDefault="00562CFE">
            <w:pPr>
              <w:jc w:val="left"/>
            </w:pPr>
            <w:r>
              <w:rPr>
                <w:rFonts w:eastAsiaTheme="minorEastAsia"/>
                <w:color w:val="000000" w:themeColor="text1"/>
                <w:kern w:val="0"/>
              </w:rPr>
              <w:t>过去五年</w:t>
            </w:r>
          </w:p>
        </w:tc>
        <w:tc>
          <w:tcPr>
            <w:tcW w:w="1092" w:type="dxa"/>
            <w:vAlign w:val="center"/>
          </w:tcPr>
          <w:p w:rsidR="008F3631" w:rsidRDefault="00562CFE">
            <w:pPr>
              <w:jc w:val="center"/>
            </w:pPr>
            <w:r>
              <w:rPr>
                <w:rFonts w:eastAsiaTheme="minorEastAsia"/>
                <w:color w:val="000000" w:themeColor="text1"/>
                <w:kern w:val="0"/>
              </w:rPr>
              <w:t>-</w:t>
            </w:r>
          </w:p>
        </w:tc>
        <w:tc>
          <w:tcPr>
            <w:tcW w:w="1161" w:type="dxa"/>
            <w:vAlign w:val="center"/>
          </w:tcPr>
          <w:p w:rsidR="008F3631" w:rsidRDefault="00562CFE">
            <w:pPr>
              <w:jc w:val="center"/>
            </w:pPr>
            <w:r>
              <w:rPr>
                <w:rFonts w:eastAsiaTheme="minorEastAsia"/>
                <w:color w:val="000000" w:themeColor="text1"/>
                <w:kern w:val="0"/>
              </w:rPr>
              <w:t>-</w:t>
            </w:r>
          </w:p>
        </w:tc>
        <w:tc>
          <w:tcPr>
            <w:tcW w:w="1181" w:type="dxa"/>
            <w:vAlign w:val="center"/>
          </w:tcPr>
          <w:p w:rsidR="008F3631" w:rsidRDefault="00562CFE">
            <w:pPr>
              <w:jc w:val="center"/>
            </w:pPr>
            <w:r>
              <w:rPr>
                <w:rFonts w:eastAsiaTheme="minorEastAsia"/>
                <w:color w:val="000000" w:themeColor="text1"/>
                <w:kern w:val="0"/>
              </w:rPr>
              <w:t>-</w:t>
            </w:r>
          </w:p>
        </w:tc>
        <w:tc>
          <w:tcPr>
            <w:tcW w:w="1188" w:type="dxa"/>
            <w:vAlign w:val="center"/>
          </w:tcPr>
          <w:p w:rsidR="008F3631" w:rsidRDefault="00562CFE">
            <w:pPr>
              <w:jc w:val="center"/>
            </w:pPr>
            <w:r>
              <w:rPr>
                <w:rFonts w:eastAsiaTheme="minorEastAsia"/>
                <w:color w:val="000000" w:themeColor="text1"/>
                <w:kern w:val="0"/>
              </w:rPr>
              <w:t>-</w:t>
            </w:r>
          </w:p>
        </w:tc>
        <w:tc>
          <w:tcPr>
            <w:tcW w:w="1199" w:type="dxa"/>
            <w:vAlign w:val="center"/>
          </w:tcPr>
          <w:p w:rsidR="008F3631" w:rsidRDefault="00562CFE">
            <w:pPr>
              <w:jc w:val="center"/>
            </w:pPr>
            <w:r>
              <w:rPr>
                <w:rFonts w:eastAsiaTheme="minorEastAsia"/>
                <w:color w:val="000000" w:themeColor="text1"/>
                <w:kern w:val="0"/>
              </w:rPr>
              <w:t>-</w:t>
            </w:r>
          </w:p>
        </w:tc>
        <w:tc>
          <w:tcPr>
            <w:tcW w:w="1204" w:type="dxa"/>
            <w:vAlign w:val="center"/>
          </w:tcPr>
          <w:p w:rsidR="008F3631" w:rsidRDefault="00562CFE">
            <w:pPr>
              <w:jc w:val="center"/>
            </w:pPr>
            <w:r>
              <w:rPr>
                <w:rFonts w:eastAsiaTheme="minorEastAsia"/>
                <w:color w:val="000000" w:themeColor="text1"/>
                <w:kern w:val="0"/>
              </w:rPr>
              <w:t>-</w:t>
            </w:r>
          </w:p>
        </w:tc>
      </w:tr>
      <w:tr w:rsidR="008F3631">
        <w:tc>
          <w:tcPr>
            <w:tcW w:w="1395" w:type="dxa"/>
            <w:vAlign w:val="center"/>
          </w:tcPr>
          <w:p w:rsidR="008F3631" w:rsidRDefault="00562CFE">
            <w:pPr>
              <w:jc w:val="left"/>
            </w:pPr>
            <w:r>
              <w:rPr>
                <w:rFonts w:eastAsiaTheme="minorEastAsia"/>
                <w:color w:val="000000" w:themeColor="text1"/>
                <w:kern w:val="0"/>
              </w:rPr>
              <w:t>自基金合同生效起至今</w:t>
            </w:r>
          </w:p>
        </w:tc>
        <w:tc>
          <w:tcPr>
            <w:tcW w:w="1092" w:type="dxa"/>
            <w:vAlign w:val="center"/>
          </w:tcPr>
          <w:p w:rsidR="008F3631" w:rsidRDefault="00562CFE">
            <w:pPr>
              <w:jc w:val="center"/>
            </w:pPr>
            <w:r>
              <w:rPr>
                <w:rFonts w:eastAsiaTheme="minorEastAsia"/>
                <w:color w:val="000000" w:themeColor="text1"/>
                <w:kern w:val="0"/>
              </w:rPr>
              <w:t>17.64%</w:t>
            </w:r>
          </w:p>
        </w:tc>
        <w:tc>
          <w:tcPr>
            <w:tcW w:w="1161" w:type="dxa"/>
            <w:vAlign w:val="center"/>
          </w:tcPr>
          <w:p w:rsidR="008F3631" w:rsidRDefault="00562CFE">
            <w:pPr>
              <w:jc w:val="center"/>
            </w:pPr>
            <w:r>
              <w:rPr>
                <w:rFonts w:eastAsiaTheme="minorEastAsia"/>
                <w:color w:val="000000" w:themeColor="text1"/>
                <w:kern w:val="0"/>
              </w:rPr>
              <w:t>0.01%</w:t>
            </w:r>
          </w:p>
        </w:tc>
        <w:tc>
          <w:tcPr>
            <w:tcW w:w="1181" w:type="dxa"/>
            <w:vAlign w:val="center"/>
          </w:tcPr>
          <w:p w:rsidR="008F3631" w:rsidRDefault="00562CFE">
            <w:pPr>
              <w:jc w:val="center"/>
            </w:pPr>
            <w:r>
              <w:rPr>
                <w:rFonts w:eastAsiaTheme="minorEastAsia"/>
                <w:color w:val="000000" w:themeColor="text1"/>
                <w:kern w:val="0"/>
              </w:rPr>
              <w:t>16.89%</w:t>
            </w:r>
          </w:p>
        </w:tc>
        <w:tc>
          <w:tcPr>
            <w:tcW w:w="1188" w:type="dxa"/>
            <w:vAlign w:val="center"/>
          </w:tcPr>
          <w:p w:rsidR="008F3631" w:rsidRDefault="00562CFE">
            <w:pPr>
              <w:jc w:val="center"/>
            </w:pPr>
            <w:r>
              <w:rPr>
                <w:rFonts w:eastAsiaTheme="minorEastAsia"/>
                <w:color w:val="000000" w:themeColor="text1"/>
                <w:kern w:val="0"/>
              </w:rPr>
              <w:t>0.01%</w:t>
            </w:r>
          </w:p>
        </w:tc>
        <w:tc>
          <w:tcPr>
            <w:tcW w:w="1199" w:type="dxa"/>
            <w:vAlign w:val="center"/>
          </w:tcPr>
          <w:p w:rsidR="008F3631" w:rsidRDefault="00562CFE">
            <w:pPr>
              <w:jc w:val="center"/>
            </w:pPr>
            <w:r>
              <w:rPr>
                <w:rFonts w:eastAsiaTheme="minorEastAsia"/>
                <w:color w:val="000000" w:themeColor="text1"/>
                <w:kern w:val="0"/>
              </w:rPr>
              <w:t>0.75%</w:t>
            </w:r>
          </w:p>
        </w:tc>
        <w:tc>
          <w:tcPr>
            <w:tcW w:w="1204" w:type="dxa"/>
            <w:vAlign w:val="center"/>
          </w:tcPr>
          <w:p w:rsidR="008F3631" w:rsidRDefault="00562CFE">
            <w:pPr>
              <w:jc w:val="center"/>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摩根瑞盛</w:t>
      </w:r>
      <w:r w:rsidRPr="00FF6B9A">
        <w:rPr>
          <w:rFonts w:eastAsiaTheme="minorEastAsia"/>
          <w:color w:val="000000" w:themeColor="text1"/>
        </w:rPr>
        <w:t>87</w:t>
      </w:r>
      <w:r w:rsidRPr="00FF6B9A">
        <w:rPr>
          <w:rFonts w:eastAsiaTheme="minorEastAsia"/>
          <w:color w:val="000000" w:themeColor="text1"/>
        </w:rPr>
        <w:t>个月定期开放债券型证券投资基金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F3631" w:rsidRDefault="00562CF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3</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r w:rsidRPr="00FF6B9A">
        <w:rPr>
          <w:rFonts w:eastAsiaTheme="minorEastAsia"/>
          <w:color w:val="000000" w:themeColor="text1"/>
        </w:rPr>
        <w:t xml:space="preserve"> </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8F3631">
        <w:tc>
          <w:tcPr>
            <w:tcW w:w="851" w:type="dxa"/>
            <w:vAlign w:val="center"/>
          </w:tcPr>
          <w:p w:rsidR="008F3631" w:rsidRDefault="00562CFE">
            <w:pPr>
              <w:jc w:val="center"/>
            </w:pPr>
            <w:r>
              <w:rPr>
                <w:rFonts w:eastAsiaTheme="minorEastAsia"/>
                <w:color w:val="000000" w:themeColor="text1"/>
              </w:rPr>
              <w:t>雷杨娟</w:t>
            </w:r>
          </w:p>
        </w:tc>
        <w:tc>
          <w:tcPr>
            <w:tcW w:w="850" w:type="dxa"/>
            <w:vAlign w:val="center"/>
          </w:tcPr>
          <w:p w:rsidR="008F3631" w:rsidRDefault="00562CFE">
            <w:pPr>
              <w:jc w:val="center"/>
            </w:pPr>
            <w:r>
              <w:rPr>
                <w:rFonts w:eastAsiaTheme="minorEastAsia"/>
                <w:color w:val="000000" w:themeColor="text1"/>
              </w:rPr>
              <w:t>本基金基金经理</w:t>
            </w:r>
          </w:p>
        </w:tc>
        <w:tc>
          <w:tcPr>
            <w:tcW w:w="1560" w:type="dxa"/>
            <w:vAlign w:val="center"/>
          </w:tcPr>
          <w:p w:rsidR="008F3631" w:rsidRDefault="00562CFE">
            <w:pPr>
              <w:jc w:val="center"/>
            </w:pPr>
            <w:r>
              <w:rPr>
                <w:rFonts w:eastAsiaTheme="minorEastAsia"/>
                <w:color w:val="000000" w:themeColor="text1"/>
              </w:rPr>
              <w:t>2020-08-14</w:t>
            </w:r>
          </w:p>
        </w:tc>
        <w:tc>
          <w:tcPr>
            <w:tcW w:w="1559" w:type="dxa"/>
            <w:vAlign w:val="center"/>
          </w:tcPr>
          <w:p w:rsidR="008F3631" w:rsidRDefault="00562CFE">
            <w:pPr>
              <w:jc w:val="center"/>
            </w:pPr>
            <w:r>
              <w:rPr>
                <w:rFonts w:eastAsiaTheme="minorEastAsia"/>
                <w:color w:val="000000" w:themeColor="text1"/>
              </w:rPr>
              <w:t>-</w:t>
            </w:r>
          </w:p>
        </w:tc>
        <w:tc>
          <w:tcPr>
            <w:tcW w:w="1417" w:type="dxa"/>
            <w:vAlign w:val="center"/>
          </w:tcPr>
          <w:p w:rsidR="008F3631" w:rsidRDefault="00562CFE">
            <w:pPr>
              <w:jc w:val="center"/>
            </w:pPr>
            <w:r>
              <w:rPr>
                <w:rFonts w:eastAsiaTheme="minorEastAsia"/>
                <w:color w:val="000000" w:themeColor="text1"/>
              </w:rPr>
              <w:t>18</w:t>
            </w:r>
            <w:r>
              <w:rPr>
                <w:rFonts w:eastAsiaTheme="minorEastAsia"/>
                <w:color w:val="000000" w:themeColor="text1"/>
              </w:rPr>
              <w:t>年</w:t>
            </w:r>
          </w:p>
        </w:tc>
        <w:tc>
          <w:tcPr>
            <w:tcW w:w="2694" w:type="dxa"/>
            <w:vAlign w:val="center"/>
          </w:tcPr>
          <w:p w:rsidR="008F3631" w:rsidRDefault="00562CFE">
            <w:r>
              <w:rPr>
                <w:rFonts w:eastAsiaTheme="minorEastAsia"/>
                <w:color w:val="000000" w:themeColor="text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月起加入摩根基金管理（中国）有限公司（原上投摩根基金管理有限公司），历任专户投资二部副总监兼资深投资经理，现任债券投资部副总监兼</w:t>
            </w:r>
            <w:r>
              <w:rPr>
                <w:rFonts w:eastAsiaTheme="minorEastAsia"/>
                <w:color w:val="000000" w:themeColor="text1"/>
              </w:rPr>
              <w:lastRenderedPageBreak/>
              <w:t>资深基金经理。</w:t>
            </w:r>
          </w:p>
        </w:tc>
      </w:tr>
    </w:tbl>
    <w:p w:rsidR="008F3631" w:rsidRDefault="00562CF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lastRenderedPageBreak/>
        <w:t>2024</w:t>
      </w:r>
      <w:r>
        <w:rPr>
          <w:rFonts w:eastAsiaTheme="minorEastAsia"/>
          <w:color w:val="000000" w:themeColor="text1"/>
        </w:rPr>
        <w:t>年第三季度，宏观经济数据整体不及市场预期。</w:t>
      </w:r>
      <w:r>
        <w:rPr>
          <w:rFonts w:eastAsiaTheme="minorEastAsia"/>
          <w:color w:val="000000" w:themeColor="text1"/>
        </w:rPr>
        <w:t>8</w:t>
      </w:r>
      <w:r>
        <w:rPr>
          <w:rFonts w:eastAsiaTheme="minorEastAsia"/>
          <w:color w:val="000000" w:themeColor="text1"/>
        </w:rPr>
        <w:t>月份，全国规模以上工业增加值同比增速从</w:t>
      </w:r>
      <w:r>
        <w:rPr>
          <w:rFonts w:eastAsiaTheme="minorEastAsia"/>
          <w:color w:val="000000" w:themeColor="text1"/>
        </w:rPr>
        <w:t>7</w:t>
      </w:r>
      <w:r>
        <w:rPr>
          <w:rFonts w:eastAsiaTheme="minorEastAsia"/>
          <w:color w:val="000000" w:themeColor="text1"/>
        </w:rPr>
        <w:t>月的</w:t>
      </w:r>
      <w:r>
        <w:rPr>
          <w:rFonts w:eastAsiaTheme="minorEastAsia"/>
          <w:color w:val="000000" w:themeColor="text1"/>
        </w:rPr>
        <w:t>5.1%</w:t>
      </w:r>
      <w:r>
        <w:rPr>
          <w:rFonts w:eastAsiaTheme="minorEastAsia"/>
          <w:color w:val="000000" w:themeColor="text1"/>
        </w:rPr>
        <w:t>放缓至</w:t>
      </w:r>
      <w:r>
        <w:rPr>
          <w:rFonts w:eastAsiaTheme="minorEastAsia"/>
          <w:color w:val="000000" w:themeColor="text1"/>
        </w:rPr>
        <w:t>4.5%</w:t>
      </w:r>
      <w:r>
        <w:rPr>
          <w:rFonts w:eastAsiaTheme="minorEastAsia"/>
          <w:color w:val="000000" w:themeColor="text1"/>
        </w:rPr>
        <w:t>；社会消费品零售总额同比增速回落至</w:t>
      </w:r>
      <w:r>
        <w:rPr>
          <w:rFonts w:eastAsiaTheme="minorEastAsia"/>
          <w:color w:val="000000" w:themeColor="text1"/>
        </w:rPr>
        <w:t>2.1%</w:t>
      </w:r>
      <w:r>
        <w:rPr>
          <w:rFonts w:eastAsiaTheme="minorEastAsia"/>
          <w:color w:val="000000" w:themeColor="text1"/>
        </w:rPr>
        <w:t>。固定资产投资同比增速从</w:t>
      </w:r>
      <w:r>
        <w:rPr>
          <w:rFonts w:eastAsiaTheme="minorEastAsia"/>
          <w:color w:val="000000" w:themeColor="text1"/>
        </w:rPr>
        <w:t>7</w:t>
      </w:r>
      <w:r>
        <w:rPr>
          <w:rFonts w:eastAsiaTheme="minorEastAsia"/>
          <w:color w:val="000000" w:themeColor="text1"/>
        </w:rPr>
        <w:t>月的</w:t>
      </w:r>
      <w:r>
        <w:rPr>
          <w:rFonts w:eastAsiaTheme="minorEastAsia"/>
          <w:color w:val="000000" w:themeColor="text1"/>
        </w:rPr>
        <w:t>1.9%</w:t>
      </w:r>
      <w:r>
        <w:rPr>
          <w:rFonts w:eastAsiaTheme="minorEastAsia"/>
          <w:color w:val="000000" w:themeColor="text1"/>
        </w:rPr>
        <w:t>小幅升至</w:t>
      </w:r>
      <w:r>
        <w:rPr>
          <w:rFonts w:eastAsiaTheme="minorEastAsia"/>
          <w:color w:val="000000" w:themeColor="text1"/>
        </w:rPr>
        <w:t xml:space="preserve"> </w:t>
      </w:r>
      <w:r>
        <w:rPr>
          <w:rFonts w:eastAsiaTheme="minorEastAsia"/>
          <w:color w:val="000000" w:themeColor="text1"/>
        </w:rPr>
        <w:t>2.2%</w:t>
      </w:r>
      <w:r>
        <w:rPr>
          <w:rFonts w:eastAsiaTheme="minorEastAsia"/>
          <w:color w:val="000000" w:themeColor="text1"/>
        </w:rPr>
        <w:t>；制造业投资同比增速从</w:t>
      </w:r>
      <w:r>
        <w:rPr>
          <w:rFonts w:eastAsiaTheme="minorEastAsia"/>
          <w:color w:val="000000" w:themeColor="text1"/>
        </w:rPr>
        <w:t>7</w:t>
      </w:r>
      <w:r>
        <w:rPr>
          <w:rFonts w:eastAsiaTheme="minorEastAsia"/>
          <w:color w:val="000000" w:themeColor="text1"/>
        </w:rPr>
        <w:t>月的</w:t>
      </w:r>
      <w:r>
        <w:rPr>
          <w:rFonts w:eastAsiaTheme="minorEastAsia"/>
          <w:color w:val="000000" w:themeColor="text1"/>
        </w:rPr>
        <w:t>8.3%</w:t>
      </w:r>
      <w:r>
        <w:rPr>
          <w:rFonts w:eastAsiaTheme="minorEastAsia"/>
          <w:color w:val="000000" w:themeColor="text1"/>
        </w:rPr>
        <w:t>放缓至</w:t>
      </w:r>
      <w:r>
        <w:rPr>
          <w:rFonts w:eastAsiaTheme="minorEastAsia"/>
          <w:color w:val="000000" w:themeColor="text1"/>
        </w:rPr>
        <w:t>8</w:t>
      </w:r>
      <w:r>
        <w:rPr>
          <w:rFonts w:eastAsiaTheme="minorEastAsia"/>
          <w:color w:val="000000" w:themeColor="text1"/>
        </w:rPr>
        <w:t>月的</w:t>
      </w:r>
      <w:r>
        <w:rPr>
          <w:rFonts w:eastAsiaTheme="minorEastAsia"/>
          <w:color w:val="000000" w:themeColor="text1"/>
        </w:rPr>
        <w:t>8.0%</w:t>
      </w:r>
      <w:r>
        <w:rPr>
          <w:rFonts w:eastAsiaTheme="minorEastAsia"/>
          <w:color w:val="000000" w:themeColor="text1"/>
        </w:rPr>
        <w:t>；继此前两个月的强劲增长之后，基建投资增长显著放缓，同比增速从</w:t>
      </w:r>
      <w:r>
        <w:rPr>
          <w:rFonts w:eastAsiaTheme="minorEastAsia"/>
          <w:color w:val="000000" w:themeColor="text1"/>
        </w:rPr>
        <w:t>7</w:t>
      </w:r>
      <w:r>
        <w:rPr>
          <w:rFonts w:eastAsiaTheme="minorEastAsia"/>
          <w:color w:val="000000" w:themeColor="text1"/>
        </w:rPr>
        <w:t>月的</w:t>
      </w:r>
      <w:r>
        <w:rPr>
          <w:rFonts w:eastAsiaTheme="minorEastAsia"/>
          <w:color w:val="000000" w:themeColor="text1"/>
        </w:rPr>
        <w:t>10.8%</w:t>
      </w:r>
      <w:r>
        <w:rPr>
          <w:rFonts w:eastAsiaTheme="minorEastAsia"/>
          <w:color w:val="000000" w:themeColor="text1"/>
        </w:rPr>
        <w:t>降至</w:t>
      </w:r>
      <w:r>
        <w:rPr>
          <w:rFonts w:eastAsiaTheme="minorEastAsia"/>
          <w:color w:val="000000" w:themeColor="text1"/>
        </w:rPr>
        <w:t>8</w:t>
      </w:r>
      <w:r>
        <w:rPr>
          <w:rFonts w:eastAsiaTheme="minorEastAsia"/>
          <w:color w:val="000000" w:themeColor="text1"/>
        </w:rPr>
        <w:t>月的</w:t>
      </w:r>
      <w:r>
        <w:rPr>
          <w:rFonts w:eastAsiaTheme="minorEastAsia"/>
          <w:color w:val="000000" w:themeColor="text1"/>
        </w:rPr>
        <w:t>6.2%</w:t>
      </w:r>
      <w:r>
        <w:rPr>
          <w:rFonts w:eastAsiaTheme="minorEastAsia"/>
          <w:color w:val="000000" w:themeColor="text1"/>
        </w:rPr>
        <w:t>；全国房地产开发投资</w:t>
      </w:r>
      <w:r>
        <w:rPr>
          <w:rFonts w:eastAsiaTheme="minorEastAsia"/>
          <w:color w:val="000000" w:themeColor="text1"/>
        </w:rPr>
        <w:t>8</w:t>
      </w:r>
      <w:r>
        <w:rPr>
          <w:rFonts w:eastAsiaTheme="minorEastAsia"/>
          <w:color w:val="000000" w:themeColor="text1"/>
        </w:rPr>
        <w:t>月同比下降</w:t>
      </w:r>
      <w:r>
        <w:rPr>
          <w:rFonts w:eastAsiaTheme="minorEastAsia"/>
          <w:color w:val="000000" w:themeColor="text1"/>
        </w:rPr>
        <w:t xml:space="preserve"> 10.2%</w:t>
      </w:r>
      <w:r>
        <w:rPr>
          <w:rFonts w:eastAsiaTheme="minorEastAsia"/>
          <w:color w:val="000000" w:themeColor="text1"/>
        </w:rPr>
        <w:t>，较</w:t>
      </w:r>
      <w:r>
        <w:rPr>
          <w:rFonts w:eastAsiaTheme="minorEastAsia"/>
          <w:color w:val="000000" w:themeColor="text1"/>
        </w:rPr>
        <w:t>7</w:t>
      </w:r>
      <w:r>
        <w:rPr>
          <w:rFonts w:eastAsiaTheme="minorEastAsia"/>
          <w:color w:val="000000" w:themeColor="text1"/>
        </w:rPr>
        <w:t>月略有回升。</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货币政策方面，第三季度迎来了两次降息。央行首先在</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22</w:t>
      </w:r>
      <w:r>
        <w:rPr>
          <w:rFonts w:eastAsiaTheme="minorEastAsia"/>
          <w:color w:val="000000" w:themeColor="text1"/>
        </w:rPr>
        <w:t>日超预期下调</w:t>
      </w:r>
      <w:r>
        <w:rPr>
          <w:rFonts w:eastAsiaTheme="minorEastAsia"/>
          <w:color w:val="000000" w:themeColor="text1"/>
        </w:rPr>
        <w:t>7</w:t>
      </w:r>
      <w:r>
        <w:rPr>
          <w:rFonts w:eastAsiaTheme="minorEastAsia"/>
          <w:color w:val="000000" w:themeColor="text1"/>
        </w:rPr>
        <w:t>天回购利率</w:t>
      </w:r>
      <w:r>
        <w:rPr>
          <w:rFonts w:eastAsiaTheme="minorEastAsia"/>
          <w:color w:val="000000" w:themeColor="text1"/>
        </w:rPr>
        <w:t>10bp</w:t>
      </w:r>
      <w:r>
        <w:rPr>
          <w:rFonts w:eastAsiaTheme="minorEastAsia"/>
          <w:color w:val="000000" w:themeColor="text1"/>
        </w:rPr>
        <w:t>。</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日，中国人民银行、金融监管总局和中国证监会的主要负责人联合举办新闻发布会，宣布了一系列政策。这些政策包括降低存量房贷利率、统一房贷最低首付比例、下调存款准备金率</w:t>
      </w:r>
      <w:r>
        <w:rPr>
          <w:rFonts w:eastAsiaTheme="minorEastAsia"/>
          <w:color w:val="000000" w:themeColor="text1"/>
        </w:rPr>
        <w:t>50</w:t>
      </w:r>
      <w:r>
        <w:rPr>
          <w:rFonts w:eastAsiaTheme="minorEastAsia"/>
          <w:color w:val="000000" w:themeColor="text1"/>
        </w:rPr>
        <w:t>个基点、下调</w:t>
      </w:r>
      <w:r>
        <w:rPr>
          <w:rFonts w:eastAsiaTheme="minorEastAsia"/>
          <w:color w:val="000000" w:themeColor="text1"/>
        </w:rPr>
        <w:t>7</w:t>
      </w:r>
      <w:r>
        <w:rPr>
          <w:rFonts w:eastAsiaTheme="minorEastAsia"/>
          <w:color w:val="000000" w:themeColor="text1"/>
        </w:rPr>
        <w:t>天逆回购利率</w:t>
      </w:r>
      <w:r>
        <w:rPr>
          <w:rFonts w:eastAsiaTheme="minorEastAsia"/>
          <w:color w:val="000000" w:themeColor="text1"/>
        </w:rPr>
        <w:t>20</w:t>
      </w:r>
      <w:r>
        <w:rPr>
          <w:rFonts w:eastAsiaTheme="minorEastAsia"/>
          <w:color w:val="000000" w:themeColor="text1"/>
        </w:rPr>
        <w:t>个基点，以及首次创设结构性货币工具支持资本市场发展等。</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27</w:t>
      </w:r>
      <w:r>
        <w:rPr>
          <w:rFonts w:eastAsiaTheme="minorEastAsia"/>
          <w:color w:val="000000" w:themeColor="text1"/>
        </w:rPr>
        <w:t>日，存款准备金下调</w:t>
      </w:r>
      <w:r>
        <w:rPr>
          <w:rFonts w:eastAsiaTheme="minorEastAsia"/>
          <w:color w:val="000000" w:themeColor="text1"/>
        </w:rPr>
        <w:t>50bp</w:t>
      </w:r>
      <w:r>
        <w:rPr>
          <w:rFonts w:eastAsiaTheme="minorEastAsia"/>
          <w:color w:val="000000" w:themeColor="text1"/>
        </w:rPr>
        <w:t>落地。</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29</w:t>
      </w:r>
      <w:r>
        <w:rPr>
          <w:rFonts w:eastAsiaTheme="minorEastAsia"/>
          <w:color w:val="000000" w:themeColor="text1"/>
        </w:rPr>
        <w:t>日，</w:t>
      </w:r>
      <w:r>
        <w:rPr>
          <w:rFonts w:eastAsiaTheme="minorEastAsia"/>
          <w:color w:val="000000" w:themeColor="text1"/>
        </w:rPr>
        <w:t>7</w:t>
      </w:r>
      <w:r>
        <w:rPr>
          <w:rFonts w:eastAsiaTheme="minorEastAsia"/>
          <w:color w:val="000000" w:themeColor="text1"/>
        </w:rPr>
        <w:t>天回购利率下调</w:t>
      </w:r>
      <w:r>
        <w:rPr>
          <w:rFonts w:eastAsiaTheme="minorEastAsia"/>
          <w:color w:val="000000" w:themeColor="text1"/>
        </w:rPr>
        <w:t>20bp</w:t>
      </w:r>
      <w:r>
        <w:rPr>
          <w:rFonts w:eastAsiaTheme="minorEastAsia"/>
          <w:color w:val="000000" w:themeColor="text1"/>
        </w:rPr>
        <w:t>落地，</w:t>
      </w:r>
      <w:r>
        <w:rPr>
          <w:rFonts w:eastAsiaTheme="minorEastAsia"/>
          <w:color w:val="000000" w:themeColor="text1"/>
        </w:rPr>
        <w:t>7</w:t>
      </w:r>
      <w:r>
        <w:rPr>
          <w:rFonts w:eastAsiaTheme="minorEastAsia"/>
          <w:color w:val="000000" w:themeColor="text1"/>
        </w:rPr>
        <w:t>天回购利率被调低至</w:t>
      </w:r>
      <w:r>
        <w:rPr>
          <w:rFonts w:eastAsiaTheme="minorEastAsia"/>
          <w:color w:val="000000" w:themeColor="text1"/>
        </w:rPr>
        <w:t>1.5%</w:t>
      </w:r>
      <w:r>
        <w:rPr>
          <w:rFonts w:eastAsiaTheme="minorEastAsia"/>
          <w:color w:val="000000" w:themeColor="text1"/>
        </w:rPr>
        <w:t>。银行间市场资金利率较第二季度略有下行，</w:t>
      </w:r>
      <w:r>
        <w:rPr>
          <w:rFonts w:eastAsiaTheme="minorEastAsia"/>
          <w:color w:val="000000" w:themeColor="text1"/>
        </w:rPr>
        <w:t>R001</w:t>
      </w:r>
      <w:r>
        <w:rPr>
          <w:rFonts w:eastAsiaTheme="minorEastAsia"/>
          <w:color w:val="000000" w:themeColor="text1"/>
        </w:rPr>
        <w:t>和</w:t>
      </w:r>
      <w:r>
        <w:rPr>
          <w:rFonts w:eastAsiaTheme="minorEastAsia"/>
          <w:color w:val="000000" w:themeColor="text1"/>
        </w:rPr>
        <w:t>R007</w:t>
      </w:r>
      <w:r>
        <w:rPr>
          <w:rFonts w:eastAsiaTheme="minorEastAsia"/>
          <w:color w:val="000000" w:themeColor="text1"/>
        </w:rPr>
        <w:t>分别较前一季度下行</w:t>
      </w:r>
      <w:r>
        <w:rPr>
          <w:rFonts w:eastAsiaTheme="minorEastAsia"/>
          <w:color w:val="000000" w:themeColor="text1"/>
        </w:rPr>
        <w:t>5bp</w:t>
      </w:r>
      <w:r>
        <w:rPr>
          <w:rFonts w:eastAsiaTheme="minorEastAsia"/>
          <w:color w:val="000000" w:themeColor="text1"/>
        </w:rPr>
        <w:t>和</w:t>
      </w:r>
      <w:r>
        <w:rPr>
          <w:rFonts w:eastAsiaTheme="minorEastAsia"/>
          <w:color w:val="000000" w:themeColor="text1"/>
        </w:rPr>
        <w:t>4bp</w:t>
      </w:r>
      <w:r>
        <w:rPr>
          <w:rFonts w:eastAsiaTheme="minorEastAsia"/>
          <w:color w:val="000000" w:themeColor="text1"/>
        </w:rPr>
        <w:t>，至</w:t>
      </w:r>
      <w:r>
        <w:rPr>
          <w:rFonts w:eastAsiaTheme="minorEastAsia"/>
          <w:color w:val="000000" w:themeColor="text1"/>
        </w:rPr>
        <w:t>1.79%</w:t>
      </w:r>
      <w:r>
        <w:rPr>
          <w:rFonts w:eastAsiaTheme="minorEastAsia"/>
          <w:color w:val="000000" w:themeColor="text1"/>
        </w:rPr>
        <w:t>和</w:t>
      </w:r>
      <w:r>
        <w:rPr>
          <w:rFonts w:eastAsiaTheme="minorEastAsia"/>
          <w:color w:val="000000" w:themeColor="text1"/>
        </w:rPr>
        <w:t>1.9%</w:t>
      </w:r>
      <w:r>
        <w:rPr>
          <w:rFonts w:eastAsiaTheme="minorEastAsia"/>
          <w:color w:val="000000" w:themeColor="text1"/>
        </w:rPr>
        <w:t>。</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国际经济方面，时隔四年半，美联储</w:t>
      </w:r>
      <w:r>
        <w:rPr>
          <w:rFonts w:eastAsiaTheme="minorEastAsia"/>
          <w:color w:val="000000" w:themeColor="text1"/>
        </w:rPr>
        <w:t>9</w:t>
      </w:r>
      <w:r>
        <w:rPr>
          <w:rFonts w:eastAsiaTheme="minorEastAsia"/>
          <w:color w:val="000000" w:themeColor="text1"/>
        </w:rPr>
        <w:t>月开启宽松周期，将联邦基金利率目标区间下调</w:t>
      </w:r>
      <w:r>
        <w:rPr>
          <w:rFonts w:eastAsiaTheme="minorEastAsia"/>
          <w:color w:val="000000" w:themeColor="text1"/>
        </w:rPr>
        <w:t>50</w:t>
      </w:r>
      <w:r>
        <w:rPr>
          <w:rFonts w:eastAsiaTheme="minorEastAsia"/>
          <w:color w:val="000000" w:themeColor="text1"/>
        </w:rPr>
        <w:t>个基点，降至</w:t>
      </w:r>
      <w:r>
        <w:rPr>
          <w:rFonts w:eastAsiaTheme="minorEastAsia"/>
          <w:color w:val="000000" w:themeColor="text1"/>
        </w:rPr>
        <w:t>4.75%-5.00%</w:t>
      </w:r>
      <w:r>
        <w:rPr>
          <w:rFonts w:eastAsiaTheme="minorEastAsia"/>
          <w:color w:val="000000" w:themeColor="text1"/>
        </w:rPr>
        <w:t>之间的水平。但其后</w:t>
      </w:r>
      <w:r>
        <w:rPr>
          <w:rFonts w:eastAsiaTheme="minorEastAsia"/>
          <w:color w:val="000000" w:themeColor="text1"/>
        </w:rPr>
        <w:t>9</w:t>
      </w:r>
      <w:r>
        <w:rPr>
          <w:rFonts w:eastAsiaTheme="minorEastAsia"/>
          <w:color w:val="000000" w:themeColor="text1"/>
        </w:rPr>
        <w:t>月非农就业数据大幅超出市场预期，</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ISM</w:t>
      </w:r>
      <w:r>
        <w:rPr>
          <w:rFonts w:eastAsiaTheme="minorEastAsia"/>
          <w:color w:val="000000" w:themeColor="text1"/>
        </w:rPr>
        <w:t>服务业</w:t>
      </w:r>
      <w:r>
        <w:rPr>
          <w:rFonts w:eastAsiaTheme="minorEastAsia"/>
          <w:color w:val="000000" w:themeColor="text1"/>
        </w:rPr>
        <w:t>PMI</w:t>
      </w:r>
      <w:r>
        <w:rPr>
          <w:rFonts w:eastAsiaTheme="minorEastAsia"/>
          <w:color w:val="000000" w:themeColor="text1"/>
        </w:rPr>
        <w:t>明显回升，制造业</w:t>
      </w:r>
      <w:r>
        <w:rPr>
          <w:rFonts w:eastAsiaTheme="minorEastAsia"/>
          <w:color w:val="000000" w:themeColor="text1"/>
        </w:rPr>
        <w:t>PMI</w:t>
      </w:r>
      <w:r>
        <w:rPr>
          <w:rFonts w:eastAsiaTheme="minorEastAsia"/>
          <w:color w:val="000000" w:themeColor="text1"/>
        </w:rPr>
        <w:t>偏弱。随后包括美</w:t>
      </w:r>
      <w:r>
        <w:rPr>
          <w:rFonts w:eastAsiaTheme="minorEastAsia"/>
          <w:color w:val="000000" w:themeColor="text1"/>
        </w:rPr>
        <w:t>联储主席鲍威尔在内的委员表态偏鹰，市场几乎排除</w:t>
      </w:r>
      <w:r>
        <w:rPr>
          <w:rFonts w:eastAsiaTheme="minorEastAsia"/>
          <w:color w:val="000000" w:themeColor="text1"/>
        </w:rPr>
        <w:t>11</w:t>
      </w:r>
      <w:r>
        <w:rPr>
          <w:rFonts w:eastAsiaTheme="minorEastAsia"/>
          <w:color w:val="000000" w:themeColor="text1"/>
        </w:rPr>
        <w:t>月会议降息</w:t>
      </w:r>
      <w:r>
        <w:rPr>
          <w:rFonts w:eastAsiaTheme="minorEastAsia"/>
          <w:color w:val="000000" w:themeColor="text1"/>
        </w:rPr>
        <w:t>50bp</w:t>
      </w:r>
      <w:r>
        <w:rPr>
          <w:rFonts w:eastAsiaTheme="minorEastAsia"/>
          <w:color w:val="000000" w:themeColor="text1"/>
        </w:rPr>
        <w:t>的可能性。美债收益率上行、美元走强、原油价格大幅上涨。美国增长动能整体好于预期。</w:t>
      </w:r>
      <w:r>
        <w:rPr>
          <w:rFonts w:eastAsiaTheme="minorEastAsia"/>
          <w:color w:val="000000" w:themeColor="text1"/>
        </w:rPr>
        <w:t>9</w:t>
      </w:r>
      <w:r>
        <w:rPr>
          <w:rFonts w:eastAsiaTheme="minorEastAsia"/>
          <w:color w:val="000000" w:themeColor="text1"/>
        </w:rPr>
        <w:t>月末，美元人民币中间价收于</w:t>
      </w:r>
      <w:r>
        <w:rPr>
          <w:rFonts w:eastAsiaTheme="minorEastAsia"/>
          <w:color w:val="000000" w:themeColor="text1"/>
        </w:rPr>
        <w:t>7.0156</w:t>
      </w:r>
      <w:r>
        <w:rPr>
          <w:rFonts w:eastAsiaTheme="minorEastAsia"/>
          <w:color w:val="000000" w:themeColor="text1"/>
        </w:rPr>
        <w:t>，较二季度末下跌</w:t>
      </w:r>
      <w:r>
        <w:rPr>
          <w:rFonts w:eastAsiaTheme="minorEastAsia"/>
          <w:color w:val="000000" w:themeColor="text1"/>
        </w:rPr>
        <w:t>3.4%</w:t>
      </w:r>
      <w:r>
        <w:rPr>
          <w:rFonts w:eastAsiaTheme="minorEastAsia"/>
          <w:color w:val="000000" w:themeColor="text1"/>
        </w:rPr>
        <w:t>。</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第三季度，受国内经济数据不及市场预期和流动性整体保持相对宽松的影响，债券收益率整体保持下行趋势。期间，央行多次表示将干预债券市场。</w:t>
      </w:r>
      <w:r>
        <w:rPr>
          <w:rFonts w:eastAsiaTheme="minorEastAsia"/>
          <w:color w:val="000000" w:themeColor="text1"/>
        </w:rPr>
        <w:t>8</w:t>
      </w:r>
      <w:r>
        <w:rPr>
          <w:rFonts w:eastAsiaTheme="minorEastAsia"/>
          <w:color w:val="000000" w:themeColor="text1"/>
        </w:rPr>
        <w:t>月，国有大行卖出长久期债券，调节市场。市场对于债券牛市持续的预期发生变化，债券收益率有明显调整，</w:t>
      </w:r>
      <w:r>
        <w:rPr>
          <w:rFonts w:eastAsiaTheme="minorEastAsia"/>
          <w:color w:val="000000" w:themeColor="text1"/>
        </w:rPr>
        <w:t>10</w:t>
      </w:r>
      <w:r>
        <w:rPr>
          <w:rFonts w:eastAsiaTheme="minorEastAsia"/>
          <w:color w:val="000000" w:themeColor="text1"/>
        </w:rPr>
        <w:t>年期国债和</w:t>
      </w:r>
      <w:r>
        <w:rPr>
          <w:rFonts w:eastAsiaTheme="minorEastAsia"/>
          <w:color w:val="000000" w:themeColor="text1"/>
        </w:rPr>
        <w:t>10</w:t>
      </w:r>
      <w:r>
        <w:rPr>
          <w:rFonts w:eastAsiaTheme="minorEastAsia"/>
          <w:color w:val="000000" w:themeColor="text1"/>
        </w:rPr>
        <w:t>年期国开债收益率回调幅度约</w:t>
      </w:r>
      <w:r>
        <w:rPr>
          <w:rFonts w:eastAsiaTheme="minorEastAsia"/>
          <w:color w:val="000000" w:themeColor="text1"/>
        </w:rPr>
        <w:t>9bp</w:t>
      </w:r>
      <w:r>
        <w:rPr>
          <w:rFonts w:eastAsiaTheme="minorEastAsia"/>
          <w:color w:val="000000" w:themeColor="text1"/>
        </w:rPr>
        <w:t>左右，之后重回下行</w:t>
      </w:r>
      <w:r>
        <w:rPr>
          <w:rFonts w:eastAsiaTheme="minorEastAsia"/>
          <w:color w:val="000000" w:themeColor="text1"/>
        </w:rPr>
        <w:t>。债券收益率在</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25</w:t>
      </w:r>
      <w:r>
        <w:rPr>
          <w:rFonts w:eastAsiaTheme="minorEastAsia"/>
          <w:color w:val="000000" w:themeColor="text1"/>
        </w:rPr>
        <w:t>日刷新了在</w:t>
      </w:r>
      <w:r>
        <w:rPr>
          <w:rFonts w:eastAsiaTheme="minorEastAsia"/>
          <w:color w:val="000000" w:themeColor="text1"/>
        </w:rPr>
        <w:t>8</w:t>
      </w:r>
      <w:r>
        <w:rPr>
          <w:rFonts w:eastAsiaTheme="minorEastAsia"/>
          <w:color w:val="000000" w:themeColor="text1"/>
        </w:rPr>
        <w:t>月创下的历史低点，</w:t>
      </w:r>
      <w:r>
        <w:rPr>
          <w:rFonts w:eastAsiaTheme="minorEastAsia"/>
          <w:color w:val="000000" w:themeColor="text1"/>
        </w:rPr>
        <w:t>10</w:t>
      </w:r>
      <w:r>
        <w:rPr>
          <w:rFonts w:eastAsiaTheme="minorEastAsia"/>
          <w:color w:val="000000" w:themeColor="text1"/>
        </w:rPr>
        <w:t>年期国债和</w:t>
      </w:r>
      <w:r>
        <w:rPr>
          <w:rFonts w:eastAsiaTheme="minorEastAsia"/>
          <w:color w:val="000000" w:themeColor="text1"/>
        </w:rPr>
        <w:t>10</w:t>
      </w:r>
      <w:r>
        <w:rPr>
          <w:rFonts w:eastAsiaTheme="minorEastAsia"/>
          <w:color w:val="000000" w:themeColor="text1"/>
        </w:rPr>
        <w:t>年期国开债收益率分别达到了</w:t>
      </w:r>
      <w:r>
        <w:rPr>
          <w:rFonts w:eastAsiaTheme="minorEastAsia"/>
          <w:color w:val="000000" w:themeColor="text1"/>
        </w:rPr>
        <w:t>2.04%</w:t>
      </w:r>
      <w:r>
        <w:rPr>
          <w:rFonts w:eastAsiaTheme="minorEastAsia"/>
          <w:color w:val="000000" w:themeColor="text1"/>
        </w:rPr>
        <w:t>和</w:t>
      </w:r>
      <w:r>
        <w:rPr>
          <w:rFonts w:eastAsiaTheme="minorEastAsia"/>
          <w:color w:val="000000" w:themeColor="text1"/>
        </w:rPr>
        <w:t>2.11%</w:t>
      </w:r>
      <w:r>
        <w:rPr>
          <w:rFonts w:eastAsiaTheme="minorEastAsia"/>
          <w:color w:val="000000" w:themeColor="text1"/>
        </w:rPr>
        <w:t>的历史新低。之后随着对经济刺激政策信心的恢复，债券收益率开始大幅波动，三季度末分别收于</w:t>
      </w:r>
      <w:r>
        <w:rPr>
          <w:rFonts w:eastAsiaTheme="minorEastAsia"/>
          <w:color w:val="000000" w:themeColor="text1"/>
        </w:rPr>
        <w:t>2.15%</w:t>
      </w:r>
      <w:r>
        <w:rPr>
          <w:rFonts w:eastAsiaTheme="minorEastAsia"/>
          <w:color w:val="000000" w:themeColor="text1"/>
        </w:rPr>
        <w:t>和</w:t>
      </w:r>
      <w:r>
        <w:rPr>
          <w:rFonts w:eastAsiaTheme="minorEastAsia"/>
          <w:color w:val="000000" w:themeColor="text1"/>
        </w:rPr>
        <w:t>2.25%</w:t>
      </w:r>
      <w:r>
        <w:rPr>
          <w:rFonts w:eastAsiaTheme="minorEastAsia"/>
          <w:color w:val="000000" w:themeColor="text1"/>
        </w:rPr>
        <w:t>，较二季度末分别上行</w:t>
      </w:r>
      <w:r>
        <w:rPr>
          <w:rFonts w:eastAsiaTheme="minorEastAsia"/>
          <w:color w:val="000000" w:themeColor="text1"/>
        </w:rPr>
        <w:t>6bp</w:t>
      </w:r>
      <w:r>
        <w:rPr>
          <w:rFonts w:eastAsiaTheme="minorEastAsia"/>
          <w:color w:val="000000" w:themeColor="text1"/>
        </w:rPr>
        <w:t>和</w:t>
      </w:r>
      <w:r>
        <w:rPr>
          <w:rFonts w:eastAsiaTheme="minorEastAsia"/>
          <w:color w:val="000000" w:themeColor="text1"/>
        </w:rPr>
        <w:t>4bp</w:t>
      </w:r>
      <w:r>
        <w:rPr>
          <w:rFonts w:eastAsiaTheme="minorEastAsia"/>
          <w:color w:val="000000" w:themeColor="text1"/>
        </w:rPr>
        <w:t>。</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第三季度，保持账户杠杆水平，尽力控制融资成本。</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第四季度，预计财政政策将不断出台，货币政策也将维持宽松，同时接近年末，机构行为和时点因素对资金价格的影响不可预见性上升，我们将谨慎应对。但在追求高质量发展和化解地方债务的背景下，经济复苏将是相对缓慢和反复的过程，而在经济数据出现明显回暖之前，债券的机会并未结束。</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本报告期摩根瑞盛</w:t>
      </w:r>
      <w:r w:rsidRPr="00FF6B9A">
        <w:rPr>
          <w:rFonts w:eastAsiaTheme="minorEastAsia"/>
          <w:color w:val="000000" w:themeColor="text1"/>
        </w:rPr>
        <w:t>87</w:t>
      </w:r>
      <w:r w:rsidRPr="00FF6B9A">
        <w:rPr>
          <w:rFonts w:eastAsiaTheme="minorEastAsia"/>
          <w:color w:val="000000" w:themeColor="text1"/>
        </w:rPr>
        <w:t>个月份额净值增长率为</w:t>
      </w:r>
      <w:r w:rsidRPr="00FF6B9A">
        <w:rPr>
          <w:rFonts w:eastAsiaTheme="minorEastAsia"/>
          <w:color w:val="000000" w:themeColor="text1"/>
        </w:rPr>
        <w:t>:1.03%</w:t>
      </w:r>
      <w:r w:rsidRPr="00FF6B9A">
        <w:rPr>
          <w:rFonts w:eastAsiaTheme="minorEastAsia"/>
          <w:color w:val="000000" w:themeColor="text1"/>
        </w:rPr>
        <w:t>，同期业绩比较基准收益率为</w:t>
      </w:r>
      <w:r w:rsidRPr="00FF6B9A">
        <w:rPr>
          <w:rFonts w:eastAsiaTheme="minorEastAsia"/>
          <w:color w:val="000000" w:themeColor="text1"/>
        </w:rPr>
        <w:t>:1.02%</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13,568,429,882.07</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98.56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13,568,429,882.07</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98.56</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198,453,192.40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13,766,883,074.47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lastRenderedPageBreak/>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1"/>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10,452,607,353.58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120.01</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10,452,607,353.58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120.01</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3,115,822,528.49</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35.77</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13,568,429,882.07</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155.78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8F3631">
        <w:tc>
          <w:tcPr>
            <w:tcW w:w="1252" w:type="dxa"/>
            <w:vAlign w:val="center"/>
          </w:tcPr>
          <w:p w:rsidR="008F3631" w:rsidRDefault="00562CFE">
            <w:pPr>
              <w:jc w:val="center"/>
            </w:pPr>
            <w:r>
              <w:rPr>
                <w:rFonts w:eastAsiaTheme="minorEastAsia"/>
                <w:color w:val="000000" w:themeColor="text1"/>
                <w:kern w:val="0"/>
              </w:rPr>
              <w:t>1</w:t>
            </w:r>
          </w:p>
        </w:tc>
        <w:tc>
          <w:tcPr>
            <w:tcW w:w="1310" w:type="dxa"/>
            <w:vAlign w:val="center"/>
          </w:tcPr>
          <w:p w:rsidR="008F3631" w:rsidRDefault="00562CFE">
            <w:pPr>
              <w:jc w:val="center"/>
            </w:pPr>
            <w:r>
              <w:rPr>
                <w:rFonts w:eastAsiaTheme="minorEastAsia"/>
                <w:color w:val="000000" w:themeColor="text1"/>
                <w:kern w:val="0"/>
              </w:rPr>
              <w:t>092018002</w:t>
            </w:r>
          </w:p>
        </w:tc>
        <w:tc>
          <w:tcPr>
            <w:tcW w:w="1282" w:type="dxa"/>
            <w:vAlign w:val="center"/>
          </w:tcPr>
          <w:p w:rsidR="008F3631" w:rsidRDefault="00562CFE">
            <w:pPr>
              <w:jc w:val="center"/>
            </w:pPr>
            <w:r>
              <w:rPr>
                <w:rFonts w:eastAsiaTheme="minorEastAsia"/>
                <w:color w:val="000000" w:themeColor="text1"/>
                <w:kern w:val="0"/>
              </w:rPr>
              <w:t>20</w:t>
            </w:r>
            <w:r>
              <w:rPr>
                <w:rFonts w:eastAsiaTheme="minorEastAsia"/>
                <w:color w:val="000000" w:themeColor="text1"/>
                <w:kern w:val="0"/>
              </w:rPr>
              <w:t>农发清发</w:t>
            </w:r>
            <w:r>
              <w:rPr>
                <w:rFonts w:eastAsiaTheme="minorEastAsia"/>
                <w:color w:val="000000" w:themeColor="text1"/>
                <w:kern w:val="0"/>
              </w:rPr>
              <w:t>02</w:t>
            </w:r>
          </w:p>
        </w:tc>
        <w:tc>
          <w:tcPr>
            <w:tcW w:w="1426" w:type="dxa"/>
            <w:vAlign w:val="center"/>
          </w:tcPr>
          <w:p w:rsidR="008F3631" w:rsidRDefault="00562CFE">
            <w:pPr>
              <w:jc w:val="right"/>
            </w:pPr>
            <w:r>
              <w:rPr>
                <w:rFonts w:eastAsiaTheme="minorEastAsia"/>
                <w:color w:val="000000" w:themeColor="text1"/>
                <w:kern w:val="0"/>
              </w:rPr>
              <w:t>29,700,000</w:t>
            </w:r>
          </w:p>
        </w:tc>
        <w:tc>
          <w:tcPr>
            <w:tcW w:w="1646" w:type="dxa"/>
            <w:vAlign w:val="center"/>
          </w:tcPr>
          <w:p w:rsidR="008F3631" w:rsidRDefault="00562CFE">
            <w:pPr>
              <w:jc w:val="right"/>
            </w:pPr>
            <w:r>
              <w:rPr>
                <w:rFonts w:eastAsiaTheme="minorEastAsia"/>
                <w:color w:val="000000" w:themeColor="text1"/>
                <w:kern w:val="0"/>
              </w:rPr>
              <w:t>2,958,182,473.30</w:t>
            </w:r>
          </w:p>
        </w:tc>
        <w:tc>
          <w:tcPr>
            <w:tcW w:w="1612" w:type="dxa"/>
            <w:vAlign w:val="center"/>
          </w:tcPr>
          <w:p w:rsidR="008F3631" w:rsidRDefault="00562CFE">
            <w:pPr>
              <w:jc w:val="right"/>
            </w:pPr>
            <w:r>
              <w:rPr>
                <w:rFonts w:eastAsiaTheme="minorEastAsia"/>
                <w:color w:val="000000" w:themeColor="text1"/>
                <w:kern w:val="0"/>
              </w:rPr>
              <w:t>33.96</w:t>
            </w:r>
          </w:p>
        </w:tc>
      </w:tr>
      <w:tr w:rsidR="008F3631">
        <w:tc>
          <w:tcPr>
            <w:tcW w:w="1252" w:type="dxa"/>
            <w:vAlign w:val="center"/>
          </w:tcPr>
          <w:p w:rsidR="008F3631" w:rsidRDefault="00562CFE">
            <w:pPr>
              <w:jc w:val="center"/>
            </w:pPr>
            <w:r>
              <w:rPr>
                <w:rFonts w:eastAsiaTheme="minorEastAsia"/>
                <w:color w:val="000000" w:themeColor="text1"/>
                <w:kern w:val="0"/>
              </w:rPr>
              <w:t>2</w:t>
            </w:r>
          </w:p>
        </w:tc>
        <w:tc>
          <w:tcPr>
            <w:tcW w:w="1310" w:type="dxa"/>
            <w:vAlign w:val="center"/>
          </w:tcPr>
          <w:p w:rsidR="008F3631" w:rsidRDefault="00562CFE">
            <w:pPr>
              <w:jc w:val="center"/>
            </w:pPr>
            <w:r>
              <w:rPr>
                <w:rFonts w:eastAsiaTheme="minorEastAsia"/>
                <w:color w:val="000000" w:themeColor="text1"/>
                <w:kern w:val="0"/>
              </w:rPr>
              <w:t>200209</w:t>
            </w:r>
          </w:p>
        </w:tc>
        <w:tc>
          <w:tcPr>
            <w:tcW w:w="1282" w:type="dxa"/>
            <w:vAlign w:val="center"/>
          </w:tcPr>
          <w:p w:rsidR="008F3631" w:rsidRDefault="00562CFE">
            <w:pPr>
              <w:jc w:val="center"/>
            </w:pPr>
            <w:r>
              <w:rPr>
                <w:rFonts w:eastAsiaTheme="minorEastAsia"/>
                <w:color w:val="000000" w:themeColor="text1"/>
                <w:kern w:val="0"/>
              </w:rPr>
              <w:t>20</w:t>
            </w:r>
            <w:r>
              <w:rPr>
                <w:rFonts w:eastAsiaTheme="minorEastAsia"/>
                <w:color w:val="000000" w:themeColor="text1"/>
                <w:kern w:val="0"/>
              </w:rPr>
              <w:t>国开</w:t>
            </w:r>
            <w:r>
              <w:rPr>
                <w:rFonts w:eastAsiaTheme="minorEastAsia"/>
                <w:color w:val="000000" w:themeColor="text1"/>
                <w:kern w:val="0"/>
              </w:rPr>
              <w:t>09</w:t>
            </w:r>
          </w:p>
        </w:tc>
        <w:tc>
          <w:tcPr>
            <w:tcW w:w="1426" w:type="dxa"/>
            <w:vAlign w:val="center"/>
          </w:tcPr>
          <w:p w:rsidR="008F3631" w:rsidRDefault="00562CFE">
            <w:pPr>
              <w:jc w:val="right"/>
            </w:pPr>
            <w:r>
              <w:rPr>
                <w:rFonts w:eastAsiaTheme="minorEastAsia"/>
                <w:color w:val="000000" w:themeColor="text1"/>
                <w:kern w:val="0"/>
              </w:rPr>
              <w:t>28,700,000</w:t>
            </w:r>
          </w:p>
        </w:tc>
        <w:tc>
          <w:tcPr>
            <w:tcW w:w="1646" w:type="dxa"/>
            <w:vAlign w:val="center"/>
          </w:tcPr>
          <w:p w:rsidR="008F3631" w:rsidRDefault="00562CFE">
            <w:pPr>
              <w:jc w:val="right"/>
            </w:pPr>
            <w:r>
              <w:rPr>
                <w:rFonts w:eastAsiaTheme="minorEastAsia"/>
                <w:color w:val="000000" w:themeColor="text1"/>
                <w:kern w:val="0"/>
              </w:rPr>
              <w:t>2,884,940,678.42</w:t>
            </w:r>
          </w:p>
        </w:tc>
        <w:tc>
          <w:tcPr>
            <w:tcW w:w="1612" w:type="dxa"/>
            <w:vAlign w:val="center"/>
          </w:tcPr>
          <w:p w:rsidR="008F3631" w:rsidRDefault="00562CFE">
            <w:pPr>
              <w:jc w:val="right"/>
            </w:pPr>
            <w:r>
              <w:rPr>
                <w:rFonts w:eastAsiaTheme="minorEastAsia"/>
                <w:color w:val="000000" w:themeColor="text1"/>
                <w:kern w:val="0"/>
              </w:rPr>
              <w:t>33.12</w:t>
            </w:r>
          </w:p>
        </w:tc>
      </w:tr>
      <w:tr w:rsidR="008F3631">
        <w:tc>
          <w:tcPr>
            <w:tcW w:w="1252" w:type="dxa"/>
            <w:vAlign w:val="center"/>
          </w:tcPr>
          <w:p w:rsidR="008F3631" w:rsidRDefault="00562CFE">
            <w:pPr>
              <w:jc w:val="center"/>
            </w:pPr>
            <w:r>
              <w:rPr>
                <w:rFonts w:eastAsiaTheme="minorEastAsia"/>
                <w:color w:val="000000" w:themeColor="text1"/>
                <w:kern w:val="0"/>
              </w:rPr>
              <w:t>3</w:t>
            </w:r>
          </w:p>
        </w:tc>
        <w:tc>
          <w:tcPr>
            <w:tcW w:w="1310" w:type="dxa"/>
            <w:vAlign w:val="center"/>
          </w:tcPr>
          <w:p w:rsidR="008F3631" w:rsidRDefault="00562CFE">
            <w:pPr>
              <w:jc w:val="center"/>
            </w:pPr>
            <w:r>
              <w:rPr>
                <w:rFonts w:eastAsiaTheme="minorEastAsia"/>
                <w:color w:val="000000" w:themeColor="text1"/>
                <w:kern w:val="0"/>
              </w:rPr>
              <w:t>170415</w:t>
            </w:r>
          </w:p>
        </w:tc>
        <w:tc>
          <w:tcPr>
            <w:tcW w:w="1282" w:type="dxa"/>
            <w:vAlign w:val="center"/>
          </w:tcPr>
          <w:p w:rsidR="008F3631" w:rsidRDefault="00562CFE">
            <w:pPr>
              <w:jc w:val="center"/>
            </w:pPr>
            <w:r>
              <w:rPr>
                <w:rFonts w:eastAsiaTheme="minorEastAsia"/>
                <w:color w:val="000000" w:themeColor="text1"/>
                <w:kern w:val="0"/>
              </w:rPr>
              <w:t>17</w:t>
            </w:r>
            <w:r>
              <w:rPr>
                <w:rFonts w:eastAsiaTheme="minorEastAsia"/>
                <w:color w:val="000000" w:themeColor="text1"/>
                <w:kern w:val="0"/>
              </w:rPr>
              <w:t>农发</w:t>
            </w:r>
            <w:r>
              <w:rPr>
                <w:rFonts w:eastAsiaTheme="minorEastAsia"/>
                <w:color w:val="000000" w:themeColor="text1"/>
                <w:kern w:val="0"/>
              </w:rPr>
              <w:t>15</w:t>
            </w:r>
          </w:p>
        </w:tc>
        <w:tc>
          <w:tcPr>
            <w:tcW w:w="1426" w:type="dxa"/>
            <w:vAlign w:val="center"/>
          </w:tcPr>
          <w:p w:rsidR="008F3631" w:rsidRDefault="00562CFE">
            <w:pPr>
              <w:jc w:val="right"/>
            </w:pPr>
            <w:r>
              <w:rPr>
                <w:rFonts w:eastAsiaTheme="minorEastAsia"/>
                <w:color w:val="000000" w:themeColor="text1"/>
                <w:kern w:val="0"/>
              </w:rPr>
              <w:t>24,800,000</w:t>
            </w:r>
          </w:p>
        </w:tc>
        <w:tc>
          <w:tcPr>
            <w:tcW w:w="1646" w:type="dxa"/>
            <w:vAlign w:val="center"/>
          </w:tcPr>
          <w:p w:rsidR="008F3631" w:rsidRDefault="00562CFE">
            <w:pPr>
              <w:jc w:val="right"/>
            </w:pPr>
            <w:r>
              <w:rPr>
                <w:rFonts w:eastAsiaTheme="minorEastAsia"/>
                <w:color w:val="000000" w:themeColor="text1"/>
                <w:kern w:val="0"/>
              </w:rPr>
              <w:t>2,550,517,268.63</w:t>
            </w:r>
          </w:p>
        </w:tc>
        <w:tc>
          <w:tcPr>
            <w:tcW w:w="1612" w:type="dxa"/>
            <w:vAlign w:val="center"/>
          </w:tcPr>
          <w:p w:rsidR="008F3631" w:rsidRDefault="00562CFE">
            <w:pPr>
              <w:jc w:val="right"/>
            </w:pPr>
            <w:r>
              <w:rPr>
                <w:rFonts w:eastAsiaTheme="minorEastAsia"/>
                <w:color w:val="000000" w:themeColor="text1"/>
                <w:kern w:val="0"/>
              </w:rPr>
              <w:t>29.28</w:t>
            </w:r>
          </w:p>
        </w:tc>
      </w:tr>
      <w:tr w:rsidR="008F3631">
        <w:tc>
          <w:tcPr>
            <w:tcW w:w="1252" w:type="dxa"/>
            <w:vAlign w:val="center"/>
          </w:tcPr>
          <w:p w:rsidR="008F3631" w:rsidRDefault="00562CFE">
            <w:pPr>
              <w:jc w:val="center"/>
            </w:pPr>
            <w:r>
              <w:rPr>
                <w:rFonts w:eastAsiaTheme="minorEastAsia"/>
                <w:color w:val="000000" w:themeColor="text1"/>
                <w:kern w:val="0"/>
              </w:rPr>
              <w:t>4</w:t>
            </w:r>
          </w:p>
        </w:tc>
        <w:tc>
          <w:tcPr>
            <w:tcW w:w="1310" w:type="dxa"/>
            <w:vAlign w:val="center"/>
          </w:tcPr>
          <w:p w:rsidR="008F3631" w:rsidRDefault="00562CFE">
            <w:pPr>
              <w:jc w:val="center"/>
            </w:pPr>
            <w:r>
              <w:rPr>
                <w:rFonts w:eastAsiaTheme="minorEastAsia"/>
                <w:color w:val="000000" w:themeColor="text1"/>
                <w:kern w:val="0"/>
              </w:rPr>
              <w:t>170210</w:t>
            </w:r>
          </w:p>
        </w:tc>
        <w:tc>
          <w:tcPr>
            <w:tcW w:w="1282" w:type="dxa"/>
            <w:vAlign w:val="center"/>
          </w:tcPr>
          <w:p w:rsidR="008F3631" w:rsidRDefault="00562CFE">
            <w:pPr>
              <w:jc w:val="center"/>
            </w:pPr>
            <w:r>
              <w:rPr>
                <w:rFonts w:eastAsiaTheme="minorEastAsia"/>
                <w:color w:val="000000" w:themeColor="text1"/>
                <w:kern w:val="0"/>
              </w:rPr>
              <w:t>17</w:t>
            </w:r>
            <w:r>
              <w:rPr>
                <w:rFonts w:eastAsiaTheme="minorEastAsia"/>
                <w:color w:val="000000" w:themeColor="text1"/>
                <w:kern w:val="0"/>
              </w:rPr>
              <w:t>国开</w:t>
            </w:r>
            <w:r>
              <w:rPr>
                <w:rFonts w:eastAsiaTheme="minorEastAsia"/>
                <w:color w:val="000000" w:themeColor="text1"/>
                <w:kern w:val="0"/>
              </w:rPr>
              <w:t>10</w:t>
            </w:r>
          </w:p>
        </w:tc>
        <w:tc>
          <w:tcPr>
            <w:tcW w:w="1426" w:type="dxa"/>
            <w:vAlign w:val="center"/>
          </w:tcPr>
          <w:p w:rsidR="008F3631" w:rsidRDefault="00562CFE">
            <w:pPr>
              <w:jc w:val="right"/>
            </w:pPr>
            <w:r>
              <w:rPr>
                <w:rFonts w:eastAsiaTheme="minorEastAsia"/>
                <w:color w:val="000000" w:themeColor="text1"/>
                <w:kern w:val="0"/>
              </w:rPr>
              <w:t>15,100,000</w:t>
            </w:r>
          </w:p>
        </w:tc>
        <w:tc>
          <w:tcPr>
            <w:tcW w:w="1646" w:type="dxa"/>
            <w:vAlign w:val="center"/>
          </w:tcPr>
          <w:p w:rsidR="008F3631" w:rsidRDefault="00562CFE">
            <w:pPr>
              <w:jc w:val="right"/>
            </w:pPr>
            <w:r>
              <w:rPr>
                <w:rFonts w:eastAsiaTheme="minorEastAsia"/>
                <w:color w:val="000000" w:themeColor="text1"/>
                <w:kern w:val="0"/>
              </w:rPr>
              <w:t>1,556,320,078.76</w:t>
            </w:r>
          </w:p>
        </w:tc>
        <w:tc>
          <w:tcPr>
            <w:tcW w:w="1612" w:type="dxa"/>
            <w:vAlign w:val="center"/>
          </w:tcPr>
          <w:p w:rsidR="008F3631" w:rsidRDefault="00562CFE">
            <w:pPr>
              <w:jc w:val="right"/>
            </w:pPr>
            <w:r>
              <w:rPr>
                <w:rFonts w:eastAsiaTheme="minorEastAsia"/>
                <w:color w:val="000000" w:themeColor="text1"/>
                <w:kern w:val="0"/>
              </w:rPr>
              <w:t>17.87</w:t>
            </w:r>
          </w:p>
        </w:tc>
      </w:tr>
      <w:tr w:rsidR="008F3631">
        <w:tc>
          <w:tcPr>
            <w:tcW w:w="1252" w:type="dxa"/>
            <w:vAlign w:val="center"/>
          </w:tcPr>
          <w:p w:rsidR="008F3631" w:rsidRDefault="00562CFE">
            <w:pPr>
              <w:jc w:val="center"/>
            </w:pPr>
            <w:r>
              <w:rPr>
                <w:rFonts w:eastAsiaTheme="minorEastAsia"/>
                <w:color w:val="000000" w:themeColor="text1"/>
                <w:kern w:val="0"/>
              </w:rPr>
              <w:t>5</w:t>
            </w:r>
          </w:p>
        </w:tc>
        <w:tc>
          <w:tcPr>
            <w:tcW w:w="1310" w:type="dxa"/>
            <w:vAlign w:val="center"/>
          </w:tcPr>
          <w:p w:rsidR="008F3631" w:rsidRDefault="00562CFE">
            <w:pPr>
              <w:jc w:val="center"/>
            </w:pPr>
            <w:r>
              <w:rPr>
                <w:rFonts w:eastAsiaTheme="minorEastAsia"/>
                <w:color w:val="000000" w:themeColor="text1"/>
                <w:kern w:val="0"/>
              </w:rPr>
              <w:t>160993</w:t>
            </w:r>
          </w:p>
        </w:tc>
        <w:tc>
          <w:tcPr>
            <w:tcW w:w="1282" w:type="dxa"/>
            <w:vAlign w:val="center"/>
          </w:tcPr>
          <w:p w:rsidR="008F3631" w:rsidRDefault="00562CFE">
            <w:pPr>
              <w:jc w:val="center"/>
            </w:pPr>
            <w:r>
              <w:rPr>
                <w:rFonts w:eastAsiaTheme="minorEastAsia"/>
                <w:color w:val="000000" w:themeColor="text1"/>
                <w:kern w:val="0"/>
              </w:rPr>
              <w:t>20</w:t>
            </w:r>
            <w:r>
              <w:rPr>
                <w:rFonts w:eastAsiaTheme="minorEastAsia"/>
                <w:color w:val="000000" w:themeColor="text1"/>
                <w:kern w:val="0"/>
              </w:rPr>
              <w:t>江苏</w:t>
            </w:r>
            <w:r>
              <w:rPr>
                <w:rFonts w:eastAsiaTheme="minorEastAsia"/>
                <w:color w:val="000000" w:themeColor="text1"/>
                <w:kern w:val="0"/>
              </w:rPr>
              <w:t>19</w:t>
            </w:r>
          </w:p>
        </w:tc>
        <w:tc>
          <w:tcPr>
            <w:tcW w:w="1426" w:type="dxa"/>
            <w:vAlign w:val="center"/>
          </w:tcPr>
          <w:p w:rsidR="008F3631" w:rsidRDefault="00562CFE">
            <w:pPr>
              <w:jc w:val="right"/>
            </w:pPr>
            <w:r>
              <w:rPr>
                <w:rFonts w:eastAsiaTheme="minorEastAsia"/>
                <w:color w:val="000000" w:themeColor="text1"/>
                <w:kern w:val="0"/>
              </w:rPr>
              <w:t>7,100,000</w:t>
            </w:r>
          </w:p>
        </w:tc>
        <w:tc>
          <w:tcPr>
            <w:tcW w:w="1646" w:type="dxa"/>
            <w:vAlign w:val="center"/>
          </w:tcPr>
          <w:p w:rsidR="008F3631" w:rsidRDefault="00562CFE">
            <w:pPr>
              <w:jc w:val="right"/>
            </w:pPr>
            <w:r>
              <w:rPr>
                <w:rFonts w:eastAsiaTheme="minorEastAsia"/>
                <w:color w:val="000000" w:themeColor="text1"/>
                <w:kern w:val="0"/>
              </w:rPr>
              <w:t>736,136,475.59</w:t>
            </w:r>
          </w:p>
        </w:tc>
        <w:tc>
          <w:tcPr>
            <w:tcW w:w="1612" w:type="dxa"/>
            <w:vAlign w:val="center"/>
          </w:tcPr>
          <w:p w:rsidR="008F3631" w:rsidRDefault="00562CFE">
            <w:pPr>
              <w:jc w:val="right"/>
            </w:pPr>
            <w:r>
              <w:rPr>
                <w:rFonts w:eastAsiaTheme="minorEastAsia"/>
                <w:color w:val="000000" w:themeColor="text1"/>
                <w:kern w:val="0"/>
              </w:rPr>
              <w:t>8.45</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本基金本报告期末无其他资产构成。</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8F3631">
        <w:tc>
          <w:tcPr>
            <w:tcW w:w="993" w:type="dxa"/>
            <w:vMerge w:val="restart"/>
            <w:vAlign w:val="center"/>
          </w:tcPr>
          <w:p w:rsidR="008F3631" w:rsidRDefault="00562CFE">
            <w:r>
              <w:rPr>
                <w:bCs/>
                <w:color w:val="000000"/>
                <w:kern w:val="0"/>
              </w:rPr>
              <w:t>机构</w:t>
            </w:r>
          </w:p>
        </w:tc>
        <w:tc>
          <w:tcPr>
            <w:tcW w:w="992" w:type="dxa"/>
            <w:vAlign w:val="center"/>
          </w:tcPr>
          <w:p w:rsidR="008F3631" w:rsidRDefault="00562CFE">
            <w:pPr>
              <w:jc w:val="center"/>
            </w:pPr>
            <w:r>
              <w:rPr>
                <w:color w:val="000000"/>
                <w:kern w:val="0"/>
              </w:rPr>
              <w:t>1</w:t>
            </w:r>
          </w:p>
        </w:tc>
        <w:tc>
          <w:tcPr>
            <w:tcW w:w="1843" w:type="dxa"/>
            <w:vAlign w:val="center"/>
          </w:tcPr>
          <w:p w:rsidR="008F3631" w:rsidRDefault="00562CFE">
            <w:pPr>
              <w:jc w:val="center"/>
            </w:pPr>
            <w:r>
              <w:rPr>
                <w:color w:val="000000"/>
                <w:kern w:val="0"/>
              </w:rPr>
              <w:t>20240701-20240930</w:t>
            </w:r>
          </w:p>
        </w:tc>
        <w:tc>
          <w:tcPr>
            <w:tcW w:w="851" w:type="dxa"/>
            <w:vAlign w:val="center"/>
          </w:tcPr>
          <w:p w:rsidR="008F3631" w:rsidRDefault="00562CFE">
            <w:pPr>
              <w:jc w:val="center"/>
            </w:pPr>
            <w:r>
              <w:rPr>
                <w:color w:val="000000"/>
                <w:kern w:val="0"/>
              </w:rPr>
              <w:t>3,989,999,000.00</w:t>
            </w:r>
          </w:p>
        </w:tc>
        <w:tc>
          <w:tcPr>
            <w:tcW w:w="850" w:type="dxa"/>
            <w:vAlign w:val="center"/>
          </w:tcPr>
          <w:p w:rsidR="008F3631" w:rsidRDefault="00562CFE">
            <w:pPr>
              <w:jc w:val="center"/>
            </w:pPr>
            <w:r>
              <w:rPr>
                <w:color w:val="000000"/>
                <w:kern w:val="0"/>
              </w:rPr>
              <w:t>0.00</w:t>
            </w:r>
          </w:p>
        </w:tc>
        <w:tc>
          <w:tcPr>
            <w:tcW w:w="1134" w:type="dxa"/>
            <w:vAlign w:val="center"/>
          </w:tcPr>
          <w:p w:rsidR="008F3631" w:rsidRDefault="00562CFE">
            <w:pPr>
              <w:jc w:val="center"/>
            </w:pPr>
            <w:r>
              <w:rPr>
                <w:color w:val="000000"/>
                <w:kern w:val="0"/>
              </w:rPr>
              <w:t>0.00</w:t>
            </w:r>
          </w:p>
        </w:tc>
        <w:tc>
          <w:tcPr>
            <w:tcW w:w="1419" w:type="dxa"/>
            <w:vAlign w:val="center"/>
          </w:tcPr>
          <w:p w:rsidR="008F3631" w:rsidRDefault="00562CFE">
            <w:pPr>
              <w:jc w:val="center"/>
            </w:pPr>
            <w:r>
              <w:rPr>
                <w:color w:val="000000"/>
                <w:kern w:val="0"/>
              </w:rPr>
              <w:t>3,989,999,000.00</w:t>
            </w:r>
          </w:p>
        </w:tc>
        <w:tc>
          <w:tcPr>
            <w:tcW w:w="1130" w:type="dxa"/>
            <w:vAlign w:val="center"/>
          </w:tcPr>
          <w:p w:rsidR="008F3631" w:rsidRDefault="00562CFE">
            <w:pPr>
              <w:jc w:val="center"/>
            </w:pPr>
            <w:r>
              <w:rPr>
                <w:color w:val="000000"/>
                <w:kern w:val="0"/>
              </w:rPr>
              <w:t>49.94%</w:t>
            </w:r>
          </w:p>
        </w:tc>
      </w:tr>
      <w:tr w:rsidR="008F3631">
        <w:tc>
          <w:tcPr>
            <w:tcW w:w="993" w:type="dxa"/>
            <w:vMerge/>
          </w:tcPr>
          <w:p w:rsidR="008F3631" w:rsidRDefault="008F3631"/>
        </w:tc>
        <w:tc>
          <w:tcPr>
            <w:tcW w:w="992" w:type="dxa"/>
            <w:vAlign w:val="center"/>
          </w:tcPr>
          <w:p w:rsidR="008F3631" w:rsidRDefault="00562CFE">
            <w:pPr>
              <w:jc w:val="center"/>
            </w:pPr>
            <w:r>
              <w:rPr>
                <w:color w:val="000000"/>
                <w:kern w:val="0"/>
              </w:rPr>
              <w:t>2</w:t>
            </w:r>
          </w:p>
        </w:tc>
        <w:tc>
          <w:tcPr>
            <w:tcW w:w="1843" w:type="dxa"/>
            <w:vAlign w:val="center"/>
          </w:tcPr>
          <w:p w:rsidR="008F3631" w:rsidRDefault="00562CFE">
            <w:pPr>
              <w:jc w:val="center"/>
            </w:pPr>
            <w:r>
              <w:rPr>
                <w:color w:val="000000"/>
                <w:kern w:val="0"/>
              </w:rPr>
              <w:t>20240701-20240930</w:t>
            </w:r>
          </w:p>
        </w:tc>
        <w:tc>
          <w:tcPr>
            <w:tcW w:w="851" w:type="dxa"/>
            <w:vAlign w:val="center"/>
          </w:tcPr>
          <w:p w:rsidR="008F3631" w:rsidRDefault="00562CFE">
            <w:pPr>
              <w:jc w:val="center"/>
            </w:pPr>
            <w:r>
              <w:rPr>
                <w:color w:val="000000"/>
                <w:kern w:val="0"/>
              </w:rPr>
              <w:t>2,199,999,000.00</w:t>
            </w:r>
          </w:p>
        </w:tc>
        <w:tc>
          <w:tcPr>
            <w:tcW w:w="850" w:type="dxa"/>
            <w:vAlign w:val="center"/>
          </w:tcPr>
          <w:p w:rsidR="008F3631" w:rsidRDefault="00562CFE">
            <w:pPr>
              <w:jc w:val="center"/>
            </w:pPr>
            <w:r>
              <w:rPr>
                <w:color w:val="000000"/>
                <w:kern w:val="0"/>
              </w:rPr>
              <w:t>0.00</w:t>
            </w:r>
          </w:p>
        </w:tc>
        <w:tc>
          <w:tcPr>
            <w:tcW w:w="1134" w:type="dxa"/>
            <w:vAlign w:val="center"/>
          </w:tcPr>
          <w:p w:rsidR="008F3631" w:rsidRDefault="00562CFE">
            <w:pPr>
              <w:jc w:val="center"/>
            </w:pPr>
            <w:r>
              <w:rPr>
                <w:color w:val="000000"/>
                <w:kern w:val="0"/>
              </w:rPr>
              <w:t>0.00</w:t>
            </w:r>
          </w:p>
        </w:tc>
        <w:tc>
          <w:tcPr>
            <w:tcW w:w="1419" w:type="dxa"/>
            <w:vAlign w:val="center"/>
          </w:tcPr>
          <w:p w:rsidR="008F3631" w:rsidRDefault="00562CFE">
            <w:pPr>
              <w:jc w:val="center"/>
            </w:pPr>
            <w:r>
              <w:rPr>
                <w:color w:val="000000"/>
                <w:kern w:val="0"/>
              </w:rPr>
              <w:t>2,199,999,000.00</w:t>
            </w:r>
          </w:p>
        </w:tc>
        <w:tc>
          <w:tcPr>
            <w:tcW w:w="1130" w:type="dxa"/>
            <w:vAlign w:val="center"/>
          </w:tcPr>
          <w:p w:rsidR="008F3631" w:rsidRDefault="00562CFE">
            <w:pPr>
              <w:jc w:val="center"/>
            </w:pPr>
            <w:r>
              <w:rPr>
                <w:color w:val="000000"/>
                <w:kern w:val="0"/>
              </w:rPr>
              <w:t>27.53%</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lastRenderedPageBreak/>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个月定期开放债券型证券投资基金基金合同</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 xml:space="preserve"> </w:t>
      </w:r>
      <w:r>
        <w:rPr>
          <w:rFonts w:eastAsiaTheme="minorEastAsia"/>
          <w:color w:val="000000" w:themeColor="text1"/>
        </w:rPr>
        <w:t>摩根瑞盛</w:t>
      </w:r>
      <w:r>
        <w:rPr>
          <w:rFonts w:eastAsiaTheme="minorEastAsia"/>
          <w:color w:val="000000" w:themeColor="text1"/>
        </w:rPr>
        <w:t>87</w:t>
      </w:r>
      <w:r>
        <w:rPr>
          <w:rFonts w:eastAsiaTheme="minorEastAsia"/>
          <w:color w:val="000000" w:themeColor="text1"/>
        </w:rPr>
        <w:t>个月定期开放债券型证券投资基金托管协议</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8F3631" w:rsidRDefault="00562CF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lastRenderedPageBreak/>
        <w:t>二〇二四年十月二十五日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562CFE" w:rsidRPr="00562CFE">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562CFE">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摩根瑞盛</w:t>
    </w:r>
    <w:r>
      <w:rPr>
        <w:rFonts w:hint="eastAsia"/>
      </w:rPr>
      <w:t>87</w:t>
    </w:r>
    <w:r>
      <w:rPr>
        <w:rFonts w:hint="eastAsia"/>
      </w:rPr>
      <w:t>个月定期开放债券型证券投资基金</w:t>
    </w:r>
    <w:r>
      <w:rPr>
        <w:rFonts w:hint="eastAsia"/>
      </w:rPr>
      <w:t>2024</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2CFE"/>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3631"/>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B5FFE-251F-4F52-BF91-584D37DD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270</cp:revision>
  <dcterms:created xsi:type="dcterms:W3CDTF">2012-10-16T06:07:00Z</dcterms:created>
  <dcterms:modified xsi:type="dcterms:W3CDTF">2024-10-24T07:17:00Z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