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上投摩根瑞盛</w:t>
      </w:r>
      <w:r w:rsidRPr="00FF6B9A">
        <w:rPr>
          <w:rFonts w:eastAsiaTheme="minorEastAsia"/>
          <w:b/>
          <w:color w:val="000000" w:themeColor="text1"/>
          <w:sz w:val="36"/>
          <w:szCs w:val="36"/>
        </w:rPr>
        <w:t>87</w:t>
      </w:r>
      <w:r w:rsidRPr="00FF6B9A">
        <w:rPr>
          <w:rFonts w:eastAsiaTheme="minorEastAsia"/>
          <w:b/>
          <w:color w:val="000000" w:themeColor="text1"/>
          <w:sz w:val="36"/>
          <w:szCs w:val="36"/>
        </w:rPr>
        <w:t>个月定期开放债券型证券投资基金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年第</w:t>
      </w:r>
      <w:r w:rsidRPr="00FF6B9A">
        <w:rPr>
          <w:rFonts w:eastAsiaTheme="minorEastAsia"/>
          <w:b/>
          <w:color w:val="000000" w:themeColor="text1"/>
          <w:sz w:val="36"/>
          <w:szCs w:val="36"/>
        </w:rPr>
        <w:t>1</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w:t>
      </w:r>
      <w:r w:rsidRPr="00FF6B9A">
        <w:rPr>
          <w:rFonts w:eastAsiaTheme="minorEastAsia"/>
          <w:b/>
          <w:color w:val="000000" w:themeColor="text1"/>
          <w:sz w:val="36"/>
          <w:szCs w:val="36"/>
        </w:rPr>
        <w:t>3</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报告送出日期：二〇二二年四月二十二日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上投摩根瑞盛</w:t>
            </w:r>
            <w:r w:rsidRPr="00FF6B9A">
              <w:rPr>
                <w:rFonts w:eastAsiaTheme="minorEastAsia"/>
                <w:color w:val="000000" w:themeColor="text1"/>
                <w:kern w:val="0"/>
              </w:rPr>
              <w:t>87</w:t>
            </w:r>
            <w:r w:rsidRPr="00FF6B9A">
              <w:rPr>
                <w:rFonts w:eastAsiaTheme="minorEastAsia"/>
                <w:color w:val="000000" w:themeColor="text1"/>
                <w:kern w:val="0"/>
              </w:rPr>
              <w:t>个月定期开放债券</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009895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契约型定期开放式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8</w:t>
            </w:r>
            <w:r w:rsidRPr="00FF6B9A">
              <w:rPr>
                <w:rFonts w:eastAsiaTheme="minorEastAsia"/>
                <w:color w:val="000000" w:themeColor="text1"/>
                <w:kern w:val="0"/>
              </w:rPr>
              <w:t>月</w:t>
            </w:r>
            <w:r w:rsidRPr="00FF6B9A">
              <w:rPr>
                <w:rFonts w:eastAsiaTheme="minorEastAsia"/>
                <w:color w:val="000000" w:themeColor="text1"/>
                <w:kern w:val="0"/>
              </w:rPr>
              <w:t>3</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7,990,077,699.94</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在严格控制风险的前提下，采用持有到期策略，力争实现长期稳定的投资回报。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4F7538" w:rsidRDefault="00E47DD3">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、封闭期投资策略</w:t>
            </w:r>
          </w:p>
          <w:p w:rsidR="004F7538" w:rsidRDefault="00E47DD3">
            <w:pPr>
              <w:adjustRightInd w:val="0"/>
              <w:spacing w:before="29" w:line="360" w:lineRule="auto"/>
              <w:ind w:left="17"/>
              <w:rPr>
                <w:rFonts w:eastAsiaTheme="minorEastAsia"/>
                <w:color w:val="000000" w:themeColor="text1"/>
              </w:rPr>
            </w:pPr>
            <w:r>
              <w:rPr>
                <w:rFonts w:eastAsiaTheme="minorEastAsia"/>
                <w:color w:val="000000" w:themeColor="text1"/>
                <w:kern w:val="0"/>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w:t>
            </w:r>
            <w:r>
              <w:rPr>
                <w:rFonts w:eastAsiaTheme="minorEastAsia"/>
                <w:color w:val="000000" w:themeColor="text1"/>
                <w:kern w:val="0"/>
              </w:rPr>
              <w:lastRenderedPageBreak/>
              <w:t>作期到期日。</w:t>
            </w:r>
          </w:p>
          <w:p w:rsidR="004F7538" w:rsidRDefault="00E47DD3">
            <w:pPr>
              <w:adjustRightInd w:val="0"/>
              <w:spacing w:before="29" w:line="360" w:lineRule="auto"/>
              <w:ind w:left="17"/>
              <w:rPr>
                <w:rFonts w:eastAsiaTheme="minorEastAsia"/>
                <w:color w:val="000000" w:themeColor="text1"/>
              </w:rPr>
            </w:pPr>
            <w:r>
              <w:rPr>
                <w:rFonts w:eastAsiaTheme="minorEastAsia"/>
                <w:color w:val="000000" w:themeColor="text1"/>
                <w:kern w:val="0"/>
              </w:rPr>
              <w:t>封闭期具体投资策略包括信用债投资策略、杠杆投资策略、资产支持证券投资策略、封闭期现金管理策略。</w:t>
            </w:r>
          </w:p>
          <w:p w:rsidR="004F7538" w:rsidRDefault="00E47DD3">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、开放期投资策略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开放期内，将保持资产适当的流动性，以应付当时市场条件下的赎回要求，并降低资产的流动性风险，做好流动性管理。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在每个封闭期，本基金的业绩比较基准为该封闭期起始日公布的三年定期存款利率（税后）</w:t>
            </w:r>
            <w:r w:rsidRPr="00FF6B9A">
              <w:rPr>
                <w:rFonts w:eastAsiaTheme="minorEastAsia"/>
                <w:color w:val="000000" w:themeColor="text1"/>
                <w:kern w:val="0"/>
              </w:rPr>
              <w:t>+1.25%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本基金为债券型基金，一般而言，其长期平均风险和预期收益率低于股票型基金、混合型基金，高于货币市场基金。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47DD3" w:rsidRPr="00FF6B9A" w:rsidTr="00E47DD3">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E47DD3" w:rsidRPr="00FF6B9A" w:rsidTr="00E47DD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78,537,817.71</w:t>
            </w:r>
          </w:p>
        </w:tc>
      </w:tr>
      <w:tr w:rsidR="00E47DD3" w:rsidRPr="00FF6B9A" w:rsidTr="00E47DD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78,537,817.71</w:t>
            </w:r>
          </w:p>
        </w:tc>
      </w:tr>
      <w:tr w:rsidR="00E47DD3" w:rsidRPr="00FF6B9A" w:rsidTr="00E47DD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0.0098</w:t>
            </w:r>
          </w:p>
        </w:tc>
      </w:tr>
      <w:tr w:rsidR="00E47DD3" w:rsidRPr="00FF6B9A" w:rsidTr="00E47DD3">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8,334,008,946.34</w:t>
            </w:r>
          </w:p>
        </w:tc>
      </w:tr>
      <w:tr w:rsidR="00E47DD3" w:rsidRPr="00FF6B9A" w:rsidTr="00E47DD3">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1.0430</w:t>
            </w:r>
          </w:p>
        </w:tc>
      </w:tr>
    </w:tbl>
    <w:p w:rsidR="004F7538" w:rsidRDefault="00E47DD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4F7538">
        <w:tc>
          <w:tcPr>
            <w:tcW w:w="1395" w:type="dxa"/>
            <w:vAlign w:val="center"/>
          </w:tcPr>
          <w:p w:rsidR="004F7538" w:rsidRDefault="00E47DD3">
            <w:pPr>
              <w:jc w:val="left"/>
            </w:pPr>
            <w:r>
              <w:rPr>
                <w:rFonts w:eastAsiaTheme="minorEastAsia"/>
                <w:color w:val="000000" w:themeColor="text1"/>
                <w:kern w:val="0"/>
              </w:rPr>
              <w:t>过去三个月</w:t>
            </w:r>
          </w:p>
        </w:tc>
        <w:tc>
          <w:tcPr>
            <w:tcW w:w="1092" w:type="dxa"/>
            <w:vAlign w:val="center"/>
          </w:tcPr>
          <w:p w:rsidR="004F7538" w:rsidRDefault="00E47DD3">
            <w:pPr>
              <w:jc w:val="center"/>
            </w:pPr>
            <w:r>
              <w:rPr>
                <w:rFonts w:eastAsiaTheme="minorEastAsia"/>
                <w:color w:val="000000" w:themeColor="text1"/>
                <w:kern w:val="0"/>
              </w:rPr>
              <w:t>0.94%</w:t>
            </w:r>
          </w:p>
        </w:tc>
        <w:tc>
          <w:tcPr>
            <w:tcW w:w="1161" w:type="dxa"/>
            <w:vAlign w:val="center"/>
          </w:tcPr>
          <w:p w:rsidR="004F7538" w:rsidRDefault="00E47DD3">
            <w:pPr>
              <w:jc w:val="center"/>
            </w:pPr>
            <w:r>
              <w:rPr>
                <w:rFonts w:eastAsiaTheme="minorEastAsia"/>
                <w:color w:val="000000" w:themeColor="text1"/>
                <w:kern w:val="0"/>
              </w:rPr>
              <w:t>0.01%</w:t>
            </w:r>
          </w:p>
        </w:tc>
        <w:tc>
          <w:tcPr>
            <w:tcW w:w="1181" w:type="dxa"/>
            <w:vAlign w:val="center"/>
          </w:tcPr>
          <w:p w:rsidR="004F7538" w:rsidRDefault="00E47DD3">
            <w:pPr>
              <w:jc w:val="center"/>
            </w:pPr>
            <w:r>
              <w:rPr>
                <w:rFonts w:eastAsiaTheme="minorEastAsia"/>
                <w:color w:val="000000" w:themeColor="text1"/>
                <w:kern w:val="0"/>
              </w:rPr>
              <w:t>1.00%</w:t>
            </w:r>
          </w:p>
        </w:tc>
        <w:tc>
          <w:tcPr>
            <w:tcW w:w="1188" w:type="dxa"/>
            <w:vAlign w:val="center"/>
          </w:tcPr>
          <w:p w:rsidR="004F7538" w:rsidRDefault="00E47DD3">
            <w:pPr>
              <w:jc w:val="center"/>
            </w:pPr>
            <w:r>
              <w:rPr>
                <w:rFonts w:eastAsiaTheme="minorEastAsia"/>
                <w:color w:val="000000" w:themeColor="text1"/>
                <w:kern w:val="0"/>
              </w:rPr>
              <w:t>0.02%</w:t>
            </w:r>
          </w:p>
        </w:tc>
        <w:tc>
          <w:tcPr>
            <w:tcW w:w="1199" w:type="dxa"/>
            <w:vAlign w:val="center"/>
          </w:tcPr>
          <w:p w:rsidR="004F7538" w:rsidRDefault="00E47DD3">
            <w:pPr>
              <w:jc w:val="center"/>
            </w:pPr>
            <w:r>
              <w:rPr>
                <w:rFonts w:eastAsiaTheme="minorEastAsia"/>
                <w:color w:val="000000" w:themeColor="text1"/>
                <w:kern w:val="0"/>
              </w:rPr>
              <w:t>-0.06%</w:t>
            </w:r>
          </w:p>
        </w:tc>
        <w:tc>
          <w:tcPr>
            <w:tcW w:w="1204" w:type="dxa"/>
            <w:vAlign w:val="center"/>
          </w:tcPr>
          <w:p w:rsidR="004F7538" w:rsidRDefault="00E47DD3">
            <w:pPr>
              <w:jc w:val="center"/>
            </w:pPr>
            <w:r>
              <w:rPr>
                <w:rFonts w:eastAsiaTheme="minorEastAsia"/>
                <w:color w:val="000000" w:themeColor="text1"/>
                <w:kern w:val="0"/>
              </w:rPr>
              <w:t>-0.01%</w:t>
            </w:r>
          </w:p>
        </w:tc>
      </w:tr>
      <w:tr w:rsidR="004F7538">
        <w:tc>
          <w:tcPr>
            <w:tcW w:w="1395" w:type="dxa"/>
            <w:vAlign w:val="center"/>
          </w:tcPr>
          <w:p w:rsidR="004F7538" w:rsidRDefault="00E47DD3">
            <w:pPr>
              <w:jc w:val="left"/>
            </w:pPr>
            <w:r>
              <w:rPr>
                <w:rFonts w:eastAsiaTheme="minorEastAsia"/>
                <w:color w:val="000000" w:themeColor="text1"/>
                <w:kern w:val="0"/>
              </w:rPr>
              <w:t>过去六个月</w:t>
            </w:r>
          </w:p>
        </w:tc>
        <w:tc>
          <w:tcPr>
            <w:tcW w:w="1092" w:type="dxa"/>
            <w:vAlign w:val="center"/>
          </w:tcPr>
          <w:p w:rsidR="004F7538" w:rsidRDefault="00E47DD3">
            <w:pPr>
              <w:jc w:val="center"/>
            </w:pPr>
            <w:r>
              <w:rPr>
                <w:rFonts w:eastAsiaTheme="minorEastAsia"/>
                <w:color w:val="000000" w:themeColor="text1"/>
                <w:kern w:val="0"/>
              </w:rPr>
              <w:t>1.93%</w:t>
            </w:r>
          </w:p>
        </w:tc>
        <w:tc>
          <w:tcPr>
            <w:tcW w:w="1161" w:type="dxa"/>
            <w:vAlign w:val="center"/>
          </w:tcPr>
          <w:p w:rsidR="004F7538" w:rsidRDefault="00E47DD3">
            <w:pPr>
              <w:jc w:val="center"/>
            </w:pPr>
            <w:r>
              <w:rPr>
                <w:rFonts w:eastAsiaTheme="minorEastAsia"/>
                <w:color w:val="000000" w:themeColor="text1"/>
                <w:kern w:val="0"/>
              </w:rPr>
              <w:t>0.01%</w:t>
            </w:r>
          </w:p>
        </w:tc>
        <w:tc>
          <w:tcPr>
            <w:tcW w:w="1181" w:type="dxa"/>
            <w:vAlign w:val="center"/>
          </w:tcPr>
          <w:p w:rsidR="004F7538" w:rsidRDefault="00E47DD3">
            <w:pPr>
              <w:jc w:val="center"/>
            </w:pPr>
            <w:r>
              <w:rPr>
                <w:rFonts w:eastAsiaTheme="minorEastAsia"/>
                <w:color w:val="000000" w:themeColor="text1"/>
                <w:kern w:val="0"/>
              </w:rPr>
              <w:t>2.02%</w:t>
            </w:r>
          </w:p>
        </w:tc>
        <w:tc>
          <w:tcPr>
            <w:tcW w:w="1188" w:type="dxa"/>
            <w:vAlign w:val="center"/>
          </w:tcPr>
          <w:p w:rsidR="004F7538" w:rsidRDefault="00E47DD3">
            <w:pPr>
              <w:jc w:val="center"/>
            </w:pPr>
            <w:r>
              <w:rPr>
                <w:rFonts w:eastAsiaTheme="minorEastAsia"/>
                <w:color w:val="000000" w:themeColor="text1"/>
                <w:kern w:val="0"/>
              </w:rPr>
              <w:t>0.01%</w:t>
            </w:r>
          </w:p>
        </w:tc>
        <w:tc>
          <w:tcPr>
            <w:tcW w:w="1199" w:type="dxa"/>
            <w:vAlign w:val="center"/>
          </w:tcPr>
          <w:p w:rsidR="004F7538" w:rsidRDefault="00E47DD3">
            <w:pPr>
              <w:jc w:val="center"/>
            </w:pPr>
            <w:r>
              <w:rPr>
                <w:rFonts w:eastAsiaTheme="minorEastAsia"/>
                <w:color w:val="000000" w:themeColor="text1"/>
                <w:kern w:val="0"/>
              </w:rPr>
              <w:t>-0.09%</w:t>
            </w:r>
          </w:p>
        </w:tc>
        <w:tc>
          <w:tcPr>
            <w:tcW w:w="1204" w:type="dxa"/>
            <w:vAlign w:val="center"/>
          </w:tcPr>
          <w:p w:rsidR="004F7538" w:rsidRDefault="00E47DD3">
            <w:pPr>
              <w:jc w:val="center"/>
            </w:pPr>
            <w:r>
              <w:rPr>
                <w:rFonts w:eastAsiaTheme="minorEastAsia"/>
                <w:color w:val="000000" w:themeColor="text1"/>
                <w:kern w:val="0"/>
              </w:rPr>
              <w:t>0.00%</w:t>
            </w:r>
          </w:p>
        </w:tc>
      </w:tr>
      <w:tr w:rsidR="004F7538">
        <w:tc>
          <w:tcPr>
            <w:tcW w:w="1395" w:type="dxa"/>
            <w:vAlign w:val="center"/>
          </w:tcPr>
          <w:p w:rsidR="004F7538" w:rsidRDefault="00E47DD3">
            <w:pPr>
              <w:jc w:val="left"/>
            </w:pPr>
            <w:r>
              <w:rPr>
                <w:rFonts w:eastAsiaTheme="minorEastAsia"/>
                <w:color w:val="000000" w:themeColor="text1"/>
                <w:kern w:val="0"/>
              </w:rPr>
              <w:t>过去一年</w:t>
            </w:r>
          </w:p>
        </w:tc>
        <w:tc>
          <w:tcPr>
            <w:tcW w:w="1092" w:type="dxa"/>
            <w:vAlign w:val="center"/>
          </w:tcPr>
          <w:p w:rsidR="004F7538" w:rsidRDefault="00E47DD3">
            <w:pPr>
              <w:jc w:val="center"/>
            </w:pPr>
            <w:r>
              <w:rPr>
                <w:rFonts w:eastAsiaTheme="minorEastAsia"/>
                <w:color w:val="000000" w:themeColor="text1"/>
                <w:kern w:val="0"/>
              </w:rPr>
              <w:t>3.96%</w:t>
            </w:r>
          </w:p>
        </w:tc>
        <w:tc>
          <w:tcPr>
            <w:tcW w:w="1161" w:type="dxa"/>
            <w:vAlign w:val="center"/>
          </w:tcPr>
          <w:p w:rsidR="004F7538" w:rsidRDefault="00E47DD3">
            <w:pPr>
              <w:jc w:val="center"/>
            </w:pPr>
            <w:r>
              <w:rPr>
                <w:rFonts w:eastAsiaTheme="minorEastAsia"/>
                <w:color w:val="000000" w:themeColor="text1"/>
                <w:kern w:val="0"/>
              </w:rPr>
              <w:t>0.01%</w:t>
            </w:r>
          </w:p>
        </w:tc>
        <w:tc>
          <w:tcPr>
            <w:tcW w:w="1181" w:type="dxa"/>
            <w:vAlign w:val="center"/>
          </w:tcPr>
          <w:p w:rsidR="004F7538" w:rsidRDefault="00E47DD3">
            <w:pPr>
              <w:jc w:val="center"/>
            </w:pPr>
            <w:r>
              <w:rPr>
                <w:rFonts w:eastAsiaTheme="minorEastAsia"/>
                <w:color w:val="000000" w:themeColor="text1"/>
                <w:kern w:val="0"/>
              </w:rPr>
              <w:t>4.06%</w:t>
            </w:r>
          </w:p>
        </w:tc>
        <w:tc>
          <w:tcPr>
            <w:tcW w:w="1188" w:type="dxa"/>
            <w:vAlign w:val="center"/>
          </w:tcPr>
          <w:p w:rsidR="004F7538" w:rsidRDefault="00E47DD3">
            <w:pPr>
              <w:jc w:val="center"/>
            </w:pPr>
            <w:r>
              <w:rPr>
                <w:rFonts w:eastAsiaTheme="minorEastAsia"/>
                <w:color w:val="000000" w:themeColor="text1"/>
                <w:kern w:val="0"/>
              </w:rPr>
              <w:t>0.01%</w:t>
            </w:r>
          </w:p>
        </w:tc>
        <w:tc>
          <w:tcPr>
            <w:tcW w:w="1199" w:type="dxa"/>
            <w:vAlign w:val="center"/>
          </w:tcPr>
          <w:p w:rsidR="004F7538" w:rsidRDefault="00E47DD3">
            <w:pPr>
              <w:jc w:val="center"/>
            </w:pPr>
            <w:r>
              <w:rPr>
                <w:rFonts w:eastAsiaTheme="minorEastAsia"/>
                <w:color w:val="000000" w:themeColor="text1"/>
                <w:kern w:val="0"/>
              </w:rPr>
              <w:t>-0.10%</w:t>
            </w:r>
          </w:p>
        </w:tc>
        <w:tc>
          <w:tcPr>
            <w:tcW w:w="1204" w:type="dxa"/>
            <w:vAlign w:val="center"/>
          </w:tcPr>
          <w:p w:rsidR="004F7538" w:rsidRDefault="00E47DD3">
            <w:pPr>
              <w:jc w:val="center"/>
            </w:pPr>
            <w:r>
              <w:rPr>
                <w:rFonts w:eastAsiaTheme="minorEastAsia"/>
                <w:color w:val="000000" w:themeColor="text1"/>
                <w:kern w:val="0"/>
              </w:rPr>
              <w:t>0.00%</w:t>
            </w:r>
          </w:p>
        </w:tc>
      </w:tr>
      <w:tr w:rsidR="004F7538">
        <w:tc>
          <w:tcPr>
            <w:tcW w:w="1395" w:type="dxa"/>
            <w:vAlign w:val="center"/>
          </w:tcPr>
          <w:p w:rsidR="004F7538" w:rsidRDefault="00E47DD3">
            <w:pPr>
              <w:jc w:val="left"/>
            </w:pPr>
            <w:r>
              <w:rPr>
                <w:rFonts w:eastAsiaTheme="minorEastAsia"/>
                <w:color w:val="000000" w:themeColor="text1"/>
                <w:kern w:val="0"/>
              </w:rPr>
              <w:t>过去三年</w:t>
            </w:r>
          </w:p>
        </w:tc>
        <w:tc>
          <w:tcPr>
            <w:tcW w:w="1092" w:type="dxa"/>
            <w:vAlign w:val="center"/>
          </w:tcPr>
          <w:p w:rsidR="004F7538" w:rsidRDefault="00E47DD3">
            <w:pPr>
              <w:jc w:val="center"/>
            </w:pPr>
            <w:r>
              <w:rPr>
                <w:rFonts w:eastAsiaTheme="minorEastAsia"/>
                <w:color w:val="000000" w:themeColor="text1"/>
                <w:kern w:val="0"/>
              </w:rPr>
              <w:t>-</w:t>
            </w:r>
          </w:p>
        </w:tc>
        <w:tc>
          <w:tcPr>
            <w:tcW w:w="1161" w:type="dxa"/>
            <w:vAlign w:val="center"/>
          </w:tcPr>
          <w:p w:rsidR="004F7538" w:rsidRDefault="00E47DD3">
            <w:pPr>
              <w:jc w:val="center"/>
            </w:pPr>
            <w:r>
              <w:rPr>
                <w:rFonts w:eastAsiaTheme="minorEastAsia"/>
                <w:color w:val="000000" w:themeColor="text1"/>
                <w:kern w:val="0"/>
              </w:rPr>
              <w:t>-</w:t>
            </w:r>
          </w:p>
        </w:tc>
        <w:tc>
          <w:tcPr>
            <w:tcW w:w="1181" w:type="dxa"/>
            <w:vAlign w:val="center"/>
          </w:tcPr>
          <w:p w:rsidR="004F7538" w:rsidRDefault="00E47DD3">
            <w:pPr>
              <w:jc w:val="center"/>
            </w:pPr>
            <w:r>
              <w:rPr>
                <w:rFonts w:eastAsiaTheme="minorEastAsia"/>
                <w:color w:val="000000" w:themeColor="text1"/>
                <w:kern w:val="0"/>
              </w:rPr>
              <w:t>-</w:t>
            </w:r>
          </w:p>
        </w:tc>
        <w:tc>
          <w:tcPr>
            <w:tcW w:w="1188" w:type="dxa"/>
            <w:vAlign w:val="center"/>
          </w:tcPr>
          <w:p w:rsidR="004F7538" w:rsidRDefault="00E47DD3">
            <w:pPr>
              <w:jc w:val="center"/>
            </w:pPr>
            <w:r>
              <w:rPr>
                <w:rFonts w:eastAsiaTheme="minorEastAsia"/>
                <w:color w:val="000000" w:themeColor="text1"/>
                <w:kern w:val="0"/>
              </w:rPr>
              <w:t>-</w:t>
            </w:r>
          </w:p>
        </w:tc>
        <w:tc>
          <w:tcPr>
            <w:tcW w:w="1199" w:type="dxa"/>
            <w:vAlign w:val="center"/>
          </w:tcPr>
          <w:p w:rsidR="004F7538" w:rsidRDefault="00E47DD3">
            <w:pPr>
              <w:jc w:val="center"/>
            </w:pPr>
            <w:r>
              <w:rPr>
                <w:rFonts w:eastAsiaTheme="minorEastAsia"/>
                <w:color w:val="000000" w:themeColor="text1"/>
                <w:kern w:val="0"/>
              </w:rPr>
              <w:t>-</w:t>
            </w:r>
          </w:p>
        </w:tc>
        <w:tc>
          <w:tcPr>
            <w:tcW w:w="1204" w:type="dxa"/>
            <w:vAlign w:val="center"/>
          </w:tcPr>
          <w:p w:rsidR="004F7538" w:rsidRDefault="00E47DD3">
            <w:pPr>
              <w:jc w:val="center"/>
            </w:pPr>
            <w:r>
              <w:rPr>
                <w:rFonts w:eastAsiaTheme="minorEastAsia"/>
                <w:color w:val="000000" w:themeColor="text1"/>
                <w:kern w:val="0"/>
              </w:rPr>
              <w:t>-</w:t>
            </w:r>
          </w:p>
        </w:tc>
      </w:tr>
      <w:tr w:rsidR="004F7538">
        <w:tc>
          <w:tcPr>
            <w:tcW w:w="1395" w:type="dxa"/>
            <w:vAlign w:val="center"/>
          </w:tcPr>
          <w:p w:rsidR="004F7538" w:rsidRDefault="00E47DD3">
            <w:pPr>
              <w:jc w:val="left"/>
            </w:pPr>
            <w:r>
              <w:rPr>
                <w:rFonts w:eastAsiaTheme="minorEastAsia"/>
                <w:color w:val="000000" w:themeColor="text1"/>
                <w:kern w:val="0"/>
              </w:rPr>
              <w:t>过去五年</w:t>
            </w:r>
          </w:p>
        </w:tc>
        <w:tc>
          <w:tcPr>
            <w:tcW w:w="1092" w:type="dxa"/>
            <w:vAlign w:val="center"/>
          </w:tcPr>
          <w:p w:rsidR="004F7538" w:rsidRDefault="00E47DD3">
            <w:pPr>
              <w:jc w:val="center"/>
            </w:pPr>
            <w:r>
              <w:rPr>
                <w:rFonts w:eastAsiaTheme="minorEastAsia"/>
                <w:color w:val="000000" w:themeColor="text1"/>
                <w:kern w:val="0"/>
              </w:rPr>
              <w:t>-</w:t>
            </w:r>
          </w:p>
        </w:tc>
        <w:tc>
          <w:tcPr>
            <w:tcW w:w="1161" w:type="dxa"/>
            <w:vAlign w:val="center"/>
          </w:tcPr>
          <w:p w:rsidR="004F7538" w:rsidRDefault="00E47DD3">
            <w:pPr>
              <w:jc w:val="center"/>
            </w:pPr>
            <w:r>
              <w:rPr>
                <w:rFonts w:eastAsiaTheme="minorEastAsia"/>
                <w:color w:val="000000" w:themeColor="text1"/>
                <w:kern w:val="0"/>
              </w:rPr>
              <w:t>-</w:t>
            </w:r>
          </w:p>
        </w:tc>
        <w:tc>
          <w:tcPr>
            <w:tcW w:w="1181" w:type="dxa"/>
            <w:vAlign w:val="center"/>
          </w:tcPr>
          <w:p w:rsidR="004F7538" w:rsidRDefault="00E47DD3">
            <w:pPr>
              <w:jc w:val="center"/>
            </w:pPr>
            <w:r>
              <w:rPr>
                <w:rFonts w:eastAsiaTheme="minorEastAsia"/>
                <w:color w:val="000000" w:themeColor="text1"/>
                <w:kern w:val="0"/>
              </w:rPr>
              <w:t>-</w:t>
            </w:r>
          </w:p>
        </w:tc>
        <w:tc>
          <w:tcPr>
            <w:tcW w:w="1188" w:type="dxa"/>
            <w:vAlign w:val="center"/>
          </w:tcPr>
          <w:p w:rsidR="004F7538" w:rsidRDefault="00E47DD3">
            <w:pPr>
              <w:jc w:val="center"/>
            </w:pPr>
            <w:r>
              <w:rPr>
                <w:rFonts w:eastAsiaTheme="minorEastAsia"/>
                <w:color w:val="000000" w:themeColor="text1"/>
                <w:kern w:val="0"/>
              </w:rPr>
              <w:t>-</w:t>
            </w:r>
          </w:p>
        </w:tc>
        <w:tc>
          <w:tcPr>
            <w:tcW w:w="1199" w:type="dxa"/>
            <w:vAlign w:val="center"/>
          </w:tcPr>
          <w:p w:rsidR="004F7538" w:rsidRDefault="00E47DD3">
            <w:pPr>
              <w:jc w:val="center"/>
            </w:pPr>
            <w:r>
              <w:rPr>
                <w:rFonts w:eastAsiaTheme="minorEastAsia"/>
                <w:color w:val="000000" w:themeColor="text1"/>
                <w:kern w:val="0"/>
              </w:rPr>
              <w:t>-</w:t>
            </w:r>
          </w:p>
        </w:tc>
        <w:tc>
          <w:tcPr>
            <w:tcW w:w="1204" w:type="dxa"/>
            <w:vAlign w:val="center"/>
          </w:tcPr>
          <w:p w:rsidR="004F7538" w:rsidRDefault="00E47DD3">
            <w:pPr>
              <w:jc w:val="center"/>
            </w:pPr>
            <w:r>
              <w:rPr>
                <w:rFonts w:eastAsiaTheme="minorEastAsia"/>
                <w:color w:val="000000" w:themeColor="text1"/>
                <w:kern w:val="0"/>
              </w:rPr>
              <w:t>-</w:t>
            </w:r>
          </w:p>
        </w:tc>
      </w:tr>
      <w:tr w:rsidR="004F7538">
        <w:tc>
          <w:tcPr>
            <w:tcW w:w="1395" w:type="dxa"/>
            <w:vAlign w:val="center"/>
          </w:tcPr>
          <w:p w:rsidR="004F7538" w:rsidRDefault="00E47DD3">
            <w:pPr>
              <w:jc w:val="left"/>
            </w:pPr>
            <w:r>
              <w:rPr>
                <w:rFonts w:eastAsiaTheme="minorEastAsia"/>
                <w:color w:val="000000" w:themeColor="text1"/>
                <w:kern w:val="0"/>
              </w:rPr>
              <w:t>自基金合同生效起至今</w:t>
            </w:r>
          </w:p>
        </w:tc>
        <w:tc>
          <w:tcPr>
            <w:tcW w:w="1092" w:type="dxa"/>
            <w:vAlign w:val="center"/>
          </w:tcPr>
          <w:p w:rsidR="004F7538" w:rsidRDefault="00E47DD3">
            <w:pPr>
              <w:jc w:val="center"/>
            </w:pPr>
            <w:r>
              <w:rPr>
                <w:rFonts w:eastAsiaTheme="minorEastAsia"/>
                <w:color w:val="000000" w:themeColor="text1"/>
                <w:kern w:val="0"/>
              </w:rPr>
              <w:t>6.33%</w:t>
            </w:r>
          </w:p>
        </w:tc>
        <w:tc>
          <w:tcPr>
            <w:tcW w:w="1161" w:type="dxa"/>
            <w:vAlign w:val="center"/>
          </w:tcPr>
          <w:p w:rsidR="004F7538" w:rsidRDefault="00E47DD3">
            <w:pPr>
              <w:jc w:val="center"/>
            </w:pPr>
            <w:r>
              <w:rPr>
                <w:rFonts w:eastAsiaTheme="minorEastAsia"/>
                <w:color w:val="000000" w:themeColor="text1"/>
                <w:kern w:val="0"/>
              </w:rPr>
              <w:t>0.01%</w:t>
            </w:r>
          </w:p>
        </w:tc>
        <w:tc>
          <w:tcPr>
            <w:tcW w:w="1181" w:type="dxa"/>
            <w:vAlign w:val="center"/>
          </w:tcPr>
          <w:p w:rsidR="004F7538" w:rsidRDefault="00E47DD3">
            <w:pPr>
              <w:jc w:val="center"/>
            </w:pPr>
            <w:r>
              <w:rPr>
                <w:rFonts w:eastAsiaTheme="minorEastAsia"/>
                <w:color w:val="000000" w:themeColor="text1"/>
                <w:kern w:val="0"/>
              </w:rPr>
              <w:t>6.73%</w:t>
            </w:r>
          </w:p>
        </w:tc>
        <w:tc>
          <w:tcPr>
            <w:tcW w:w="1188" w:type="dxa"/>
            <w:vAlign w:val="center"/>
          </w:tcPr>
          <w:p w:rsidR="004F7538" w:rsidRDefault="00E47DD3">
            <w:pPr>
              <w:jc w:val="center"/>
            </w:pPr>
            <w:r>
              <w:rPr>
                <w:rFonts w:eastAsiaTheme="minorEastAsia"/>
                <w:color w:val="000000" w:themeColor="text1"/>
                <w:kern w:val="0"/>
              </w:rPr>
              <w:t>0.01%</w:t>
            </w:r>
          </w:p>
        </w:tc>
        <w:tc>
          <w:tcPr>
            <w:tcW w:w="1199" w:type="dxa"/>
            <w:vAlign w:val="center"/>
          </w:tcPr>
          <w:p w:rsidR="004F7538" w:rsidRDefault="00E47DD3">
            <w:pPr>
              <w:jc w:val="center"/>
            </w:pPr>
            <w:r>
              <w:rPr>
                <w:rFonts w:eastAsiaTheme="minorEastAsia"/>
                <w:color w:val="000000" w:themeColor="text1"/>
                <w:kern w:val="0"/>
              </w:rPr>
              <w:t>-0.40%</w:t>
            </w:r>
          </w:p>
        </w:tc>
        <w:tc>
          <w:tcPr>
            <w:tcW w:w="1204" w:type="dxa"/>
            <w:vAlign w:val="center"/>
          </w:tcPr>
          <w:p w:rsidR="004F7538" w:rsidRDefault="00E47DD3">
            <w:pPr>
              <w:jc w:val="center"/>
            </w:pPr>
            <w:r>
              <w:rPr>
                <w:rFonts w:eastAsiaTheme="minorEastAsia"/>
                <w:color w:val="000000" w:themeColor="text1"/>
                <w:kern w:val="0"/>
              </w:rPr>
              <w:t>0.00%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上投摩根瑞盛</w:t>
      </w:r>
      <w:r w:rsidRPr="00FF6B9A">
        <w:rPr>
          <w:rFonts w:eastAsiaTheme="minorEastAsia"/>
          <w:color w:val="000000" w:themeColor="text1"/>
        </w:rPr>
        <w:t>87</w:t>
      </w:r>
      <w:r w:rsidRPr="00FF6B9A">
        <w:rPr>
          <w:rFonts w:eastAsiaTheme="minorEastAsia"/>
          <w:color w:val="000000" w:themeColor="text1"/>
        </w:rPr>
        <w:t>个月定期开放债券型证券投资基金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8</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4F7538" w:rsidRDefault="00E47DD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w:t>
      </w:r>
      <w:r>
        <w:rPr>
          <w:rFonts w:eastAsiaTheme="minorEastAsia"/>
          <w:color w:val="000000" w:themeColor="text1"/>
        </w:rPr>
        <w:t>3</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r w:rsidRPr="00FF6B9A">
        <w:rPr>
          <w:rFonts w:eastAsiaTheme="minorEastAsia"/>
          <w:color w:val="000000" w:themeColor="text1"/>
        </w:rPr>
        <w:t xml:space="preserve"> </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4F7538">
        <w:tc>
          <w:tcPr>
            <w:tcW w:w="851" w:type="dxa"/>
            <w:vAlign w:val="center"/>
          </w:tcPr>
          <w:p w:rsidR="004F7538" w:rsidRDefault="00E47DD3">
            <w:pPr>
              <w:jc w:val="center"/>
            </w:pPr>
            <w:r>
              <w:rPr>
                <w:rFonts w:eastAsiaTheme="minorEastAsia"/>
                <w:color w:val="000000" w:themeColor="text1"/>
              </w:rPr>
              <w:t>聂曙光</w:t>
            </w:r>
          </w:p>
        </w:tc>
        <w:tc>
          <w:tcPr>
            <w:tcW w:w="850" w:type="dxa"/>
            <w:vAlign w:val="center"/>
          </w:tcPr>
          <w:p w:rsidR="004F7538" w:rsidRDefault="00E47DD3">
            <w:pPr>
              <w:jc w:val="center"/>
            </w:pPr>
            <w:r>
              <w:rPr>
                <w:rFonts w:eastAsiaTheme="minorEastAsia"/>
                <w:color w:val="000000" w:themeColor="text1"/>
              </w:rPr>
              <w:t>本基金基金经理、债券投资部总监</w:t>
            </w:r>
          </w:p>
        </w:tc>
        <w:tc>
          <w:tcPr>
            <w:tcW w:w="1560" w:type="dxa"/>
            <w:vAlign w:val="center"/>
          </w:tcPr>
          <w:p w:rsidR="004F7538" w:rsidRDefault="00E47DD3">
            <w:pPr>
              <w:jc w:val="center"/>
            </w:pPr>
            <w:r>
              <w:rPr>
                <w:rFonts w:eastAsiaTheme="minorEastAsia"/>
                <w:color w:val="000000" w:themeColor="text1"/>
              </w:rPr>
              <w:t>2020-08-03</w:t>
            </w:r>
          </w:p>
        </w:tc>
        <w:tc>
          <w:tcPr>
            <w:tcW w:w="1559" w:type="dxa"/>
            <w:vAlign w:val="center"/>
          </w:tcPr>
          <w:p w:rsidR="004F7538" w:rsidRDefault="00E47DD3">
            <w:pPr>
              <w:jc w:val="center"/>
            </w:pPr>
            <w:r>
              <w:rPr>
                <w:rFonts w:eastAsiaTheme="minorEastAsia"/>
                <w:color w:val="000000" w:themeColor="text1"/>
              </w:rPr>
              <w:t>-</w:t>
            </w:r>
          </w:p>
        </w:tc>
        <w:tc>
          <w:tcPr>
            <w:tcW w:w="1417" w:type="dxa"/>
            <w:vAlign w:val="center"/>
          </w:tcPr>
          <w:p w:rsidR="004F7538" w:rsidRDefault="00E47DD3">
            <w:pPr>
              <w:jc w:val="center"/>
            </w:pPr>
            <w:r>
              <w:rPr>
                <w:rFonts w:eastAsiaTheme="minorEastAsia"/>
                <w:color w:val="000000" w:themeColor="text1"/>
              </w:rPr>
              <w:t>16</w:t>
            </w:r>
            <w:r>
              <w:rPr>
                <w:rFonts w:eastAsiaTheme="minorEastAsia"/>
                <w:color w:val="000000" w:themeColor="text1"/>
              </w:rPr>
              <w:t>年</w:t>
            </w:r>
          </w:p>
        </w:tc>
        <w:tc>
          <w:tcPr>
            <w:tcW w:w="2694" w:type="dxa"/>
            <w:vAlign w:val="center"/>
          </w:tcPr>
          <w:p w:rsidR="004F7538" w:rsidRDefault="00E47DD3">
            <w:r>
              <w:rPr>
                <w:rFonts w:eastAsiaTheme="minorEastAsia"/>
                <w:color w:val="000000" w:themeColor="text1"/>
              </w:rPr>
              <w:t>聂曙光先生，自</w:t>
            </w:r>
            <w:r>
              <w:rPr>
                <w:rFonts w:eastAsiaTheme="minorEastAsia"/>
                <w:color w:val="000000" w:themeColor="text1"/>
              </w:rPr>
              <w:t>2004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2006</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月在南京银行任债券分析师；</w:t>
            </w:r>
            <w:r>
              <w:rPr>
                <w:rFonts w:eastAsiaTheme="minorEastAsia"/>
                <w:color w:val="000000" w:themeColor="text1"/>
              </w:rPr>
              <w:t>2006</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月在兴业银行任债券投资经理；</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月在中欧基金管理有限公司先后担任研究员、基金经理助理、基金经理、固定收益部总监、固定收益事业部临时负责人等职务。自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月起加入上投摩根基金管理有限公司，先后担任基金经理、债券投资部总监兼资深基金经理，自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月起担任上投摩根纯债债券型证券投资基金基金经理，自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月同时担任上投摩根红利回报混合型证券投资基金基金经理，自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月起同时担任上投摩根纯债丰利债券型证券投资基金基金经理，自</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月同时担任上投摩根稳进回报混合型证券投资基金基金经理，</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月同时担任上投摩根天颐年丰混合型证券投资基金基金经理，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月同时担任上投摩根优信增利债券型证券投资基金基金经理，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月同时担任上投摩根安鑫回报混合型证券投资基金基金经理，</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月同时担任上投摩根岁岁丰定期开放债券型证券投资基金基金经理，</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月同时担任上投摩根安瑞回报混合型证券投资基金基金经理，</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月至</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月同时担任上投摩根安通回报混合型证券投资基金基金经理，</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月同时担任上投摩根安裕回报混合型证券投资基金基金经理，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月至</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月同时担任上投摩根岁岁益定期开放债券型证券投资基金，自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月起同时担任上投摩根丰瑞债券型证券投资基金基金经理，自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月起同时担任上投摩根瑞盛</w:t>
            </w:r>
            <w:r>
              <w:rPr>
                <w:rFonts w:eastAsiaTheme="minorEastAsia"/>
                <w:color w:val="000000" w:themeColor="text1"/>
              </w:rPr>
              <w:t>87</w:t>
            </w:r>
            <w:r>
              <w:rPr>
                <w:rFonts w:eastAsiaTheme="minorEastAsia"/>
                <w:color w:val="000000" w:themeColor="text1"/>
              </w:rPr>
              <w:t>个月定期开放债券型证券投资基金基金经理。</w:t>
            </w:r>
          </w:p>
        </w:tc>
      </w:tr>
      <w:tr w:rsidR="004F7538">
        <w:tc>
          <w:tcPr>
            <w:tcW w:w="851" w:type="dxa"/>
            <w:vAlign w:val="center"/>
          </w:tcPr>
          <w:p w:rsidR="004F7538" w:rsidRDefault="00E47DD3">
            <w:pPr>
              <w:jc w:val="center"/>
            </w:pPr>
            <w:r>
              <w:rPr>
                <w:rFonts w:eastAsiaTheme="minorEastAsia"/>
                <w:color w:val="000000" w:themeColor="text1"/>
              </w:rPr>
              <w:t>雷杨娟</w:t>
            </w:r>
          </w:p>
        </w:tc>
        <w:tc>
          <w:tcPr>
            <w:tcW w:w="850" w:type="dxa"/>
            <w:vAlign w:val="center"/>
          </w:tcPr>
          <w:p w:rsidR="004F7538" w:rsidRDefault="00E47DD3">
            <w:pPr>
              <w:jc w:val="center"/>
            </w:pPr>
            <w:r>
              <w:rPr>
                <w:rFonts w:eastAsiaTheme="minorEastAsia"/>
                <w:color w:val="000000" w:themeColor="text1"/>
              </w:rPr>
              <w:t>本基金基金经理</w:t>
            </w:r>
          </w:p>
        </w:tc>
        <w:tc>
          <w:tcPr>
            <w:tcW w:w="1560" w:type="dxa"/>
            <w:vAlign w:val="center"/>
          </w:tcPr>
          <w:p w:rsidR="004F7538" w:rsidRDefault="00E47DD3">
            <w:pPr>
              <w:jc w:val="center"/>
            </w:pPr>
            <w:r>
              <w:rPr>
                <w:rFonts w:eastAsiaTheme="minorEastAsia"/>
                <w:color w:val="000000" w:themeColor="text1"/>
              </w:rPr>
              <w:t>2020-08-14</w:t>
            </w:r>
          </w:p>
        </w:tc>
        <w:tc>
          <w:tcPr>
            <w:tcW w:w="1559" w:type="dxa"/>
            <w:vAlign w:val="center"/>
          </w:tcPr>
          <w:p w:rsidR="004F7538" w:rsidRDefault="00E47DD3">
            <w:pPr>
              <w:jc w:val="center"/>
            </w:pPr>
            <w:r>
              <w:rPr>
                <w:rFonts w:eastAsiaTheme="minorEastAsia"/>
                <w:color w:val="000000" w:themeColor="text1"/>
              </w:rPr>
              <w:t>-</w:t>
            </w:r>
          </w:p>
        </w:tc>
        <w:tc>
          <w:tcPr>
            <w:tcW w:w="1417" w:type="dxa"/>
            <w:vAlign w:val="center"/>
          </w:tcPr>
          <w:p w:rsidR="004F7538" w:rsidRDefault="00E47DD3">
            <w:pPr>
              <w:jc w:val="center"/>
            </w:pPr>
            <w:r>
              <w:rPr>
                <w:rFonts w:eastAsiaTheme="minorEastAsia"/>
                <w:color w:val="000000" w:themeColor="text1"/>
              </w:rPr>
              <w:t>15</w:t>
            </w:r>
            <w:r>
              <w:rPr>
                <w:rFonts w:eastAsiaTheme="minorEastAsia"/>
                <w:color w:val="000000" w:themeColor="text1"/>
              </w:rPr>
              <w:t>年</w:t>
            </w:r>
          </w:p>
        </w:tc>
        <w:tc>
          <w:tcPr>
            <w:tcW w:w="2694" w:type="dxa"/>
            <w:vAlign w:val="center"/>
          </w:tcPr>
          <w:p w:rsidR="004F7538" w:rsidRDefault="00E47DD3">
            <w:r>
              <w:rPr>
                <w:rFonts w:eastAsiaTheme="minorEastAsia"/>
                <w:color w:val="000000" w:themeColor="text1"/>
              </w:rPr>
              <w:t>清华大学工商管理硕士，现任债券投资部副总监兼资深基金经理。雷杨娟女士自</w:t>
            </w:r>
            <w:r>
              <w:rPr>
                <w:rFonts w:eastAsiaTheme="minorEastAsia"/>
                <w:color w:val="000000" w:themeColor="text1"/>
              </w:rPr>
              <w:t>2004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2008</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月在厦门国际银行工作，历任总裁（总经理）办公室副行长秘书兼集团秘书、资金运营部外汇及外币债券交易员；</w:t>
            </w:r>
            <w:r>
              <w:rPr>
                <w:rFonts w:eastAsiaTheme="minorEastAsia"/>
                <w:color w:val="000000" w:themeColor="text1"/>
              </w:rPr>
              <w:t>2009</w:t>
            </w:r>
            <w:r>
              <w:rPr>
                <w:rFonts w:eastAsiaTheme="minorEastAsia"/>
                <w:color w:val="000000" w:themeColor="text1"/>
              </w:rPr>
              <w:t>年</w:t>
            </w:r>
            <w:r>
              <w:rPr>
                <w:rFonts w:eastAsiaTheme="minorEastAsia"/>
                <w:color w:val="000000" w:themeColor="text1"/>
              </w:rPr>
              <w:t>2</w:t>
            </w:r>
            <w:r>
              <w:rPr>
                <w:rFonts w:eastAsiaTheme="minorEastAsia"/>
                <w:color w:val="000000" w:themeColor="text1"/>
              </w:rPr>
              <w:t>月至</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月在中国民生银行金融市场部工作，历任人民币债券自营交易员、银行账户投资经理、投顾账户投资经理；</w:t>
            </w:r>
            <w:r>
              <w:rPr>
                <w:rFonts w:eastAsiaTheme="minorEastAsia"/>
                <w:color w:val="000000" w:themeColor="text1"/>
              </w:rPr>
              <w:t>2017</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月起加入上投摩根基金管理有限公司，历任专户投资二部副总监兼资深投资经理，现任债券投资部副总监兼资深基金经理，自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月起担任上投摩根丰瑞债券型证券投资基金经理，</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月同时担任上投摩根瑞利纯债债券型证券投资基金基金经理，自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月起同时担任上投摩根瑞盛</w:t>
            </w:r>
            <w:r>
              <w:rPr>
                <w:rFonts w:eastAsiaTheme="minorEastAsia"/>
                <w:color w:val="000000" w:themeColor="text1"/>
              </w:rPr>
              <w:t>87</w:t>
            </w:r>
            <w:r>
              <w:rPr>
                <w:rFonts w:eastAsiaTheme="minorEastAsia"/>
                <w:color w:val="000000" w:themeColor="text1"/>
              </w:rPr>
              <w:t>个月定期开放债券型证券投资基金基金经理。自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月起同时担任上投摩根中债</w:t>
            </w:r>
            <w:r>
              <w:rPr>
                <w:rFonts w:eastAsiaTheme="minorEastAsia"/>
                <w:color w:val="000000" w:themeColor="text1"/>
              </w:rPr>
              <w:t>1-3</w:t>
            </w:r>
            <w:r>
              <w:rPr>
                <w:rFonts w:eastAsiaTheme="minorEastAsia"/>
                <w:color w:val="000000" w:themeColor="text1"/>
              </w:rPr>
              <w:t>年国开行债券指数证券投资基金基金经理。</w:t>
            </w:r>
          </w:p>
        </w:tc>
      </w:tr>
    </w:tbl>
    <w:p w:rsidR="004F7538" w:rsidRDefault="00E47DD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4F7538" w:rsidRDefault="00E47DD3">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聂曙光先生为本基金首任基金经理，其任职日期指本基金基金合同生效之日。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在本报告期内，基金管理人不存在损害基金份额持有人利益的行为，勤勉尽责地为基金份额持有人谋求利益。基金管理人遵守了《证券投资基金法》及其他有关法律法规、《上投摩根瑞盛</w:t>
      </w:r>
      <w:r w:rsidRPr="00FF6B9A">
        <w:rPr>
          <w:rFonts w:eastAsiaTheme="minorEastAsia"/>
          <w:color w:val="000000" w:themeColor="text1"/>
        </w:rPr>
        <w:t>87</w:t>
      </w:r>
      <w:r w:rsidRPr="00FF6B9A">
        <w:rPr>
          <w:rFonts w:eastAsiaTheme="minorEastAsia"/>
          <w:color w:val="000000" w:themeColor="text1"/>
        </w:rPr>
        <w:t>个月定期开放债券型证券投资基金基金合同》的规定。基金经理对个股和投资组合的比例遵循了投资决策委员会的授权限制，基金投资比例符合基金合同和法律法规的要求。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2022</w:t>
      </w:r>
      <w:r>
        <w:rPr>
          <w:rFonts w:eastAsiaTheme="minorEastAsia"/>
          <w:color w:val="000000" w:themeColor="text1"/>
        </w:rPr>
        <w:t>年第一季度，国内外经济政治形势错综复杂。国际上，俄乌冲突恶化，美国通胀压力进一步加剧，加息预期持续强化，美国国债收益率曲线出现倒挂。国内经济方面，</w:t>
      </w:r>
      <w:r>
        <w:rPr>
          <w:rFonts w:eastAsiaTheme="minorEastAsia"/>
          <w:color w:val="000000" w:themeColor="text1"/>
        </w:rPr>
        <w:t>1-2</w:t>
      </w:r>
      <w:r>
        <w:rPr>
          <w:rFonts w:eastAsiaTheme="minorEastAsia"/>
          <w:color w:val="000000" w:themeColor="text1"/>
        </w:rPr>
        <w:t>月经济数据超预期，</w:t>
      </w:r>
      <w:r>
        <w:rPr>
          <w:rFonts w:eastAsiaTheme="minorEastAsia"/>
          <w:color w:val="000000" w:themeColor="text1"/>
        </w:rPr>
        <w:t>1</w:t>
      </w:r>
      <w:r>
        <w:rPr>
          <w:rFonts w:eastAsiaTheme="minorEastAsia"/>
          <w:color w:val="000000" w:themeColor="text1"/>
        </w:rPr>
        <w:t>月社融数据超预期，</w:t>
      </w:r>
      <w:r>
        <w:rPr>
          <w:rFonts w:eastAsiaTheme="minorEastAsia"/>
          <w:color w:val="000000" w:themeColor="text1"/>
        </w:rPr>
        <w:t>2</w:t>
      </w:r>
      <w:r>
        <w:rPr>
          <w:rFonts w:eastAsiaTheme="minorEastAsia"/>
          <w:color w:val="000000" w:themeColor="text1"/>
        </w:rPr>
        <w:t>月社融数据低于预期，且人民币中长期贷款大幅下跌，为</w:t>
      </w:r>
      <w:r>
        <w:rPr>
          <w:rFonts w:eastAsiaTheme="minorEastAsia"/>
          <w:color w:val="000000" w:themeColor="text1"/>
        </w:rPr>
        <w:t xml:space="preserve"> 2008 </w:t>
      </w:r>
      <w:r>
        <w:rPr>
          <w:rFonts w:eastAsiaTheme="minorEastAsia"/>
          <w:color w:val="000000" w:themeColor="text1"/>
        </w:rPr>
        <w:t>年以来最大跌幅。从高频数据看，</w:t>
      </w:r>
      <w:r>
        <w:rPr>
          <w:rFonts w:eastAsiaTheme="minorEastAsia"/>
          <w:color w:val="000000" w:themeColor="text1"/>
        </w:rPr>
        <w:t>3</w:t>
      </w:r>
      <w:r>
        <w:rPr>
          <w:rFonts w:eastAsiaTheme="minorEastAsia"/>
          <w:color w:val="000000" w:themeColor="text1"/>
        </w:rPr>
        <w:t>月上半月社融数据仍然偏弱。年初以来各地房地产政策均较前期有所放松，但房地产投资增速的持续性较差，</w:t>
      </w:r>
      <w:r>
        <w:rPr>
          <w:rFonts w:eastAsiaTheme="minorEastAsia"/>
          <w:color w:val="000000" w:themeColor="text1"/>
        </w:rPr>
        <w:t>1-2</w:t>
      </w:r>
      <w:r>
        <w:rPr>
          <w:rFonts w:eastAsiaTheme="minorEastAsia"/>
          <w:color w:val="000000" w:themeColor="text1"/>
        </w:rPr>
        <w:t>月融资端和土地购置费均仍持续恶化中。此外，</w:t>
      </w:r>
      <w:r>
        <w:rPr>
          <w:rFonts w:eastAsiaTheme="minorEastAsia"/>
          <w:color w:val="000000" w:themeColor="text1"/>
        </w:rPr>
        <w:t>3</w:t>
      </w:r>
      <w:r>
        <w:rPr>
          <w:rFonts w:eastAsiaTheme="minorEastAsia"/>
          <w:color w:val="000000" w:themeColor="text1"/>
        </w:rPr>
        <w:t>月份开始，国内疫情卷土重来，本土疫情波及</w:t>
      </w:r>
      <w:r>
        <w:rPr>
          <w:rFonts w:eastAsiaTheme="minorEastAsia"/>
          <w:color w:val="000000" w:themeColor="text1"/>
        </w:rPr>
        <w:t xml:space="preserve"> 29 </w:t>
      </w:r>
      <w:r>
        <w:rPr>
          <w:rFonts w:eastAsiaTheme="minorEastAsia"/>
          <w:color w:val="000000" w:themeColor="text1"/>
        </w:rPr>
        <w:t>个省级地区，出现新增确诊病例的城市约</w:t>
      </w:r>
      <w:r>
        <w:rPr>
          <w:rFonts w:eastAsiaTheme="minorEastAsia"/>
          <w:color w:val="000000" w:themeColor="text1"/>
        </w:rPr>
        <w:t xml:space="preserve"> 190 </w:t>
      </w:r>
      <w:r>
        <w:rPr>
          <w:rFonts w:eastAsiaTheme="minorEastAsia"/>
          <w:color w:val="000000" w:themeColor="text1"/>
        </w:rPr>
        <w:t>个。受疫情影响，</w:t>
      </w:r>
      <w:r>
        <w:rPr>
          <w:rFonts w:eastAsiaTheme="minorEastAsia"/>
          <w:color w:val="000000" w:themeColor="text1"/>
        </w:rPr>
        <w:t>3</w:t>
      </w:r>
      <w:r>
        <w:rPr>
          <w:rFonts w:eastAsiaTheme="minorEastAsia"/>
          <w:color w:val="000000" w:themeColor="text1"/>
        </w:rPr>
        <w:t>月中国制造业</w:t>
      </w:r>
      <w:r>
        <w:rPr>
          <w:rFonts w:eastAsiaTheme="minorEastAsia"/>
          <w:color w:val="000000" w:themeColor="text1"/>
        </w:rPr>
        <w:t>PMI</w:t>
      </w:r>
      <w:r>
        <w:rPr>
          <w:rFonts w:eastAsiaTheme="minorEastAsia"/>
          <w:color w:val="000000" w:themeColor="text1"/>
        </w:rPr>
        <w:t>回落至收缩区间。</w:t>
      </w:r>
      <w:r>
        <w:rPr>
          <w:rFonts w:eastAsiaTheme="minorEastAsia"/>
          <w:color w:val="000000" w:themeColor="text1"/>
        </w:rPr>
        <w:t>1-2</w:t>
      </w:r>
      <w:r>
        <w:rPr>
          <w:rFonts w:eastAsiaTheme="minorEastAsia"/>
          <w:color w:val="000000" w:themeColor="text1"/>
        </w:rPr>
        <w:t>月以来消费显著复苏的趋势也可能被打断。</w:t>
      </w:r>
      <w:r>
        <w:rPr>
          <w:rFonts w:eastAsiaTheme="minorEastAsia"/>
          <w:color w:val="000000" w:themeColor="text1"/>
        </w:rPr>
        <w:t>1-2</w:t>
      </w:r>
      <w:r>
        <w:rPr>
          <w:rFonts w:eastAsiaTheme="minorEastAsia"/>
          <w:color w:val="000000" w:themeColor="text1"/>
        </w:rPr>
        <w:t>月全国规模以上工业企业实现利润同比大幅低于前值，利润格局再次向上游集中，当前输入性通胀还可能进一步影响利润结构，抑制整体工业企业利润率。政策对经济托举力度略低于市场预期。</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面对经济承压的局面，</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29</w:t>
      </w:r>
      <w:r>
        <w:rPr>
          <w:rFonts w:eastAsiaTheme="minorEastAsia"/>
          <w:color w:val="000000" w:themeColor="text1"/>
        </w:rPr>
        <w:t>日召开的国务院常务会议指出，咬定目标不放松，把稳增长放在更加突出的位置。稳定经济的政策早出快出，不出不利于稳定市场预期的措施，制定应对可能遇到更大不确定性的预案。要抓紧下达剩余专项债额度。去年提前下达的额度</w:t>
      </w:r>
      <w:r>
        <w:rPr>
          <w:rFonts w:eastAsiaTheme="minorEastAsia"/>
          <w:color w:val="000000" w:themeColor="text1"/>
        </w:rPr>
        <w:t xml:space="preserve"> 5 </w:t>
      </w:r>
      <w:r>
        <w:rPr>
          <w:rFonts w:eastAsiaTheme="minorEastAsia"/>
          <w:color w:val="000000" w:themeColor="text1"/>
        </w:rPr>
        <w:t>月底前发行完毕，今年下达的额度</w:t>
      </w:r>
      <w:r>
        <w:rPr>
          <w:rFonts w:eastAsiaTheme="minorEastAsia"/>
          <w:color w:val="000000" w:themeColor="text1"/>
        </w:rPr>
        <w:t xml:space="preserve"> 9 </w:t>
      </w:r>
      <w:r>
        <w:rPr>
          <w:rFonts w:eastAsiaTheme="minorEastAsia"/>
          <w:color w:val="000000" w:themeColor="text1"/>
        </w:rPr>
        <w:t>月底前发行完毕。</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货币政策方面，第一季度，央行下调了一次</w:t>
      </w:r>
      <w:r>
        <w:rPr>
          <w:rFonts w:eastAsiaTheme="minorEastAsia"/>
          <w:color w:val="000000" w:themeColor="text1"/>
        </w:rPr>
        <w:t>MLF</w:t>
      </w:r>
      <w:r>
        <w:rPr>
          <w:rFonts w:eastAsiaTheme="minorEastAsia"/>
          <w:color w:val="000000" w:themeColor="text1"/>
        </w:rPr>
        <w:t>、</w:t>
      </w:r>
      <w:r>
        <w:rPr>
          <w:rFonts w:eastAsiaTheme="minorEastAsia"/>
          <w:color w:val="000000" w:themeColor="text1"/>
        </w:rPr>
        <w:t>OMO</w:t>
      </w:r>
      <w:r>
        <w:rPr>
          <w:rFonts w:eastAsiaTheme="minorEastAsia"/>
          <w:color w:val="000000" w:themeColor="text1"/>
        </w:rPr>
        <w:t>利率，降幅</w:t>
      </w:r>
      <w:r>
        <w:rPr>
          <w:rFonts w:eastAsiaTheme="minorEastAsia"/>
          <w:color w:val="000000" w:themeColor="text1"/>
        </w:rPr>
        <w:t>10bp</w:t>
      </w:r>
      <w:r>
        <w:rPr>
          <w:rFonts w:eastAsiaTheme="minorEastAsia"/>
          <w:color w:val="000000" w:themeColor="text1"/>
        </w:rPr>
        <w:t>，以及一次</w:t>
      </w:r>
      <w:r>
        <w:rPr>
          <w:rFonts w:eastAsiaTheme="minorEastAsia"/>
          <w:color w:val="000000" w:themeColor="text1"/>
        </w:rPr>
        <w:t>LPR 5</w:t>
      </w:r>
      <w:r>
        <w:rPr>
          <w:rFonts w:eastAsiaTheme="minorEastAsia"/>
          <w:color w:val="000000" w:themeColor="text1"/>
        </w:rPr>
        <w:t>年期利率，降幅</w:t>
      </w:r>
      <w:r>
        <w:rPr>
          <w:rFonts w:eastAsiaTheme="minorEastAsia"/>
          <w:color w:val="000000" w:themeColor="text1"/>
        </w:rPr>
        <w:t>5bp</w:t>
      </w:r>
      <w:r>
        <w:rPr>
          <w:rFonts w:eastAsiaTheme="minorEastAsia"/>
          <w:color w:val="000000" w:themeColor="text1"/>
        </w:rPr>
        <w:t>。在</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30</w:t>
      </w:r>
      <w:r>
        <w:rPr>
          <w:rFonts w:eastAsiaTheme="minorEastAsia"/>
          <w:color w:val="000000" w:themeColor="text1"/>
        </w:rPr>
        <w:t>日的一季度货币政策例会上，央行对货币政策的表述相比</w:t>
      </w:r>
      <w:r>
        <w:rPr>
          <w:rFonts w:eastAsiaTheme="minorEastAsia"/>
          <w:color w:val="000000" w:themeColor="text1"/>
        </w:rPr>
        <w:t>2021</w:t>
      </w:r>
      <w:r>
        <w:rPr>
          <w:rFonts w:eastAsiaTheme="minorEastAsia"/>
          <w:color w:val="000000" w:themeColor="text1"/>
        </w:rPr>
        <w:t>年第四季度更加积极，由</w:t>
      </w:r>
      <w:r>
        <w:rPr>
          <w:rFonts w:eastAsiaTheme="minorEastAsia"/>
          <w:color w:val="000000" w:themeColor="text1"/>
        </w:rPr>
        <w:t xml:space="preserve"> “</w:t>
      </w:r>
      <w:r>
        <w:rPr>
          <w:rFonts w:eastAsiaTheme="minorEastAsia"/>
          <w:color w:val="000000" w:themeColor="text1"/>
        </w:rPr>
        <w:t>加大跨周期调节力度，与逆周期相结合</w:t>
      </w:r>
      <w:r>
        <w:rPr>
          <w:rFonts w:eastAsiaTheme="minorEastAsia"/>
          <w:color w:val="000000" w:themeColor="text1"/>
        </w:rPr>
        <w:t>”</w:t>
      </w:r>
      <w:r>
        <w:rPr>
          <w:rFonts w:eastAsiaTheme="minorEastAsia"/>
          <w:color w:val="000000" w:themeColor="text1"/>
        </w:rPr>
        <w:t>更改为</w:t>
      </w:r>
      <w:r>
        <w:rPr>
          <w:rFonts w:eastAsiaTheme="minorEastAsia"/>
          <w:color w:val="000000" w:themeColor="text1"/>
        </w:rPr>
        <w:t>“</w:t>
      </w:r>
      <w:r>
        <w:rPr>
          <w:rFonts w:eastAsiaTheme="minorEastAsia"/>
          <w:color w:val="000000" w:themeColor="text1"/>
        </w:rPr>
        <w:t>强化跨周期和逆周期调节，加大稳健的货币政策实施力度</w:t>
      </w:r>
      <w:r>
        <w:rPr>
          <w:rFonts w:eastAsiaTheme="minorEastAsia"/>
          <w:color w:val="000000" w:themeColor="text1"/>
        </w:rPr>
        <w:t>”</w:t>
      </w:r>
      <w:r>
        <w:rPr>
          <w:rFonts w:eastAsiaTheme="minorEastAsia"/>
          <w:color w:val="000000" w:themeColor="text1"/>
        </w:rPr>
        <w:t>。第一季度银行间隔夜回购利率均值基本持平于</w:t>
      </w:r>
      <w:r>
        <w:rPr>
          <w:rFonts w:eastAsiaTheme="minorEastAsia"/>
          <w:color w:val="000000" w:themeColor="text1"/>
        </w:rPr>
        <w:t>2021</w:t>
      </w:r>
      <w:r>
        <w:rPr>
          <w:rFonts w:eastAsiaTheme="minorEastAsia"/>
          <w:color w:val="000000" w:themeColor="text1"/>
        </w:rPr>
        <w:t>年第四季度，但</w:t>
      </w:r>
      <w:r>
        <w:rPr>
          <w:rFonts w:eastAsiaTheme="minorEastAsia"/>
          <w:color w:val="000000" w:themeColor="text1"/>
        </w:rPr>
        <w:t>DR007</w:t>
      </w:r>
      <w:r>
        <w:rPr>
          <w:rFonts w:eastAsiaTheme="minorEastAsia"/>
          <w:color w:val="000000" w:themeColor="text1"/>
        </w:rPr>
        <w:t>和</w:t>
      </w:r>
      <w:r>
        <w:rPr>
          <w:rFonts w:eastAsiaTheme="minorEastAsia"/>
          <w:color w:val="000000" w:themeColor="text1"/>
        </w:rPr>
        <w:t>R007</w:t>
      </w:r>
      <w:r>
        <w:rPr>
          <w:rFonts w:eastAsiaTheme="minorEastAsia"/>
          <w:color w:val="000000" w:themeColor="text1"/>
        </w:rPr>
        <w:t>分别较上一季度均值小幅下行</w:t>
      </w:r>
      <w:r>
        <w:rPr>
          <w:rFonts w:eastAsiaTheme="minorEastAsia"/>
          <w:color w:val="000000" w:themeColor="text1"/>
        </w:rPr>
        <w:t>6bp</w:t>
      </w:r>
      <w:r>
        <w:rPr>
          <w:rFonts w:eastAsiaTheme="minorEastAsia"/>
          <w:color w:val="000000" w:themeColor="text1"/>
        </w:rPr>
        <w:t>和</w:t>
      </w:r>
      <w:r>
        <w:rPr>
          <w:rFonts w:eastAsiaTheme="minorEastAsia"/>
          <w:color w:val="000000" w:themeColor="text1"/>
        </w:rPr>
        <w:t>9bp</w:t>
      </w:r>
      <w:r>
        <w:rPr>
          <w:rFonts w:eastAsiaTheme="minorEastAsia"/>
          <w:color w:val="000000" w:themeColor="text1"/>
        </w:rPr>
        <w:t>，至</w:t>
      </w:r>
      <w:r>
        <w:rPr>
          <w:rFonts w:eastAsiaTheme="minorEastAsia"/>
          <w:color w:val="000000" w:themeColor="text1"/>
        </w:rPr>
        <w:t>2.1%</w:t>
      </w:r>
      <w:r>
        <w:rPr>
          <w:rFonts w:eastAsiaTheme="minorEastAsia"/>
          <w:color w:val="000000" w:themeColor="text1"/>
        </w:rPr>
        <w:t>和</w:t>
      </w:r>
      <w:r>
        <w:rPr>
          <w:rFonts w:eastAsiaTheme="minorEastAsia"/>
          <w:color w:val="000000" w:themeColor="text1"/>
        </w:rPr>
        <w:t>2.29%</w:t>
      </w:r>
      <w:r>
        <w:rPr>
          <w:rFonts w:eastAsiaTheme="minorEastAsia"/>
          <w:color w:val="000000" w:themeColor="text1"/>
        </w:rPr>
        <w:t>。</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债券市场方面，受</w:t>
      </w:r>
      <w:r>
        <w:rPr>
          <w:rFonts w:eastAsiaTheme="minorEastAsia"/>
          <w:color w:val="000000" w:themeColor="text1"/>
        </w:rPr>
        <w:t>1-2</w:t>
      </w:r>
      <w:r>
        <w:rPr>
          <w:rFonts w:eastAsiaTheme="minorEastAsia"/>
          <w:color w:val="000000" w:themeColor="text1"/>
        </w:rPr>
        <w:t>月经济数据复苏且流动性宽松的影响，国债收益率曲线在第一季度呈现扁平化并小幅下行的趋势。截至</w:t>
      </w:r>
      <w:r>
        <w:rPr>
          <w:rFonts w:eastAsiaTheme="minorEastAsia"/>
          <w:color w:val="000000" w:themeColor="text1"/>
        </w:rPr>
        <w:t>3</w:t>
      </w:r>
      <w:r>
        <w:rPr>
          <w:rFonts w:eastAsiaTheme="minorEastAsia"/>
          <w:color w:val="000000" w:themeColor="text1"/>
        </w:rPr>
        <w:t>月末，</w:t>
      </w:r>
      <w:r>
        <w:rPr>
          <w:rFonts w:eastAsiaTheme="minorEastAsia"/>
          <w:color w:val="000000" w:themeColor="text1"/>
        </w:rPr>
        <w:t>1</w:t>
      </w:r>
      <w:r>
        <w:rPr>
          <w:rFonts w:eastAsiaTheme="minorEastAsia"/>
          <w:color w:val="000000" w:themeColor="text1"/>
        </w:rPr>
        <w:t>年期以内品种下行幅度最为明显，下行约</w:t>
      </w:r>
      <w:r>
        <w:rPr>
          <w:rFonts w:eastAsiaTheme="minorEastAsia"/>
          <w:color w:val="000000" w:themeColor="text1"/>
        </w:rPr>
        <w:t>10bp</w:t>
      </w:r>
      <w:r>
        <w:rPr>
          <w:rFonts w:eastAsiaTheme="minorEastAsia"/>
          <w:color w:val="000000" w:themeColor="text1"/>
        </w:rPr>
        <w:t>；</w:t>
      </w:r>
      <w:r>
        <w:rPr>
          <w:rFonts w:eastAsiaTheme="minorEastAsia"/>
          <w:color w:val="000000" w:themeColor="text1"/>
        </w:rPr>
        <w:t>3-5</w:t>
      </w:r>
      <w:r>
        <w:rPr>
          <w:rFonts w:eastAsiaTheme="minorEastAsia"/>
          <w:color w:val="000000" w:themeColor="text1"/>
        </w:rPr>
        <w:t>年期下行约</w:t>
      </w:r>
      <w:r>
        <w:rPr>
          <w:rFonts w:eastAsiaTheme="minorEastAsia"/>
          <w:color w:val="000000" w:themeColor="text1"/>
        </w:rPr>
        <w:t>5bp</w:t>
      </w:r>
      <w:r>
        <w:rPr>
          <w:rFonts w:eastAsiaTheme="minorEastAsia"/>
          <w:color w:val="000000" w:themeColor="text1"/>
        </w:rPr>
        <w:t>；</w:t>
      </w:r>
      <w:r>
        <w:rPr>
          <w:rFonts w:eastAsiaTheme="minorEastAsia"/>
          <w:color w:val="000000" w:themeColor="text1"/>
        </w:rPr>
        <w:t>7</w:t>
      </w:r>
      <w:r>
        <w:rPr>
          <w:rFonts w:eastAsiaTheme="minorEastAsia"/>
          <w:color w:val="000000" w:themeColor="text1"/>
        </w:rPr>
        <w:t>年期小幅上行约</w:t>
      </w:r>
      <w:r>
        <w:rPr>
          <w:rFonts w:eastAsiaTheme="minorEastAsia"/>
          <w:color w:val="000000" w:themeColor="text1"/>
        </w:rPr>
        <w:t>3bp</w:t>
      </w:r>
      <w:r>
        <w:rPr>
          <w:rFonts w:eastAsiaTheme="minorEastAsia"/>
          <w:color w:val="000000" w:themeColor="text1"/>
        </w:rPr>
        <w:t>，</w:t>
      </w:r>
      <w:r>
        <w:rPr>
          <w:rFonts w:eastAsiaTheme="minorEastAsia"/>
          <w:color w:val="000000" w:themeColor="text1"/>
        </w:rPr>
        <w:t>10</w:t>
      </w:r>
      <w:r>
        <w:rPr>
          <w:rFonts w:eastAsiaTheme="minorEastAsia"/>
          <w:color w:val="000000" w:themeColor="text1"/>
        </w:rPr>
        <w:t>年期国债基本持平于</w:t>
      </w:r>
      <w:r>
        <w:rPr>
          <w:rFonts w:eastAsiaTheme="minorEastAsia"/>
          <w:color w:val="000000" w:themeColor="text1"/>
        </w:rPr>
        <w:t>2021</w:t>
      </w:r>
      <w:r>
        <w:rPr>
          <w:rFonts w:eastAsiaTheme="minorEastAsia"/>
          <w:color w:val="000000" w:themeColor="text1"/>
        </w:rPr>
        <w:t>年年末水平。国开债</w:t>
      </w:r>
      <w:r>
        <w:rPr>
          <w:rFonts w:eastAsiaTheme="minorEastAsia"/>
          <w:color w:val="000000" w:themeColor="text1"/>
        </w:rPr>
        <w:t>-</w:t>
      </w:r>
      <w:r>
        <w:rPr>
          <w:rFonts w:eastAsiaTheme="minorEastAsia"/>
          <w:color w:val="000000" w:themeColor="text1"/>
        </w:rPr>
        <w:t>国债利差除</w:t>
      </w:r>
      <w:r>
        <w:rPr>
          <w:rFonts w:eastAsiaTheme="minorEastAsia"/>
          <w:color w:val="000000" w:themeColor="text1"/>
        </w:rPr>
        <w:t>10</w:t>
      </w:r>
      <w:r>
        <w:rPr>
          <w:rFonts w:eastAsiaTheme="minorEastAsia"/>
          <w:color w:val="000000" w:themeColor="text1"/>
        </w:rPr>
        <w:t>年期利差外均呈现扩大的趋势。国开债</w:t>
      </w:r>
      <w:r>
        <w:rPr>
          <w:rFonts w:eastAsiaTheme="minorEastAsia"/>
          <w:color w:val="000000" w:themeColor="text1"/>
        </w:rPr>
        <w:t>3-7</w:t>
      </w:r>
      <w:r>
        <w:rPr>
          <w:rFonts w:eastAsiaTheme="minorEastAsia"/>
          <w:color w:val="000000" w:themeColor="text1"/>
        </w:rPr>
        <w:t>年期有明显上行，而</w:t>
      </w:r>
      <w:r>
        <w:rPr>
          <w:rFonts w:eastAsiaTheme="minorEastAsia"/>
          <w:color w:val="000000" w:themeColor="text1"/>
        </w:rPr>
        <w:t>10</w:t>
      </w:r>
      <w:r>
        <w:rPr>
          <w:rFonts w:eastAsiaTheme="minorEastAsia"/>
          <w:color w:val="000000" w:themeColor="text1"/>
        </w:rPr>
        <w:t>年国开债收益率较</w:t>
      </w:r>
      <w:r>
        <w:rPr>
          <w:rFonts w:eastAsiaTheme="minorEastAsia"/>
          <w:color w:val="000000" w:themeColor="text1"/>
        </w:rPr>
        <w:t>2021</w:t>
      </w:r>
      <w:r>
        <w:rPr>
          <w:rFonts w:eastAsiaTheme="minorEastAsia"/>
          <w:color w:val="000000" w:themeColor="text1"/>
        </w:rPr>
        <w:t>年年底小幅下行</w:t>
      </w:r>
      <w:r>
        <w:rPr>
          <w:rFonts w:eastAsiaTheme="minorEastAsia"/>
          <w:color w:val="000000" w:themeColor="text1"/>
        </w:rPr>
        <w:t>4bp</w:t>
      </w:r>
      <w:r>
        <w:rPr>
          <w:rFonts w:eastAsiaTheme="minorEastAsia"/>
          <w:color w:val="000000" w:themeColor="text1"/>
        </w:rPr>
        <w:t>，导致</w:t>
      </w:r>
      <w:r>
        <w:rPr>
          <w:rFonts w:eastAsiaTheme="minorEastAsia"/>
          <w:color w:val="000000" w:themeColor="text1"/>
        </w:rPr>
        <w:t>10</w:t>
      </w:r>
      <w:r>
        <w:rPr>
          <w:rFonts w:eastAsiaTheme="minorEastAsia"/>
          <w:color w:val="000000" w:themeColor="text1"/>
        </w:rPr>
        <w:t>年期国开债</w:t>
      </w:r>
      <w:r>
        <w:rPr>
          <w:rFonts w:eastAsiaTheme="minorEastAsia"/>
          <w:color w:val="000000" w:themeColor="text1"/>
        </w:rPr>
        <w:t>-</w:t>
      </w:r>
      <w:r>
        <w:rPr>
          <w:rFonts w:eastAsiaTheme="minorEastAsia"/>
          <w:color w:val="000000" w:themeColor="text1"/>
        </w:rPr>
        <w:t>国债利差则缩窄。据我们分析，可能是</w:t>
      </w:r>
      <w:r>
        <w:rPr>
          <w:rFonts w:eastAsiaTheme="minorEastAsia"/>
          <w:color w:val="000000" w:themeColor="text1"/>
        </w:rPr>
        <w:t>3-7</w:t>
      </w:r>
      <w:r>
        <w:rPr>
          <w:rFonts w:eastAsiaTheme="minorEastAsia"/>
          <w:color w:val="000000" w:themeColor="text1"/>
        </w:rPr>
        <w:t>年期政策性金融债在第一季度由于赎回而导致抛售所致。</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展望第二季度，经济增速目标已经确定，国际地缘政治风险仍在，叠加疫情对国内经济的超预期冲击，加大政策托底箭在弦上，货币环境预计仍将宽松，体现货币政策</w:t>
      </w:r>
      <w:r>
        <w:rPr>
          <w:rFonts w:eastAsiaTheme="minorEastAsia"/>
          <w:color w:val="000000" w:themeColor="text1"/>
        </w:rPr>
        <w:t>“</w:t>
      </w:r>
      <w:r>
        <w:rPr>
          <w:rFonts w:eastAsiaTheme="minorEastAsia"/>
          <w:color w:val="000000" w:themeColor="text1"/>
        </w:rPr>
        <w:t>以我为主</w:t>
      </w:r>
      <w:r>
        <w:rPr>
          <w:rFonts w:eastAsiaTheme="minorEastAsia"/>
          <w:color w:val="000000" w:themeColor="text1"/>
        </w:rPr>
        <w:t>”</w:t>
      </w:r>
      <w:r>
        <w:rPr>
          <w:rFonts w:eastAsiaTheme="minorEastAsia"/>
          <w:color w:val="000000" w:themeColor="text1"/>
        </w:rPr>
        <w:t>，但美联储进入紧缩周期可能一定程度上仍会形成掣肘，汇率稳定将是观测指标。供需层面上，股债双跌所导致的理财收益下滑甚至亏损可能仍会在第二季度带来一定的赎回压力。</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债券策略上积累现金，等待配置机会。</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本报告期上投摩根瑞盛</w:t>
      </w:r>
      <w:r w:rsidRPr="00FF6B9A">
        <w:rPr>
          <w:rFonts w:eastAsiaTheme="minorEastAsia"/>
          <w:color w:val="000000" w:themeColor="text1"/>
        </w:rPr>
        <w:t>87</w:t>
      </w:r>
      <w:r w:rsidRPr="00FF6B9A">
        <w:rPr>
          <w:rFonts w:eastAsiaTheme="minorEastAsia"/>
          <w:color w:val="000000" w:themeColor="text1"/>
        </w:rPr>
        <w:t>个月定期开放债券份额净值增长率为</w:t>
      </w:r>
      <w:r w:rsidRPr="00FF6B9A">
        <w:rPr>
          <w:rFonts w:eastAsiaTheme="minorEastAsia"/>
          <w:color w:val="000000" w:themeColor="text1"/>
        </w:rPr>
        <w:t>:0.94%</w:t>
      </w:r>
      <w:r w:rsidRPr="00FF6B9A">
        <w:rPr>
          <w:rFonts w:eastAsiaTheme="minorEastAsia"/>
          <w:color w:val="000000" w:themeColor="text1"/>
        </w:rPr>
        <w:t>，同期业绩比较基准收益率为</w:t>
      </w:r>
      <w:r w:rsidRPr="00FF6B9A">
        <w:rPr>
          <w:rFonts w:eastAsiaTheme="minorEastAsia"/>
          <w:color w:val="000000" w:themeColor="text1"/>
        </w:rPr>
        <w:t>:1.00%</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13,791,721,855.66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98.25</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13,791,721,855.66</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98.25</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245,956,939.13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1.75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14,037,678,794.79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本基金本报告期末未持有股票。</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0"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p w:rsidR="00FF6B9A" w:rsidRPr="00FF6B9A" w:rsidRDefault="00FF6B9A" w:rsidP="00FF6B9A">
      <w:pPr>
        <w:spacing w:line="360" w:lineRule="auto"/>
        <w:ind w:firstLineChars="200" w:firstLine="480"/>
        <w:rPr>
          <w:rFonts w:eastAsiaTheme="minorEastAsia"/>
          <w:sz w:val="24"/>
          <w:szCs w:val="24"/>
        </w:rPr>
      </w:pPr>
      <w:r w:rsidRPr="00FF6B9A">
        <w:rPr>
          <w:rFonts w:eastAsiaTheme="minorEastAsia"/>
          <w:sz w:val="24"/>
          <w:szCs w:val="24"/>
        </w:rPr>
        <w:t>本基金本报告期末未持有股票。</w:t>
      </w:r>
    </w:p>
    <w:bookmarkEnd w:id="0"/>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10,666,104,196.14</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127.98</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10,666,104,196.14</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127.98</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3,125,617,659.52</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37.50</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13,791,721,855.66</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165.49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4F7538">
        <w:tc>
          <w:tcPr>
            <w:tcW w:w="1252" w:type="dxa"/>
            <w:vAlign w:val="center"/>
          </w:tcPr>
          <w:p w:rsidR="004F7538" w:rsidRDefault="00E47DD3">
            <w:pPr>
              <w:jc w:val="center"/>
            </w:pPr>
            <w:r>
              <w:rPr>
                <w:rFonts w:eastAsiaTheme="minorEastAsia"/>
                <w:color w:val="000000" w:themeColor="text1"/>
                <w:kern w:val="0"/>
              </w:rPr>
              <w:t>1</w:t>
            </w:r>
          </w:p>
        </w:tc>
        <w:tc>
          <w:tcPr>
            <w:tcW w:w="1310" w:type="dxa"/>
            <w:vAlign w:val="center"/>
          </w:tcPr>
          <w:p w:rsidR="004F7538" w:rsidRDefault="00E47DD3">
            <w:pPr>
              <w:jc w:val="center"/>
            </w:pPr>
            <w:r>
              <w:rPr>
                <w:rFonts w:eastAsiaTheme="minorEastAsia"/>
                <w:color w:val="000000" w:themeColor="text1"/>
                <w:kern w:val="0"/>
              </w:rPr>
              <w:t>092018002</w:t>
            </w:r>
          </w:p>
        </w:tc>
        <w:tc>
          <w:tcPr>
            <w:tcW w:w="1282" w:type="dxa"/>
            <w:vAlign w:val="center"/>
          </w:tcPr>
          <w:p w:rsidR="004F7538" w:rsidRDefault="00E47DD3">
            <w:pPr>
              <w:jc w:val="center"/>
            </w:pPr>
            <w:r>
              <w:rPr>
                <w:rFonts w:eastAsiaTheme="minorEastAsia"/>
                <w:color w:val="000000" w:themeColor="text1"/>
                <w:kern w:val="0"/>
              </w:rPr>
              <w:t>20</w:t>
            </w:r>
            <w:r>
              <w:rPr>
                <w:rFonts w:eastAsiaTheme="minorEastAsia"/>
                <w:color w:val="000000" w:themeColor="text1"/>
                <w:kern w:val="0"/>
              </w:rPr>
              <w:t>农发清发</w:t>
            </w:r>
            <w:r>
              <w:rPr>
                <w:rFonts w:eastAsiaTheme="minorEastAsia"/>
                <w:color w:val="000000" w:themeColor="text1"/>
                <w:kern w:val="0"/>
              </w:rPr>
              <w:t>02</w:t>
            </w:r>
          </w:p>
        </w:tc>
        <w:tc>
          <w:tcPr>
            <w:tcW w:w="1426" w:type="dxa"/>
            <w:vAlign w:val="center"/>
          </w:tcPr>
          <w:p w:rsidR="004F7538" w:rsidRDefault="00E47DD3">
            <w:pPr>
              <w:jc w:val="right"/>
            </w:pPr>
            <w:r>
              <w:rPr>
                <w:rFonts w:eastAsiaTheme="minorEastAsia"/>
                <w:color w:val="000000" w:themeColor="text1"/>
                <w:kern w:val="0"/>
              </w:rPr>
              <w:t>29,700,000</w:t>
            </w:r>
          </w:p>
        </w:tc>
        <w:tc>
          <w:tcPr>
            <w:tcW w:w="1646" w:type="dxa"/>
            <w:vAlign w:val="center"/>
          </w:tcPr>
          <w:p w:rsidR="004F7538" w:rsidRDefault="00E47DD3">
            <w:pPr>
              <w:jc w:val="right"/>
            </w:pPr>
            <w:r w:rsidRPr="00E47DD3">
              <w:rPr>
                <w:rFonts w:eastAsiaTheme="minorEastAsia"/>
                <w:color w:val="000000" w:themeColor="text1"/>
                <w:kern w:val="0"/>
              </w:rPr>
              <w:t>2</w:t>
            </w:r>
            <w:r>
              <w:rPr>
                <w:rFonts w:eastAsiaTheme="minorEastAsia"/>
                <w:color w:val="000000" w:themeColor="text1"/>
                <w:kern w:val="0"/>
              </w:rPr>
              <w:t>,</w:t>
            </w:r>
            <w:r w:rsidRPr="00E47DD3">
              <w:rPr>
                <w:rFonts w:eastAsiaTheme="minorEastAsia"/>
                <w:color w:val="000000" w:themeColor="text1"/>
                <w:kern w:val="0"/>
              </w:rPr>
              <w:t>961</w:t>
            </w:r>
            <w:r>
              <w:rPr>
                <w:rFonts w:eastAsiaTheme="minorEastAsia"/>
                <w:color w:val="000000" w:themeColor="text1"/>
                <w:kern w:val="0"/>
              </w:rPr>
              <w:t>,</w:t>
            </w:r>
            <w:r w:rsidRPr="00E47DD3">
              <w:rPr>
                <w:rFonts w:eastAsiaTheme="minorEastAsia"/>
                <w:color w:val="000000" w:themeColor="text1"/>
                <w:kern w:val="0"/>
              </w:rPr>
              <w:t>485</w:t>
            </w:r>
            <w:r>
              <w:rPr>
                <w:rFonts w:eastAsiaTheme="minorEastAsia" w:hint="eastAsia"/>
                <w:color w:val="000000" w:themeColor="text1"/>
                <w:kern w:val="0"/>
              </w:rPr>
              <w:t>,</w:t>
            </w:r>
            <w:r w:rsidRPr="00E47DD3">
              <w:rPr>
                <w:rFonts w:eastAsiaTheme="minorEastAsia"/>
                <w:color w:val="000000" w:themeColor="text1"/>
                <w:kern w:val="0"/>
              </w:rPr>
              <w:t>147.78</w:t>
            </w:r>
          </w:p>
        </w:tc>
        <w:tc>
          <w:tcPr>
            <w:tcW w:w="1612" w:type="dxa"/>
            <w:vAlign w:val="center"/>
          </w:tcPr>
          <w:p w:rsidR="004F7538" w:rsidRDefault="00E47DD3">
            <w:pPr>
              <w:jc w:val="right"/>
            </w:pPr>
            <w:r w:rsidRPr="00E47DD3">
              <w:rPr>
                <w:rFonts w:eastAsiaTheme="minorEastAsia"/>
                <w:color w:val="000000" w:themeColor="text1"/>
                <w:kern w:val="0"/>
              </w:rPr>
              <w:t>35</w:t>
            </w:r>
            <w:r>
              <w:rPr>
                <w:rFonts w:eastAsiaTheme="minorEastAsia"/>
                <w:color w:val="000000" w:themeColor="text1"/>
                <w:kern w:val="0"/>
              </w:rPr>
              <w:t>.</w:t>
            </w:r>
            <w:r w:rsidRPr="00E47DD3">
              <w:rPr>
                <w:rFonts w:eastAsiaTheme="minorEastAsia"/>
                <w:color w:val="000000" w:themeColor="text1"/>
                <w:kern w:val="0"/>
              </w:rPr>
              <w:t>53</w:t>
            </w:r>
          </w:p>
        </w:tc>
      </w:tr>
      <w:tr w:rsidR="004F7538">
        <w:tc>
          <w:tcPr>
            <w:tcW w:w="1252" w:type="dxa"/>
            <w:vAlign w:val="center"/>
          </w:tcPr>
          <w:p w:rsidR="004F7538" w:rsidRDefault="00E47DD3">
            <w:pPr>
              <w:jc w:val="center"/>
            </w:pPr>
            <w:r>
              <w:rPr>
                <w:rFonts w:eastAsiaTheme="minorEastAsia"/>
                <w:color w:val="000000" w:themeColor="text1"/>
                <w:kern w:val="0"/>
              </w:rPr>
              <w:t>2</w:t>
            </w:r>
          </w:p>
        </w:tc>
        <w:tc>
          <w:tcPr>
            <w:tcW w:w="1310" w:type="dxa"/>
            <w:vAlign w:val="center"/>
          </w:tcPr>
          <w:p w:rsidR="004F7538" w:rsidRDefault="00E47DD3">
            <w:pPr>
              <w:jc w:val="center"/>
            </w:pPr>
            <w:r>
              <w:rPr>
                <w:rFonts w:eastAsiaTheme="minorEastAsia"/>
                <w:color w:val="000000" w:themeColor="text1"/>
                <w:kern w:val="0"/>
              </w:rPr>
              <w:t>200209</w:t>
            </w:r>
          </w:p>
        </w:tc>
        <w:tc>
          <w:tcPr>
            <w:tcW w:w="1282" w:type="dxa"/>
            <w:vAlign w:val="center"/>
          </w:tcPr>
          <w:p w:rsidR="004F7538" w:rsidRDefault="00E47DD3">
            <w:pPr>
              <w:jc w:val="center"/>
            </w:pPr>
            <w:r>
              <w:rPr>
                <w:rFonts w:eastAsiaTheme="minorEastAsia"/>
                <w:color w:val="000000" w:themeColor="text1"/>
                <w:kern w:val="0"/>
              </w:rPr>
              <w:t>20</w:t>
            </w:r>
            <w:r>
              <w:rPr>
                <w:rFonts w:eastAsiaTheme="minorEastAsia"/>
                <w:color w:val="000000" w:themeColor="text1"/>
                <w:kern w:val="0"/>
              </w:rPr>
              <w:t>国开</w:t>
            </w:r>
            <w:r>
              <w:rPr>
                <w:rFonts w:eastAsiaTheme="minorEastAsia"/>
                <w:color w:val="000000" w:themeColor="text1"/>
                <w:kern w:val="0"/>
              </w:rPr>
              <w:t>09</w:t>
            </w:r>
          </w:p>
        </w:tc>
        <w:tc>
          <w:tcPr>
            <w:tcW w:w="1426" w:type="dxa"/>
            <w:vAlign w:val="center"/>
          </w:tcPr>
          <w:p w:rsidR="004F7538" w:rsidRDefault="00E47DD3">
            <w:pPr>
              <w:jc w:val="right"/>
            </w:pPr>
            <w:r>
              <w:rPr>
                <w:rFonts w:eastAsiaTheme="minorEastAsia"/>
                <w:color w:val="000000" w:themeColor="text1"/>
                <w:kern w:val="0"/>
              </w:rPr>
              <w:t>28,700,000</w:t>
            </w:r>
          </w:p>
        </w:tc>
        <w:tc>
          <w:tcPr>
            <w:tcW w:w="1646" w:type="dxa"/>
            <w:vAlign w:val="center"/>
          </w:tcPr>
          <w:p w:rsidR="004F7538" w:rsidRDefault="00E47DD3">
            <w:pPr>
              <w:jc w:val="right"/>
            </w:pPr>
            <w:r w:rsidRPr="00E47DD3">
              <w:rPr>
                <w:rFonts w:eastAsiaTheme="minorEastAsia"/>
                <w:color w:val="000000" w:themeColor="text1"/>
                <w:kern w:val="0"/>
              </w:rPr>
              <w:t>2</w:t>
            </w:r>
            <w:r>
              <w:rPr>
                <w:rFonts w:eastAsiaTheme="minorEastAsia"/>
                <w:color w:val="000000" w:themeColor="text1"/>
                <w:kern w:val="0"/>
              </w:rPr>
              <w:t>,</w:t>
            </w:r>
            <w:r w:rsidRPr="00E47DD3">
              <w:rPr>
                <w:rFonts w:eastAsiaTheme="minorEastAsia"/>
                <w:color w:val="000000" w:themeColor="text1"/>
                <w:kern w:val="0"/>
              </w:rPr>
              <w:t>927</w:t>
            </w:r>
            <w:r>
              <w:rPr>
                <w:rFonts w:eastAsiaTheme="minorEastAsia"/>
                <w:color w:val="000000" w:themeColor="text1"/>
                <w:kern w:val="0"/>
              </w:rPr>
              <w:t>,</w:t>
            </w:r>
            <w:r w:rsidRPr="00E47DD3">
              <w:rPr>
                <w:rFonts w:eastAsiaTheme="minorEastAsia"/>
                <w:color w:val="000000" w:themeColor="text1"/>
                <w:kern w:val="0"/>
              </w:rPr>
              <w:t>285</w:t>
            </w:r>
            <w:r>
              <w:rPr>
                <w:rFonts w:eastAsiaTheme="minorEastAsia"/>
                <w:color w:val="000000" w:themeColor="text1"/>
                <w:kern w:val="0"/>
              </w:rPr>
              <w:t>,</w:t>
            </w:r>
            <w:r w:rsidRPr="00E47DD3">
              <w:rPr>
                <w:rFonts w:eastAsiaTheme="minorEastAsia"/>
                <w:color w:val="000000" w:themeColor="text1"/>
                <w:kern w:val="0"/>
              </w:rPr>
              <w:t>772.51</w:t>
            </w:r>
          </w:p>
        </w:tc>
        <w:tc>
          <w:tcPr>
            <w:tcW w:w="1612" w:type="dxa"/>
            <w:vAlign w:val="center"/>
          </w:tcPr>
          <w:p w:rsidR="004F7538" w:rsidRDefault="00E47DD3">
            <w:pPr>
              <w:jc w:val="right"/>
            </w:pPr>
            <w:r w:rsidRPr="00E47DD3">
              <w:rPr>
                <w:rFonts w:eastAsiaTheme="minorEastAsia"/>
                <w:color w:val="000000" w:themeColor="text1"/>
                <w:kern w:val="0"/>
              </w:rPr>
              <w:t>35</w:t>
            </w:r>
            <w:r>
              <w:rPr>
                <w:rFonts w:eastAsiaTheme="minorEastAsia"/>
                <w:color w:val="000000" w:themeColor="text1"/>
                <w:kern w:val="0"/>
              </w:rPr>
              <w:t>.</w:t>
            </w:r>
            <w:r w:rsidRPr="00E47DD3">
              <w:rPr>
                <w:rFonts w:eastAsiaTheme="minorEastAsia"/>
                <w:color w:val="000000" w:themeColor="text1"/>
                <w:kern w:val="0"/>
              </w:rPr>
              <w:t>12</w:t>
            </w:r>
          </w:p>
        </w:tc>
      </w:tr>
      <w:tr w:rsidR="004F7538">
        <w:tc>
          <w:tcPr>
            <w:tcW w:w="1252" w:type="dxa"/>
            <w:vAlign w:val="center"/>
          </w:tcPr>
          <w:p w:rsidR="004F7538" w:rsidRDefault="00E47DD3">
            <w:pPr>
              <w:jc w:val="center"/>
            </w:pPr>
            <w:r>
              <w:rPr>
                <w:rFonts w:eastAsiaTheme="minorEastAsia"/>
                <w:color w:val="000000" w:themeColor="text1"/>
                <w:kern w:val="0"/>
              </w:rPr>
              <w:t>3</w:t>
            </w:r>
          </w:p>
        </w:tc>
        <w:tc>
          <w:tcPr>
            <w:tcW w:w="1310" w:type="dxa"/>
            <w:vAlign w:val="center"/>
          </w:tcPr>
          <w:p w:rsidR="004F7538" w:rsidRDefault="00E47DD3">
            <w:pPr>
              <w:jc w:val="center"/>
            </w:pPr>
            <w:r>
              <w:rPr>
                <w:rFonts w:eastAsiaTheme="minorEastAsia"/>
                <w:color w:val="000000" w:themeColor="text1"/>
                <w:kern w:val="0"/>
              </w:rPr>
              <w:t>170415</w:t>
            </w:r>
          </w:p>
        </w:tc>
        <w:tc>
          <w:tcPr>
            <w:tcW w:w="1282" w:type="dxa"/>
            <w:vAlign w:val="center"/>
          </w:tcPr>
          <w:p w:rsidR="004F7538" w:rsidRDefault="00E47DD3">
            <w:pPr>
              <w:jc w:val="center"/>
            </w:pPr>
            <w:r>
              <w:rPr>
                <w:rFonts w:eastAsiaTheme="minorEastAsia"/>
                <w:color w:val="000000" w:themeColor="text1"/>
                <w:kern w:val="0"/>
              </w:rPr>
              <w:t>17</w:t>
            </w:r>
            <w:r>
              <w:rPr>
                <w:rFonts w:eastAsiaTheme="minorEastAsia"/>
                <w:color w:val="000000" w:themeColor="text1"/>
                <w:kern w:val="0"/>
              </w:rPr>
              <w:t>农发</w:t>
            </w:r>
            <w:r>
              <w:rPr>
                <w:rFonts w:eastAsiaTheme="minorEastAsia"/>
                <w:color w:val="000000" w:themeColor="text1"/>
                <w:kern w:val="0"/>
              </w:rPr>
              <w:t>15</w:t>
            </w:r>
          </w:p>
        </w:tc>
        <w:tc>
          <w:tcPr>
            <w:tcW w:w="1426" w:type="dxa"/>
            <w:vAlign w:val="center"/>
          </w:tcPr>
          <w:p w:rsidR="004F7538" w:rsidRDefault="00E47DD3">
            <w:pPr>
              <w:jc w:val="right"/>
            </w:pPr>
            <w:r>
              <w:rPr>
                <w:rFonts w:eastAsiaTheme="minorEastAsia"/>
                <w:color w:val="000000" w:themeColor="text1"/>
                <w:kern w:val="0"/>
              </w:rPr>
              <w:t>24,800,000</w:t>
            </w:r>
          </w:p>
        </w:tc>
        <w:tc>
          <w:tcPr>
            <w:tcW w:w="1646" w:type="dxa"/>
            <w:vAlign w:val="center"/>
          </w:tcPr>
          <w:p w:rsidR="004F7538" w:rsidRDefault="00E47DD3">
            <w:pPr>
              <w:jc w:val="right"/>
            </w:pPr>
            <w:r w:rsidRPr="00E47DD3">
              <w:rPr>
                <w:rFonts w:eastAsiaTheme="minorEastAsia"/>
                <w:color w:val="000000" w:themeColor="text1"/>
                <w:kern w:val="0"/>
              </w:rPr>
              <w:t>2</w:t>
            </w:r>
            <w:r>
              <w:rPr>
                <w:rFonts w:eastAsiaTheme="minorEastAsia"/>
                <w:color w:val="000000" w:themeColor="text1"/>
                <w:kern w:val="0"/>
              </w:rPr>
              <w:t>,</w:t>
            </w:r>
            <w:r w:rsidRPr="00E47DD3">
              <w:rPr>
                <w:rFonts w:eastAsiaTheme="minorEastAsia"/>
                <w:color w:val="000000" w:themeColor="text1"/>
                <w:kern w:val="0"/>
              </w:rPr>
              <w:t>653</w:t>
            </w:r>
            <w:r>
              <w:rPr>
                <w:rFonts w:eastAsiaTheme="minorEastAsia"/>
                <w:color w:val="000000" w:themeColor="text1"/>
                <w:kern w:val="0"/>
              </w:rPr>
              <w:t>,</w:t>
            </w:r>
            <w:r w:rsidRPr="00E47DD3">
              <w:rPr>
                <w:rFonts w:eastAsiaTheme="minorEastAsia"/>
                <w:color w:val="000000" w:themeColor="text1"/>
                <w:kern w:val="0"/>
              </w:rPr>
              <w:t>904</w:t>
            </w:r>
            <w:r>
              <w:rPr>
                <w:rFonts w:eastAsiaTheme="minorEastAsia"/>
                <w:color w:val="000000" w:themeColor="text1"/>
                <w:kern w:val="0"/>
              </w:rPr>
              <w:t>,</w:t>
            </w:r>
            <w:r w:rsidRPr="00E47DD3">
              <w:rPr>
                <w:rFonts w:eastAsiaTheme="minorEastAsia"/>
                <w:color w:val="000000" w:themeColor="text1"/>
                <w:kern w:val="0"/>
              </w:rPr>
              <w:t>021.75</w:t>
            </w:r>
          </w:p>
        </w:tc>
        <w:tc>
          <w:tcPr>
            <w:tcW w:w="1612" w:type="dxa"/>
            <w:vAlign w:val="center"/>
          </w:tcPr>
          <w:p w:rsidR="004F7538" w:rsidRDefault="00E47DD3">
            <w:pPr>
              <w:jc w:val="right"/>
            </w:pPr>
            <w:r w:rsidRPr="00E47DD3">
              <w:rPr>
                <w:rFonts w:eastAsiaTheme="minorEastAsia"/>
                <w:color w:val="000000" w:themeColor="text1"/>
                <w:kern w:val="0"/>
              </w:rPr>
              <w:t>31</w:t>
            </w:r>
            <w:r>
              <w:rPr>
                <w:rFonts w:eastAsiaTheme="minorEastAsia"/>
                <w:color w:val="000000" w:themeColor="text1"/>
                <w:kern w:val="0"/>
              </w:rPr>
              <w:t>.</w:t>
            </w:r>
            <w:r w:rsidRPr="00E47DD3">
              <w:rPr>
                <w:rFonts w:eastAsiaTheme="minorEastAsia"/>
                <w:color w:val="000000" w:themeColor="text1"/>
                <w:kern w:val="0"/>
              </w:rPr>
              <w:t>84</w:t>
            </w:r>
          </w:p>
        </w:tc>
      </w:tr>
      <w:tr w:rsidR="004F7538">
        <w:tc>
          <w:tcPr>
            <w:tcW w:w="1252" w:type="dxa"/>
            <w:vAlign w:val="center"/>
          </w:tcPr>
          <w:p w:rsidR="004F7538" w:rsidRDefault="00E47DD3">
            <w:pPr>
              <w:jc w:val="center"/>
            </w:pPr>
            <w:r>
              <w:rPr>
                <w:rFonts w:eastAsiaTheme="minorEastAsia"/>
                <w:color w:val="000000" w:themeColor="text1"/>
                <w:kern w:val="0"/>
              </w:rPr>
              <w:t>4</w:t>
            </w:r>
          </w:p>
        </w:tc>
        <w:tc>
          <w:tcPr>
            <w:tcW w:w="1310" w:type="dxa"/>
            <w:vAlign w:val="center"/>
          </w:tcPr>
          <w:p w:rsidR="004F7538" w:rsidRDefault="00E47DD3">
            <w:pPr>
              <w:jc w:val="center"/>
            </w:pPr>
            <w:r>
              <w:rPr>
                <w:rFonts w:eastAsiaTheme="minorEastAsia"/>
                <w:color w:val="000000" w:themeColor="text1"/>
                <w:kern w:val="0"/>
              </w:rPr>
              <w:t>170210</w:t>
            </w:r>
          </w:p>
        </w:tc>
        <w:tc>
          <w:tcPr>
            <w:tcW w:w="1282" w:type="dxa"/>
            <w:vAlign w:val="center"/>
          </w:tcPr>
          <w:p w:rsidR="004F7538" w:rsidRDefault="00E47DD3">
            <w:pPr>
              <w:jc w:val="center"/>
            </w:pPr>
            <w:r>
              <w:rPr>
                <w:rFonts w:eastAsiaTheme="minorEastAsia"/>
                <w:color w:val="000000" w:themeColor="text1"/>
                <w:kern w:val="0"/>
              </w:rPr>
              <w:t>17</w:t>
            </w:r>
            <w:r>
              <w:rPr>
                <w:rFonts w:eastAsiaTheme="minorEastAsia"/>
                <w:color w:val="000000" w:themeColor="text1"/>
                <w:kern w:val="0"/>
              </w:rPr>
              <w:t>国开</w:t>
            </w:r>
            <w:r>
              <w:rPr>
                <w:rFonts w:eastAsiaTheme="minorEastAsia"/>
                <w:color w:val="000000" w:themeColor="text1"/>
                <w:kern w:val="0"/>
              </w:rPr>
              <w:t>10</w:t>
            </w:r>
          </w:p>
        </w:tc>
        <w:tc>
          <w:tcPr>
            <w:tcW w:w="1426" w:type="dxa"/>
            <w:vAlign w:val="center"/>
          </w:tcPr>
          <w:p w:rsidR="004F7538" w:rsidRDefault="00E47DD3">
            <w:pPr>
              <w:jc w:val="right"/>
            </w:pPr>
            <w:r>
              <w:rPr>
                <w:rFonts w:eastAsiaTheme="minorEastAsia"/>
                <w:color w:val="000000" w:themeColor="text1"/>
                <w:kern w:val="0"/>
              </w:rPr>
              <w:t>15,100,000</w:t>
            </w:r>
          </w:p>
        </w:tc>
        <w:tc>
          <w:tcPr>
            <w:tcW w:w="1646" w:type="dxa"/>
            <w:vAlign w:val="center"/>
          </w:tcPr>
          <w:p w:rsidR="004F7538" w:rsidRDefault="00E47DD3">
            <w:pPr>
              <w:jc w:val="right"/>
            </w:pPr>
            <w:r w:rsidRPr="00E47DD3">
              <w:rPr>
                <w:rFonts w:eastAsiaTheme="minorEastAsia"/>
                <w:color w:val="000000" w:themeColor="text1"/>
                <w:kern w:val="0"/>
              </w:rPr>
              <w:t>1</w:t>
            </w:r>
            <w:r>
              <w:rPr>
                <w:rFonts w:eastAsiaTheme="minorEastAsia"/>
                <w:color w:val="000000" w:themeColor="text1"/>
                <w:kern w:val="0"/>
              </w:rPr>
              <w:t>,</w:t>
            </w:r>
            <w:r w:rsidRPr="00E47DD3">
              <w:rPr>
                <w:rFonts w:eastAsiaTheme="minorEastAsia"/>
                <w:color w:val="000000" w:themeColor="text1"/>
                <w:kern w:val="0"/>
              </w:rPr>
              <w:t>602</w:t>
            </w:r>
            <w:r>
              <w:rPr>
                <w:rFonts w:eastAsiaTheme="minorEastAsia"/>
                <w:color w:val="000000" w:themeColor="text1"/>
                <w:kern w:val="0"/>
              </w:rPr>
              <w:t>,</w:t>
            </w:r>
            <w:r w:rsidRPr="00E47DD3">
              <w:rPr>
                <w:rFonts w:eastAsiaTheme="minorEastAsia"/>
                <w:color w:val="000000" w:themeColor="text1"/>
                <w:kern w:val="0"/>
              </w:rPr>
              <w:t>220</w:t>
            </w:r>
            <w:r>
              <w:rPr>
                <w:rFonts w:eastAsiaTheme="minorEastAsia"/>
                <w:color w:val="000000" w:themeColor="text1"/>
                <w:kern w:val="0"/>
              </w:rPr>
              <w:t>,</w:t>
            </w:r>
            <w:r w:rsidRPr="00E47DD3">
              <w:rPr>
                <w:rFonts w:eastAsiaTheme="minorEastAsia"/>
                <w:color w:val="000000" w:themeColor="text1"/>
                <w:kern w:val="0"/>
              </w:rPr>
              <w:t>787.74</w:t>
            </w:r>
          </w:p>
        </w:tc>
        <w:tc>
          <w:tcPr>
            <w:tcW w:w="1612" w:type="dxa"/>
            <w:vAlign w:val="center"/>
          </w:tcPr>
          <w:p w:rsidR="004F7538" w:rsidRDefault="00E47DD3">
            <w:pPr>
              <w:jc w:val="right"/>
            </w:pPr>
            <w:r w:rsidRPr="00E47DD3">
              <w:rPr>
                <w:rFonts w:eastAsiaTheme="minorEastAsia"/>
                <w:color w:val="000000" w:themeColor="text1"/>
                <w:kern w:val="0"/>
              </w:rPr>
              <w:t>19</w:t>
            </w:r>
            <w:r>
              <w:rPr>
                <w:rFonts w:eastAsiaTheme="minorEastAsia"/>
                <w:color w:val="000000" w:themeColor="text1"/>
                <w:kern w:val="0"/>
              </w:rPr>
              <w:t>.</w:t>
            </w:r>
            <w:r w:rsidRPr="00E47DD3">
              <w:rPr>
                <w:rFonts w:eastAsiaTheme="minorEastAsia"/>
                <w:color w:val="000000" w:themeColor="text1"/>
                <w:kern w:val="0"/>
              </w:rPr>
              <w:t>23</w:t>
            </w:r>
          </w:p>
        </w:tc>
      </w:tr>
      <w:tr w:rsidR="004F7538">
        <w:tc>
          <w:tcPr>
            <w:tcW w:w="1252" w:type="dxa"/>
            <w:vAlign w:val="center"/>
          </w:tcPr>
          <w:p w:rsidR="004F7538" w:rsidRDefault="00E47DD3">
            <w:pPr>
              <w:jc w:val="center"/>
            </w:pPr>
            <w:r>
              <w:rPr>
                <w:rFonts w:eastAsiaTheme="minorEastAsia"/>
                <w:color w:val="000000" w:themeColor="text1"/>
                <w:kern w:val="0"/>
              </w:rPr>
              <w:t>5</w:t>
            </w:r>
          </w:p>
        </w:tc>
        <w:tc>
          <w:tcPr>
            <w:tcW w:w="1310" w:type="dxa"/>
            <w:vAlign w:val="center"/>
          </w:tcPr>
          <w:p w:rsidR="004F7538" w:rsidRDefault="00E47DD3">
            <w:pPr>
              <w:jc w:val="center"/>
            </w:pPr>
            <w:r>
              <w:rPr>
                <w:rFonts w:eastAsiaTheme="minorEastAsia"/>
                <w:color w:val="000000" w:themeColor="text1"/>
                <w:kern w:val="0"/>
              </w:rPr>
              <w:t>160993</w:t>
            </w:r>
          </w:p>
        </w:tc>
        <w:tc>
          <w:tcPr>
            <w:tcW w:w="1282" w:type="dxa"/>
            <w:vAlign w:val="center"/>
          </w:tcPr>
          <w:p w:rsidR="004F7538" w:rsidRDefault="00E47DD3">
            <w:pPr>
              <w:jc w:val="center"/>
            </w:pPr>
            <w:r>
              <w:rPr>
                <w:rFonts w:eastAsiaTheme="minorEastAsia"/>
                <w:color w:val="000000" w:themeColor="text1"/>
                <w:kern w:val="0"/>
              </w:rPr>
              <w:t>20</w:t>
            </w:r>
            <w:r>
              <w:rPr>
                <w:rFonts w:eastAsiaTheme="minorEastAsia"/>
                <w:color w:val="000000" w:themeColor="text1"/>
                <w:kern w:val="0"/>
              </w:rPr>
              <w:t>江苏</w:t>
            </w:r>
            <w:r>
              <w:rPr>
                <w:rFonts w:eastAsiaTheme="minorEastAsia"/>
                <w:color w:val="000000" w:themeColor="text1"/>
                <w:kern w:val="0"/>
              </w:rPr>
              <w:t>19</w:t>
            </w:r>
          </w:p>
        </w:tc>
        <w:tc>
          <w:tcPr>
            <w:tcW w:w="1426" w:type="dxa"/>
            <w:vAlign w:val="center"/>
          </w:tcPr>
          <w:p w:rsidR="004F7538" w:rsidRDefault="00E47DD3">
            <w:pPr>
              <w:jc w:val="right"/>
            </w:pPr>
            <w:r>
              <w:rPr>
                <w:rFonts w:eastAsiaTheme="minorEastAsia"/>
                <w:color w:val="000000" w:themeColor="text1"/>
                <w:kern w:val="0"/>
              </w:rPr>
              <w:t>7,100,000</w:t>
            </w:r>
          </w:p>
        </w:tc>
        <w:tc>
          <w:tcPr>
            <w:tcW w:w="1646" w:type="dxa"/>
            <w:vAlign w:val="center"/>
          </w:tcPr>
          <w:p w:rsidR="004F7538" w:rsidRDefault="00E47DD3">
            <w:pPr>
              <w:jc w:val="right"/>
            </w:pPr>
            <w:r w:rsidRPr="00E47DD3">
              <w:rPr>
                <w:rFonts w:eastAsiaTheme="minorEastAsia"/>
                <w:color w:val="000000" w:themeColor="text1"/>
                <w:kern w:val="0"/>
              </w:rPr>
              <w:t>725</w:t>
            </w:r>
            <w:r>
              <w:rPr>
                <w:rFonts w:eastAsiaTheme="minorEastAsia"/>
                <w:color w:val="000000" w:themeColor="text1"/>
                <w:kern w:val="0"/>
              </w:rPr>
              <w:t>,</w:t>
            </w:r>
            <w:r w:rsidRPr="00E47DD3">
              <w:rPr>
                <w:rFonts w:eastAsiaTheme="minorEastAsia"/>
                <w:color w:val="000000" w:themeColor="text1"/>
                <w:kern w:val="0"/>
              </w:rPr>
              <w:t>577</w:t>
            </w:r>
            <w:r>
              <w:rPr>
                <w:rFonts w:eastAsiaTheme="minorEastAsia"/>
                <w:color w:val="000000" w:themeColor="text1"/>
                <w:kern w:val="0"/>
              </w:rPr>
              <w:t>,</w:t>
            </w:r>
            <w:r w:rsidRPr="00E47DD3">
              <w:rPr>
                <w:rFonts w:eastAsiaTheme="minorEastAsia"/>
                <w:color w:val="000000" w:themeColor="text1"/>
                <w:kern w:val="0"/>
              </w:rPr>
              <w:t>067.10</w:t>
            </w:r>
          </w:p>
        </w:tc>
        <w:tc>
          <w:tcPr>
            <w:tcW w:w="1612" w:type="dxa"/>
            <w:vAlign w:val="center"/>
          </w:tcPr>
          <w:p w:rsidR="004F7538" w:rsidRDefault="00E47DD3">
            <w:pPr>
              <w:jc w:val="right"/>
            </w:pPr>
            <w:r w:rsidRPr="00E47DD3">
              <w:rPr>
                <w:rFonts w:eastAsiaTheme="minorEastAsia"/>
                <w:color w:val="000000" w:themeColor="text1"/>
                <w:kern w:val="0"/>
              </w:rPr>
              <w:t>8</w:t>
            </w:r>
            <w:r>
              <w:rPr>
                <w:rFonts w:eastAsiaTheme="minorEastAsia"/>
                <w:color w:val="000000" w:themeColor="text1"/>
                <w:kern w:val="0"/>
              </w:rPr>
              <w:t>.</w:t>
            </w:r>
            <w:r w:rsidRPr="00E47DD3">
              <w:rPr>
                <w:rFonts w:eastAsiaTheme="minorEastAsia"/>
                <w:color w:val="000000" w:themeColor="text1"/>
                <w:kern w:val="0"/>
              </w:rPr>
              <w:t>71</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p w:rsidR="00D06738" w:rsidRPr="008B067C" w:rsidRDefault="008B067C" w:rsidP="008B067C">
      <w:pPr>
        <w:autoSpaceDE w:val="0"/>
        <w:autoSpaceDN w:val="0"/>
        <w:adjustRightInd w:val="0"/>
        <w:spacing w:line="360" w:lineRule="auto"/>
        <w:jc w:val="left"/>
        <w:rPr>
          <w:rFonts w:eastAsiaTheme="minorEastAsia"/>
          <w:color w:val="000000" w:themeColor="text1"/>
        </w:rPr>
      </w:pPr>
      <w:bookmarkStart w:id="1" w:name="_GoBack"/>
      <w:r w:rsidRPr="008B067C">
        <w:rPr>
          <w:rFonts w:eastAsiaTheme="minorEastAsia" w:hint="eastAsia"/>
          <w:color w:val="000000" w:themeColor="text1"/>
        </w:rPr>
        <w:t>本基金本报告期末无其他资产构成。</w:t>
      </w:r>
    </w:p>
    <w:bookmarkEnd w:id="1"/>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因四舍五入的原因，投资组合报告中分项之和与合计数可能存在尾差。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7,990,077,699.94</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4F7538">
        <w:tc>
          <w:tcPr>
            <w:tcW w:w="993" w:type="dxa"/>
            <w:vMerge w:val="restart"/>
            <w:vAlign w:val="center"/>
          </w:tcPr>
          <w:p w:rsidR="004F7538" w:rsidRDefault="00E47DD3">
            <w:r>
              <w:rPr>
                <w:bCs/>
                <w:color w:val="000000"/>
                <w:kern w:val="0"/>
              </w:rPr>
              <w:t>机构</w:t>
            </w:r>
          </w:p>
        </w:tc>
        <w:tc>
          <w:tcPr>
            <w:tcW w:w="992" w:type="dxa"/>
            <w:vAlign w:val="center"/>
          </w:tcPr>
          <w:p w:rsidR="004F7538" w:rsidRDefault="00E47DD3">
            <w:pPr>
              <w:jc w:val="center"/>
            </w:pPr>
            <w:r>
              <w:rPr>
                <w:color w:val="000000"/>
                <w:kern w:val="0"/>
              </w:rPr>
              <w:t>1</w:t>
            </w:r>
          </w:p>
        </w:tc>
        <w:tc>
          <w:tcPr>
            <w:tcW w:w="1843" w:type="dxa"/>
            <w:vAlign w:val="center"/>
          </w:tcPr>
          <w:p w:rsidR="004F7538" w:rsidRDefault="00E47DD3">
            <w:pPr>
              <w:jc w:val="center"/>
            </w:pPr>
            <w:r>
              <w:rPr>
                <w:color w:val="000000"/>
                <w:kern w:val="0"/>
              </w:rPr>
              <w:t>20220101-20220331</w:t>
            </w:r>
          </w:p>
        </w:tc>
        <w:tc>
          <w:tcPr>
            <w:tcW w:w="851" w:type="dxa"/>
            <w:vAlign w:val="center"/>
          </w:tcPr>
          <w:p w:rsidR="004F7538" w:rsidRDefault="00E47DD3">
            <w:pPr>
              <w:jc w:val="center"/>
            </w:pPr>
            <w:r>
              <w:rPr>
                <w:color w:val="000000"/>
                <w:kern w:val="0"/>
              </w:rPr>
              <w:t>3,989,999,000.00</w:t>
            </w:r>
          </w:p>
        </w:tc>
        <w:tc>
          <w:tcPr>
            <w:tcW w:w="850" w:type="dxa"/>
            <w:vAlign w:val="center"/>
          </w:tcPr>
          <w:p w:rsidR="004F7538" w:rsidRDefault="00E47DD3">
            <w:pPr>
              <w:jc w:val="center"/>
            </w:pPr>
            <w:r>
              <w:rPr>
                <w:color w:val="000000"/>
                <w:kern w:val="0"/>
              </w:rPr>
              <w:t>0.00</w:t>
            </w:r>
          </w:p>
        </w:tc>
        <w:tc>
          <w:tcPr>
            <w:tcW w:w="1134" w:type="dxa"/>
            <w:vAlign w:val="center"/>
          </w:tcPr>
          <w:p w:rsidR="004F7538" w:rsidRDefault="00E47DD3">
            <w:pPr>
              <w:jc w:val="center"/>
            </w:pPr>
            <w:r>
              <w:rPr>
                <w:color w:val="000000"/>
                <w:kern w:val="0"/>
              </w:rPr>
              <w:t>0.00</w:t>
            </w:r>
          </w:p>
        </w:tc>
        <w:tc>
          <w:tcPr>
            <w:tcW w:w="1419" w:type="dxa"/>
            <w:vAlign w:val="center"/>
          </w:tcPr>
          <w:p w:rsidR="004F7538" w:rsidRDefault="00E47DD3">
            <w:pPr>
              <w:jc w:val="center"/>
            </w:pPr>
            <w:r>
              <w:rPr>
                <w:color w:val="000000"/>
                <w:kern w:val="0"/>
              </w:rPr>
              <w:t>3,989,999,000.00</w:t>
            </w:r>
          </w:p>
        </w:tc>
        <w:tc>
          <w:tcPr>
            <w:tcW w:w="1130" w:type="dxa"/>
            <w:vAlign w:val="center"/>
          </w:tcPr>
          <w:p w:rsidR="004F7538" w:rsidRDefault="00E47DD3">
            <w:pPr>
              <w:jc w:val="center"/>
            </w:pPr>
            <w:r>
              <w:rPr>
                <w:color w:val="000000"/>
                <w:kern w:val="0"/>
              </w:rPr>
              <w:t>49.94%</w:t>
            </w:r>
          </w:p>
        </w:tc>
      </w:tr>
      <w:tr w:rsidR="004F7538">
        <w:tc>
          <w:tcPr>
            <w:tcW w:w="993" w:type="dxa"/>
            <w:vMerge/>
          </w:tcPr>
          <w:p w:rsidR="004F7538" w:rsidRDefault="004F7538"/>
        </w:tc>
        <w:tc>
          <w:tcPr>
            <w:tcW w:w="992" w:type="dxa"/>
            <w:vAlign w:val="center"/>
          </w:tcPr>
          <w:p w:rsidR="004F7538" w:rsidRDefault="00E47DD3">
            <w:pPr>
              <w:jc w:val="center"/>
            </w:pPr>
            <w:r>
              <w:rPr>
                <w:color w:val="000000"/>
                <w:kern w:val="0"/>
              </w:rPr>
              <w:t>2</w:t>
            </w:r>
          </w:p>
        </w:tc>
        <w:tc>
          <w:tcPr>
            <w:tcW w:w="1843" w:type="dxa"/>
            <w:vAlign w:val="center"/>
          </w:tcPr>
          <w:p w:rsidR="004F7538" w:rsidRDefault="00E47DD3">
            <w:pPr>
              <w:jc w:val="center"/>
            </w:pPr>
            <w:r>
              <w:rPr>
                <w:color w:val="000000"/>
                <w:kern w:val="0"/>
              </w:rPr>
              <w:t>20220101-20220331</w:t>
            </w:r>
          </w:p>
        </w:tc>
        <w:tc>
          <w:tcPr>
            <w:tcW w:w="851" w:type="dxa"/>
            <w:vAlign w:val="center"/>
          </w:tcPr>
          <w:p w:rsidR="004F7538" w:rsidRDefault="00E47DD3">
            <w:pPr>
              <w:jc w:val="center"/>
            </w:pPr>
            <w:r>
              <w:rPr>
                <w:color w:val="000000"/>
                <w:kern w:val="0"/>
              </w:rPr>
              <w:t>2,199,999,000.00</w:t>
            </w:r>
          </w:p>
        </w:tc>
        <w:tc>
          <w:tcPr>
            <w:tcW w:w="850" w:type="dxa"/>
            <w:vAlign w:val="center"/>
          </w:tcPr>
          <w:p w:rsidR="004F7538" w:rsidRDefault="00E47DD3">
            <w:pPr>
              <w:jc w:val="center"/>
            </w:pPr>
            <w:r>
              <w:rPr>
                <w:color w:val="000000"/>
                <w:kern w:val="0"/>
              </w:rPr>
              <w:t>0.00</w:t>
            </w:r>
          </w:p>
        </w:tc>
        <w:tc>
          <w:tcPr>
            <w:tcW w:w="1134" w:type="dxa"/>
            <w:vAlign w:val="center"/>
          </w:tcPr>
          <w:p w:rsidR="004F7538" w:rsidRDefault="00E47DD3">
            <w:pPr>
              <w:jc w:val="center"/>
            </w:pPr>
            <w:r>
              <w:rPr>
                <w:color w:val="000000"/>
                <w:kern w:val="0"/>
              </w:rPr>
              <w:t>0.00</w:t>
            </w:r>
          </w:p>
        </w:tc>
        <w:tc>
          <w:tcPr>
            <w:tcW w:w="1419" w:type="dxa"/>
            <w:vAlign w:val="center"/>
          </w:tcPr>
          <w:p w:rsidR="004F7538" w:rsidRDefault="00E47DD3">
            <w:pPr>
              <w:jc w:val="center"/>
            </w:pPr>
            <w:r>
              <w:rPr>
                <w:color w:val="000000"/>
                <w:kern w:val="0"/>
              </w:rPr>
              <w:t>2,199,999,000.00</w:t>
            </w:r>
          </w:p>
        </w:tc>
        <w:tc>
          <w:tcPr>
            <w:tcW w:w="1130" w:type="dxa"/>
            <w:vAlign w:val="center"/>
          </w:tcPr>
          <w:p w:rsidR="004F7538" w:rsidRDefault="00E47DD3">
            <w:pPr>
              <w:jc w:val="center"/>
            </w:pPr>
            <w:r>
              <w:rPr>
                <w:color w:val="000000"/>
                <w:kern w:val="0"/>
              </w:rPr>
              <w:t>27.53%</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中国证监会准予上投摩根瑞盛</w:t>
      </w:r>
      <w:r>
        <w:rPr>
          <w:rFonts w:eastAsiaTheme="minorEastAsia"/>
          <w:color w:val="000000" w:themeColor="text1"/>
        </w:rPr>
        <w:t>87</w:t>
      </w:r>
      <w:r>
        <w:rPr>
          <w:rFonts w:eastAsiaTheme="minorEastAsia"/>
          <w:color w:val="000000" w:themeColor="text1"/>
        </w:rPr>
        <w:t>个月定期开放债券型证券投资基金募集注册的文件</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 xml:space="preserve">) </w:t>
      </w:r>
      <w:r>
        <w:rPr>
          <w:rFonts w:eastAsiaTheme="minorEastAsia"/>
          <w:color w:val="000000" w:themeColor="text1"/>
        </w:rPr>
        <w:t>上投摩根瑞盛</w:t>
      </w:r>
      <w:r>
        <w:rPr>
          <w:rFonts w:eastAsiaTheme="minorEastAsia"/>
          <w:color w:val="000000" w:themeColor="text1"/>
        </w:rPr>
        <w:t>87</w:t>
      </w:r>
      <w:r>
        <w:rPr>
          <w:rFonts w:eastAsiaTheme="minorEastAsia"/>
          <w:color w:val="000000" w:themeColor="text1"/>
        </w:rPr>
        <w:t>个月定期开放债券型证券投资基金基金合同</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 xml:space="preserve">) </w:t>
      </w:r>
      <w:r>
        <w:rPr>
          <w:rFonts w:eastAsiaTheme="minorEastAsia"/>
          <w:color w:val="000000" w:themeColor="text1"/>
        </w:rPr>
        <w:t>上投摩根瑞盛</w:t>
      </w:r>
      <w:r>
        <w:rPr>
          <w:rFonts w:eastAsiaTheme="minorEastAsia"/>
          <w:color w:val="000000" w:themeColor="text1"/>
        </w:rPr>
        <w:t>87</w:t>
      </w:r>
      <w:r>
        <w:rPr>
          <w:rFonts w:eastAsiaTheme="minorEastAsia"/>
          <w:color w:val="000000" w:themeColor="text1"/>
        </w:rPr>
        <w:t>个月定期开放债券型证券投资基金托管协议</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4F7538" w:rsidRDefault="00E47DD3">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二〇二二年四月二十二日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8B067C" w:rsidRPr="008B067C">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8B067C">
      <w:rPr>
        <w:rStyle w:val="aff"/>
        <w:noProof/>
      </w:rPr>
      <w:t>12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上投摩根瑞盛</w:t>
    </w:r>
    <w:r>
      <w:rPr>
        <w:rFonts w:hint="eastAsia"/>
      </w:rPr>
      <w:t>87</w:t>
    </w:r>
    <w:r>
      <w:rPr>
        <w:rFonts w:hint="eastAsia"/>
      </w:rPr>
      <w:t>个月定期开放债券型证券投资基金</w:t>
    </w:r>
    <w:r>
      <w:rPr>
        <w:rFonts w:hint="eastAsia"/>
      </w:rPr>
      <w:t>2022</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4F7538"/>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067C"/>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47DD3"/>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47779"/>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48BF25"/>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 w:type="paragraph" w:styleId="aff6">
    <w:name w:val="Revision"/>
    <w:hidden/>
    <w:uiPriority w:val="99"/>
    <w:semiHidden/>
    <w:rsid w:val="00F47779"/>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0FAEE-60F6-4C80-BFD6-5DBE84FA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Cynthia.Yu@FA</cp:lastModifiedBy>
  <cp:revision>270</cp:revision>
  <dcterms:created xsi:type="dcterms:W3CDTF">2012-10-16T06:07:00Z</dcterms:created>
  <dcterms:modified xsi:type="dcterms:W3CDTF">2022-04-21T07:34:00Z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