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上投摩根瑞盛</w:t>
      </w:r>
      <w:r w:rsidRPr="00FF6B9A">
        <w:rPr>
          <w:rFonts w:eastAsiaTheme="minorEastAsia"/>
          <w:b/>
          <w:color w:val="000000" w:themeColor="text1"/>
          <w:sz w:val="36"/>
          <w:szCs w:val="36"/>
        </w:rPr>
        <w:t>87</w:t>
      </w:r>
      <w:r w:rsidRPr="00FF6B9A">
        <w:rPr>
          <w:rFonts w:eastAsiaTheme="minorEastAsia"/>
          <w:b/>
          <w:color w:val="000000" w:themeColor="text1"/>
          <w:sz w:val="36"/>
          <w:szCs w:val="36"/>
        </w:rPr>
        <w:t>个月定期开放债券型证券投资基金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基金托管人：兴业银行股份有限公司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报告送出日期：二〇二二年一月二十四日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基金托管人兴业银行股份有限公司根据本基金合同规定，于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上投摩根瑞盛</w:t>
            </w:r>
            <w:r w:rsidRPr="00FF6B9A">
              <w:rPr>
                <w:rFonts w:eastAsiaTheme="minorEastAsia"/>
                <w:color w:val="000000" w:themeColor="text1"/>
                <w:kern w:val="0"/>
              </w:rPr>
              <w:t>87</w:t>
            </w:r>
            <w:r w:rsidRPr="00FF6B9A">
              <w:rPr>
                <w:rFonts w:eastAsiaTheme="minorEastAsia"/>
                <w:color w:val="000000" w:themeColor="text1"/>
                <w:kern w:val="0"/>
              </w:rPr>
              <w:t>个月定期开放债券</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009895</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009895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契约型定期开放式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8</w:t>
            </w:r>
            <w:r w:rsidRPr="00FF6B9A">
              <w:rPr>
                <w:rFonts w:eastAsiaTheme="minorEastAsia"/>
                <w:color w:val="000000" w:themeColor="text1"/>
                <w:kern w:val="0"/>
              </w:rPr>
              <w:t>月</w:t>
            </w:r>
            <w:r w:rsidRPr="00FF6B9A">
              <w:rPr>
                <w:rFonts w:eastAsiaTheme="minorEastAsia"/>
                <w:color w:val="000000" w:themeColor="text1"/>
                <w:kern w:val="0"/>
              </w:rPr>
              <w:t>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7,990,077,699.94</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在严格控制风险的前提下，采用持有到期策略，力争实现长期稳定的投资回报。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EB16FB" w:rsidRDefault="00861CE2">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、封闭期投资策略</w:t>
            </w:r>
          </w:p>
          <w:p w:rsidR="00EB16FB" w:rsidRDefault="00861CE2">
            <w:pPr>
              <w:adjustRightInd w:val="0"/>
              <w:spacing w:before="29" w:line="360" w:lineRule="auto"/>
              <w:ind w:left="17"/>
              <w:rPr>
                <w:rFonts w:eastAsiaTheme="minorEastAsia"/>
                <w:color w:val="000000" w:themeColor="text1"/>
              </w:rPr>
            </w:pPr>
            <w:r>
              <w:rPr>
                <w:rFonts w:eastAsiaTheme="minorEastAsia"/>
                <w:color w:val="000000" w:themeColor="text1"/>
                <w:kern w:val="0"/>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w:t>
            </w:r>
            <w:r>
              <w:rPr>
                <w:rFonts w:eastAsiaTheme="minorEastAsia"/>
                <w:color w:val="000000" w:themeColor="text1"/>
                <w:kern w:val="0"/>
              </w:rPr>
              <w:lastRenderedPageBreak/>
              <w:t>作期到期日。</w:t>
            </w:r>
          </w:p>
          <w:p w:rsidR="00EB16FB" w:rsidRDefault="00861CE2">
            <w:pPr>
              <w:adjustRightInd w:val="0"/>
              <w:spacing w:before="29" w:line="360" w:lineRule="auto"/>
              <w:ind w:left="17"/>
              <w:rPr>
                <w:rFonts w:eastAsiaTheme="minorEastAsia"/>
                <w:color w:val="000000" w:themeColor="text1"/>
              </w:rPr>
            </w:pPr>
            <w:r>
              <w:rPr>
                <w:rFonts w:eastAsiaTheme="minorEastAsia"/>
                <w:color w:val="000000" w:themeColor="text1"/>
                <w:kern w:val="0"/>
              </w:rPr>
              <w:t>封闭期具体投资策略包括信用债投资策略、杠杆投资策略、资产支持证券投资策略、封闭期现金管理策略。</w:t>
            </w:r>
          </w:p>
          <w:p w:rsidR="00EB16FB" w:rsidRDefault="00861CE2">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、开放期投资策略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开放期内，将保持资产适当的流动性，以应付当时市场条件下的赎回要求，并降低资产的流动性风险，做好流动性管理。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在每个封闭期，本基金的业绩比较基准为该封闭期起始日公布的三年定期存款利率（税后）</w:t>
            </w:r>
            <w:r w:rsidRPr="00FF6B9A">
              <w:rPr>
                <w:rFonts w:eastAsiaTheme="minorEastAsia"/>
                <w:color w:val="000000" w:themeColor="text1"/>
                <w:kern w:val="0"/>
              </w:rPr>
              <w:t>+1.25%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本基金为债券型基金，一般而言，其长期平均风险和预期收益率低于股票型基金、混合型基金，高于货币市场基金。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兴业银行股份有限公司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8E289F" w:rsidRPr="00FF6B9A" w:rsidTr="008E289F">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8E289F" w:rsidRPr="00FF6B9A" w:rsidTr="008E289F">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80,280,293.83</w:t>
            </w:r>
          </w:p>
        </w:tc>
      </w:tr>
      <w:tr w:rsidR="008E289F" w:rsidRPr="00FF6B9A" w:rsidTr="008E289F">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80,280,293.83</w:t>
            </w:r>
          </w:p>
        </w:tc>
      </w:tr>
      <w:tr w:rsidR="008E289F" w:rsidRPr="00FF6B9A" w:rsidTr="008E289F">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0.0100</w:t>
            </w:r>
          </w:p>
        </w:tc>
      </w:tr>
      <w:tr w:rsidR="008E289F" w:rsidRPr="00FF6B9A" w:rsidTr="008E289F">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8,256,041,623.50</w:t>
            </w:r>
          </w:p>
        </w:tc>
      </w:tr>
      <w:tr w:rsidR="008E289F" w:rsidRPr="00FF6B9A" w:rsidTr="008E289F">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1.0333</w:t>
            </w:r>
          </w:p>
        </w:tc>
      </w:tr>
    </w:tbl>
    <w:p w:rsidR="00EB16FB" w:rsidRDefault="00861CE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本期已实现收益指基金本期利息收入、投资收益、其他收入（不含公允价值变动收益）扣除相关费用后的余额，本期利润为本期已实现收益加上本期公允价值变动收益，由于本基金</w:t>
      </w:r>
      <w:r w:rsidRPr="00FF6B9A">
        <w:rPr>
          <w:rFonts w:eastAsiaTheme="minorEastAsia"/>
          <w:color w:val="000000" w:themeColor="text1"/>
        </w:rPr>
        <w:lastRenderedPageBreak/>
        <w:t>采用摊余成本法核算，所以，公允价值变动收益为零，本期已实现收益和本期利润的金额相等；</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2C4876" w:rsidRPr="00FF6B9A" w:rsidTr="002C4876">
        <w:tc>
          <w:tcPr>
            <w:tcW w:w="1395"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tcPr>
          <w:p w:rsidR="002C4876" w:rsidRPr="00FF6B9A" w:rsidRDefault="002C4876" w:rsidP="003B0546">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2C4876" w:rsidTr="002C4876">
        <w:tc>
          <w:tcPr>
            <w:tcW w:w="1395" w:type="dxa"/>
          </w:tcPr>
          <w:p w:rsidR="002C4876" w:rsidRDefault="002C4876" w:rsidP="003B0546">
            <w:pPr>
              <w:jc w:val="left"/>
            </w:pPr>
            <w:r>
              <w:rPr>
                <w:rFonts w:eastAsiaTheme="minorEastAsia"/>
                <w:color w:val="000000" w:themeColor="text1"/>
                <w:kern w:val="0"/>
              </w:rPr>
              <w:t>过去三个月</w:t>
            </w:r>
          </w:p>
        </w:tc>
        <w:tc>
          <w:tcPr>
            <w:tcW w:w="1092" w:type="dxa"/>
          </w:tcPr>
          <w:p w:rsidR="002C4876" w:rsidRDefault="002C4876" w:rsidP="003B0546">
            <w:pPr>
              <w:jc w:val="center"/>
            </w:pPr>
            <w:r>
              <w:rPr>
                <w:rFonts w:eastAsiaTheme="minorEastAsia"/>
                <w:color w:val="000000" w:themeColor="text1"/>
                <w:kern w:val="0"/>
              </w:rPr>
              <w:t>0.98%</w:t>
            </w:r>
          </w:p>
        </w:tc>
        <w:tc>
          <w:tcPr>
            <w:tcW w:w="1161" w:type="dxa"/>
          </w:tcPr>
          <w:p w:rsidR="002C4876" w:rsidRDefault="002C4876" w:rsidP="003B0546">
            <w:pPr>
              <w:jc w:val="center"/>
            </w:pPr>
            <w:r>
              <w:rPr>
                <w:rFonts w:eastAsiaTheme="minorEastAsia"/>
                <w:color w:val="000000" w:themeColor="text1"/>
                <w:kern w:val="0"/>
              </w:rPr>
              <w:t>0.01%</w:t>
            </w:r>
          </w:p>
        </w:tc>
        <w:tc>
          <w:tcPr>
            <w:tcW w:w="1181" w:type="dxa"/>
          </w:tcPr>
          <w:p w:rsidR="002C4876" w:rsidRDefault="002C4876" w:rsidP="003B0546">
            <w:pPr>
              <w:jc w:val="center"/>
            </w:pPr>
            <w:r>
              <w:rPr>
                <w:rFonts w:eastAsiaTheme="minorEastAsia"/>
                <w:color w:val="000000" w:themeColor="text1"/>
                <w:kern w:val="0"/>
              </w:rPr>
              <w:t>1.02%</w:t>
            </w:r>
          </w:p>
        </w:tc>
        <w:tc>
          <w:tcPr>
            <w:tcW w:w="1188" w:type="dxa"/>
          </w:tcPr>
          <w:p w:rsidR="002C4876" w:rsidRDefault="002C4876" w:rsidP="003B0546">
            <w:pPr>
              <w:jc w:val="center"/>
            </w:pPr>
            <w:r>
              <w:rPr>
                <w:rFonts w:eastAsiaTheme="minorEastAsia"/>
                <w:color w:val="000000" w:themeColor="text1"/>
                <w:kern w:val="0"/>
              </w:rPr>
              <w:t>0.01%</w:t>
            </w:r>
          </w:p>
        </w:tc>
        <w:tc>
          <w:tcPr>
            <w:tcW w:w="1199" w:type="dxa"/>
          </w:tcPr>
          <w:p w:rsidR="002C4876" w:rsidRDefault="002C4876" w:rsidP="003B0546">
            <w:pPr>
              <w:jc w:val="center"/>
            </w:pPr>
            <w:r>
              <w:rPr>
                <w:rFonts w:eastAsiaTheme="minorEastAsia"/>
                <w:color w:val="000000" w:themeColor="text1"/>
                <w:kern w:val="0"/>
              </w:rPr>
              <w:t>-0.04%</w:t>
            </w:r>
          </w:p>
        </w:tc>
        <w:tc>
          <w:tcPr>
            <w:tcW w:w="1204" w:type="dxa"/>
          </w:tcPr>
          <w:p w:rsidR="002C4876" w:rsidRDefault="002C4876" w:rsidP="003B0546">
            <w:pPr>
              <w:jc w:val="center"/>
            </w:pPr>
            <w:r>
              <w:rPr>
                <w:rFonts w:eastAsiaTheme="minorEastAsia"/>
                <w:color w:val="000000" w:themeColor="text1"/>
                <w:kern w:val="0"/>
              </w:rPr>
              <w:t>0.00%</w:t>
            </w:r>
          </w:p>
        </w:tc>
      </w:tr>
      <w:tr w:rsidR="002C4876" w:rsidTr="002C4876">
        <w:tc>
          <w:tcPr>
            <w:tcW w:w="1395" w:type="dxa"/>
          </w:tcPr>
          <w:p w:rsidR="002C4876" w:rsidRDefault="002C4876" w:rsidP="003B0546">
            <w:pPr>
              <w:jc w:val="left"/>
            </w:pPr>
            <w:r>
              <w:rPr>
                <w:rFonts w:eastAsiaTheme="minorEastAsia"/>
                <w:color w:val="000000" w:themeColor="text1"/>
                <w:kern w:val="0"/>
              </w:rPr>
              <w:t>过去六个月</w:t>
            </w:r>
          </w:p>
        </w:tc>
        <w:tc>
          <w:tcPr>
            <w:tcW w:w="1092" w:type="dxa"/>
          </w:tcPr>
          <w:p w:rsidR="002C4876" w:rsidRDefault="002C4876" w:rsidP="003B0546">
            <w:pPr>
              <w:jc w:val="center"/>
            </w:pPr>
            <w:r>
              <w:rPr>
                <w:rFonts w:eastAsiaTheme="minorEastAsia"/>
                <w:color w:val="000000" w:themeColor="text1"/>
                <w:kern w:val="0"/>
              </w:rPr>
              <w:t>1.97%</w:t>
            </w:r>
          </w:p>
        </w:tc>
        <w:tc>
          <w:tcPr>
            <w:tcW w:w="1161" w:type="dxa"/>
          </w:tcPr>
          <w:p w:rsidR="002C4876" w:rsidRDefault="002C4876" w:rsidP="003B0546">
            <w:pPr>
              <w:jc w:val="center"/>
            </w:pPr>
            <w:r>
              <w:rPr>
                <w:rFonts w:eastAsiaTheme="minorEastAsia"/>
                <w:color w:val="000000" w:themeColor="text1"/>
                <w:kern w:val="0"/>
              </w:rPr>
              <w:t>0.01%</w:t>
            </w:r>
          </w:p>
        </w:tc>
        <w:tc>
          <w:tcPr>
            <w:tcW w:w="1181" w:type="dxa"/>
          </w:tcPr>
          <w:p w:rsidR="002C4876" w:rsidRDefault="002C4876" w:rsidP="003B0546">
            <w:pPr>
              <w:jc w:val="center"/>
            </w:pPr>
            <w:r>
              <w:rPr>
                <w:rFonts w:eastAsiaTheme="minorEastAsia"/>
                <w:color w:val="000000" w:themeColor="text1"/>
                <w:kern w:val="0"/>
              </w:rPr>
              <w:t>2.04%</w:t>
            </w:r>
          </w:p>
        </w:tc>
        <w:tc>
          <w:tcPr>
            <w:tcW w:w="1188" w:type="dxa"/>
          </w:tcPr>
          <w:p w:rsidR="002C4876" w:rsidRDefault="002C4876" w:rsidP="003B0546">
            <w:pPr>
              <w:jc w:val="center"/>
            </w:pPr>
            <w:r>
              <w:rPr>
                <w:rFonts w:eastAsiaTheme="minorEastAsia"/>
                <w:color w:val="000000" w:themeColor="text1"/>
                <w:kern w:val="0"/>
              </w:rPr>
              <w:t>0.01%</w:t>
            </w:r>
          </w:p>
        </w:tc>
        <w:tc>
          <w:tcPr>
            <w:tcW w:w="1199" w:type="dxa"/>
          </w:tcPr>
          <w:p w:rsidR="002C4876" w:rsidRDefault="002C4876" w:rsidP="003B0546">
            <w:pPr>
              <w:jc w:val="center"/>
            </w:pPr>
            <w:r>
              <w:rPr>
                <w:rFonts w:eastAsiaTheme="minorEastAsia"/>
                <w:color w:val="000000" w:themeColor="text1"/>
                <w:kern w:val="0"/>
              </w:rPr>
              <w:t>-0.07%</w:t>
            </w:r>
          </w:p>
        </w:tc>
        <w:tc>
          <w:tcPr>
            <w:tcW w:w="1204" w:type="dxa"/>
          </w:tcPr>
          <w:p w:rsidR="002C4876" w:rsidRDefault="002C4876" w:rsidP="003B0546">
            <w:pPr>
              <w:jc w:val="center"/>
            </w:pPr>
            <w:r>
              <w:rPr>
                <w:rFonts w:eastAsiaTheme="minorEastAsia"/>
                <w:color w:val="000000" w:themeColor="text1"/>
                <w:kern w:val="0"/>
              </w:rPr>
              <w:t>0.00%</w:t>
            </w:r>
          </w:p>
        </w:tc>
      </w:tr>
      <w:tr w:rsidR="002C4876" w:rsidTr="002C4876">
        <w:tc>
          <w:tcPr>
            <w:tcW w:w="1395" w:type="dxa"/>
          </w:tcPr>
          <w:p w:rsidR="002C4876" w:rsidRDefault="002C4876" w:rsidP="003B0546">
            <w:pPr>
              <w:jc w:val="left"/>
            </w:pPr>
            <w:r>
              <w:rPr>
                <w:rFonts w:eastAsiaTheme="minorEastAsia"/>
                <w:color w:val="000000" w:themeColor="text1"/>
                <w:kern w:val="0"/>
              </w:rPr>
              <w:t>过去一年</w:t>
            </w:r>
          </w:p>
        </w:tc>
        <w:tc>
          <w:tcPr>
            <w:tcW w:w="1092" w:type="dxa"/>
          </w:tcPr>
          <w:p w:rsidR="002C4876" w:rsidRDefault="002C4876" w:rsidP="003B0546">
            <w:pPr>
              <w:jc w:val="center"/>
            </w:pPr>
            <w:r>
              <w:rPr>
                <w:rFonts w:eastAsiaTheme="minorEastAsia"/>
                <w:color w:val="000000" w:themeColor="text1"/>
                <w:kern w:val="0"/>
              </w:rPr>
              <w:t>3.93%</w:t>
            </w:r>
          </w:p>
        </w:tc>
        <w:tc>
          <w:tcPr>
            <w:tcW w:w="1161" w:type="dxa"/>
          </w:tcPr>
          <w:p w:rsidR="002C4876" w:rsidRDefault="002C4876" w:rsidP="003B0546">
            <w:pPr>
              <w:jc w:val="center"/>
            </w:pPr>
            <w:r>
              <w:rPr>
                <w:rFonts w:eastAsiaTheme="minorEastAsia"/>
                <w:color w:val="000000" w:themeColor="text1"/>
                <w:kern w:val="0"/>
              </w:rPr>
              <w:t>0.01%</w:t>
            </w:r>
          </w:p>
        </w:tc>
        <w:tc>
          <w:tcPr>
            <w:tcW w:w="1181" w:type="dxa"/>
          </w:tcPr>
          <w:p w:rsidR="002C4876" w:rsidRDefault="002C4876" w:rsidP="003B0546">
            <w:pPr>
              <w:jc w:val="center"/>
            </w:pPr>
            <w:r>
              <w:rPr>
                <w:rFonts w:eastAsiaTheme="minorEastAsia"/>
                <w:color w:val="000000" w:themeColor="text1"/>
                <w:kern w:val="0"/>
              </w:rPr>
              <w:t>4.06%</w:t>
            </w:r>
          </w:p>
        </w:tc>
        <w:tc>
          <w:tcPr>
            <w:tcW w:w="1188" w:type="dxa"/>
          </w:tcPr>
          <w:p w:rsidR="002C4876" w:rsidRDefault="002C4876" w:rsidP="003B0546">
            <w:pPr>
              <w:jc w:val="center"/>
            </w:pPr>
            <w:r>
              <w:rPr>
                <w:rFonts w:eastAsiaTheme="minorEastAsia"/>
                <w:color w:val="000000" w:themeColor="text1"/>
                <w:kern w:val="0"/>
              </w:rPr>
              <w:t>0.01%</w:t>
            </w:r>
          </w:p>
        </w:tc>
        <w:tc>
          <w:tcPr>
            <w:tcW w:w="1199" w:type="dxa"/>
          </w:tcPr>
          <w:p w:rsidR="002C4876" w:rsidRDefault="002C4876" w:rsidP="003B0546">
            <w:pPr>
              <w:jc w:val="center"/>
            </w:pPr>
            <w:r>
              <w:rPr>
                <w:rFonts w:eastAsiaTheme="minorEastAsia"/>
                <w:color w:val="000000" w:themeColor="text1"/>
                <w:kern w:val="0"/>
              </w:rPr>
              <w:t>-0.13%</w:t>
            </w:r>
          </w:p>
        </w:tc>
        <w:tc>
          <w:tcPr>
            <w:tcW w:w="1204" w:type="dxa"/>
          </w:tcPr>
          <w:p w:rsidR="002C4876" w:rsidRDefault="002C4876" w:rsidP="003B0546">
            <w:pPr>
              <w:jc w:val="center"/>
            </w:pPr>
            <w:r>
              <w:rPr>
                <w:rFonts w:eastAsiaTheme="minorEastAsia"/>
                <w:color w:val="000000" w:themeColor="text1"/>
                <w:kern w:val="0"/>
              </w:rPr>
              <w:t>0.00%</w:t>
            </w:r>
          </w:p>
        </w:tc>
      </w:tr>
      <w:tr w:rsidR="002C4876" w:rsidTr="002C4876">
        <w:tc>
          <w:tcPr>
            <w:tcW w:w="1395" w:type="dxa"/>
          </w:tcPr>
          <w:p w:rsidR="002C4876" w:rsidRDefault="002C4876" w:rsidP="003B0546">
            <w:pPr>
              <w:jc w:val="left"/>
            </w:pPr>
            <w:r>
              <w:rPr>
                <w:rFonts w:eastAsiaTheme="minorEastAsia"/>
                <w:color w:val="000000" w:themeColor="text1"/>
                <w:kern w:val="0"/>
              </w:rPr>
              <w:t>过去三年</w:t>
            </w:r>
          </w:p>
        </w:tc>
        <w:tc>
          <w:tcPr>
            <w:tcW w:w="1092" w:type="dxa"/>
          </w:tcPr>
          <w:p w:rsidR="002C4876" w:rsidRDefault="002C4876" w:rsidP="003B0546">
            <w:pPr>
              <w:jc w:val="center"/>
            </w:pPr>
            <w:r>
              <w:rPr>
                <w:rFonts w:eastAsiaTheme="minorEastAsia"/>
                <w:color w:val="000000" w:themeColor="text1"/>
                <w:kern w:val="0"/>
              </w:rPr>
              <w:t>-</w:t>
            </w:r>
          </w:p>
        </w:tc>
        <w:tc>
          <w:tcPr>
            <w:tcW w:w="1161" w:type="dxa"/>
          </w:tcPr>
          <w:p w:rsidR="002C4876" w:rsidRDefault="002C4876" w:rsidP="003B0546">
            <w:pPr>
              <w:jc w:val="center"/>
            </w:pPr>
            <w:r>
              <w:rPr>
                <w:rFonts w:eastAsiaTheme="minorEastAsia"/>
                <w:color w:val="000000" w:themeColor="text1"/>
                <w:kern w:val="0"/>
              </w:rPr>
              <w:t>-</w:t>
            </w:r>
          </w:p>
        </w:tc>
        <w:tc>
          <w:tcPr>
            <w:tcW w:w="1181" w:type="dxa"/>
          </w:tcPr>
          <w:p w:rsidR="002C4876" w:rsidRDefault="002C4876" w:rsidP="003B0546">
            <w:pPr>
              <w:jc w:val="center"/>
            </w:pPr>
            <w:r>
              <w:rPr>
                <w:rFonts w:eastAsiaTheme="minorEastAsia"/>
                <w:color w:val="000000" w:themeColor="text1"/>
                <w:kern w:val="0"/>
              </w:rPr>
              <w:t>-</w:t>
            </w:r>
          </w:p>
        </w:tc>
        <w:tc>
          <w:tcPr>
            <w:tcW w:w="1188" w:type="dxa"/>
          </w:tcPr>
          <w:p w:rsidR="002C4876" w:rsidRDefault="002C4876" w:rsidP="003B0546">
            <w:pPr>
              <w:jc w:val="center"/>
            </w:pPr>
            <w:r>
              <w:rPr>
                <w:rFonts w:eastAsiaTheme="minorEastAsia"/>
                <w:color w:val="000000" w:themeColor="text1"/>
                <w:kern w:val="0"/>
              </w:rPr>
              <w:t>-</w:t>
            </w:r>
          </w:p>
        </w:tc>
        <w:tc>
          <w:tcPr>
            <w:tcW w:w="1199" w:type="dxa"/>
          </w:tcPr>
          <w:p w:rsidR="002C4876" w:rsidRDefault="002C4876" w:rsidP="003B0546">
            <w:pPr>
              <w:jc w:val="center"/>
            </w:pPr>
            <w:r>
              <w:rPr>
                <w:rFonts w:eastAsiaTheme="minorEastAsia"/>
                <w:color w:val="000000" w:themeColor="text1"/>
                <w:kern w:val="0"/>
              </w:rPr>
              <w:t>-</w:t>
            </w:r>
          </w:p>
        </w:tc>
        <w:tc>
          <w:tcPr>
            <w:tcW w:w="1204" w:type="dxa"/>
          </w:tcPr>
          <w:p w:rsidR="002C4876" w:rsidRDefault="002C4876" w:rsidP="003B0546">
            <w:pPr>
              <w:jc w:val="center"/>
            </w:pPr>
            <w:r>
              <w:rPr>
                <w:rFonts w:eastAsiaTheme="minorEastAsia"/>
                <w:color w:val="000000" w:themeColor="text1"/>
                <w:kern w:val="0"/>
              </w:rPr>
              <w:t>-</w:t>
            </w:r>
          </w:p>
        </w:tc>
      </w:tr>
      <w:tr w:rsidR="002C4876" w:rsidTr="002C4876">
        <w:tc>
          <w:tcPr>
            <w:tcW w:w="1395" w:type="dxa"/>
          </w:tcPr>
          <w:p w:rsidR="002C4876" w:rsidRDefault="002C4876" w:rsidP="003B0546">
            <w:pPr>
              <w:jc w:val="left"/>
            </w:pPr>
            <w:r>
              <w:rPr>
                <w:rFonts w:eastAsiaTheme="minorEastAsia"/>
                <w:color w:val="000000" w:themeColor="text1"/>
                <w:kern w:val="0"/>
              </w:rPr>
              <w:t>过去五年</w:t>
            </w:r>
          </w:p>
        </w:tc>
        <w:tc>
          <w:tcPr>
            <w:tcW w:w="1092" w:type="dxa"/>
          </w:tcPr>
          <w:p w:rsidR="002C4876" w:rsidRDefault="002C4876" w:rsidP="003B0546">
            <w:pPr>
              <w:jc w:val="center"/>
            </w:pPr>
            <w:r>
              <w:rPr>
                <w:rFonts w:eastAsiaTheme="minorEastAsia"/>
                <w:color w:val="000000" w:themeColor="text1"/>
                <w:kern w:val="0"/>
              </w:rPr>
              <w:t>-</w:t>
            </w:r>
          </w:p>
        </w:tc>
        <w:tc>
          <w:tcPr>
            <w:tcW w:w="1161" w:type="dxa"/>
          </w:tcPr>
          <w:p w:rsidR="002C4876" w:rsidRDefault="002C4876" w:rsidP="003B0546">
            <w:pPr>
              <w:jc w:val="center"/>
            </w:pPr>
            <w:r>
              <w:rPr>
                <w:rFonts w:eastAsiaTheme="minorEastAsia"/>
                <w:color w:val="000000" w:themeColor="text1"/>
                <w:kern w:val="0"/>
              </w:rPr>
              <w:t>-</w:t>
            </w:r>
          </w:p>
        </w:tc>
        <w:tc>
          <w:tcPr>
            <w:tcW w:w="1181" w:type="dxa"/>
          </w:tcPr>
          <w:p w:rsidR="002C4876" w:rsidRDefault="002C4876" w:rsidP="003B0546">
            <w:pPr>
              <w:jc w:val="center"/>
            </w:pPr>
            <w:r>
              <w:rPr>
                <w:rFonts w:eastAsiaTheme="minorEastAsia"/>
                <w:color w:val="000000" w:themeColor="text1"/>
                <w:kern w:val="0"/>
              </w:rPr>
              <w:t>-</w:t>
            </w:r>
          </w:p>
        </w:tc>
        <w:tc>
          <w:tcPr>
            <w:tcW w:w="1188" w:type="dxa"/>
          </w:tcPr>
          <w:p w:rsidR="002C4876" w:rsidRDefault="002C4876" w:rsidP="003B0546">
            <w:pPr>
              <w:jc w:val="center"/>
            </w:pPr>
            <w:r>
              <w:rPr>
                <w:rFonts w:eastAsiaTheme="minorEastAsia"/>
                <w:color w:val="000000" w:themeColor="text1"/>
                <w:kern w:val="0"/>
              </w:rPr>
              <w:t>-</w:t>
            </w:r>
          </w:p>
        </w:tc>
        <w:tc>
          <w:tcPr>
            <w:tcW w:w="1199" w:type="dxa"/>
          </w:tcPr>
          <w:p w:rsidR="002C4876" w:rsidRDefault="002C4876" w:rsidP="003B0546">
            <w:pPr>
              <w:jc w:val="center"/>
            </w:pPr>
            <w:r>
              <w:rPr>
                <w:rFonts w:eastAsiaTheme="minorEastAsia"/>
                <w:color w:val="000000" w:themeColor="text1"/>
                <w:kern w:val="0"/>
              </w:rPr>
              <w:t>-</w:t>
            </w:r>
          </w:p>
        </w:tc>
        <w:tc>
          <w:tcPr>
            <w:tcW w:w="1204" w:type="dxa"/>
          </w:tcPr>
          <w:p w:rsidR="002C4876" w:rsidRDefault="002C4876" w:rsidP="003B0546">
            <w:pPr>
              <w:jc w:val="center"/>
            </w:pPr>
            <w:r>
              <w:rPr>
                <w:rFonts w:eastAsiaTheme="minorEastAsia"/>
                <w:color w:val="000000" w:themeColor="text1"/>
                <w:kern w:val="0"/>
              </w:rPr>
              <w:t>-</w:t>
            </w:r>
          </w:p>
        </w:tc>
      </w:tr>
      <w:tr w:rsidR="002C4876" w:rsidTr="002C4876">
        <w:tc>
          <w:tcPr>
            <w:tcW w:w="1395" w:type="dxa"/>
          </w:tcPr>
          <w:p w:rsidR="002C4876" w:rsidRDefault="002C4876" w:rsidP="003B0546">
            <w:pPr>
              <w:jc w:val="left"/>
            </w:pPr>
            <w:r>
              <w:rPr>
                <w:rFonts w:eastAsiaTheme="minorEastAsia"/>
                <w:color w:val="000000" w:themeColor="text1"/>
                <w:kern w:val="0"/>
              </w:rPr>
              <w:t>自基金合同生效起至今</w:t>
            </w:r>
          </w:p>
        </w:tc>
        <w:tc>
          <w:tcPr>
            <w:tcW w:w="1092" w:type="dxa"/>
          </w:tcPr>
          <w:p w:rsidR="002C4876" w:rsidRDefault="002C4876" w:rsidP="003B0546">
            <w:pPr>
              <w:jc w:val="center"/>
            </w:pPr>
            <w:r>
              <w:rPr>
                <w:rFonts w:eastAsiaTheme="minorEastAsia"/>
                <w:color w:val="000000" w:themeColor="text1"/>
                <w:kern w:val="0"/>
              </w:rPr>
              <w:t>5.34%</w:t>
            </w:r>
          </w:p>
        </w:tc>
        <w:tc>
          <w:tcPr>
            <w:tcW w:w="1161" w:type="dxa"/>
          </w:tcPr>
          <w:p w:rsidR="002C4876" w:rsidRDefault="002C4876" w:rsidP="003B0546">
            <w:pPr>
              <w:jc w:val="center"/>
            </w:pPr>
            <w:r>
              <w:rPr>
                <w:rFonts w:eastAsiaTheme="minorEastAsia"/>
                <w:color w:val="000000" w:themeColor="text1"/>
                <w:kern w:val="0"/>
              </w:rPr>
              <w:t>0.01%</w:t>
            </w:r>
          </w:p>
        </w:tc>
        <w:tc>
          <w:tcPr>
            <w:tcW w:w="1181" w:type="dxa"/>
          </w:tcPr>
          <w:p w:rsidR="002C4876" w:rsidRDefault="002C4876" w:rsidP="003B0546">
            <w:pPr>
              <w:jc w:val="center"/>
            </w:pPr>
            <w:r>
              <w:rPr>
                <w:rFonts w:eastAsiaTheme="minorEastAsia"/>
                <w:color w:val="000000" w:themeColor="text1"/>
                <w:kern w:val="0"/>
              </w:rPr>
              <w:t>5.73%</w:t>
            </w:r>
          </w:p>
        </w:tc>
        <w:tc>
          <w:tcPr>
            <w:tcW w:w="1188" w:type="dxa"/>
          </w:tcPr>
          <w:p w:rsidR="002C4876" w:rsidRDefault="002C4876" w:rsidP="003B0546">
            <w:pPr>
              <w:jc w:val="center"/>
            </w:pPr>
            <w:r>
              <w:rPr>
                <w:rFonts w:eastAsiaTheme="minorEastAsia"/>
                <w:color w:val="000000" w:themeColor="text1"/>
                <w:kern w:val="0"/>
              </w:rPr>
              <w:t>0.01%</w:t>
            </w:r>
          </w:p>
        </w:tc>
        <w:tc>
          <w:tcPr>
            <w:tcW w:w="1199" w:type="dxa"/>
          </w:tcPr>
          <w:p w:rsidR="002C4876" w:rsidRDefault="002C4876" w:rsidP="003B0546">
            <w:pPr>
              <w:jc w:val="center"/>
            </w:pPr>
            <w:r>
              <w:rPr>
                <w:rFonts w:eastAsiaTheme="minorEastAsia"/>
                <w:color w:val="000000" w:themeColor="text1"/>
                <w:kern w:val="0"/>
              </w:rPr>
              <w:t>-0.39%</w:t>
            </w:r>
          </w:p>
        </w:tc>
        <w:tc>
          <w:tcPr>
            <w:tcW w:w="1204" w:type="dxa"/>
          </w:tcPr>
          <w:p w:rsidR="002C4876" w:rsidRDefault="002C4876" w:rsidP="003B0546">
            <w:pPr>
              <w:jc w:val="center"/>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上投摩根瑞盛</w:t>
      </w:r>
      <w:r w:rsidRPr="00FF6B9A">
        <w:rPr>
          <w:rFonts w:eastAsiaTheme="minorEastAsia"/>
          <w:color w:val="000000" w:themeColor="text1"/>
        </w:rPr>
        <w:t>87</w:t>
      </w:r>
      <w:r w:rsidRPr="00FF6B9A">
        <w:rPr>
          <w:rFonts w:eastAsiaTheme="minorEastAsia"/>
          <w:color w:val="000000" w:themeColor="text1"/>
        </w:rPr>
        <w:t>个月定期开放债券型证券投资基金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D06738">
      <w:pPr>
        <w:pStyle w:val="ae"/>
        <w:snapToGrid w:val="0"/>
        <w:spacing w:before="120" w:line="360" w:lineRule="auto"/>
        <w:jc w:val="center"/>
        <w:rPr>
          <w:rFonts w:ascii="Times New Roman" w:eastAsiaTheme="minorEastAsia" w:hAnsi="Times New Roman" w:cs="Times New Roman"/>
          <w:color w:val="000000" w:themeColor="text1"/>
          <w:sz w:val="24"/>
          <w:szCs w:val="24"/>
        </w:rPr>
      </w:pPr>
    </w:p>
    <w:p w:rsidR="002C4876" w:rsidRDefault="002C4876">
      <w:pPr>
        <w:autoSpaceDE w:val="0"/>
        <w:autoSpaceDN w:val="0"/>
        <w:adjustRightInd w:val="0"/>
        <w:spacing w:line="360" w:lineRule="auto"/>
        <w:jc w:val="left"/>
        <w:rPr>
          <w:rFonts w:eastAsiaTheme="minorEastAsia"/>
          <w:color w:val="000000" w:themeColor="text1"/>
        </w:rPr>
      </w:pPr>
      <w:r w:rsidRPr="00FF6B9A">
        <w:rPr>
          <w:rFonts w:eastAsiaTheme="minorEastAsia"/>
          <w:noProof/>
          <w:color w:val="000000" w:themeColor="text1"/>
          <w:sz w:val="24"/>
          <w:szCs w:val="24"/>
        </w:rPr>
        <w:lastRenderedPageBreak/>
        <w:drawing>
          <wp:inline distT="0" distB="0" distL="0" distR="0" wp14:anchorId="1B107873" wp14:editId="61E987B3">
            <wp:extent cx="5276850" cy="30861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EB16FB" w:rsidRDefault="00861CE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w:t>
      </w:r>
      <w:r>
        <w:rPr>
          <w:rFonts w:eastAsiaTheme="minorEastAsia"/>
          <w:color w:val="000000" w:themeColor="text1"/>
        </w:rPr>
        <w:t>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r w:rsidRPr="00FF6B9A">
        <w:rPr>
          <w:rFonts w:eastAsiaTheme="minorEastAsia"/>
          <w:color w:val="000000" w:themeColor="text1"/>
        </w:rPr>
        <w:t xml:space="preserve"> </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EB16FB">
        <w:tc>
          <w:tcPr>
            <w:tcW w:w="851" w:type="dxa"/>
            <w:vAlign w:val="center"/>
          </w:tcPr>
          <w:p w:rsidR="00EB16FB" w:rsidRDefault="00861CE2">
            <w:pPr>
              <w:jc w:val="center"/>
            </w:pPr>
            <w:r>
              <w:rPr>
                <w:rFonts w:eastAsiaTheme="minorEastAsia"/>
                <w:color w:val="000000" w:themeColor="text1"/>
              </w:rPr>
              <w:t>聂曙光</w:t>
            </w:r>
          </w:p>
        </w:tc>
        <w:tc>
          <w:tcPr>
            <w:tcW w:w="850" w:type="dxa"/>
            <w:vAlign w:val="center"/>
          </w:tcPr>
          <w:p w:rsidR="00EB16FB" w:rsidRDefault="00861CE2">
            <w:pPr>
              <w:jc w:val="center"/>
            </w:pPr>
            <w:r>
              <w:rPr>
                <w:rFonts w:eastAsiaTheme="minorEastAsia"/>
                <w:color w:val="000000" w:themeColor="text1"/>
              </w:rPr>
              <w:t>本基金基金经理、债券投资部总监</w:t>
            </w:r>
          </w:p>
        </w:tc>
        <w:tc>
          <w:tcPr>
            <w:tcW w:w="1560" w:type="dxa"/>
            <w:vAlign w:val="center"/>
          </w:tcPr>
          <w:p w:rsidR="00EB16FB" w:rsidRDefault="00861CE2">
            <w:pPr>
              <w:jc w:val="center"/>
            </w:pPr>
            <w:r>
              <w:rPr>
                <w:rFonts w:eastAsiaTheme="minorEastAsia"/>
                <w:color w:val="000000" w:themeColor="text1"/>
              </w:rPr>
              <w:t>2020-08-03</w:t>
            </w:r>
          </w:p>
        </w:tc>
        <w:tc>
          <w:tcPr>
            <w:tcW w:w="1559" w:type="dxa"/>
            <w:vAlign w:val="center"/>
          </w:tcPr>
          <w:p w:rsidR="00EB16FB" w:rsidRDefault="00861CE2">
            <w:pPr>
              <w:jc w:val="center"/>
            </w:pPr>
            <w:r>
              <w:rPr>
                <w:rFonts w:eastAsiaTheme="minorEastAsia"/>
                <w:color w:val="000000" w:themeColor="text1"/>
              </w:rPr>
              <w:t>-</w:t>
            </w:r>
          </w:p>
        </w:tc>
        <w:tc>
          <w:tcPr>
            <w:tcW w:w="1417" w:type="dxa"/>
            <w:vAlign w:val="center"/>
          </w:tcPr>
          <w:p w:rsidR="00EB16FB" w:rsidRDefault="00861CE2">
            <w:pPr>
              <w:jc w:val="center"/>
            </w:pPr>
            <w:r>
              <w:rPr>
                <w:rFonts w:eastAsiaTheme="minorEastAsia"/>
                <w:color w:val="000000" w:themeColor="text1"/>
              </w:rPr>
              <w:t>16</w:t>
            </w:r>
            <w:r>
              <w:rPr>
                <w:rFonts w:eastAsiaTheme="minorEastAsia"/>
                <w:color w:val="000000" w:themeColor="text1"/>
              </w:rPr>
              <w:t>年</w:t>
            </w:r>
          </w:p>
        </w:tc>
        <w:tc>
          <w:tcPr>
            <w:tcW w:w="2694" w:type="dxa"/>
            <w:vAlign w:val="center"/>
          </w:tcPr>
          <w:p w:rsidR="00EB16FB" w:rsidRDefault="00861CE2">
            <w:r>
              <w:rPr>
                <w:rFonts w:eastAsiaTheme="minorEastAsia"/>
                <w:color w:val="000000" w:themeColor="text1"/>
              </w:rPr>
              <w:t>聂曙光先生，自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月在南京银行任债券分析师；</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月在兴业银行任债券投资经理；</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月在中欧基金管理有限公司先后担任研究员、基金经理助理、基金经理、固定收益部总监、固定收益事业部临时负责人等职务。自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月起加入上投摩根基金管理有限公司，先后担任基金</w:t>
            </w:r>
            <w:r>
              <w:rPr>
                <w:rFonts w:eastAsiaTheme="minorEastAsia"/>
                <w:color w:val="000000" w:themeColor="text1"/>
              </w:rPr>
              <w:lastRenderedPageBreak/>
              <w:t>经理、债券投资部总监兼资深基金经理，自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月起担任上投摩根纯债债券型证券投资基金基金经理，自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月同时担任上投摩根红利回报混合型证券投资基金基金经理，自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月起同时担任上投摩根纯债丰利债券型证券投资基金基金经理，自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月同时担任上投摩根稳进回报混合型证券投资基金基金经理，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月同时担任上投摩根天颐年丰混合型证券投资基金基金经理，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月同时担任上投摩根优信增利债券型证券投资基金基金经理，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月同时担任上投摩根安鑫回报混合型证券投资基金基金经理，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月同时担任上投摩根岁岁丰定期开放债券型证券投资基金基金经理，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月同时担任上投摩根安瑞回报混合型证券投资基金基金经理，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月同时担任上投摩根安通回报混合型证券投资基金基金经理，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月同时担任上投摩根安裕回报混合型证券投资基金基金经理，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月同时担任上投摩根岁岁益定期开放债券型证券投资基金，自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月起同时担任上投摩根丰瑞债券型证券投资基金基金经理，自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w:t>
            </w:r>
            <w:r>
              <w:rPr>
                <w:rFonts w:eastAsiaTheme="minorEastAsia"/>
                <w:color w:val="000000" w:themeColor="text1"/>
              </w:rPr>
              <w:lastRenderedPageBreak/>
              <w:t>起同时担任上投摩根瑞盛</w:t>
            </w:r>
            <w:r>
              <w:rPr>
                <w:rFonts w:eastAsiaTheme="minorEastAsia"/>
                <w:color w:val="000000" w:themeColor="text1"/>
              </w:rPr>
              <w:t>87</w:t>
            </w:r>
            <w:r>
              <w:rPr>
                <w:rFonts w:eastAsiaTheme="minorEastAsia"/>
                <w:color w:val="000000" w:themeColor="text1"/>
              </w:rPr>
              <w:t>个月定期开放债券型证券投资基金基金经理。</w:t>
            </w:r>
          </w:p>
        </w:tc>
      </w:tr>
      <w:tr w:rsidR="00EB16FB">
        <w:tc>
          <w:tcPr>
            <w:tcW w:w="851" w:type="dxa"/>
            <w:vAlign w:val="center"/>
          </w:tcPr>
          <w:p w:rsidR="00EB16FB" w:rsidRDefault="00861CE2">
            <w:pPr>
              <w:jc w:val="center"/>
            </w:pPr>
            <w:r>
              <w:rPr>
                <w:rFonts w:eastAsiaTheme="minorEastAsia"/>
                <w:color w:val="000000" w:themeColor="text1"/>
              </w:rPr>
              <w:lastRenderedPageBreak/>
              <w:t>雷杨娟</w:t>
            </w:r>
          </w:p>
        </w:tc>
        <w:tc>
          <w:tcPr>
            <w:tcW w:w="850" w:type="dxa"/>
            <w:vAlign w:val="center"/>
          </w:tcPr>
          <w:p w:rsidR="00EB16FB" w:rsidRDefault="00861CE2">
            <w:pPr>
              <w:jc w:val="center"/>
            </w:pPr>
            <w:r>
              <w:rPr>
                <w:rFonts w:eastAsiaTheme="minorEastAsia"/>
                <w:color w:val="000000" w:themeColor="text1"/>
              </w:rPr>
              <w:t>本基金基金经理</w:t>
            </w:r>
          </w:p>
        </w:tc>
        <w:tc>
          <w:tcPr>
            <w:tcW w:w="1560" w:type="dxa"/>
            <w:vAlign w:val="center"/>
          </w:tcPr>
          <w:p w:rsidR="00EB16FB" w:rsidRDefault="00861CE2">
            <w:pPr>
              <w:jc w:val="center"/>
            </w:pPr>
            <w:r>
              <w:rPr>
                <w:rFonts w:eastAsiaTheme="minorEastAsia"/>
                <w:color w:val="000000" w:themeColor="text1"/>
              </w:rPr>
              <w:t>2020-08-14</w:t>
            </w:r>
          </w:p>
        </w:tc>
        <w:tc>
          <w:tcPr>
            <w:tcW w:w="1559" w:type="dxa"/>
            <w:vAlign w:val="center"/>
          </w:tcPr>
          <w:p w:rsidR="00EB16FB" w:rsidRDefault="00861CE2">
            <w:pPr>
              <w:jc w:val="center"/>
            </w:pPr>
            <w:r>
              <w:rPr>
                <w:rFonts w:eastAsiaTheme="minorEastAsia"/>
                <w:color w:val="000000" w:themeColor="text1"/>
              </w:rPr>
              <w:t>-</w:t>
            </w:r>
          </w:p>
        </w:tc>
        <w:tc>
          <w:tcPr>
            <w:tcW w:w="1417" w:type="dxa"/>
            <w:vAlign w:val="center"/>
          </w:tcPr>
          <w:p w:rsidR="00EB16FB" w:rsidRDefault="00861CE2">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EB16FB" w:rsidRDefault="00861CE2">
            <w:r>
              <w:rPr>
                <w:rFonts w:eastAsiaTheme="minorEastAsia"/>
                <w:color w:val="000000" w:themeColor="text1"/>
              </w:rPr>
              <w:t>清华大学工商管理硕士，现任债券投资部副总监兼资深基金经理。雷杨娟女士自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月在厦门国际银行工作，历任总裁（总经理）办公室副行长秘书兼集团秘书、资金运营部外汇及外币债券交易员；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月在中国民生银行金融市场部工作，历任人民币债券自营交易员、银行账户投资经理、投顾账户投资经理；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月起加入上投摩根基金管理有限公司，历任专户投资二部副总监兼资深投资经理，现任债券投资部副总监兼资深基金经理，自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月起担任上投摩根丰瑞债券型证券投资基金经理，</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月同时担任上投摩根瑞利纯债债券型证券投资基金基金经理，自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月起同时担任上投摩根瑞盛</w:t>
            </w:r>
            <w:r>
              <w:rPr>
                <w:rFonts w:eastAsiaTheme="minorEastAsia"/>
                <w:color w:val="000000" w:themeColor="text1"/>
              </w:rPr>
              <w:t>87</w:t>
            </w:r>
            <w:r>
              <w:rPr>
                <w:rFonts w:eastAsiaTheme="minorEastAsia"/>
                <w:color w:val="000000" w:themeColor="text1"/>
              </w:rPr>
              <w:t>个月定期开放债券型证券投资基金基金经理。自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月起同时担任上投摩根中债</w:t>
            </w:r>
            <w:r>
              <w:rPr>
                <w:rFonts w:eastAsiaTheme="minorEastAsia"/>
                <w:color w:val="000000" w:themeColor="text1"/>
              </w:rPr>
              <w:t>1-3</w:t>
            </w:r>
            <w:r>
              <w:rPr>
                <w:rFonts w:eastAsiaTheme="minorEastAsia"/>
                <w:color w:val="000000" w:themeColor="text1"/>
              </w:rPr>
              <w:t>年国开行债券指数证券投资基金基金经理。</w:t>
            </w:r>
          </w:p>
        </w:tc>
      </w:tr>
    </w:tbl>
    <w:p w:rsidR="00EB16FB" w:rsidRDefault="00861CE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EB16FB" w:rsidRDefault="00861CE2">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聂曙光先生为本基金首任基金经理，其任职日期指本基金基金合同生效之日。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在本报告期内，基金管理人不存在损害基金份额持有人利益的行为，勤勉尽责地为基金份额持有人谋求利益。基金管理人遵守了《证券投资基金法》及其他有关法律法规、《上投摩根瑞盛</w:t>
      </w:r>
      <w:r w:rsidRPr="00FF6B9A">
        <w:rPr>
          <w:rFonts w:eastAsiaTheme="minorEastAsia"/>
          <w:color w:val="000000" w:themeColor="text1"/>
        </w:rPr>
        <w:t>87</w:t>
      </w:r>
      <w:r w:rsidRPr="00FF6B9A">
        <w:rPr>
          <w:rFonts w:eastAsiaTheme="minorEastAsia"/>
          <w:color w:val="000000" w:themeColor="text1"/>
        </w:rPr>
        <w:t>个月定期开放债券型证券投资基金基金合同》的规定。除以下情况外，基金经</w:t>
      </w:r>
      <w:r w:rsidRPr="00FF6B9A">
        <w:rPr>
          <w:rFonts w:eastAsiaTheme="minorEastAsia"/>
          <w:color w:val="000000" w:themeColor="text1"/>
        </w:rPr>
        <w:lastRenderedPageBreak/>
        <w:t>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8E289F" w:rsidRPr="008E289F" w:rsidRDefault="008E289F" w:rsidP="008E289F">
      <w:pPr>
        <w:spacing w:line="360" w:lineRule="auto"/>
        <w:ind w:firstLineChars="200" w:firstLine="420"/>
        <w:rPr>
          <w:rFonts w:eastAsiaTheme="minorEastAsia"/>
          <w:color w:val="000000" w:themeColor="text1"/>
        </w:rPr>
      </w:pPr>
      <w:r w:rsidRPr="008E289F">
        <w:rPr>
          <w:rFonts w:eastAsiaTheme="minorEastAsia" w:hint="eastAsia"/>
          <w:color w:val="000000" w:themeColor="text1"/>
        </w:rPr>
        <w:t>2021</w:t>
      </w:r>
      <w:r w:rsidRPr="008E289F">
        <w:rPr>
          <w:rFonts w:eastAsiaTheme="minorEastAsia" w:hint="eastAsia"/>
          <w:color w:val="000000" w:themeColor="text1"/>
        </w:rPr>
        <w:t>年第四季度，工业生产较弱，投资受地产投资拖累走弱；消费持续改善，但十月中旬以来，国内个别地区疫情卷土重来的影响，改善幅度较第三季度明显放缓；出口持续超预期。后续市场预期经济仍有下行压力，但斜率或趋缓。市场关注地产的边际变化。</w:t>
      </w:r>
      <w:r w:rsidRPr="008E289F">
        <w:rPr>
          <w:rFonts w:eastAsiaTheme="minorEastAsia" w:hint="eastAsia"/>
          <w:color w:val="000000" w:themeColor="text1"/>
        </w:rPr>
        <w:t>CPI</w:t>
      </w:r>
      <w:r w:rsidRPr="008E289F">
        <w:rPr>
          <w:rFonts w:eastAsiaTheme="minorEastAsia" w:hint="eastAsia"/>
          <w:color w:val="000000" w:themeColor="text1"/>
        </w:rPr>
        <w:t>在季度内持续低位回升，但仍保持在较低水平；</w:t>
      </w:r>
      <w:r w:rsidRPr="008E289F">
        <w:rPr>
          <w:rFonts w:eastAsiaTheme="minorEastAsia" w:hint="eastAsia"/>
          <w:color w:val="000000" w:themeColor="text1"/>
        </w:rPr>
        <w:t>PPI</w:t>
      </w:r>
      <w:r w:rsidRPr="008E289F">
        <w:rPr>
          <w:rFonts w:eastAsiaTheme="minorEastAsia" w:hint="eastAsia"/>
          <w:color w:val="000000" w:themeColor="text1"/>
        </w:rPr>
        <w:t>同比上行幅度大，但环比冲高后回落。</w:t>
      </w:r>
    </w:p>
    <w:p w:rsidR="008E289F" w:rsidRPr="008E289F" w:rsidRDefault="008E289F" w:rsidP="008E289F">
      <w:pPr>
        <w:spacing w:line="360" w:lineRule="auto"/>
        <w:ind w:firstLineChars="200" w:firstLine="420"/>
        <w:rPr>
          <w:rFonts w:eastAsiaTheme="minorEastAsia"/>
          <w:color w:val="000000" w:themeColor="text1"/>
        </w:rPr>
      </w:pPr>
      <w:r w:rsidRPr="008E289F">
        <w:rPr>
          <w:rFonts w:eastAsiaTheme="minorEastAsia" w:hint="eastAsia"/>
          <w:color w:val="000000" w:themeColor="text1"/>
        </w:rPr>
        <w:lastRenderedPageBreak/>
        <w:t>货币政策方面，为应对较大的经济下行压力，</w:t>
      </w:r>
      <w:r w:rsidRPr="008E289F">
        <w:rPr>
          <w:rFonts w:eastAsiaTheme="minorEastAsia" w:hint="eastAsia"/>
          <w:color w:val="000000" w:themeColor="text1"/>
        </w:rPr>
        <w:t>12</w:t>
      </w:r>
      <w:r w:rsidRPr="008E289F">
        <w:rPr>
          <w:rFonts w:eastAsiaTheme="minorEastAsia" w:hint="eastAsia"/>
          <w:color w:val="000000" w:themeColor="text1"/>
        </w:rPr>
        <w:t>月</w:t>
      </w:r>
      <w:r w:rsidRPr="008E289F">
        <w:rPr>
          <w:rFonts w:eastAsiaTheme="minorEastAsia" w:hint="eastAsia"/>
          <w:color w:val="000000" w:themeColor="text1"/>
        </w:rPr>
        <w:t>15</w:t>
      </w:r>
      <w:r w:rsidRPr="008E289F">
        <w:rPr>
          <w:rFonts w:eastAsiaTheme="minorEastAsia" w:hint="eastAsia"/>
          <w:color w:val="000000" w:themeColor="text1"/>
        </w:rPr>
        <w:t>日央行普遍调降准备金率</w:t>
      </w:r>
      <w:r w:rsidRPr="008E289F">
        <w:rPr>
          <w:rFonts w:eastAsiaTheme="minorEastAsia" w:hint="eastAsia"/>
          <w:color w:val="000000" w:themeColor="text1"/>
        </w:rPr>
        <w:t>50bp</w:t>
      </w:r>
      <w:r w:rsidRPr="008E289F">
        <w:rPr>
          <w:rFonts w:eastAsiaTheme="minorEastAsia" w:hint="eastAsia"/>
          <w:color w:val="000000" w:themeColor="text1"/>
        </w:rPr>
        <w:t>，但公开市场操作上并未出现明显放量的信号，第四季度</w:t>
      </w:r>
      <w:r w:rsidRPr="008E289F">
        <w:rPr>
          <w:rFonts w:eastAsiaTheme="minorEastAsia" w:hint="eastAsia"/>
          <w:color w:val="000000" w:themeColor="text1"/>
        </w:rPr>
        <w:t>MLF</w:t>
      </w:r>
      <w:r w:rsidRPr="008E289F">
        <w:rPr>
          <w:rFonts w:eastAsiaTheme="minorEastAsia" w:hint="eastAsia"/>
          <w:color w:val="000000" w:themeColor="text1"/>
        </w:rPr>
        <w:t>基本保持等量续作，并在调降准备金率后，缩量续作了</w:t>
      </w:r>
      <w:r w:rsidRPr="008E289F">
        <w:rPr>
          <w:rFonts w:eastAsiaTheme="minorEastAsia" w:hint="eastAsia"/>
          <w:color w:val="000000" w:themeColor="text1"/>
        </w:rPr>
        <w:t>MLF</w:t>
      </w:r>
      <w:r w:rsidRPr="008E289F">
        <w:rPr>
          <w:rFonts w:eastAsiaTheme="minorEastAsia" w:hint="eastAsia"/>
          <w:color w:val="000000" w:themeColor="text1"/>
        </w:rPr>
        <w:t>，但规模略超市场预期。表明在经济下行压力较大的背景下，央行无意跟随美国</w:t>
      </w:r>
      <w:r w:rsidRPr="008E289F">
        <w:rPr>
          <w:rFonts w:eastAsiaTheme="minorEastAsia" w:hint="eastAsia"/>
          <w:color w:val="000000" w:themeColor="text1"/>
        </w:rPr>
        <w:t>FED</w:t>
      </w:r>
      <w:r w:rsidRPr="008E289F">
        <w:rPr>
          <w:rFonts w:eastAsiaTheme="minorEastAsia" w:hint="eastAsia"/>
          <w:color w:val="000000" w:themeColor="text1"/>
        </w:rPr>
        <w:t>迅速重回紧缩，但也无意大幅宽松。受降准影响，银行间平均资金利率较三季度有所下降，存款类机构隔夜质押式回购加权利率、</w:t>
      </w:r>
      <w:r w:rsidRPr="008E289F">
        <w:rPr>
          <w:rFonts w:eastAsiaTheme="minorEastAsia" w:hint="eastAsia"/>
          <w:color w:val="000000" w:themeColor="text1"/>
        </w:rPr>
        <w:t>7</w:t>
      </w:r>
      <w:r w:rsidRPr="008E289F">
        <w:rPr>
          <w:rFonts w:eastAsiaTheme="minorEastAsia" w:hint="eastAsia"/>
          <w:color w:val="000000" w:themeColor="text1"/>
        </w:rPr>
        <w:t>天期存款类机构质押式回购加权利率、质押式隔夜回购加权平均利率和</w:t>
      </w:r>
      <w:r w:rsidRPr="008E289F">
        <w:rPr>
          <w:rFonts w:eastAsiaTheme="minorEastAsia" w:hint="eastAsia"/>
          <w:color w:val="000000" w:themeColor="text1"/>
        </w:rPr>
        <w:t>7</w:t>
      </w:r>
      <w:r w:rsidRPr="008E289F">
        <w:rPr>
          <w:rFonts w:eastAsiaTheme="minorEastAsia" w:hint="eastAsia"/>
          <w:color w:val="000000" w:themeColor="text1"/>
        </w:rPr>
        <w:t>天期质押式回购加权平均利率较前一季度分别下行</w:t>
      </w:r>
      <w:r w:rsidRPr="008E289F">
        <w:rPr>
          <w:rFonts w:eastAsiaTheme="minorEastAsia" w:hint="eastAsia"/>
          <w:color w:val="000000" w:themeColor="text1"/>
        </w:rPr>
        <w:t>5bp</w:t>
      </w:r>
      <w:r w:rsidRPr="008E289F">
        <w:rPr>
          <w:rFonts w:eastAsiaTheme="minorEastAsia" w:hint="eastAsia"/>
          <w:color w:val="000000" w:themeColor="text1"/>
        </w:rPr>
        <w:t>、</w:t>
      </w:r>
      <w:r w:rsidRPr="008E289F">
        <w:rPr>
          <w:rFonts w:eastAsiaTheme="minorEastAsia" w:hint="eastAsia"/>
          <w:color w:val="000000" w:themeColor="text1"/>
        </w:rPr>
        <w:t>3bp</w:t>
      </w:r>
      <w:r w:rsidRPr="008E289F">
        <w:rPr>
          <w:rFonts w:eastAsiaTheme="minorEastAsia" w:hint="eastAsia"/>
          <w:color w:val="000000" w:themeColor="text1"/>
        </w:rPr>
        <w:t>、</w:t>
      </w:r>
      <w:r w:rsidRPr="008E289F">
        <w:rPr>
          <w:rFonts w:eastAsiaTheme="minorEastAsia" w:hint="eastAsia"/>
          <w:color w:val="000000" w:themeColor="text1"/>
        </w:rPr>
        <w:t>5bp</w:t>
      </w:r>
      <w:r w:rsidRPr="008E289F">
        <w:rPr>
          <w:rFonts w:eastAsiaTheme="minorEastAsia" w:hint="eastAsia"/>
          <w:color w:val="000000" w:themeColor="text1"/>
        </w:rPr>
        <w:t>和</w:t>
      </w:r>
      <w:r w:rsidRPr="008E289F">
        <w:rPr>
          <w:rFonts w:eastAsiaTheme="minorEastAsia" w:hint="eastAsia"/>
          <w:color w:val="000000" w:themeColor="text1"/>
        </w:rPr>
        <w:t>2bp</w:t>
      </w:r>
      <w:r w:rsidRPr="008E289F">
        <w:rPr>
          <w:rFonts w:eastAsiaTheme="minorEastAsia" w:hint="eastAsia"/>
          <w:color w:val="000000" w:themeColor="text1"/>
        </w:rPr>
        <w:t>至</w:t>
      </w:r>
      <w:r w:rsidRPr="008E289F">
        <w:rPr>
          <w:rFonts w:eastAsiaTheme="minorEastAsia" w:hint="eastAsia"/>
          <w:color w:val="000000" w:themeColor="text1"/>
        </w:rPr>
        <w:t>1.96%</w:t>
      </w:r>
      <w:r w:rsidRPr="008E289F">
        <w:rPr>
          <w:rFonts w:eastAsiaTheme="minorEastAsia" w:hint="eastAsia"/>
          <w:color w:val="000000" w:themeColor="text1"/>
        </w:rPr>
        <w:t>、</w:t>
      </w:r>
      <w:r w:rsidRPr="008E289F">
        <w:rPr>
          <w:rFonts w:eastAsiaTheme="minorEastAsia" w:hint="eastAsia"/>
          <w:color w:val="000000" w:themeColor="text1"/>
        </w:rPr>
        <w:t>2.15%</w:t>
      </w:r>
      <w:r w:rsidRPr="008E289F">
        <w:rPr>
          <w:rFonts w:eastAsiaTheme="minorEastAsia" w:hint="eastAsia"/>
          <w:color w:val="000000" w:themeColor="text1"/>
        </w:rPr>
        <w:t>、</w:t>
      </w:r>
      <w:r w:rsidRPr="008E289F">
        <w:rPr>
          <w:rFonts w:eastAsiaTheme="minorEastAsia" w:hint="eastAsia"/>
          <w:color w:val="000000" w:themeColor="text1"/>
        </w:rPr>
        <w:t>2.03%</w:t>
      </w:r>
      <w:r w:rsidRPr="008E289F">
        <w:rPr>
          <w:rFonts w:eastAsiaTheme="minorEastAsia" w:hint="eastAsia"/>
          <w:color w:val="000000" w:themeColor="text1"/>
        </w:rPr>
        <w:t>和</w:t>
      </w:r>
      <w:r w:rsidRPr="008E289F">
        <w:rPr>
          <w:rFonts w:eastAsiaTheme="minorEastAsia" w:hint="eastAsia"/>
          <w:color w:val="000000" w:themeColor="text1"/>
        </w:rPr>
        <w:t>2.28%</w:t>
      </w:r>
      <w:r w:rsidRPr="008E289F">
        <w:rPr>
          <w:rFonts w:eastAsiaTheme="minorEastAsia" w:hint="eastAsia"/>
          <w:color w:val="000000" w:themeColor="text1"/>
        </w:rPr>
        <w:t>。</w:t>
      </w:r>
    </w:p>
    <w:p w:rsidR="008E289F" w:rsidRPr="008E289F" w:rsidRDefault="008E289F" w:rsidP="008E289F">
      <w:pPr>
        <w:spacing w:line="360" w:lineRule="auto"/>
        <w:ind w:firstLineChars="200" w:firstLine="420"/>
        <w:rPr>
          <w:rFonts w:eastAsiaTheme="minorEastAsia"/>
          <w:color w:val="000000" w:themeColor="text1"/>
        </w:rPr>
      </w:pPr>
      <w:r w:rsidRPr="008E289F">
        <w:rPr>
          <w:rFonts w:eastAsiaTheme="minorEastAsia" w:hint="eastAsia"/>
          <w:color w:val="000000" w:themeColor="text1"/>
        </w:rPr>
        <w:t>债券市场方面，收益率曲线略微平坦化下移，期限利差压缩明显。</w:t>
      </w:r>
      <w:r w:rsidRPr="008E289F">
        <w:rPr>
          <w:rFonts w:eastAsiaTheme="minorEastAsia" w:hint="eastAsia"/>
          <w:color w:val="000000" w:themeColor="text1"/>
        </w:rPr>
        <w:t>9</w:t>
      </w:r>
      <w:r w:rsidRPr="008E289F">
        <w:rPr>
          <w:rFonts w:eastAsiaTheme="minorEastAsia" w:hint="eastAsia"/>
          <w:color w:val="000000" w:themeColor="text1"/>
        </w:rPr>
        <w:t>月下旬，债券收益率打破了</w:t>
      </w:r>
      <w:r w:rsidRPr="008E289F">
        <w:rPr>
          <w:rFonts w:eastAsiaTheme="minorEastAsia" w:hint="eastAsia"/>
          <w:color w:val="000000" w:themeColor="text1"/>
        </w:rPr>
        <w:t>7</w:t>
      </w:r>
      <w:r w:rsidRPr="008E289F">
        <w:rPr>
          <w:rFonts w:eastAsiaTheme="minorEastAsia" w:hint="eastAsia"/>
          <w:color w:val="000000" w:themeColor="text1"/>
        </w:rPr>
        <w:t>月底</w:t>
      </w:r>
      <w:r w:rsidRPr="008E289F">
        <w:rPr>
          <w:rFonts w:eastAsiaTheme="minorEastAsia" w:hint="eastAsia"/>
          <w:color w:val="000000" w:themeColor="text1"/>
        </w:rPr>
        <w:t>8</w:t>
      </w:r>
      <w:r w:rsidRPr="008E289F">
        <w:rPr>
          <w:rFonts w:eastAsiaTheme="minorEastAsia" w:hint="eastAsia"/>
          <w:color w:val="000000" w:themeColor="text1"/>
        </w:rPr>
        <w:t>月初以来的震荡行情，尤其在国庆后，受国庆期间刺激经济政策出台和中美关系改善两项预期同时提升的影响，收益率加速上行，</w:t>
      </w:r>
      <w:r w:rsidRPr="008E289F">
        <w:rPr>
          <w:rFonts w:eastAsiaTheme="minorEastAsia" w:hint="eastAsia"/>
          <w:color w:val="000000" w:themeColor="text1"/>
        </w:rPr>
        <w:t>10</w:t>
      </w:r>
      <w:r w:rsidRPr="008E289F">
        <w:rPr>
          <w:rFonts w:eastAsiaTheme="minorEastAsia" w:hint="eastAsia"/>
          <w:color w:val="000000" w:themeColor="text1"/>
        </w:rPr>
        <w:t>年期国债和</w:t>
      </w:r>
      <w:r w:rsidRPr="008E289F">
        <w:rPr>
          <w:rFonts w:eastAsiaTheme="minorEastAsia" w:hint="eastAsia"/>
          <w:color w:val="000000" w:themeColor="text1"/>
        </w:rPr>
        <w:t>10</w:t>
      </w:r>
      <w:r w:rsidRPr="008E289F">
        <w:rPr>
          <w:rFonts w:eastAsiaTheme="minorEastAsia" w:hint="eastAsia"/>
          <w:color w:val="000000" w:themeColor="text1"/>
        </w:rPr>
        <w:t>年期国开债收益率在</w:t>
      </w:r>
      <w:r w:rsidRPr="008E289F">
        <w:rPr>
          <w:rFonts w:eastAsiaTheme="minorEastAsia" w:hint="eastAsia"/>
          <w:color w:val="000000" w:themeColor="text1"/>
        </w:rPr>
        <w:t>10</w:t>
      </w:r>
      <w:r w:rsidRPr="008E289F">
        <w:rPr>
          <w:rFonts w:eastAsiaTheme="minorEastAsia" w:hint="eastAsia"/>
          <w:color w:val="000000" w:themeColor="text1"/>
        </w:rPr>
        <w:t>月中旬分别达到了</w:t>
      </w:r>
      <w:r w:rsidRPr="008E289F">
        <w:rPr>
          <w:rFonts w:eastAsiaTheme="minorEastAsia" w:hint="eastAsia"/>
          <w:color w:val="000000" w:themeColor="text1"/>
        </w:rPr>
        <w:t>3.04%</w:t>
      </w:r>
      <w:r w:rsidRPr="008E289F">
        <w:rPr>
          <w:rFonts w:eastAsiaTheme="minorEastAsia" w:hint="eastAsia"/>
          <w:color w:val="000000" w:themeColor="text1"/>
        </w:rPr>
        <w:t>和</w:t>
      </w:r>
      <w:r w:rsidRPr="008E289F">
        <w:rPr>
          <w:rFonts w:eastAsiaTheme="minorEastAsia" w:hint="eastAsia"/>
          <w:color w:val="000000" w:themeColor="text1"/>
        </w:rPr>
        <w:t>3.35%</w:t>
      </w:r>
      <w:r w:rsidRPr="008E289F">
        <w:rPr>
          <w:rFonts w:eastAsiaTheme="minorEastAsia" w:hint="eastAsia"/>
          <w:color w:val="000000" w:themeColor="text1"/>
        </w:rPr>
        <w:t>的季度高点后重回下行，且此后在经济数据低迷和降准预期的推动下不断下行，</w:t>
      </w:r>
      <w:r w:rsidRPr="008E289F">
        <w:rPr>
          <w:rFonts w:eastAsiaTheme="minorEastAsia" w:hint="eastAsia"/>
          <w:color w:val="000000" w:themeColor="text1"/>
        </w:rPr>
        <w:t>10</w:t>
      </w:r>
      <w:r w:rsidRPr="008E289F">
        <w:rPr>
          <w:rFonts w:eastAsiaTheme="minorEastAsia" w:hint="eastAsia"/>
          <w:color w:val="000000" w:themeColor="text1"/>
        </w:rPr>
        <w:t>年期国开债收益率在</w:t>
      </w:r>
      <w:r w:rsidRPr="008E289F">
        <w:rPr>
          <w:rFonts w:eastAsiaTheme="minorEastAsia" w:hint="eastAsia"/>
          <w:color w:val="000000" w:themeColor="text1"/>
        </w:rPr>
        <w:t>12</w:t>
      </w:r>
      <w:r w:rsidRPr="008E289F">
        <w:rPr>
          <w:rFonts w:eastAsiaTheme="minorEastAsia" w:hint="eastAsia"/>
          <w:color w:val="000000" w:themeColor="text1"/>
        </w:rPr>
        <w:t>月初一度刷新了年内低点至</w:t>
      </w:r>
      <w:r w:rsidRPr="008E289F">
        <w:rPr>
          <w:rFonts w:eastAsiaTheme="minorEastAsia" w:hint="eastAsia"/>
          <w:color w:val="000000" w:themeColor="text1"/>
        </w:rPr>
        <w:t>3.08%</w:t>
      </w:r>
      <w:r w:rsidRPr="008E289F">
        <w:rPr>
          <w:rFonts w:eastAsiaTheme="minorEastAsia" w:hint="eastAsia"/>
          <w:color w:val="000000" w:themeColor="text1"/>
        </w:rPr>
        <w:t>。最终，</w:t>
      </w:r>
      <w:r w:rsidRPr="008E289F">
        <w:rPr>
          <w:rFonts w:eastAsiaTheme="minorEastAsia" w:hint="eastAsia"/>
          <w:color w:val="000000" w:themeColor="text1"/>
        </w:rPr>
        <w:t>10</w:t>
      </w:r>
      <w:r w:rsidRPr="008E289F">
        <w:rPr>
          <w:rFonts w:eastAsiaTheme="minorEastAsia" w:hint="eastAsia"/>
          <w:color w:val="000000" w:themeColor="text1"/>
        </w:rPr>
        <w:t>年期国债和</w:t>
      </w:r>
      <w:r w:rsidRPr="008E289F">
        <w:rPr>
          <w:rFonts w:eastAsiaTheme="minorEastAsia" w:hint="eastAsia"/>
          <w:color w:val="000000" w:themeColor="text1"/>
        </w:rPr>
        <w:t>10</w:t>
      </w:r>
      <w:r w:rsidRPr="008E289F">
        <w:rPr>
          <w:rFonts w:eastAsiaTheme="minorEastAsia" w:hint="eastAsia"/>
          <w:color w:val="000000" w:themeColor="text1"/>
        </w:rPr>
        <w:t>年期国开债收益率分别收报</w:t>
      </w:r>
      <w:r w:rsidRPr="008E289F">
        <w:rPr>
          <w:rFonts w:eastAsiaTheme="minorEastAsia" w:hint="eastAsia"/>
          <w:color w:val="000000" w:themeColor="text1"/>
        </w:rPr>
        <w:t>2.78%</w:t>
      </w:r>
      <w:r w:rsidRPr="008E289F">
        <w:rPr>
          <w:rFonts w:eastAsiaTheme="minorEastAsia" w:hint="eastAsia"/>
          <w:color w:val="000000" w:themeColor="text1"/>
        </w:rPr>
        <w:t>和</w:t>
      </w:r>
      <w:r w:rsidRPr="008E289F">
        <w:rPr>
          <w:rFonts w:eastAsiaTheme="minorEastAsia" w:hint="eastAsia"/>
          <w:color w:val="000000" w:themeColor="text1"/>
        </w:rPr>
        <w:t>3.08%</w:t>
      </w:r>
      <w:r w:rsidRPr="008E289F">
        <w:rPr>
          <w:rFonts w:eastAsiaTheme="minorEastAsia" w:hint="eastAsia"/>
          <w:color w:val="000000" w:themeColor="text1"/>
        </w:rPr>
        <w:t>。</w:t>
      </w:r>
    </w:p>
    <w:p w:rsidR="00D06738" w:rsidRPr="00FF6B9A" w:rsidRDefault="008E289F" w:rsidP="008E289F">
      <w:pPr>
        <w:spacing w:line="360" w:lineRule="auto"/>
        <w:ind w:firstLineChars="200" w:firstLine="420"/>
        <w:rPr>
          <w:rFonts w:eastAsiaTheme="minorEastAsia"/>
          <w:color w:val="000000" w:themeColor="text1"/>
        </w:rPr>
      </w:pPr>
      <w:r w:rsidRPr="008E289F">
        <w:rPr>
          <w:rFonts w:eastAsiaTheme="minorEastAsia" w:hint="eastAsia"/>
          <w:color w:val="000000" w:themeColor="text1"/>
        </w:rPr>
        <w:t>展望</w:t>
      </w:r>
      <w:r w:rsidRPr="008E289F">
        <w:rPr>
          <w:rFonts w:eastAsiaTheme="minorEastAsia" w:hint="eastAsia"/>
          <w:color w:val="000000" w:themeColor="text1"/>
        </w:rPr>
        <w:t>2022</w:t>
      </w:r>
      <w:r w:rsidRPr="008E289F">
        <w:rPr>
          <w:rFonts w:eastAsiaTheme="minorEastAsia" w:hint="eastAsia"/>
          <w:color w:val="000000" w:themeColor="text1"/>
        </w:rPr>
        <w:t>年，预计经济仍将面临一定的下行压力，此后可能出台更多提振经济的措施，但在不放松地产的前提下，经济仍将面临新旧经济结构转换带来的压力，因此流动性维持宽松仍可预期。</w:t>
      </w:r>
      <w:r w:rsidRPr="008E289F">
        <w:rPr>
          <w:rFonts w:eastAsiaTheme="minorEastAsia" w:hint="eastAsia"/>
          <w:color w:val="000000" w:themeColor="text1"/>
        </w:rPr>
        <w:t>2022</w:t>
      </w:r>
      <w:r w:rsidRPr="008E289F">
        <w:rPr>
          <w:rFonts w:eastAsiaTheme="minorEastAsia" w:hint="eastAsia"/>
          <w:color w:val="000000" w:themeColor="text1"/>
        </w:rPr>
        <w:t>年国内外形势较为复杂，国外方面，美国将面临货币政策重回紧缩和美国国会中期选举需要较好的经济形势的两难选择，另外还有美联储主席上台、法国选举、韩国选举等事件；国内将面临二十大召开的重要时刻，同时还有冬奥会、台湾地方“九合一”选举等大事件。此外，疫情冲击目前来看也远未结束，世界经济还需要随时应对疫情突变来相机抉择。但总体上，收益率中枢长期下移的确定性较高，若收益率重新上行，那将提供较好的配置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本报告期上投摩根瑞盛</w:t>
      </w:r>
      <w:r w:rsidRPr="00FF6B9A">
        <w:rPr>
          <w:rFonts w:eastAsiaTheme="minorEastAsia"/>
          <w:color w:val="000000" w:themeColor="text1"/>
        </w:rPr>
        <w:t>87</w:t>
      </w:r>
      <w:r w:rsidRPr="00FF6B9A">
        <w:rPr>
          <w:rFonts w:eastAsiaTheme="minorEastAsia"/>
          <w:color w:val="000000" w:themeColor="text1"/>
        </w:rPr>
        <w:t>个月定期开放债券份额净值增长率为</w:t>
      </w:r>
      <w:r w:rsidRPr="00FF6B9A">
        <w:rPr>
          <w:rFonts w:eastAsiaTheme="minorEastAsia"/>
          <w:color w:val="000000" w:themeColor="text1"/>
        </w:rPr>
        <w:t>:0.</w:t>
      </w:r>
      <w:r w:rsidR="00433DD5">
        <w:rPr>
          <w:rFonts w:eastAsiaTheme="minorEastAsia"/>
          <w:color w:val="000000" w:themeColor="text1"/>
        </w:rPr>
        <w:t>98</w:t>
      </w:r>
      <w:r w:rsidRPr="00FF6B9A">
        <w:rPr>
          <w:rFonts w:eastAsiaTheme="minorEastAsia"/>
          <w:color w:val="000000" w:themeColor="text1"/>
        </w:rPr>
        <w:t>%</w:t>
      </w:r>
      <w:r w:rsidRPr="00FF6B9A">
        <w:rPr>
          <w:rFonts w:eastAsiaTheme="minorEastAsia"/>
          <w:color w:val="000000" w:themeColor="text1"/>
        </w:rPr>
        <w:t>，同期业绩比较基准收益率为</w:t>
      </w:r>
      <w:r w:rsidRPr="00FF6B9A">
        <w:rPr>
          <w:rFonts w:eastAsiaTheme="minorEastAsia"/>
          <w:color w:val="000000" w:themeColor="text1"/>
        </w:rPr>
        <w:t>:1.02%</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13,459,752,442.30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96.68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13,459,752,442.30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96.68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245,172,913.63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217,639,321.59</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13,922,564,677.52</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本基金本报告期末未持有股票。</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p w:rsidR="00FF6B9A" w:rsidRPr="00FF6B9A" w:rsidRDefault="00FF6B9A" w:rsidP="00FF6B9A">
      <w:pPr>
        <w:spacing w:line="360" w:lineRule="auto"/>
        <w:ind w:firstLineChars="200" w:firstLine="480"/>
        <w:rPr>
          <w:rFonts w:eastAsiaTheme="minorEastAsia"/>
          <w:sz w:val="24"/>
          <w:szCs w:val="24"/>
        </w:rPr>
      </w:pPr>
      <w:r w:rsidRPr="00FF6B9A">
        <w:rPr>
          <w:rFonts w:eastAsiaTheme="minorEastAsia"/>
          <w:sz w:val="24"/>
          <w:szCs w:val="24"/>
        </w:rPr>
        <w:t>本基金本报告期末未持有股票。</w:t>
      </w:r>
    </w:p>
    <w:bookmarkEnd w:id="1"/>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w:t>
            </w:r>
            <w:r w:rsidRPr="00FF6B9A">
              <w:rPr>
                <w:rFonts w:eastAsiaTheme="minorEastAsia"/>
                <w:color w:val="000000" w:themeColor="text1"/>
                <w:kern w:val="0"/>
              </w:rPr>
              <w:lastRenderedPageBreak/>
              <w:t>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10,389,769,694.45</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125.84</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10,389,769,694.45</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125.84</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3,069,982,747.85</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37.18</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13,459,752,442.30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163.03</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EB16FB">
        <w:tc>
          <w:tcPr>
            <w:tcW w:w="1252" w:type="dxa"/>
            <w:vAlign w:val="center"/>
          </w:tcPr>
          <w:p w:rsidR="00EB16FB" w:rsidRDefault="00861CE2">
            <w:pPr>
              <w:jc w:val="center"/>
            </w:pPr>
            <w:r>
              <w:rPr>
                <w:rFonts w:eastAsiaTheme="minorEastAsia"/>
                <w:color w:val="000000" w:themeColor="text1"/>
                <w:kern w:val="0"/>
              </w:rPr>
              <w:t>1</w:t>
            </w:r>
          </w:p>
        </w:tc>
        <w:tc>
          <w:tcPr>
            <w:tcW w:w="1310" w:type="dxa"/>
            <w:vAlign w:val="center"/>
          </w:tcPr>
          <w:p w:rsidR="00EB16FB" w:rsidRDefault="00861CE2">
            <w:pPr>
              <w:jc w:val="center"/>
            </w:pPr>
            <w:r>
              <w:rPr>
                <w:rFonts w:eastAsiaTheme="minorEastAsia"/>
                <w:color w:val="000000" w:themeColor="text1"/>
                <w:kern w:val="0"/>
              </w:rPr>
              <w:t>092018002</w:t>
            </w:r>
          </w:p>
        </w:tc>
        <w:tc>
          <w:tcPr>
            <w:tcW w:w="1282" w:type="dxa"/>
            <w:vAlign w:val="center"/>
          </w:tcPr>
          <w:p w:rsidR="00EB16FB" w:rsidRDefault="00861CE2">
            <w:pPr>
              <w:jc w:val="center"/>
            </w:pPr>
            <w:r>
              <w:rPr>
                <w:rFonts w:eastAsiaTheme="minorEastAsia"/>
                <w:color w:val="000000" w:themeColor="text1"/>
                <w:kern w:val="0"/>
              </w:rPr>
              <w:t>20</w:t>
            </w:r>
            <w:r>
              <w:rPr>
                <w:rFonts w:eastAsiaTheme="minorEastAsia"/>
                <w:color w:val="000000" w:themeColor="text1"/>
                <w:kern w:val="0"/>
              </w:rPr>
              <w:t>农发清发</w:t>
            </w:r>
            <w:r>
              <w:rPr>
                <w:rFonts w:eastAsiaTheme="minorEastAsia"/>
                <w:color w:val="000000" w:themeColor="text1"/>
                <w:kern w:val="0"/>
              </w:rPr>
              <w:t>02</w:t>
            </w:r>
          </w:p>
        </w:tc>
        <w:tc>
          <w:tcPr>
            <w:tcW w:w="1426" w:type="dxa"/>
            <w:vAlign w:val="center"/>
          </w:tcPr>
          <w:p w:rsidR="00EB16FB" w:rsidRDefault="00861CE2">
            <w:pPr>
              <w:jc w:val="right"/>
            </w:pPr>
            <w:r>
              <w:rPr>
                <w:rFonts w:eastAsiaTheme="minorEastAsia"/>
                <w:color w:val="000000" w:themeColor="text1"/>
                <w:kern w:val="0"/>
              </w:rPr>
              <w:t>29,700,000</w:t>
            </w:r>
          </w:p>
        </w:tc>
        <w:tc>
          <w:tcPr>
            <w:tcW w:w="1646" w:type="dxa"/>
            <w:vAlign w:val="center"/>
          </w:tcPr>
          <w:p w:rsidR="00EB16FB" w:rsidRDefault="00861CE2">
            <w:pPr>
              <w:jc w:val="right"/>
            </w:pPr>
            <w:r>
              <w:rPr>
                <w:rFonts w:eastAsiaTheme="minorEastAsia"/>
                <w:color w:val="000000" w:themeColor="text1"/>
                <w:kern w:val="0"/>
              </w:rPr>
              <w:t>2,882,631,626.83</w:t>
            </w:r>
          </w:p>
        </w:tc>
        <w:tc>
          <w:tcPr>
            <w:tcW w:w="1612" w:type="dxa"/>
            <w:vAlign w:val="center"/>
          </w:tcPr>
          <w:p w:rsidR="00EB16FB" w:rsidRDefault="00861CE2">
            <w:pPr>
              <w:jc w:val="right"/>
            </w:pPr>
            <w:r>
              <w:rPr>
                <w:rFonts w:eastAsiaTheme="minorEastAsia"/>
                <w:color w:val="000000" w:themeColor="text1"/>
                <w:kern w:val="0"/>
              </w:rPr>
              <w:t>34.92</w:t>
            </w:r>
          </w:p>
        </w:tc>
      </w:tr>
      <w:tr w:rsidR="00EB16FB">
        <w:tc>
          <w:tcPr>
            <w:tcW w:w="1252" w:type="dxa"/>
            <w:vAlign w:val="center"/>
          </w:tcPr>
          <w:p w:rsidR="00EB16FB" w:rsidRDefault="00861CE2">
            <w:pPr>
              <w:jc w:val="center"/>
            </w:pPr>
            <w:r>
              <w:rPr>
                <w:rFonts w:eastAsiaTheme="minorEastAsia"/>
                <w:color w:val="000000" w:themeColor="text1"/>
                <w:kern w:val="0"/>
              </w:rPr>
              <w:t>2</w:t>
            </w:r>
          </w:p>
        </w:tc>
        <w:tc>
          <w:tcPr>
            <w:tcW w:w="1310" w:type="dxa"/>
            <w:vAlign w:val="center"/>
          </w:tcPr>
          <w:p w:rsidR="00EB16FB" w:rsidRDefault="00861CE2">
            <w:pPr>
              <w:jc w:val="center"/>
            </w:pPr>
            <w:r>
              <w:rPr>
                <w:rFonts w:eastAsiaTheme="minorEastAsia"/>
                <w:color w:val="000000" w:themeColor="text1"/>
                <w:kern w:val="0"/>
              </w:rPr>
              <w:t>200209</w:t>
            </w:r>
          </w:p>
        </w:tc>
        <w:tc>
          <w:tcPr>
            <w:tcW w:w="1282" w:type="dxa"/>
            <w:vAlign w:val="center"/>
          </w:tcPr>
          <w:p w:rsidR="00EB16FB" w:rsidRDefault="00861CE2">
            <w:pPr>
              <w:jc w:val="center"/>
            </w:pPr>
            <w:r>
              <w:rPr>
                <w:rFonts w:eastAsiaTheme="minorEastAsia"/>
                <w:color w:val="000000" w:themeColor="text1"/>
                <w:kern w:val="0"/>
              </w:rPr>
              <w:t>20</w:t>
            </w:r>
            <w:r>
              <w:rPr>
                <w:rFonts w:eastAsiaTheme="minorEastAsia"/>
                <w:color w:val="000000" w:themeColor="text1"/>
                <w:kern w:val="0"/>
              </w:rPr>
              <w:t>国开</w:t>
            </w:r>
            <w:r>
              <w:rPr>
                <w:rFonts w:eastAsiaTheme="minorEastAsia"/>
                <w:color w:val="000000" w:themeColor="text1"/>
                <w:kern w:val="0"/>
              </w:rPr>
              <w:t>09</w:t>
            </w:r>
          </w:p>
        </w:tc>
        <w:tc>
          <w:tcPr>
            <w:tcW w:w="1426" w:type="dxa"/>
            <w:vAlign w:val="center"/>
          </w:tcPr>
          <w:p w:rsidR="00EB16FB" w:rsidRDefault="00861CE2">
            <w:pPr>
              <w:jc w:val="right"/>
            </w:pPr>
            <w:r>
              <w:rPr>
                <w:rFonts w:eastAsiaTheme="minorEastAsia"/>
                <w:color w:val="000000" w:themeColor="text1"/>
                <w:kern w:val="0"/>
              </w:rPr>
              <w:t>28,700,000</w:t>
            </w:r>
          </w:p>
        </w:tc>
        <w:tc>
          <w:tcPr>
            <w:tcW w:w="1646" w:type="dxa"/>
            <w:vAlign w:val="center"/>
          </w:tcPr>
          <w:p w:rsidR="00EB16FB" w:rsidRDefault="00861CE2">
            <w:pPr>
              <w:jc w:val="right"/>
            </w:pPr>
            <w:r>
              <w:rPr>
                <w:rFonts w:eastAsiaTheme="minorEastAsia"/>
                <w:color w:val="000000" w:themeColor="text1"/>
                <w:kern w:val="0"/>
              </w:rPr>
              <w:t>2,856,095,281.64</w:t>
            </w:r>
          </w:p>
        </w:tc>
        <w:tc>
          <w:tcPr>
            <w:tcW w:w="1612" w:type="dxa"/>
            <w:vAlign w:val="center"/>
          </w:tcPr>
          <w:p w:rsidR="00EB16FB" w:rsidRDefault="00861CE2">
            <w:pPr>
              <w:jc w:val="right"/>
            </w:pPr>
            <w:r>
              <w:rPr>
                <w:rFonts w:eastAsiaTheme="minorEastAsia"/>
                <w:color w:val="000000" w:themeColor="text1"/>
                <w:kern w:val="0"/>
              </w:rPr>
              <w:t>34.59</w:t>
            </w:r>
          </w:p>
        </w:tc>
      </w:tr>
      <w:tr w:rsidR="00EB16FB">
        <w:tc>
          <w:tcPr>
            <w:tcW w:w="1252" w:type="dxa"/>
            <w:vAlign w:val="center"/>
          </w:tcPr>
          <w:p w:rsidR="00EB16FB" w:rsidRDefault="00861CE2">
            <w:pPr>
              <w:jc w:val="center"/>
            </w:pPr>
            <w:r>
              <w:rPr>
                <w:rFonts w:eastAsiaTheme="minorEastAsia"/>
                <w:color w:val="000000" w:themeColor="text1"/>
                <w:kern w:val="0"/>
              </w:rPr>
              <w:t>3</w:t>
            </w:r>
          </w:p>
        </w:tc>
        <w:tc>
          <w:tcPr>
            <w:tcW w:w="1310" w:type="dxa"/>
            <w:vAlign w:val="center"/>
          </w:tcPr>
          <w:p w:rsidR="00EB16FB" w:rsidRDefault="00861CE2">
            <w:pPr>
              <w:jc w:val="center"/>
            </w:pPr>
            <w:r>
              <w:rPr>
                <w:rFonts w:eastAsiaTheme="minorEastAsia"/>
                <w:color w:val="000000" w:themeColor="text1"/>
                <w:kern w:val="0"/>
              </w:rPr>
              <w:t>170415</w:t>
            </w:r>
          </w:p>
        </w:tc>
        <w:tc>
          <w:tcPr>
            <w:tcW w:w="1282" w:type="dxa"/>
            <w:vAlign w:val="center"/>
          </w:tcPr>
          <w:p w:rsidR="00EB16FB" w:rsidRDefault="00861CE2">
            <w:pPr>
              <w:jc w:val="center"/>
            </w:pPr>
            <w:r>
              <w:rPr>
                <w:rFonts w:eastAsiaTheme="minorEastAsia"/>
                <w:color w:val="000000" w:themeColor="text1"/>
                <w:kern w:val="0"/>
              </w:rPr>
              <w:t>17</w:t>
            </w:r>
            <w:r>
              <w:rPr>
                <w:rFonts w:eastAsiaTheme="minorEastAsia"/>
                <w:color w:val="000000" w:themeColor="text1"/>
                <w:kern w:val="0"/>
              </w:rPr>
              <w:t>农发</w:t>
            </w:r>
            <w:r>
              <w:rPr>
                <w:rFonts w:eastAsiaTheme="minorEastAsia"/>
                <w:color w:val="000000" w:themeColor="text1"/>
                <w:kern w:val="0"/>
              </w:rPr>
              <w:t>15</w:t>
            </w:r>
          </w:p>
        </w:tc>
        <w:tc>
          <w:tcPr>
            <w:tcW w:w="1426" w:type="dxa"/>
            <w:vAlign w:val="center"/>
          </w:tcPr>
          <w:p w:rsidR="00EB16FB" w:rsidRDefault="00861CE2">
            <w:pPr>
              <w:jc w:val="right"/>
            </w:pPr>
            <w:r>
              <w:rPr>
                <w:rFonts w:eastAsiaTheme="minorEastAsia"/>
                <w:color w:val="000000" w:themeColor="text1"/>
                <w:kern w:val="0"/>
              </w:rPr>
              <w:t>24,800,000</w:t>
            </w:r>
          </w:p>
        </w:tc>
        <w:tc>
          <w:tcPr>
            <w:tcW w:w="1646" w:type="dxa"/>
            <w:vAlign w:val="center"/>
          </w:tcPr>
          <w:p w:rsidR="00EB16FB" w:rsidRDefault="00861CE2">
            <w:pPr>
              <w:jc w:val="right"/>
            </w:pPr>
            <w:r>
              <w:rPr>
                <w:rFonts w:eastAsiaTheme="minorEastAsia"/>
                <w:color w:val="000000" w:themeColor="text1"/>
                <w:kern w:val="0"/>
              </w:rPr>
              <w:t>2,597,393,275.08</w:t>
            </w:r>
          </w:p>
        </w:tc>
        <w:tc>
          <w:tcPr>
            <w:tcW w:w="1612" w:type="dxa"/>
            <w:vAlign w:val="center"/>
          </w:tcPr>
          <w:p w:rsidR="00EB16FB" w:rsidRDefault="00861CE2">
            <w:pPr>
              <w:jc w:val="right"/>
            </w:pPr>
            <w:r>
              <w:rPr>
                <w:rFonts w:eastAsiaTheme="minorEastAsia"/>
                <w:color w:val="000000" w:themeColor="text1"/>
                <w:kern w:val="0"/>
              </w:rPr>
              <w:t>31.46</w:t>
            </w:r>
          </w:p>
        </w:tc>
      </w:tr>
      <w:tr w:rsidR="00EB16FB">
        <w:tc>
          <w:tcPr>
            <w:tcW w:w="1252" w:type="dxa"/>
            <w:vAlign w:val="center"/>
          </w:tcPr>
          <w:p w:rsidR="00EB16FB" w:rsidRDefault="00861CE2">
            <w:pPr>
              <w:jc w:val="center"/>
            </w:pPr>
            <w:r>
              <w:rPr>
                <w:rFonts w:eastAsiaTheme="minorEastAsia"/>
                <w:color w:val="000000" w:themeColor="text1"/>
                <w:kern w:val="0"/>
              </w:rPr>
              <w:t>4</w:t>
            </w:r>
          </w:p>
        </w:tc>
        <w:tc>
          <w:tcPr>
            <w:tcW w:w="1310" w:type="dxa"/>
            <w:vAlign w:val="center"/>
          </w:tcPr>
          <w:p w:rsidR="00EB16FB" w:rsidRDefault="00861CE2">
            <w:pPr>
              <w:jc w:val="center"/>
            </w:pPr>
            <w:r>
              <w:rPr>
                <w:rFonts w:eastAsiaTheme="minorEastAsia"/>
                <w:color w:val="000000" w:themeColor="text1"/>
                <w:kern w:val="0"/>
              </w:rPr>
              <w:t>170210</w:t>
            </w:r>
          </w:p>
        </w:tc>
        <w:tc>
          <w:tcPr>
            <w:tcW w:w="1282" w:type="dxa"/>
            <w:vAlign w:val="center"/>
          </w:tcPr>
          <w:p w:rsidR="00EB16FB" w:rsidRDefault="00861CE2">
            <w:pPr>
              <w:jc w:val="center"/>
            </w:pPr>
            <w:r>
              <w:rPr>
                <w:rFonts w:eastAsiaTheme="minorEastAsia"/>
                <w:color w:val="000000" w:themeColor="text1"/>
                <w:kern w:val="0"/>
              </w:rPr>
              <w:t>17</w:t>
            </w:r>
            <w:r>
              <w:rPr>
                <w:rFonts w:eastAsiaTheme="minorEastAsia"/>
                <w:color w:val="000000" w:themeColor="text1"/>
                <w:kern w:val="0"/>
              </w:rPr>
              <w:t>国开</w:t>
            </w:r>
            <w:r>
              <w:rPr>
                <w:rFonts w:eastAsiaTheme="minorEastAsia"/>
                <w:color w:val="000000" w:themeColor="text1"/>
                <w:kern w:val="0"/>
              </w:rPr>
              <w:t>10</w:t>
            </w:r>
          </w:p>
        </w:tc>
        <w:tc>
          <w:tcPr>
            <w:tcW w:w="1426" w:type="dxa"/>
            <w:vAlign w:val="center"/>
          </w:tcPr>
          <w:p w:rsidR="00EB16FB" w:rsidRDefault="00861CE2">
            <w:pPr>
              <w:jc w:val="right"/>
            </w:pPr>
            <w:r>
              <w:rPr>
                <w:rFonts w:eastAsiaTheme="minorEastAsia"/>
                <w:color w:val="000000" w:themeColor="text1"/>
                <w:kern w:val="0"/>
              </w:rPr>
              <w:t>15,100,000</w:t>
            </w:r>
          </w:p>
        </w:tc>
        <w:tc>
          <w:tcPr>
            <w:tcW w:w="1646" w:type="dxa"/>
            <w:vAlign w:val="center"/>
          </w:tcPr>
          <w:p w:rsidR="00EB16FB" w:rsidRDefault="00861CE2">
            <w:pPr>
              <w:jc w:val="right"/>
            </w:pPr>
            <w:r>
              <w:rPr>
                <w:rFonts w:eastAsiaTheme="minorEastAsia"/>
                <w:color w:val="000000" w:themeColor="text1"/>
                <w:kern w:val="0"/>
              </w:rPr>
              <w:t>1,544,188,272.54</w:t>
            </w:r>
          </w:p>
        </w:tc>
        <w:tc>
          <w:tcPr>
            <w:tcW w:w="1612" w:type="dxa"/>
            <w:vAlign w:val="center"/>
          </w:tcPr>
          <w:p w:rsidR="00EB16FB" w:rsidRDefault="00861CE2">
            <w:pPr>
              <w:jc w:val="right"/>
            </w:pPr>
            <w:r>
              <w:rPr>
                <w:rFonts w:eastAsiaTheme="minorEastAsia"/>
                <w:color w:val="000000" w:themeColor="text1"/>
                <w:kern w:val="0"/>
              </w:rPr>
              <w:t>18.70</w:t>
            </w:r>
          </w:p>
        </w:tc>
      </w:tr>
      <w:tr w:rsidR="00EB16FB">
        <w:tc>
          <w:tcPr>
            <w:tcW w:w="1252" w:type="dxa"/>
            <w:vAlign w:val="center"/>
          </w:tcPr>
          <w:p w:rsidR="00EB16FB" w:rsidRDefault="00861CE2">
            <w:pPr>
              <w:jc w:val="center"/>
            </w:pPr>
            <w:r>
              <w:rPr>
                <w:rFonts w:eastAsiaTheme="minorEastAsia"/>
                <w:color w:val="000000" w:themeColor="text1"/>
                <w:kern w:val="0"/>
              </w:rPr>
              <w:t>5</w:t>
            </w:r>
          </w:p>
        </w:tc>
        <w:tc>
          <w:tcPr>
            <w:tcW w:w="1310" w:type="dxa"/>
            <w:vAlign w:val="center"/>
          </w:tcPr>
          <w:p w:rsidR="00EB16FB" w:rsidRDefault="00861CE2">
            <w:pPr>
              <w:jc w:val="center"/>
            </w:pPr>
            <w:r>
              <w:rPr>
                <w:rFonts w:eastAsiaTheme="minorEastAsia"/>
                <w:color w:val="000000" w:themeColor="text1"/>
                <w:kern w:val="0"/>
              </w:rPr>
              <w:t>160993</w:t>
            </w:r>
          </w:p>
        </w:tc>
        <w:tc>
          <w:tcPr>
            <w:tcW w:w="1282" w:type="dxa"/>
            <w:vAlign w:val="center"/>
          </w:tcPr>
          <w:p w:rsidR="00EB16FB" w:rsidRDefault="00861CE2">
            <w:pPr>
              <w:jc w:val="center"/>
            </w:pPr>
            <w:r>
              <w:rPr>
                <w:rFonts w:eastAsiaTheme="minorEastAsia"/>
                <w:color w:val="000000" w:themeColor="text1"/>
                <w:kern w:val="0"/>
              </w:rPr>
              <w:t>20</w:t>
            </w:r>
            <w:r>
              <w:rPr>
                <w:rFonts w:eastAsiaTheme="minorEastAsia"/>
                <w:color w:val="000000" w:themeColor="text1"/>
                <w:kern w:val="0"/>
              </w:rPr>
              <w:t>江苏</w:t>
            </w:r>
            <w:r>
              <w:rPr>
                <w:rFonts w:eastAsiaTheme="minorEastAsia"/>
                <w:color w:val="000000" w:themeColor="text1"/>
                <w:kern w:val="0"/>
              </w:rPr>
              <w:t>19</w:t>
            </w:r>
          </w:p>
        </w:tc>
        <w:tc>
          <w:tcPr>
            <w:tcW w:w="1426" w:type="dxa"/>
            <w:vAlign w:val="center"/>
          </w:tcPr>
          <w:p w:rsidR="00EB16FB" w:rsidRDefault="00861CE2">
            <w:pPr>
              <w:jc w:val="right"/>
            </w:pPr>
            <w:r>
              <w:rPr>
                <w:rFonts w:eastAsiaTheme="minorEastAsia"/>
                <w:color w:val="000000" w:themeColor="text1"/>
                <w:kern w:val="0"/>
              </w:rPr>
              <w:t>7,100,000</w:t>
            </w:r>
          </w:p>
        </w:tc>
        <w:tc>
          <w:tcPr>
            <w:tcW w:w="1646" w:type="dxa"/>
            <w:vAlign w:val="center"/>
          </w:tcPr>
          <w:p w:rsidR="00EB16FB" w:rsidRDefault="00861CE2">
            <w:pPr>
              <w:jc w:val="right"/>
            </w:pPr>
            <w:r>
              <w:rPr>
                <w:rFonts w:eastAsiaTheme="minorEastAsia"/>
                <w:color w:val="000000" w:themeColor="text1"/>
                <w:kern w:val="0"/>
              </w:rPr>
              <w:t>714,628,221.43</w:t>
            </w:r>
          </w:p>
        </w:tc>
        <w:tc>
          <w:tcPr>
            <w:tcW w:w="1612" w:type="dxa"/>
            <w:vAlign w:val="center"/>
          </w:tcPr>
          <w:p w:rsidR="00EB16FB" w:rsidRDefault="00861CE2">
            <w:pPr>
              <w:jc w:val="right"/>
            </w:pPr>
            <w:r>
              <w:rPr>
                <w:rFonts w:eastAsiaTheme="minorEastAsia"/>
                <w:color w:val="000000" w:themeColor="text1"/>
                <w:kern w:val="0"/>
              </w:rPr>
              <w:t>8.66</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w:t>
      </w:r>
      <w:r w:rsidRPr="00FF6B9A">
        <w:rPr>
          <w:rFonts w:eastAsiaTheme="minorEastAsia"/>
          <w:b/>
          <w:bCs/>
          <w:color w:val="000000" w:themeColor="text1"/>
          <w:kern w:val="0"/>
          <w:sz w:val="24"/>
          <w:szCs w:val="24"/>
        </w:rPr>
        <w:lastRenderedPageBreak/>
        <w:t>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217,639,321.59</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217,639,321.59</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lastRenderedPageBreak/>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7,990,077,699.94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7,990,077,699.94</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06738" w:rsidRPr="00FF6B9A">
        <w:tc>
          <w:tcPr>
            <w:tcW w:w="993" w:type="dxa"/>
            <w:vMerge w:val="restart"/>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xml:space="preserve">  </w:t>
            </w:r>
          </w:p>
        </w:tc>
        <w:tc>
          <w:tcPr>
            <w:tcW w:w="5670" w:type="dxa"/>
            <w:gridSpan w:val="5"/>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报告期内持有基金份额变化情况</w:t>
            </w:r>
          </w:p>
        </w:tc>
        <w:tc>
          <w:tcPr>
            <w:tcW w:w="2549" w:type="dxa"/>
            <w:gridSpan w:val="2"/>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报告期末持有基金情况</w:t>
            </w:r>
          </w:p>
        </w:tc>
      </w:tr>
      <w:tr w:rsidR="00D06738" w:rsidRPr="00FF6B9A">
        <w:tc>
          <w:tcPr>
            <w:tcW w:w="993" w:type="dxa"/>
            <w:vMerge/>
            <w:vAlign w:val="center"/>
          </w:tcPr>
          <w:p w:rsidR="00D06738" w:rsidRPr="00FF6B9A" w:rsidRDefault="00D06738">
            <w:pPr>
              <w:autoSpaceDE w:val="0"/>
              <w:autoSpaceDN w:val="0"/>
              <w:adjustRightInd w:val="0"/>
              <w:jc w:val="center"/>
              <w:rPr>
                <w:b/>
                <w:bCs/>
                <w:color w:val="000000"/>
                <w:kern w:val="0"/>
              </w:rPr>
            </w:pPr>
          </w:p>
        </w:tc>
        <w:tc>
          <w:tcPr>
            <w:tcW w:w="992"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序号</w:t>
            </w:r>
          </w:p>
        </w:tc>
        <w:tc>
          <w:tcPr>
            <w:tcW w:w="1843"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w="851" w:type="dxa"/>
            <w:vAlign w:val="center"/>
          </w:tcPr>
          <w:p w:rsidR="00D06738" w:rsidRPr="00FF6B9A" w:rsidRDefault="00454D20">
            <w:pPr>
              <w:widowControl/>
              <w:jc w:val="center"/>
              <w:rPr>
                <w:b/>
                <w:bCs/>
                <w:color w:val="000000"/>
                <w:kern w:val="0"/>
              </w:rPr>
            </w:pPr>
            <w:r w:rsidRPr="00FF6B9A">
              <w:rPr>
                <w:color w:val="000000"/>
                <w:kern w:val="0"/>
              </w:rPr>
              <w:t>期初份额</w:t>
            </w:r>
          </w:p>
        </w:tc>
        <w:tc>
          <w:tcPr>
            <w:tcW w:w="850" w:type="dxa"/>
            <w:vAlign w:val="center"/>
          </w:tcPr>
          <w:p w:rsidR="00D06738" w:rsidRPr="00FF6B9A" w:rsidRDefault="00454D20">
            <w:pPr>
              <w:widowControl/>
              <w:jc w:val="center"/>
              <w:rPr>
                <w:b/>
                <w:bCs/>
                <w:color w:val="000000"/>
                <w:kern w:val="0"/>
              </w:rPr>
            </w:pPr>
            <w:r w:rsidRPr="00FF6B9A">
              <w:rPr>
                <w:color w:val="000000"/>
                <w:kern w:val="0"/>
              </w:rPr>
              <w:t>申购份额</w:t>
            </w:r>
          </w:p>
        </w:tc>
        <w:tc>
          <w:tcPr>
            <w:tcW w:w="1134" w:type="dxa"/>
            <w:vAlign w:val="center"/>
          </w:tcPr>
          <w:p w:rsidR="00D06738" w:rsidRPr="00FF6B9A" w:rsidRDefault="00454D20">
            <w:pPr>
              <w:widowControl/>
              <w:jc w:val="center"/>
              <w:rPr>
                <w:b/>
                <w:bCs/>
                <w:color w:val="000000"/>
                <w:kern w:val="0"/>
              </w:rPr>
            </w:pPr>
            <w:r w:rsidRPr="00FF6B9A">
              <w:rPr>
                <w:color w:val="000000"/>
                <w:kern w:val="0"/>
              </w:rPr>
              <w:t>赎回份额</w:t>
            </w:r>
          </w:p>
        </w:tc>
        <w:tc>
          <w:tcPr>
            <w:tcW w:w="1419"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持有份额</w:t>
            </w:r>
          </w:p>
        </w:tc>
        <w:tc>
          <w:tcPr>
            <w:tcW w:w="1130"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份额占比</w:t>
            </w:r>
          </w:p>
        </w:tc>
      </w:tr>
      <w:tr w:rsidR="00EB16FB">
        <w:tc>
          <w:tcPr>
            <w:tcW w:w="993" w:type="dxa"/>
            <w:vMerge w:val="restart"/>
            <w:vAlign w:val="center"/>
          </w:tcPr>
          <w:p w:rsidR="00EB16FB" w:rsidRDefault="00861CE2">
            <w:r>
              <w:rPr>
                <w:bCs/>
                <w:color w:val="000000"/>
                <w:kern w:val="0"/>
              </w:rPr>
              <w:t>机构</w:t>
            </w:r>
          </w:p>
        </w:tc>
        <w:tc>
          <w:tcPr>
            <w:tcW w:w="992" w:type="dxa"/>
            <w:vAlign w:val="center"/>
          </w:tcPr>
          <w:p w:rsidR="00EB16FB" w:rsidRDefault="00861CE2">
            <w:pPr>
              <w:jc w:val="center"/>
            </w:pPr>
            <w:r>
              <w:rPr>
                <w:color w:val="000000"/>
                <w:kern w:val="0"/>
              </w:rPr>
              <w:t>1</w:t>
            </w:r>
          </w:p>
        </w:tc>
        <w:tc>
          <w:tcPr>
            <w:tcW w:w="1843" w:type="dxa"/>
            <w:vAlign w:val="center"/>
          </w:tcPr>
          <w:p w:rsidR="00EB16FB" w:rsidRDefault="00861CE2">
            <w:pPr>
              <w:jc w:val="center"/>
            </w:pPr>
            <w:r>
              <w:rPr>
                <w:color w:val="000000"/>
                <w:kern w:val="0"/>
              </w:rPr>
              <w:t>20211001-20211231</w:t>
            </w:r>
          </w:p>
        </w:tc>
        <w:tc>
          <w:tcPr>
            <w:tcW w:w="851" w:type="dxa"/>
            <w:vAlign w:val="center"/>
          </w:tcPr>
          <w:p w:rsidR="00EB16FB" w:rsidRDefault="00861CE2">
            <w:pPr>
              <w:jc w:val="center"/>
            </w:pPr>
            <w:r>
              <w:rPr>
                <w:color w:val="000000"/>
                <w:kern w:val="0"/>
              </w:rPr>
              <w:t>3,989,999,000.00</w:t>
            </w:r>
          </w:p>
        </w:tc>
        <w:tc>
          <w:tcPr>
            <w:tcW w:w="850" w:type="dxa"/>
            <w:vAlign w:val="center"/>
          </w:tcPr>
          <w:p w:rsidR="00EB16FB" w:rsidRDefault="00861CE2">
            <w:pPr>
              <w:jc w:val="center"/>
            </w:pPr>
            <w:r>
              <w:rPr>
                <w:color w:val="000000"/>
                <w:kern w:val="0"/>
              </w:rPr>
              <w:t>0.00</w:t>
            </w:r>
          </w:p>
        </w:tc>
        <w:tc>
          <w:tcPr>
            <w:tcW w:w="1134" w:type="dxa"/>
            <w:vAlign w:val="center"/>
          </w:tcPr>
          <w:p w:rsidR="00EB16FB" w:rsidRDefault="00861CE2">
            <w:pPr>
              <w:jc w:val="center"/>
            </w:pPr>
            <w:r>
              <w:rPr>
                <w:color w:val="000000"/>
                <w:kern w:val="0"/>
              </w:rPr>
              <w:t>0.00</w:t>
            </w:r>
          </w:p>
        </w:tc>
        <w:tc>
          <w:tcPr>
            <w:tcW w:w="1419" w:type="dxa"/>
            <w:vAlign w:val="center"/>
          </w:tcPr>
          <w:p w:rsidR="00EB16FB" w:rsidRDefault="00861CE2">
            <w:pPr>
              <w:jc w:val="center"/>
            </w:pPr>
            <w:r>
              <w:rPr>
                <w:color w:val="000000"/>
                <w:kern w:val="0"/>
              </w:rPr>
              <w:t>3,989,999,000.00</w:t>
            </w:r>
          </w:p>
        </w:tc>
        <w:tc>
          <w:tcPr>
            <w:tcW w:w="1130" w:type="dxa"/>
            <w:vAlign w:val="center"/>
          </w:tcPr>
          <w:p w:rsidR="00EB16FB" w:rsidRDefault="00861CE2">
            <w:pPr>
              <w:jc w:val="center"/>
            </w:pPr>
            <w:r>
              <w:rPr>
                <w:color w:val="000000"/>
                <w:kern w:val="0"/>
              </w:rPr>
              <w:t>49.94%</w:t>
            </w:r>
          </w:p>
        </w:tc>
      </w:tr>
      <w:tr w:rsidR="00EB16FB">
        <w:tc>
          <w:tcPr>
            <w:tcW w:w="993" w:type="dxa"/>
            <w:vMerge/>
          </w:tcPr>
          <w:p w:rsidR="00EB16FB" w:rsidRDefault="00EB16FB"/>
        </w:tc>
        <w:tc>
          <w:tcPr>
            <w:tcW w:w="992" w:type="dxa"/>
            <w:vAlign w:val="center"/>
          </w:tcPr>
          <w:p w:rsidR="00EB16FB" w:rsidRDefault="00861CE2">
            <w:pPr>
              <w:jc w:val="center"/>
            </w:pPr>
            <w:r>
              <w:rPr>
                <w:color w:val="000000"/>
                <w:kern w:val="0"/>
              </w:rPr>
              <w:t>2</w:t>
            </w:r>
          </w:p>
        </w:tc>
        <w:tc>
          <w:tcPr>
            <w:tcW w:w="1843" w:type="dxa"/>
            <w:vAlign w:val="center"/>
          </w:tcPr>
          <w:p w:rsidR="00EB16FB" w:rsidRDefault="00861CE2">
            <w:pPr>
              <w:jc w:val="center"/>
            </w:pPr>
            <w:r>
              <w:rPr>
                <w:color w:val="000000"/>
                <w:kern w:val="0"/>
              </w:rPr>
              <w:t>20211001-20211231</w:t>
            </w:r>
          </w:p>
        </w:tc>
        <w:tc>
          <w:tcPr>
            <w:tcW w:w="851" w:type="dxa"/>
            <w:vAlign w:val="center"/>
          </w:tcPr>
          <w:p w:rsidR="00EB16FB" w:rsidRDefault="00861CE2">
            <w:pPr>
              <w:jc w:val="center"/>
            </w:pPr>
            <w:r>
              <w:rPr>
                <w:color w:val="000000"/>
                <w:kern w:val="0"/>
              </w:rPr>
              <w:t>2,199,999,000.00</w:t>
            </w:r>
          </w:p>
        </w:tc>
        <w:tc>
          <w:tcPr>
            <w:tcW w:w="850" w:type="dxa"/>
            <w:vAlign w:val="center"/>
          </w:tcPr>
          <w:p w:rsidR="00EB16FB" w:rsidRDefault="00861CE2">
            <w:pPr>
              <w:jc w:val="center"/>
            </w:pPr>
            <w:r>
              <w:rPr>
                <w:color w:val="000000"/>
                <w:kern w:val="0"/>
              </w:rPr>
              <w:t>0.00</w:t>
            </w:r>
          </w:p>
        </w:tc>
        <w:tc>
          <w:tcPr>
            <w:tcW w:w="1134" w:type="dxa"/>
            <w:vAlign w:val="center"/>
          </w:tcPr>
          <w:p w:rsidR="00EB16FB" w:rsidRDefault="00861CE2">
            <w:pPr>
              <w:jc w:val="center"/>
            </w:pPr>
            <w:r>
              <w:rPr>
                <w:color w:val="000000"/>
                <w:kern w:val="0"/>
              </w:rPr>
              <w:t>0.00</w:t>
            </w:r>
          </w:p>
        </w:tc>
        <w:tc>
          <w:tcPr>
            <w:tcW w:w="1419" w:type="dxa"/>
            <w:vAlign w:val="center"/>
          </w:tcPr>
          <w:p w:rsidR="00EB16FB" w:rsidRDefault="00861CE2">
            <w:pPr>
              <w:jc w:val="center"/>
            </w:pPr>
            <w:r>
              <w:rPr>
                <w:color w:val="000000"/>
                <w:kern w:val="0"/>
              </w:rPr>
              <w:t>2,199,999,000.00</w:t>
            </w:r>
          </w:p>
        </w:tc>
        <w:tc>
          <w:tcPr>
            <w:tcW w:w="1130" w:type="dxa"/>
            <w:vAlign w:val="center"/>
          </w:tcPr>
          <w:p w:rsidR="00EB16FB" w:rsidRDefault="00861CE2">
            <w:pPr>
              <w:jc w:val="center"/>
            </w:pPr>
            <w:r>
              <w:rPr>
                <w:color w:val="000000"/>
                <w:kern w:val="0"/>
              </w:rPr>
              <w:t>27.53%</w:t>
            </w:r>
          </w:p>
        </w:tc>
      </w:tr>
      <w:tr w:rsidR="00D06738" w:rsidRPr="00FF6B9A">
        <w:tc>
          <w:tcPr>
            <w:tcW w:w="9212" w:type="dxa"/>
            <w:gridSpan w:val="8"/>
            <w:vAlign w:val="center"/>
          </w:tcPr>
          <w:p w:rsidR="00D06738" w:rsidRPr="00FF6B9A" w:rsidRDefault="00454D20">
            <w:pPr>
              <w:autoSpaceDE w:val="0"/>
              <w:autoSpaceDN w:val="0"/>
              <w:adjustRightInd w:val="0"/>
              <w:jc w:val="center"/>
              <w:rPr>
                <w:kern w:val="0"/>
              </w:rPr>
            </w:pPr>
            <w:r w:rsidRPr="00FF6B9A">
              <w:rPr>
                <w:color w:val="000000"/>
                <w:kern w:val="0"/>
              </w:rPr>
              <w:t>产品特有风险</w:t>
            </w:r>
          </w:p>
        </w:tc>
      </w:tr>
      <w:tr w:rsidR="00D06738" w:rsidRPr="00FF6B9A">
        <w:tc>
          <w:tcPr>
            <w:tcW w:w="9212" w:type="dxa"/>
            <w:gridSpan w:val="8"/>
            <w:vAlign w:val="center"/>
          </w:tcPr>
          <w:p w:rsidR="00D06738" w:rsidRPr="00FF6B9A" w:rsidRDefault="00454D20">
            <w:pPr>
              <w:autoSpaceDE w:val="0"/>
              <w:autoSpaceDN w:val="0"/>
              <w:adjustRightInd w:val="0"/>
              <w:jc w:val="left"/>
              <w:rPr>
                <w:kern w:val="0"/>
              </w:rPr>
            </w:pPr>
            <w:r w:rsidRPr="00FF6B9A">
              <w:rPr>
                <w:kern w:val="0"/>
              </w:rPr>
              <w:t>本基金的集中度风险主要体现在有单一投资者持有基金份额比例达到或者超过</w:t>
            </w:r>
            <w:r w:rsidRPr="00FF6B9A">
              <w:rPr>
                <w:kern w:val="0"/>
              </w:rPr>
              <w:t>20%</w:t>
            </w:r>
            <w:r w:rsidRPr="00FF6B9A">
              <w:rPr>
                <w:kern w:val="0"/>
              </w:rPr>
              <w:t>，如果投资者发生大额赎回，可能出现基金可变现资产无法满足投资者赎回需要以及因为资产变现成本过高导致投资者的利益受到损害的风险。</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中国证监会准予上投摩根瑞盛</w:t>
      </w:r>
      <w:r>
        <w:rPr>
          <w:rFonts w:eastAsiaTheme="minorEastAsia"/>
          <w:color w:val="000000" w:themeColor="text1"/>
        </w:rPr>
        <w:t>87</w:t>
      </w:r>
      <w:r>
        <w:rPr>
          <w:rFonts w:eastAsiaTheme="minorEastAsia"/>
          <w:color w:val="000000" w:themeColor="text1"/>
        </w:rPr>
        <w:t>个月定期开放债券型证券投资基金募集注册的文件</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 xml:space="preserve">) </w:t>
      </w:r>
      <w:r>
        <w:rPr>
          <w:rFonts w:eastAsiaTheme="minorEastAsia"/>
          <w:color w:val="000000" w:themeColor="text1"/>
        </w:rPr>
        <w:t>上投摩根瑞盛</w:t>
      </w:r>
      <w:r>
        <w:rPr>
          <w:rFonts w:eastAsiaTheme="minorEastAsia"/>
          <w:color w:val="000000" w:themeColor="text1"/>
        </w:rPr>
        <w:t>87</w:t>
      </w:r>
      <w:r>
        <w:rPr>
          <w:rFonts w:eastAsiaTheme="minorEastAsia"/>
          <w:color w:val="000000" w:themeColor="text1"/>
        </w:rPr>
        <w:t>个月定期开放债券型证券投资基金基金合同</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 xml:space="preserve">) </w:t>
      </w:r>
      <w:r>
        <w:rPr>
          <w:rFonts w:eastAsiaTheme="minorEastAsia"/>
          <w:color w:val="000000" w:themeColor="text1"/>
        </w:rPr>
        <w:t>上投摩根瑞盛</w:t>
      </w:r>
      <w:r>
        <w:rPr>
          <w:rFonts w:eastAsiaTheme="minorEastAsia"/>
          <w:color w:val="000000" w:themeColor="text1"/>
        </w:rPr>
        <w:t>87</w:t>
      </w:r>
      <w:r>
        <w:rPr>
          <w:rFonts w:eastAsiaTheme="minorEastAsia"/>
          <w:color w:val="000000" w:themeColor="text1"/>
        </w:rPr>
        <w:t>个月定期开放债券型证券投资基金托管协议</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EB16FB" w:rsidRDefault="00861CE2">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二〇二二年一月二十四日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557458" w:rsidRPr="0055745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557458">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上投摩根瑞盛</w:t>
    </w:r>
    <w:r>
      <w:rPr>
        <w:rFonts w:hint="eastAsia"/>
      </w:rPr>
      <w:t>87</w:t>
    </w:r>
    <w:r>
      <w:rPr>
        <w:rFonts w:hint="eastAsia"/>
      </w:rPr>
      <w:t>个月定期开放债券型证券投资基金</w:t>
    </w:r>
    <w:r>
      <w:rPr>
        <w:rFonts w:hint="eastAsia"/>
      </w:rPr>
      <w:t>2021</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C4876"/>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71BE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29CE"/>
    <w:rsid w:val="00427F58"/>
    <w:rsid w:val="00433805"/>
    <w:rsid w:val="00433DD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57458"/>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CE2"/>
    <w:rsid w:val="00864F98"/>
    <w:rsid w:val="00866CF2"/>
    <w:rsid w:val="008700EC"/>
    <w:rsid w:val="00876D65"/>
    <w:rsid w:val="00891261"/>
    <w:rsid w:val="008A21B2"/>
    <w:rsid w:val="008A409E"/>
    <w:rsid w:val="008B2FDD"/>
    <w:rsid w:val="008C75E7"/>
    <w:rsid w:val="008C7CA8"/>
    <w:rsid w:val="008D09EC"/>
    <w:rsid w:val="008E07EB"/>
    <w:rsid w:val="008E289F"/>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16FB"/>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 w:type="paragraph" w:styleId="aff6">
    <w:name w:val="Revision"/>
    <w:hidden/>
    <w:uiPriority w:val="99"/>
    <w:semiHidden/>
    <w:rsid w:val="00557458"/>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305D7-C9B4-4815-917A-E8F92C1A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Chen,Richard</cp:lastModifiedBy>
  <cp:revision>274</cp:revision>
  <dcterms:created xsi:type="dcterms:W3CDTF">2012-10-16T06:07:00Z</dcterms:created>
  <dcterms:modified xsi:type="dcterms:W3CDTF">2022-01-21T06:21:00Z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