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上投摩根瑞盛</w:t>
      </w:r>
      <w:r w:rsidRPr="00FF6B9A">
        <w:rPr>
          <w:rFonts w:eastAsiaTheme="minorEastAsia"/>
          <w:b/>
          <w:color w:val="000000" w:themeColor="text1"/>
          <w:sz w:val="36"/>
          <w:szCs w:val="36"/>
        </w:rPr>
        <w:t>87</w:t>
      </w:r>
      <w:r w:rsidRPr="00FF6B9A">
        <w:rPr>
          <w:rFonts w:eastAsiaTheme="minorEastAsia"/>
          <w:b/>
          <w:color w:val="000000" w:themeColor="text1"/>
          <w:sz w:val="36"/>
          <w:szCs w:val="36"/>
        </w:rPr>
        <w:t>个月定期开放债券型证券投资基金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3</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9</w:t>
      </w:r>
      <w:r w:rsidRPr="00FF6B9A">
        <w:rPr>
          <w:rFonts w:eastAsiaTheme="minorEastAsia"/>
          <w:b/>
          <w:color w:val="000000" w:themeColor="text1"/>
          <w:sz w:val="36"/>
          <w:szCs w:val="36"/>
        </w:rPr>
        <w:t>月</w:t>
      </w:r>
      <w:r w:rsidRPr="00FF6B9A">
        <w:rPr>
          <w:rFonts w:eastAsiaTheme="minorEastAsia"/>
          <w:b/>
          <w:color w:val="000000" w:themeColor="text1"/>
          <w:sz w:val="36"/>
          <w:szCs w:val="36"/>
        </w:rPr>
        <w:t>30</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基金托管人：兴业银行股份有限公司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报告送出日期：二〇二一年十月二十七日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基金托管人兴业银行股份有限公司根据本基金合同规定，于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26</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上投摩根瑞盛</w:t>
            </w:r>
            <w:r w:rsidRPr="00FF6B9A">
              <w:rPr>
                <w:rFonts w:eastAsiaTheme="minorEastAsia"/>
                <w:color w:val="000000" w:themeColor="text1"/>
                <w:kern w:val="0"/>
              </w:rPr>
              <w:t>87</w:t>
            </w:r>
            <w:r w:rsidRPr="00FF6B9A">
              <w:rPr>
                <w:rFonts w:eastAsiaTheme="minorEastAsia"/>
                <w:color w:val="000000" w:themeColor="text1"/>
                <w:kern w:val="0"/>
              </w:rPr>
              <w:t>个月定期开放债券</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009895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契约型定期开放式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2020</w:t>
            </w:r>
            <w:r w:rsidRPr="00FF6B9A">
              <w:rPr>
                <w:rFonts w:eastAsiaTheme="minorEastAsia"/>
                <w:color w:val="000000" w:themeColor="text1"/>
                <w:kern w:val="0"/>
              </w:rPr>
              <w:t>年</w:t>
            </w:r>
            <w:r w:rsidRPr="00FF6B9A">
              <w:rPr>
                <w:rFonts w:eastAsiaTheme="minorEastAsia"/>
                <w:color w:val="000000" w:themeColor="text1"/>
                <w:kern w:val="0"/>
              </w:rPr>
              <w:t>8</w:t>
            </w:r>
            <w:r w:rsidRPr="00FF6B9A">
              <w:rPr>
                <w:rFonts w:eastAsiaTheme="minorEastAsia"/>
                <w:color w:val="000000" w:themeColor="text1"/>
                <w:kern w:val="0"/>
              </w:rPr>
              <w:t>月</w:t>
            </w:r>
            <w:r w:rsidRPr="00FF6B9A">
              <w:rPr>
                <w:rFonts w:eastAsiaTheme="minorEastAsia"/>
                <w:color w:val="000000" w:themeColor="text1"/>
                <w:kern w:val="0"/>
              </w:rPr>
              <w:t>3</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7,990,077,699.94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在严格控制风险的前提下，采用持有到期策略，力争实现长期稳定的投资回报。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5533FB" w:rsidRDefault="00CB4BAB">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、封闭期投资策略</w:t>
            </w:r>
          </w:p>
          <w:p w:rsidR="005533FB" w:rsidRDefault="00CB4BAB">
            <w:pPr>
              <w:adjustRightInd w:val="0"/>
              <w:spacing w:before="29" w:line="360" w:lineRule="auto"/>
              <w:ind w:left="17"/>
              <w:rPr>
                <w:rFonts w:eastAsiaTheme="minorEastAsia"/>
                <w:color w:val="000000" w:themeColor="text1"/>
              </w:rPr>
            </w:pPr>
            <w:r>
              <w:rPr>
                <w:rFonts w:eastAsiaTheme="minorEastAsia"/>
                <w:color w:val="000000" w:themeColor="text1"/>
                <w:kern w:val="0"/>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w:t>
            </w:r>
            <w:r>
              <w:rPr>
                <w:rFonts w:eastAsiaTheme="minorEastAsia"/>
                <w:color w:val="000000" w:themeColor="text1"/>
                <w:kern w:val="0"/>
              </w:rPr>
              <w:lastRenderedPageBreak/>
              <w:t>作期到期日。</w:t>
            </w:r>
          </w:p>
          <w:p w:rsidR="005533FB" w:rsidRDefault="00CB4BAB">
            <w:pPr>
              <w:adjustRightInd w:val="0"/>
              <w:spacing w:before="29" w:line="360" w:lineRule="auto"/>
              <w:ind w:left="17"/>
              <w:rPr>
                <w:rFonts w:eastAsiaTheme="minorEastAsia"/>
                <w:color w:val="000000" w:themeColor="text1"/>
              </w:rPr>
            </w:pPr>
            <w:r>
              <w:rPr>
                <w:rFonts w:eastAsiaTheme="minorEastAsia"/>
                <w:color w:val="000000" w:themeColor="text1"/>
                <w:kern w:val="0"/>
              </w:rPr>
              <w:t>封闭期具体投资策略包括信用债投资策略、杠杆投资策略、资产支持证券投资策略、封闭期现金管理策略。</w:t>
            </w:r>
          </w:p>
          <w:p w:rsidR="005533FB" w:rsidRDefault="00CB4BAB">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、开放期投资策略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开放期内，将保持资产适当的流动性，以应付当时市场条件下的赎回要求，并降低资产的流动性风险，做好流动性管理。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在每个封闭期，本基金的业绩比较基准为该封闭期起始日公布的三年定期存款利率（税后）</w:t>
            </w:r>
            <w:r w:rsidRPr="00FF6B9A">
              <w:rPr>
                <w:rFonts w:eastAsiaTheme="minorEastAsia"/>
                <w:color w:val="000000" w:themeColor="text1"/>
                <w:kern w:val="0"/>
              </w:rPr>
              <w:t>+1.25%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本基金为债券型基金，一般而言，其长期平均风险和预期收益率低于股票型基金、混合型基金，高于货币市场基金。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兴业银行股份有限公司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CB4BAB" w:rsidRPr="00FF6B9A" w:rsidTr="00CB4BAB">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7</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9</w:t>
            </w:r>
            <w:r w:rsidRPr="00FF6B9A">
              <w:rPr>
                <w:rFonts w:eastAsiaTheme="minorEastAsia"/>
                <w:color w:val="000000" w:themeColor="text1"/>
              </w:rPr>
              <w:t>月</w:t>
            </w:r>
            <w:r w:rsidRPr="00FF6B9A">
              <w:rPr>
                <w:rFonts w:eastAsiaTheme="minorEastAsia"/>
                <w:color w:val="000000" w:themeColor="text1"/>
              </w:rPr>
              <w:t>30</w:t>
            </w:r>
            <w:r w:rsidRPr="00FF6B9A">
              <w:rPr>
                <w:rFonts w:eastAsiaTheme="minorEastAsia"/>
                <w:color w:val="000000" w:themeColor="text1"/>
              </w:rPr>
              <w:t>日</w:t>
            </w:r>
            <w:r w:rsidRPr="00FF6B9A">
              <w:rPr>
                <w:rFonts w:eastAsiaTheme="minorEastAsia"/>
                <w:color w:val="000000" w:themeColor="text1"/>
              </w:rPr>
              <w:t>)</w:t>
            </w:r>
          </w:p>
        </w:tc>
      </w:tr>
      <w:tr w:rsidR="00CB4BAB" w:rsidRPr="00FF6B9A" w:rsidTr="00CB4BA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81,216,583.90</w:t>
            </w:r>
          </w:p>
        </w:tc>
      </w:tr>
      <w:tr w:rsidR="00CB4BAB" w:rsidRPr="00FF6B9A" w:rsidTr="00CB4BA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81,216,583.90</w:t>
            </w:r>
          </w:p>
        </w:tc>
      </w:tr>
      <w:tr w:rsidR="00CB4BAB" w:rsidRPr="00FF6B9A" w:rsidTr="00CB4BA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0.0102</w:t>
            </w:r>
          </w:p>
        </w:tc>
      </w:tr>
      <w:tr w:rsidR="00CB4BAB" w:rsidRPr="00FF6B9A" w:rsidTr="00CB4BAB">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8,255,662,106.67</w:t>
            </w:r>
          </w:p>
        </w:tc>
      </w:tr>
      <w:tr w:rsidR="00CB4BAB" w:rsidRPr="00FF6B9A" w:rsidTr="00CB4BAB">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1.0332</w:t>
            </w:r>
          </w:p>
        </w:tc>
      </w:tr>
    </w:tbl>
    <w:p w:rsidR="005533FB" w:rsidRDefault="00CB4BA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2.</w:t>
      </w:r>
      <w:r w:rsidRPr="00FF6B9A">
        <w:rPr>
          <w:rFonts w:eastAsiaTheme="minorEastAsia"/>
          <w:color w:val="000000" w:themeColor="text1"/>
        </w:rPr>
        <w:t>本期已实现收益指基金本期利息收入、投资收益、其他收入（不含公允价值变动收益）扣除相关费用后的余额，本期利润为本期已实现收益加上本期公允价值变动收益，由于本基金</w:t>
      </w:r>
      <w:r w:rsidRPr="00FF6B9A">
        <w:rPr>
          <w:rFonts w:eastAsiaTheme="minorEastAsia"/>
          <w:color w:val="000000" w:themeColor="text1"/>
        </w:rPr>
        <w:lastRenderedPageBreak/>
        <w:t>采用摊余成本法核算，所以，公允价值变动收益为零，本期已实现收益和本期利润的金额相等；</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5533FB">
        <w:tc>
          <w:tcPr>
            <w:tcW w:w="1395" w:type="dxa"/>
            <w:vAlign w:val="center"/>
          </w:tcPr>
          <w:p w:rsidR="005533FB" w:rsidRDefault="00CB4BAB">
            <w:pPr>
              <w:jc w:val="left"/>
            </w:pPr>
            <w:r>
              <w:rPr>
                <w:rFonts w:eastAsiaTheme="minorEastAsia"/>
                <w:color w:val="000000" w:themeColor="text1"/>
                <w:kern w:val="0"/>
              </w:rPr>
              <w:t>过去三个月</w:t>
            </w:r>
          </w:p>
        </w:tc>
        <w:tc>
          <w:tcPr>
            <w:tcW w:w="1092" w:type="dxa"/>
            <w:vAlign w:val="center"/>
          </w:tcPr>
          <w:p w:rsidR="005533FB" w:rsidRDefault="00CB4BAB">
            <w:pPr>
              <w:jc w:val="center"/>
            </w:pPr>
            <w:r>
              <w:rPr>
                <w:rFonts w:eastAsiaTheme="minorEastAsia"/>
                <w:color w:val="000000" w:themeColor="text1"/>
                <w:kern w:val="0"/>
              </w:rPr>
              <w:t>0.98%</w:t>
            </w:r>
          </w:p>
        </w:tc>
        <w:tc>
          <w:tcPr>
            <w:tcW w:w="1161" w:type="dxa"/>
            <w:vAlign w:val="center"/>
          </w:tcPr>
          <w:p w:rsidR="005533FB" w:rsidRDefault="00CB4BAB">
            <w:pPr>
              <w:jc w:val="center"/>
            </w:pPr>
            <w:r>
              <w:rPr>
                <w:rFonts w:eastAsiaTheme="minorEastAsia"/>
                <w:color w:val="000000" w:themeColor="text1"/>
                <w:kern w:val="0"/>
              </w:rPr>
              <w:t>0.01%</w:t>
            </w:r>
          </w:p>
        </w:tc>
        <w:tc>
          <w:tcPr>
            <w:tcW w:w="1181" w:type="dxa"/>
            <w:vAlign w:val="center"/>
          </w:tcPr>
          <w:p w:rsidR="005533FB" w:rsidRDefault="00CB4BAB">
            <w:pPr>
              <w:jc w:val="center"/>
            </w:pPr>
            <w:r>
              <w:rPr>
                <w:rFonts w:eastAsiaTheme="minorEastAsia"/>
                <w:color w:val="000000" w:themeColor="text1"/>
                <w:kern w:val="0"/>
              </w:rPr>
              <w:t>1.02%</w:t>
            </w:r>
          </w:p>
        </w:tc>
        <w:tc>
          <w:tcPr>
            <w:tcW w:w="1188" w:type="dxa"/>
            <w:vAlign w:val="center"/>
          </w:tcPr>
          <w:p w:rsidR="005533FB" w:rsidRDefault="00CB4BAB">
            <w:pPr>
              <w:jc w:val="center"/>
            </w:pPr>
            <w:r>
              <w:rPr>
                <w:rFonts w:eastAsiaTheme="minorEastAsia"/>
                <w:color w:val="000000" w:themeColor="text1"/>
                <w:kern w:val="0"/>
              </w:rPr>
              <w:t>0.01%</w:t>
            </w:r>
          </w:p>
        </w:tc>
        <w:tc>
          <w:tcPr>
            <w:tcW w:w="1199" w:type="dxa"/>
            <w:vAlign w:val="center"/>
          </w:tcPr>
          <w:p w:rsidR="005533FB" w:rsidRDefault="00CB4BAB">
            <w:pPr>
              <w:jc w:val="center"/>
            </w:pPr>
            <w:r>
              <w:rPr>
                <w:rFonts w:eastAsiaTheme="minorEastAsia"/>
                <w:color w:val="000000" w:themeColor="text1"/>
                <w:kern w:val="0"/>
              </w:rPr>
              <w:t>-0.04%</w:t>
            </w:r>
          </w:p>
        </w:tc>
        <w:tc>
          <w:tcPr>
            <w:tcW w:w="1204" w:type="dxa"/>
            <w:vAlign w:val="center"/>
          </w:tcPr>
          <w:p w:rsidR="005533FB" w:rsidRDefault="00CB4BAB">
            <w:pPr>
              <w:jc w:val="center"/>
            </w:pPr>
            <w:r>
              <w:rPr>
                <w:rFonts w:eastAsiaTheme="minorEastAsia"/>
                <w:color w:val="000000" w:themeColor="text1"/>
                <w:kern w:val="0"/>
              </w:rPr>
              <w:t>0.00%</w:t>
            </w:r>
          </w:p>
        </w:tc>
      </w:tr>
      <w:tr w:rsidR="005533FB">
        <w:tc>
          <w:tcPr>
            <w:tcW w:w="1395" w:type="dxa"/>
            <w:vAlign w:val="center"/>
          </w:tcPr>
          <w:p w:rsidR="005533FB" w:rsidRDefault="00CB4BAB">
            <w:pPr>
              <w:jc w:val="left"/>
            </w:pPr>
            <w:r>
              <w:rPr>
                <w:rFonts w:eastAsiaTheme="minorEastAsia"/>
                <w:color w:val="000000" w:themeColor="text1"/>
                <w:kern w:val="0"/>
              </w:rPr>
              <w:t>过去六个月</w:t>
            </w:r>
          </w:p>
        </w:tc>
        <w:tc>
          <w:tcPr>
            <w:tcW w:w="1092" w:type="dxa"/>
            <w:vAlign w:val="center"/>
          </w:tcPr>
          <w:p w:rsidR="005533FB" w:rsidRDefault="00CB4BAB">
            <w:pPr>
              <w:jc w:val="center"/>
            </w:pPr>
            <w:r>
              <w:rPr>
                <w:rFonts w:eastAsiaTheme="minorEastAsia"/>
                <w:color w:val="000000" w:themeColor="text1"/>
                <w:kern w:val="0"/>
              </w:rPr>
              <w:t>2.00%</w:t>
            </w:r>
          </w:p>
        </w:tc>
        <w:tc>
          <w:tcPr>
            <w:tcW w:w="1161" w:type="dxa"/>
            <w:vAlign w:val="center"/>
          </w:tcPr>
          <w:p w:rsidR="005533FB" w:rsidRDefault="00CB4BAB">
            <w:pPr>
              <w:jc w:val="center"/>
            </w:pPr>
            <w:r>
              <w:rPr>
                <w:rFonts w:eastAsiaTheme="minorEastAsia"/>
                <w:color w:val="000000" w:themeColor="text1"/>
                <w:kern w:val="0"/>
              </w:rPr>
              <w:t>0.01%</w:t>
            </w:r>
          </w:p>
        </w:tc>
        <w:tc>
          <w:tcPr>
            <w:tcW w:w="1181" w:type="dxa"/>
            <w:vAlign w:val="center"/>
          </w:tcPr>
          <w:p w:rsidR="005533FB" w:rsidRDefault="00CB4BAB">
            <w:pPr>
              <w:jc w:val="center"/>
            </w:pPr>
            <w:r>
              <w:rPr>
                <w:rFonts w:eastAsiaTheme="minorEastAsia"/>
                <w:color w:val="000000" w:themeColor="text1"/>
                <w:kern w:val="0"/>
              </w:rPr>
              <w:t>2.03%</w:t>
            </w:r>
          </w:p>
        </w:tc>
        <w:tc>
          <w:tcPr>
            <w:tcW w:w="1188" w:type="dxa"/>
            <w:vAlign w:val="center"/>
          </w:tcPr>
          <w:p w:rsidR="005533FB" w:rsidRDefault="00CB4BAB">
            <w:pPr>
              <w:jc w:val="center"/>
            </w:pPr>
            <w:r>
              <w:rPr>
                <w:rFonts w:eastAsiaTheme="minorEastAsia"/>
                <w:color w:val="000000" w:themeColor="text1"/>
                <w:kern w:val="0"/>
              </w:rPr>
              <w:t>0.01%</w:t>
            </w:r>
          </w:p>
        </w:tc>
        <w:tc>
          <w:tcPr>
            <w:tcW w:w="1199" w:type="dxa"/>
            <w:vAlign w:val="center"/>
          </w:tcPr>
          <w:p w:rsidR="005533FB" w:rsidRDefault="00CB4BAB">
            <w:pPr>
              <w:jc w:val="center"/>
            </w:pPr>
            <w:r>
              <w:rPr>
                <w:rFonts w:eastAsiaTheme="minorEastAsia"/>
                <w:color w:val="000000" w:themeColor="text1"/>
                <w:kern w:val="0"/>
              </w:rPr>
              <w:t>-0.03%</w:t>
            </w:r>
          </w:p>
        </w:tc>
        <w:tc>
          <w:tcPr>
            <w:tcW w:w="1204" w:type="dxa"/>
            <w:vAlign w:val="center"/>
          </w:tcPr>
          <w:p w:rsidR="005533FB" w:rsidRDefault="00CB4BAB">
            <w:pPr>
              <w:jc w:val="center"/>
            </w:pPr>
            <w:r>
              <w:rPr>
                <w:rFonts w:eastAsiaTheme="minorEastAsia"/>
                <w:color w:val="000000" w:themeColor="text1"/>
                <w:kern w:val="0"/>
              </w:rPr>
              <w:t>0.00%</w:t>
            </w:r>
          </w:p>
        </w:tc>
      </w:tr>
      <w:tr w:rsidR="005533FB">
        <w:tc>
          <w:tcPr>
            <w:tcW w:w="1395" w:type="dxa"/>
            <w:vAlign w:val="center"/>
          </w:tcPr>
          <w:p w:rsidR="005533FB" w:rsidRDefault="00CB4BAB">
            <w:pPr>
              <w:jc w:val="left"/>
            </w:pPr>
            <w:r>
              <w:rPr>
                <w:rFonts w:eastAsiaTheme="minorEastAsia"/>
                <w:color w:val="000000" w:themeColor="text1"/>
                <w:kern w:val="0"/>
              </w:rPr>
              <w:t>过去一年</w:t>
            </w:r>
          </w:p>
        </w:tc>
        <w:tc>
          <w:tcPr>
            <w:tcW w:w="1092" w:type="dxa"/>
            <w:vAlign w:val="center"/>
          </w:tcPr>
          <w:p w:rsidR="005533FB" w:rsidRDefault="00CB4BAB">
            <w:pPr>
              <w:jc w:val="center"/>
            </w:pPr>
            <w:r>
              <w:rPr>
                <w:rFonts w:eastAsiaTheme="minorEastAsia"/>
                <w:color w:val="000000" w:themeColor="text1"/>
                <w:kern w:val="0"/>
              </w:rPr>
              <w:t>3.86%</w:t>
            </w:r>
          </w:p>
        </w:tc>
        <w:tc>
          <w:tcPr>
            <w:tcW w:w="1161" w:type="dxa"/>
            <w:vAlign w:val="center"/>
          </w:tcPr>
          <w:p w:rsidR="005533FB" w:rsidRDefault="00CB4BAB">
            <w:pPr>
              <w:jc w:val="center"/>
            </w:pPr>
            <w:r>
              <w:rPr>
                <w:rFonts w:eastAsiaTheme="minorEastAsia"/>
                <w:color w:val="000000" w:themeColor="text1"/>
                <w:kern w:val="0"/>
              </w:rPr>
              <w:t>0.01%</w:t>
            </w:r>
          </w:p>
        </w:tc>
        <w:tc>
          <w:tcPr>
            <w:tcW w:w="1181" w:type="dxa"/>
            <w:vAlign w:val="center"/>
          </w:tcPr>
          <w:p w:rsidR="005533FB" w:rsidRDefault="00CB4BAB">
            <w:pPr>
              <w:jc w:val="center"/>
            </w:pPr>
            <w:r>
              <w:rPr>
                <w:rFonts w:eastAsiaTheme="minorEastAsia"/>
                <w:color w:val="000000" w:themeColor="text1"/>
                <w:kern w:val="0"/>
              </w:rPr>
              <w:t>4.06%</w:t>
            </w:r>
          </w:p>
        </w:tc>
        <w:tc>
          <w:tcPr>
            <w:tcW w:w="1188" w:type="dxa"/>
            <w:vAlign w:val="center"/>
          </w:tcPr>
          <w:p w:rsidR="005533FB" w:rsidRDefault="00CB4BAB">
            <w:pPr>
              <w:jc w:val="center"/>
            </w:pPr>
            <w:r>
              <w:rPr>
                <w:rFonts w:eastAsiaTheme="minorEastAsia"/>
                <w:color w:val="000000" w:themeColor="text1"/>
                <w:kern w:val="0"/>
              </w:rPr>
              <w:t>0.01%</w:t>
            </w:r>
          </w:p>
        </w:tc>
        <w:tc>
          <w:tcPr>
            <w:tcW w:w="1199" w:type="dxa"/>
            <w:vAlign w:val="center"/>
          </w:tcPr>
          <w:p w:rsidR="005533FB" w:rsidRDefault="00CB4BAB">
            <w:pPr>
              <w:jc w:val="center"/>
            </w:pPr>
            <w:r>
              <w:rPr>
                <w:rFonts w:eastAsiaTheme="minorEastAsia"/>
                <w:color w:val="000000" w:themeColor="text1"/>
                <w:kern w:val="0"/>
              </w:rPr>
              <w:t>-0.20%</w:t>
            </w:r>
          </w:p>
        </w:tc>
        <w:tc>
          <w:tcPr>
            <w:tcW w:w="1204" w:type="dxa"/>
            <w:vAlign w:val="center"/>
          </w:tcPr>
          <w:p w:rsidR="005533FB" w:rsidRDefault="00CB4BAB">
            <w:pPr>
              <w:jc w:val="center"/>
            </w:pPr>
            <w:r>
              <w:rPr>
                <w:rFonts w:eastAsiaTheme="minorEastAsia"/>
                <w:color w:val="000000" w:themeColor="text1"/>
                <w:kern w:val="0"/>
              </w:rPr>
              <w:t>0.00%</w:t>
            </w:r>
          </w:p>
        </w:tc>
      </w:tr>
      <w:tr w:rsidR="005533FB">
        <w:tc>
          <w:tcPr>
            <w:tcW w:w="1395" w:type="dxa"/>
            <w:vAlign w:val="center"/>
          </w:tcPr>
          <w:p w:rsidR="005533FB" w:rsidRDefault="00CB4BAB">
            <w:pPr>
              <w:jc w:val="left"/>
            </w:pPr>
            <w:r>
              <w:rPr>
                <w:rFonts w:eastAsiaTheme="minorEastAsia"/>
                <w:color w:val="000000" w:themeColor="text1"/>
                <w:kern w:val="0"/>
              </w:rPr>
              <w:t>过去三年</w:t>
            </w:r>
          </w:p>
        </w:tc>
        <w:tc>
          <w:tcPr>
            <w:tcW w:w="1092" w:type="dxa"/>
            <w:vAlign w:val="center"/>
          </w:tcPr>
          <w:p w:rsidR="005533FB" w:rsidRDefault="00CB4BAB">
            <w:pPr>
              <w:jc w:val="center"/>
            </w:pPr>
            <w:r>
              <w:rPr>
                <w:rFonts w:eastAsiaTheme="minorEastAsia"/>
                <w:color w:val="000000" w:themeColor="text1"/>
                <w:kern w:val="0"/>
              </w:rPr>
              <w:t>-</w:t>
            </w:r>
          </w:p>
        </w:tc>
        <w:tc>
          <w:tcPr>
            <w:tcW w:w="1161" w:type="dxa"/>
            <w:vAlign w:val="center"/>
          </w:tcPr>
          <w:p w:rsidR="005533FB" w:rsidRDefault="00CB4BAB">
            <w:pPr>
              <w:jc w:val="center"/>
            </w:pPr>
            <w:r>
              <w:rPr>
                <w:rFonts w:eastAsiaTheme="minorEastAsia"/>
                <w:color w:val="000000" w:themeColor="text1"/>
                <w:kern w:val="0"/>
              </w:rPr>
              <w:t>-</w:t>
            </w:r>
          </w:p>
        </w:tc>
        <w:tc>
          <w:tcPr>
            <w:tcW w:w="1181" w:type="dxa"/>
            <w:vAlign w:val="center"/>
          </w:tcPr>
          <w:p w:rsidR="005533FB" w:rsidRDefault="00CB4BAB">
            <w:pPr>
              <w:jc w:val="center"/>
            </w:pPr>
            <w:r>
              <w:rPr>
                <w:rFonts w:eastAsiaTheme="minorEastAsia"/>
                <w:color w:val="000000" w:themeColor="text1"/>
                <w:kern w:val="0"/>
              </w:rPr>
              <w:t>-</w:t>
            </w:r>
          </w:p>
        </w:tc>
        <w:tc>
          <w:tcPr>
            <w:tcW w:w="1188" w:type="dxa"/>
            <w:vAlign w:val="center"/>
          </w:tcPr>
          <w:p w:rsidR="005533FB" w:rsidRDefault="00CB4BAB">
            <w:pPr>
              <w:jc w:val="center"/>
            </w:pPr>
            <w:r>
              <w:rPr>
                <w:rFonts w:eastAsiaTheme="minorEastAsia"/>
                <w:color w:val="000000" w:themeColor="text1"/>
                <w:kern w:val="0"/>
              </w:rPr>
              <w:t>-</w:t>
            </w:r>
          </w:p>
        </w:tc>
        <w:tc>
          <w:tcPr>
            <w:tcW w:w="1199" w:type="dxa"/>
            <w:vAlign w:val="center"/>
          </w:tcPr>
          <w:p w:rsidR="005533FB" w:rsidRDefault="00CB4BAB">
            <w:pPr>
              <w:jc w:val="center"/>
            </w:pPr>
            <w:r>
              <w:rPr>
                <w:rFonts w:eastAsiaTheme="minorEastAsia"/>
                <w:color w:val="000000" w:themeColor="text1"/>
                <w:kern w:val="0"/>
              </w:rPr>
              <w:t>-</w:t>
            </w:r>
          </w:p>
        </w:tc>
        <w:tc>
          <w:tcPr>
            <w:tcW w:w="1204" w:type="dxa"/>
            <w:vAlign w:val="center"/>
          </w:tcPr>
          <w:p w:rsidR="005533FB" w:rsidRDefault="00CB4BAB">
            <w:pPr>
              <w:jc w:val="center"/>
            </w:pPr>
            <w:r>
              <w:rPr>
                <w:rFonts w:eastAsiaTheme="minorEastAsia"/>
                <w:color w:val="000000" w:themeColor="text1"/>
                <w:kern w:val="0"/>
              </w:rPr>
              <w:t>-</w:t>
            </w:r>
          </w:p>
        </w:tc>
      </w:tr>
      <w:tr w:rsidR="005533FB">
        <w:tc>
          <w:tcPr>
            <w:tcW w:w="1395" w:type="dxa"/>
            <w:vAlign w:val="center"/>
          </w:tcPr>
          <w:p w:rsidR="005533FB" w:rsidRDefault="00CB4BAB">
            <w:pPr>
              <w:jc w:val="left"/>
            </w:pPr>
            <w:r>
              <w:rPr>
                <w:rFonts w:eastAsiaTheme="minorEastAsia"/>
                <w:color w:val="000000" w:themeColor="text1"/>
                <w:kern w:val="0"/>
              </w:rPr>
              <w:t>过去五年</w:t>
            </w:r>
          </w:p>
        </w:tc>
        <w:tc>
          <w:tcPr>
            <w:tcW w:w="1092" w:type="dxa"/>
            <w:vAlign w:val="center"/>
          </w:tcPr>
          <w:p w:rsidR="005533FB" w:rsidRDefault="00CB4BAB">
            <w:pPr>
              <w:jc w:val="center"/>
            </w:pPr>
            <w:r>
              <w:rPr>
                <w:rFonts w:eastAsiaTheme="minorEastAsia"/>
                <w:color w:val="000000" w:themeColor="text1"/>
                <w:kern w:val="0"/>
              </w:rPr>
              <w:t>-</w:t>
            </w:r>
          </w:p>
        </w:tc>
        <w:tc>
          <w:tcPr>
            <w:tcW w:w="1161" w:type="dxa"/>
            <w:vAlign w:val="center"/>
          </w:tcPr>
          <w:p w:rsidR="005533FB" w:rsidRDefault="00CB4BAB">
            <w:pPr>
              <w:jc w:val="center"/>
            </w:pPr>
            <w:r>
              <w:rPr>
                <w:rFonts w:eastAsiaTheme="minorEastAsia"/>
                <w:color w:val="000000" w:themeColor="text1"/>
                <w:kern w:val="0"/>
              </w:rPr>
              <w:t>-</w:t>
            </w:r>
          </w:p>
        </w:tc>
        <w:tc>
          <w:tcPr>
            <w:tcW w:w="1181" w:type="dxa"/>
            <w:vAlign w:val="center"/>
          </w:tcPr>
          <w:p w:rsidR="005533FB" w:rsidRDefault="00CB4BAB">
            <w:pPr>
              <w:jc w:val="center"/>
            </w:pPr>
            <w:r>
              <w:rPr>
                <w:rFonts w:eastAsiaTheme="minorEastAsia"/>
                <w:color w:val="000000" w:themeColor="text1"/>
                <w:kern w:val="0"/>
              </w:rPr>
              <w:t>-</w:t>
            </w:r>
          </w:p>
        </w:tc>
        <w:tc>
          <w:tcPr>
            <w:tcW w:w="1188" w:type="dxa"/>
            <w:vAlign w:val="center"/>
          </w:tcPr>
          <w:p w:rsidR="005533FB" w:rsidRDefault="00CB4BAB">
            <w:pPr>
              <w:jc w:val="center"/>
            </w:pPr>
            <w:r>
              <w:rPr>
                <w:rFonts w:eastAsiaTheme="minorEastAsia"/>
                <w:color w:val="000000" w:themeColor="text1"/>
                <w:kern w:val="0"/>
              </w:rPr>
              <w:t>-</w:t>
            </w:r>
          </w:p>
        </w:tc>
        <w:tc>
          <w:tcPr>
            <w:tcW w:w="1199" w:type="dxa"/>
            <w:vAlign w:val="center"/>
          </w:tcPr>
          <w:p w:rsidR="005533FB" w:rsidRDefault="00CB4BAB">
            <w:pPr>
              <w:jc w:val="center"/>
            </w:pPr>
            <w:r>
              <w:rPr>
                <w:rFonts w:eastAsiaTheme="minorEastAsia"/>
                <w:color w:val="000000" w:themeColor="text1"/>
                <w:kern w:val="0"/>
              </w:rPr>
              <w:t>-</w:t>
            </w:r>
          </w:p>
        </w:tc>
        <w:tc>
          <w:tcPr>
            <w:tcW w:w="1204" w:type="dxa"/>
            <w:vAlign w:val="center"/>
          </w:tcPr>
          <w:p w:rsidR="005533FB" w:rsidRDefault="00CB4BAB">
            <w:pPr>
              <w:jc w:val="center"/>
            </w:pPr>
            <w:r>
              <w:rPr>
                <w:rFonts w:eastAsiaTheme="minorEastAsia"/>
                <w:color w:val="000000" w:themeColor="text1"/>
                <w:kern w:val="0"/>
              </w:rPr>
              <w:t>-</w:t>
            </w:r>
          </w:p>
        </w:tc>
      </w:tr>
      <w:tr w:rsidR="005533FB">
        <w:tc>
          <w:tcPr>
            <w:tcW w:w="1395" w:type="dxa"/>
            <w:vAlign w:val="center"/>
          </w:tcPr>
          <w:p w:rsidR="005533FB" w:rsidRDefault="00CB4BAB">
            <w:pPr>
              <w:jc w:val="left"/>
            </w:pPr>
            <w:r>
              <w:rPr>
                <w:rFonts w:eastAsiaTheme="minorEastAsia"/>
                <w:color w:val="000000" w:themeColor="text1"/>
                <w:kern w:val="0"/>
              </w:rPr>
              <w:t>自基金合同生效起至今</w:t>
            </w:r>
          </w:p>
        </w:tc>
        <w:tc>
          <w:tcPr>
            <w:tcW w:w="1092" w:type="dxa"/>
            <w:vAlign w:val="center"/>
          </w:tcPr>
          <w:p w:rsidR="005533FB" w:rsidRDefault="00CB4BAB">
            <w:pPr>
              <w:jc w:val="center"/>
            </w:pPr>
            <w:r>
              <w:rPr>
                <w:rFonts w:eastAsiaTheme="minorEastAsia"/>
                <w:color w:val="000000" w:themeColor="text1"/>
                <w:kern w:val="0"/>
              </w:rPr>
              <w:t>4.32%</w:t>
            </w:r>
          </w:p>
        </w:tc>
        <w:tc>
          <w:tcPr>
            <w:tcW w:w="1161" w:type="dxa"/>
            <w:vAlign w:val="center"/>
          </w:tcPr>
          <w:p w:rsidR="005533FB" w:rsidRDefault="00CB4BAB">
            <w:pPr>
              <w:jc w:val="center"/>
            </w:pPr>
            <w:r>
              <w:rPr>
                <w:rFonts w:eastAsiaTheme="minorEastAsia"/>
                <w:color w:val="000000" w:themeColor="text1"/>
                <w:kern w:val="0"/>
              </w:rPr>
              <w:t>0.01%</w:t>
            </w:r>
          </w:p>
        </w:tc>
        <w:tc>
          <w:tcPr>
            <w:tcW w:w="1181" w:type="dxa"/>
            <w:vAlign w:val="center"/>
          </w:tcPr>
          <w:p w:rsidR="005533FB" w:rsidRDefault="00CB4BAB">
            <w:pPr>
              <w:jc w:val="center"/>
            </w:pPr>
            <w:r>
              <w:rPr>
                <w:rFonts w:eastAsiaTheme="minorEastAsia"/>
                <w:color w:val="000000" w:themeColor="text1"/>
                <w:kern w:val="0"/>
              </w:rPr>
              <w:t>4.71%</w:t>
            </w:r>
          </w:p>
        </w:tc>
        <w:tc>
          <w:tcPr>
            <w:tcW w:w="1188" w:type="dxa"/>
            <w:vAlign w:val="center"/>
          </w:tcPr>
          <w:p w:rsidR="005533FB" w:rsidRDefault="00CB4BAB">
            <w:pPr>
              <w:jc w:val="center"/>
            </w:pPr>
            <w:r>
              <w:rPr>
                <w:rFonts w:eastAsiaTheme="minorEastAsia"/>
                <w:color w:val="000000" w:themeColor="text1"/>
                <w:kern w:val="0"/>
              </w:rPr>
              <w:t>0.01%</w:t>
            </w:r>
          </w:p>
        </w:tc>
        <w:tc>
          <w:tcPr>
            <w:tcW w:w="1199" w:type="dxa"/>
            <w:vAlign w:val="center"/>
          </w:tcPr>
          <w:p w:rsidR="005533FB" w:rsidRDefault="00CB4BAB">
            <w:pPr>
              <w:jc w:val="center"/>
            </w:pPr>
            <w:r>
              <w:rPr>
                <w:rFonts w:eastAsiaTheme="minorEastAsia"/>
                <w:color w:val="000000" w:themeColor="text1"/>
                <w:kern w:val="0"/>
              </w:rPr>
              <w:t>-0.39%</w:t>
            </w:r>
          </w:p>
        </w:tc>
        <w:tc>
          <w:tcPr>
            <w:tcW w:w="1204" w:type="dxa"/>
            <w:vAlign w:val="center"/>
          </w:tcPr>
          <w:p w:rsidR="005533FB" w:rsidRDefault="00CB4BAB">
            <w:pPr>
              <w:jc w:val="center"/>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(2020</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8</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30</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5533FB" w:rsidRDefault="00CB4BA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w:t>
      </w:r>
      <w:r>
        <w:rPr>
          <w:rFonts w:eastAsiaTheme="minorEastAsia"/>
          <w:color w:val="000000" w:themeColor="text1"/>
        </w:rPr>
        <w:t>3</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6</w:t>
      </w:r>
      <w:r w:rsidRPr="00FF6B9A">
        <w:rPr>
          <w:rFonts w:eastAsiaTheme="minorEastAsia"/>
          <w:color w:val="000000" w:themeColor="text1"/>
        </w:rPr>
        <w:t>个月，建仓期结束时资产配置比例符合本基金基金合同规定。</w:t>
      </w:r>
      <w:r w:rsidRPr="00FF6B9A">
        <w:rPr>
          <w:rFonts w:eastAsiaTheme="minorEastAsia"/>
          <w:color w:val="000000" w:themeColor="text1"/>
        </w:rPr>
        <w:t xml:space="preserve"> </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5533FB">
        <w:tc>
          <w:tcPr>
            <w:tcW w:w="851" w:type="dxa"/>
            <w:vAlign w:val="center"/>
          </w:tcPr>
          <w:p w:rsidR="005533FB" w:rsidRDefault="00CB4BAB">
            <w:pPr>
              <w:jc w:val="center"/>
            </w:pPr>
            <w:r>
              <w:rPr>
                <w:rFonts w:eastAsiaTheme="minorEastAsia"/>
                <w:color w:val="000000" w:themeColor="text1"/>
              </w:rPr>
              <w:t>聂曙光</w:t>
            </w:r>
          </w:p>
        </w:tc>
        <w:tc>
          <w:tcPr>
            <w:tcW w:w="850" w:type="dxa"/>
            <w:vAlign w:val="center"/>
          </w:tcPr>
          <w:p w:rsidR="005533FB" w:rsidRDefault="00CB4BAB">
            <w:pPr>
              <w:jc w:val="center"/>
            </w:pPr>
            <w:r>
              <w:rPr>
                <w:rFonts w:eastAsiaTheme="minorEastAsia"/>
                <w:color w:val="000000" w:themeColor="text1"/>
              </w:rPr>
              <w:t>本基金基金经理、债券投资部总监</w:t>
            </w:r>
          </w:p>
        </w:tc>
        <w:tc>
          <w:tcPr>
            <w:tcW w:w="1560" w:type="dxa"/>
            <w:vAlign w:val="center"/>
          </w:tcPr>
          <w:p w:rsidR="005533FB" w:rsidRDefault="00CB4BAB">
            <w:pPr>
              <w:jc w:val="center"/>
            </w:pPr>
            <w:r>
              <w:rPr>
                <w:rFonts w:eastAsiaTheme="minorEastAsia"/>
                <w:color w:val="000000" w:themeColor="text1"/>
              </w:rPr>
              <w:t>2020-08-03</w:t>
            </w:r>
          </w:p>
        </w:tc>
        <w:tc>
          <w:tcPr>
            <w:tcW w:w="1559" w:type="dxa"/>
            <w:vAlign w:val="center"/>
          </w:tcPr>
          <w:p w:rsidR="005533FB" w:rsidRDefault="00CB4BAB">
            <w:pPr>
              <w:jc w:val="center"/>
            </w:pPr>
            <w:r>
              <w:rPr>
                <w:rFonts w:eastAsiaTheme="minorEastAsia"/>
                <w:color w:val="000000" w:themeColor="text1"/>
              </w:rPr>
              <w:t>-</w:t>
            </w:r>
          </w:p>
        </w:tc>
        <w:tc>
          <w:tcPr>
            <w:tcW w:w="1417" w:type="dxa"/>
            <w:vAlign w:val="center"/>
          </w:tcPr>
          <w:p w:rsidR="005533FB" w:rsidRDefault="00CB4BAB">
            <w:pPr>
              <w:jc w:val="center"/>
            </w:pPr>
            <w:r>
              <w:rPr>
                <w:rFonts w:eastAsiaTheme="minorEastAsia"/>
                <w:color w:val="000000" w:themeColor="text1"/>
              </w:rPr>
              <w:t>16</w:t>
            </w:r>
            <w:r>
              <w:rPr>
                <w:rFonts w:eastAsiaTheme="minorEastAsia"/>
                <w:color w:val="000000" w:themeColor="text1"/>
              </w:rPr>
              <w:t>年</w:t>
            </w:r>
          </w:p>
        </w:tc>
        <w:tc>
          <w:tcPr>
            <w:tcW w:w="2694" w:type="dxa"/>
            <w:vAlign w:val="center"/>
          </w:tcPr>
          <w:p w:rsidR="005533FB" w:rsidRDefault="00CB4BAB">
            <w:r>
              <w:rPr>
                <w:rFonts w:eastAsiaTheme="minorEastAsia"/>
                <w:color w:val="000000" w:themeColor="text1"/>
              </w:rPr>
              <w:t>聂曙光先生，自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月在南京银行任债券分析师；</w:t>
            </w:r>
            <w:r>
              <w:rPr>
                <w:rFonts w:eastAsiaTheme="minorEastAsia"/>
                <w:color w:val="000000" w:themeColor="text1"/>
              </w:rPr>
              <w:t>2006</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月在兴业银行任债券投资经理；</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月在中欧基金管理有限公司先后担任研究员、基金经理助理、基金经理、固定收益部总监、固定收益事业部临时负责人等职务。自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月起加入上投摩根基金管理有限公司，先后担任基金</w:t>
            </w:r>
            <w:r>
              <w:rPr>
                <w:rFonts w:eastAsiaTheme="minorEastAsia"/>
                <w:color w:val="000000" w:themeColor="text1"/>
              </w:rPr>
              <w:lastRenderedPageBreak/>
              <w:t>经理、债券投资部总监兼资深基金经理，自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月起担任上投摩根纯债债券型证券投资基金基金经理，自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月同时担任上投摩根红利回报混合型证券投资基金基金经理，自</w:t>
            </w:r>
            <w:r>
              <w:rPr>
                <w:rFonts w:eastAsiaTheme="minorEastAsia"/>
                <w:color w:val="000000" w:themeColor="text1"/>
              </w:rPr>
              <w:t>2</w:t>
            </w:r>
            <w:r>
              <w:rPr>
                <w:rFonts w:eastAsiaTheme="minorEastAsia"/>
                <w:color w:val="000000" w:themeColor="text1"/>
              </w:rPr>
              <w:t>014</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月起同时担任上投摩根纯债丰利债券型证券投资基金基金经理，自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月同时担任上投摩根稳进回报混合型证券投资基金基金经理，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月同时担任上投摩根天颐年丰混合型证券投资基金基金经理，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月同时担任上投摩根优信增利债券型证券投资基金基金经理，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月同时担任上投摩根安鑫回报混合型证券投资基金基金经理，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月同时担任上投摩根岁岁丰定期开放债券型证券投资基金基金经理，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月同时担任上投摩根安瑞回报混合型证券投资基金基金经理，自</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月起同时担任上投摩根安通回报混合型证券投资基金基金经理，</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月同时担任上投摩根安裕回报混合型证券投资基金基金经理，</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月同时担任上投摩根岁岁益定期开放债券型证券投资基金，自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月起同时担任上投摩根丰瑞债券型证券投资基金基金经理，自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w:t>
            </w:r>
            <w:r>
              <w:rPr>
                <w:rFonts w:eastAsiaTheme="minorEastAsia"/>
                <w:color w:val="000000" w:themeColor="text1"/>
              </w:rPr>
              <w:lastRenderedPageBreak/>
              <w:t>担任上投摩根瑞盛</w:t>
            </w:r>
            <w:r>
              <w:rPr>
                <w:rFonts w:eastAsiaTheme="minorEastAsia"/>
                <w:color w:val="000000" w:themeColor="text1"/>
              </w:rPr>
              <w:t>87</w:t>
            </w:r>
            <w:r>
              <w:rPr>
                <w:rFonts w:eastAsiaTheme="minorEastAsia"/>
                <w:color w:val="000000" w:themeColor="text1"/>
              </w:rPr>
              <w:t>个月定期开放债券型证券投资基金基金经理。</w:t>
            </w:r>
          </w:p>
        </w:tc>
      </w:tr>
      <w:tr w:rsidR="005533FB">
        <w:tc>
          <w:tcPr>
            <w:tcW w:w="851" w:type="dxa"/>
            <w:vAlign w:val="center"/>
          </w:tcPr>
          <w:p w:rsidR="005533FB" w:rsidRDefault="00CB4BAB">
            <w:pPr>
              <w:jc w:val="center"/>
            </w:pPr>
            <w:r>
              <w:rPr>
                <w:rFonts w:eastAsiaTheme="minorEastAsia"/>
                <w:color w:val="000000" w:themeColor="text1"/>
              </w:rPr>
              <w:lastRenderedPageBreak/>
              <w:t>雷杨娟</w:t>
            </w:r>
          </w:p>
        </w:tc>
        <w:tc>
          <w:tcPr>
            <w:tcW w:w="850" w:type="dxa"/>
            <w:vAlign w:val="center"/>
          </w:tcPr>
          <w:p w:rsidR="005533FB" w:rsidRDefault="00CB4BAB">
            <w:pPr>
              <w:jc w:val="center"/>
            </w:pPr>
            <w:r>
              <w:rPr>
                <w:rFonts w:eastAsiaTheme="minorEastAsia"/>
                <w:color w:val="000000" w:themeColor="text1"/>
              </w:rPr>
              <w:t>本基金基金经理</w:t>
            </w:r>
          </w:p>
        </w:tc>
        <w:tc>
          <w:tcPr>
            <w:tcW w:w="1560" w:type="dxa"/>
            <w:vAlign w:val="center"/>
          </w:tcPr>
          <w:p w:rsidR="005533FB" w:rsidRDefault="00CB4BAB">
            <w:pPr>
              <w:jc w:val="center"/>
            </w:pPr>
            <w:r>
              <w:rPr>
                <w:rFonts w:eastAsiaTheme="minorEastAsia"/>
                <w:color w:val="000000" w:themeColor="text1"/>
              </w:rPr>
              <w:t>2020-08-14</w:t>
            </w:r>
          </w:p>
        </w:tc>
        <w:tc>
          <w:tcPr>
            <w:tcW w:w="1559" w:type="dxa"/>
            <w:vAlign w:val="center"/>
          </w:tcPr>
          <w:p w:rsidR="005533FB" w:rsidRDefault="00CB4BAB">
            <w:pPr>
              <w:jc w:val="center"/>
            </w:pPr>
            <w:r>
              <w:rPr>
                <w:rFonts w:eastAsiaTheme="minorEastAsia"/>
                <w:color w:val="000000" w:themeColor="text1"/>
              </w:rPr>
              <w:t>-</w:t>
            </w:r>
          </w:p>
        </w:tc>
        <w:tc>
          <w:tcPr>
            <w:tcW w:w="1417" w:type="dxa"/>
            <w:vAlign w:val="center"/>
          </w:tcPr>
          <w:p w:rsidR="005533FB" w:rsidRDefault="00CB4BAB">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5533FB" w:rsidRDefault="00CB4BAB">
            <w:r>
              <w:rPr>
                <w:rFonts w:eastAsiaTheme="minorEastAsia"/>
                <w:color w:val="000000" w:themeColor="text1"/>
              </w:rPr>
              <w:t>清华大学工商管理硕士，现任债券投资部副总监兼资深基金经理。雷杨娟女士自</w:t>
            </w:r>
            <w:r>
              <w:rPr>
                <w:rFonts w:eastAsiaTheme="minorEastAsia"/>
                <w:color w:val="000000" w:themeColor="text1"/>
              </w:rPr>
              <w:t>2004</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月在厦门国际银行工作，历任总裁（总经理）办公室副行长秘书兼集团秘书、资金运营部外汇及外币债券交易员；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月至</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月在中国民生银行金融市场部工作，历任人民币债券自营交易员、银行账户投资经理、投顾账户投资经理；</w:t>
            </w:r>
            <w:r>
              <w:rPr>
                <w:rFonts w:eastAsiaTheme="minorEastAsia"/>
                <w:color w:val="000000" w:themeColor="text1"/>
              </w:rPr>
              <w:t>2017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月起加入上投摩根基金管理有限公司，历任专户投资二部副总监兼资深投资经理，现任债券投资部副总监兼资深基金经理，自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月起担任上投摩根丰瑞债券型证券投资基金经理，</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月同时担任上投摩根瑞利纯债债券型证券投资基金基金经理，自</w:t>
            </w:r>
            <w:r>
              <w:rPr>
                <w:rFonts w:eastAsiaTheme="minorEastAsia"/>
                <w:color w:val="000000" w:themeColor="text1"/>
              </w:rPr>
              <w:t>2020</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月起同时担任上投摩根瑞盛</w:t>
            </w:r>
            <w:r>
              <w:rPr>
                <w:rFonts w:eastAsiaTheme="minorEastAsia"/>
                <w:color w:val="000000" w:themeColor="text1"/>
              </w:rPr>
              <w:t>87</w:t>
            </w:r>
            <w:r>
              <w:rPr>
                <w:rFonts w:eastAsiaTheme="minorEastAsia"/>
                <w:color w:val="000000" w:themeColor="text1"/>
              </w:rPr>
              <w:t>个月定期开放债券型证券投资基金基金经理。自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月起同时担任上投摩根中债</w:t>
            </w:r>
            <w:r>
              <w:rPr>
                <w:rFonts w:eastAsiaTheme="minorEastAsia"/>
                <w:color w:val="000000" w:themeColor="text1"/>
              </w:rPr>
              <w:t>1-3</w:t>
            </w:r>
            <w:r>
              <w:rPr>
                <w:rFonts w:eastAsiaTheme="minorEastAsia"/>
                <w:color w:val="000000" w:themeColor="text1"/>
              </w:rPr>
              <w:t>年国开行债券指数证券投资基金基金经理。</w:t>
            </w:r>
          </w:p>
        </w:tc>
      </w:tr>
    </w:tbl>
    <w:p w:rsidR="005533FB" w:rsidRDefault="00CB4BA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5533FB" w:rsidRDefault="00CB4BAB">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聂曙光先生为本基金首任基金经理，其任职日期指本基金基金合同生效之日。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在本报告期内，基金管理人不存在损害基金份额持有人利益的行为，勤勉尽责地为基金份额持有人谋求利益。基金管理人遵守了《证券投资基金法》及其他有关法律法规、《上投摩根瑞盛</w:t>
      </w:r>
      <w:r w:rsidRPr="00FF6B9A">
        <w:rPr>
          <w:rFonts w:eastAsiaTheme="minorEastAsia"/>
          <w:color w:val="000000" w:themeColor="text1"/>
        </w:rPr>
        <w:t>87</w:t>
      </w:r>
      <w:r w:rsidRPr="00FF6B9A">
        <w:rPr>
          <w:rFonts w:eastAsiaTheme="minorEastAsia"/>
          <w:color w:val="000000" w:themeColor="text1"/>
        </w:rPr>
        <w:t>个月定期开放债券型证券投资基金基金合同》的规定。除以下情况外，基金经</w:t>
      </w:r>
      <w:r w:rsidRPr="00FF6B9A">
        <w:rPr>
          <w:rFonts w:eastAsiaTheme="minorEastAsia"/>
          <w:color w:val="000000" w:themeColor="text1"/>
        </w:rPr>
        <w:lastRenderedPageBreak/>
        <w:t>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年第三季度，上半年以来经济复苏的势头有所放缓，经济数据掉头向下，</w:t>
      </w:r>
      <w:r>
        <w:rPr>
          <w:rFonts w:eastAsiaTheme="minorEastAsia"/>
          <w:color w:val="000000" w:themeColor="text1"/>
        </w:rPr>
        <w:t>8</w:t>
      </w:r>
      <w:r>
        <w:rPr>
          <w:rFonts w:eastAsiaTheme="minorEastAsia"/>
          <w:color w:val="000000" w:themeColor="text1"/>
        </w:rPr>
        <w:t>月工业增加值低于预期，出口增速高位回落，地产投资同比基本持平上月，制造业投资和基建投资增速反弹，但基建投资反弹幅度较弱，地产销售面积同比明显走弱，新开工面积同比继续走弱，竣工面积同比有所加速。社零数据方面，受</w:t>
      </w:r>
      <w:r>
        <w:rPr>
          <w:rFonts w:eastAsiaTheme="minorEastAsia"/>
          <w:color w:val="000000" w:themeColor="text1"/>
        </w:rPr>
        <w:t>7</w:t>
      </w:r>
      <w:r>
        <w:rPr>
          <w:rFonts w:eastAsiaTheme="minorEastAsia"/>
          <w:color w:val="000000" w:themeColor="text1"/>
        </w:rPr>
        <w:t>月下旬以来的疫情冲击，餐饮消费拖累明</w:t>
      </w:r>
      <w:r>
        <w:rPr>
          <w:rFonts w:eastAsiaTheme="minorEastAsia"/>
          <w:color w:val="000000" w:themeColor="text1"/>
        </w:rPr>
        <w:lastRenderedPageBreak/>
        <w:t>显，商品零售除部分可选品大部分商品同比增速均</w:t>
      </w:r>
      <w:r>
        <w:rPr>
          <w:rFonts w:eastAsiaTheme="minorEastAsia"/>
          <w:color w:val="000000" w:themeColor="text1"/>
        </w:rPr>
        <w:t>下行。通胀压力呈现上升趋势，核心</w:t>
      </w:r>
      <w:r>
        <w:rPr>
          <w:rFonts w:eastAsiaTheme="minorEastAsia"/>
          <w:color w:val="000000" w:themeColor="text1"/>
        </w:rPr>
        <w:t>CPI</w:t>
      </w:r>
      <w:r>
        <w:rPr>
          <w:rFonts w:eastAsiaTheme="minorEastAsia"/>
          <w:color w:val="000000" w:themeColor="text1"/>
        </w:rPr>
        <w:t>上涨，</w:t>
      </w:r>
      <w:r>
        <w:rPr>
          <w:rFonts w:eastAsiaTheme="minorEastAsia"/>
          <w:color w:val="000000" w:themeColor="text1"/>
        </w:rPr>
        <w:t>PPI</w:t>
      </w:r>
      <w:r>
        <w:rPr>
          <w:rFonts w:eastAsiaTheme="minorEastAsia"/>
          <w:color w:val="000000" w:themeColor="text1"/>
        </w:rPr>
        <w:t>继续上行，上游涨幅仍超中下游。</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货币政策方面，除</w:t>
      </w:r>
      <w:r>
        <w:rPr>
          <w:rFonts w:eastAsiaTheme="minorEastAsia"/>
          <w:color w:val="000000" w:themeColor="text1"/>
        </w:rPr>
        <w:t>7</w:t>
      </w:r>
      <w:r>
        <w:rPr>
          <w:rFonts w:eastAsiaTheme="minorEastAsia"/>
          <w:color w:val="000000" w:themeColor="text1"/>
        </w:rPr>
        <w:t>月份超预期对中小型机构降准</w:t>
      </w:r>
      <w:r>
        <w:rPr>
          <w:rFonts w:eastAsiaTheme="minorEastAsia"/>
          <w:color w:val="000000" w:themeColor="text1"/>
        </w:rPr>
        <w:t>50bp</w:t>
      </w:r>
      <w:r>
        <w:rPr>
          <w:rFonts w:eastAsiaTheme="minorEastAsia"/>
          <w:color w:val="000000" w:themeColor="text1"/>
        </w:rPr>
        <w:t>以外，总体上央行操作维稳基调未有明显变化。第三季度央行公开市场资金净投放</w:t>
      </w:r>
      <w:r>
        <w:rPr>
          <w:rFonts w:eastAsiaTheme="minorEastAsia"/>
          <w:color w:val="000000" w:themeColor="text1"/>
        </w:rPr>
        <w:t>3600</w:t>
      </w:r>
      <w:r>
        <w:rPr>
          <w:rFonts w:eastAsiaTheme="minorEastAsia"/>
          <w:color w:val="000000" w:themeColor="text1"/>
        </w:rPr>
        <w:t>亿元，延续了第二季度资金净投放的操作。资金利率在第三季度较前一季度小幅上行，</w:t>
      </w:r>
      <w:r>
        <w:rPr>
          <w:rFonts w:eastAsiaTheme="minorEastAsia"/>
          <w:color w:val="000000" w:themeColor="text1"/>
        </w:rPr>
        <w:t>DR01</w:t>
      </w:r>
      <w:r>
        <w:rPr>
          <w:rFonts w:eastAsiaTheme="minorEastAsia"/>
          <w:color w:val="000000" w:themeColor="text1"/>
        </w:rPr>
        <w:t>、</w:t>
      </w:r>
      <w:r>
        <w:rPr>
          <w:rFonts w:eastAsiaTheme="minorEastAsia"/>
          <w:color w:val="000000" w:themeColor="text1"/>
        </w:rPr>
        <w:t>DR007</w:t>
      </w:r>
      <w:r>
        <w:rPr>
          <w:rFonts w:eastAsiaTheme="minorEastAsia"/>
          <w:color w:val="000000" w:themeColor="text1"/>
        </w:rPr>
        <w:t>、</w:t>
      </w:r>
      <w:r>
        <w:rPr>
          <w:rFonts w:eastAsiaTheme="minorEastAsia"/>
          <w:color w:val="000000" w:themeColor="text1"/>
        </w:rPr>
        <w:t>R001</w:t>
      </w:r>
      <w:r>
        <w:rPr>
          <w:rFonts w:eastAsiaTheme="minorEastAsia"/>
          <w:color w:val="000000" w:themeColor="text1"/>
        </w:rPr>
        <w:t>和</w:t>
      </w:r>
      <w:r>
        <w:rPr>
          <w:rFonts w:eastAsiaTheme="minorEastAsia"/>
          <w:color w:val="000000" w:themeColor="text1"/>
        </w:rPr>
        <w:t>R007</w:t>
      </w:r>
      <w:r>
        <w:rPr>
          <w:rFonts w:eastAsiaTheme="minorEastAsia"/>
          <w:color w:val="000000" w:themeColor="text1"/>
        </w:rPr>
        <w:t>较前一季度分别上升</w:t>
      </w:r>
      <w:r>
        <w:rPr>
          <w:rFonts w:eastAsiaTheme="minorEastAsia"/>
          <w:color w:val="000000" w:themeColor="text1"/>
        </w:rPr>
        <w:t>6bp</w:t>
      </w:r>
      <w:r>
        <w:rPr>
          <w:rFonts w:eastAsiaTheme="minorEastAsia"/>
          <w:color w:val="000000" w:themeColor="text1"/>
        </w:rPr>
        <w:t>、</w:t>
      </w:r>
      <w:r>
        <w:rPr>
          <w:rFonts w:eastAsiaTheme="minorEastAsia"/>
          <w:color w:val="000000" w:themeColor="text1"/>
        </w:rPr>
        <w:t>4bp</w:t>
      </w:r>
      <w:r>
        <w:rPr>
          <w:rFonts w:eastAsiaTheme="minorEastAsia"/>
          <w:color w:val="000000" w:themeColor="text1"/>
        </w:rPr>
        <w:t>、</w:t>
      </w:r>
      <w:r>
        <w:rPr>
          <w:rFonts w:eastAsiaTheme="minorEastAsia"/>
          <w:color w:val="000000" w:themeColor="text1"/>
        </w:rPr>
        <w:t>7bp</w:t>
      </w:r>
      <w:r>
        <w:rPr>
          <w:rFonts w:eastAsiaTheme="minorEastAsia"/>
          <w:color w:val="000000" w:themeColor="text1"/>
        </w:rPr>
        <w:t>和</w:t>
      </w:r>
      <w:r>
        <w:rPr>
          <w:rFonts w:eastAsiaTheme="minorEastAsia"/>
          <w:color w:val="000000" w:themeColor="text1"/>
        </w:rPr>
        <w:t>8bp</w:t>
      </w:r>
      <w:r>
        <w:rPr>
          <w:rFonts w:eastAsiaTheme="minorEastAsia"/>
          <w:color w:val="000000" w:themeColor="text1"/>
        </w:rPr>
        <w:t>至</w:t>
      </w:r>
      <w:r>
        <w:rPr>
          <w:rFonts w:eastAsiaTheme="minorEastAsia"/>
          <w:color w:val="000000" w:themeColor="text1"/>
        </w:rPr>
        <w:t>2.1%</w:t>
      </w:r>
      <w:r>
        <w:rPr>
          <w:rFonts w:eastAsiaTheme="minorEastAsia"/>
          <w:color w:val="000000" w:themeColor="text1"/>
        </w:rPr>
        <w:t>、</w:t>
      </w:r>
      <w:r>
        <w:rPr>
          <w:rFonts w:eastAsiaTheme="minorEastAsia"/>
          <w:color w:val="000000" w:themeColor="text1"/>
        </w:rPr>
        <w:t>2.18%</w:t>
      </w:r>
      <w:r>
        <w:rPr>
          <w:rFonts w:eastAsiaTheme="minorEastAsia"/>
          <w:color w:val="000000" w:themeColor="text1"/>
        </w:rPr>
        <w:t>、</w:t>
      </w:r>
      <w:r>
        <w:rPr>
          <w:rFonts w:eastAsiaTheme="minorEastAsia"/>
          <w:color w:val="000000" w:themeColor="text1"/>
        </w:rPr>
        <w:t>2.08%</w:t>
      </w:r>
      <w:r>
        <w:rPr>
          <w:rFonts w:eastAsiaTheme="minorEastAsia"/>
          <w:color w:val="000000" w:themeColor="text1"/>
        </w:rPr>
        <w:t>和</w:t>
      </w:r>
      <w:r>
        <w:rPr>
          <w:rFonts w:eastAsiaTheme="minorEastAsia"/>
          <w:color w:val="000000" w:themeColor="text1"/>
        </w:rPr>
        <w:t>2.32%</w:t>
      </w:r>
      <w:r>
        <w:rPr>
          <w:rFonts w:eastAsiaTheme="minorEastAsia"/>
          <w:color w:val="000000" w:themeColor="text1"/>
        </w:rPr>
        <w:t>。季末资金紧张程度均高于前两个季度。</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债券市场方面，第三季度，国债和地方专项债发行明显加</w:t>
      </w:r>
      <w:r>
        <w:rPr>
          <w:rFonts w:eastAsiaTheme="minorEastAsia"/>
          <w:color w:val="000000" w:themeColor="text1"/>
        </w:rPr>
        <w:t>速，政金债发行量未有明显减少，债券供给压力较大。债券收益率曲线基本保持牛陡态势，其中国开债收益率曲线的牛陡态势更为明确。</w:t>
      </w:r>
      <w:r>
        <w:rPr>
          <w:rFonts w:eastAsiaTheme="minorEastAsia"/>
          <w:color w:val="000000" w:themeColor="text1"/>
        </w:rPr>
        <w:t>10</w:t>
      </w:r>
      <w:r>
        <w:rPr>
          <w:rFonts w:eastAsiaTheme="minorEastAsia"/>
          <w:color w:val="000000" w:themeColor="text1"/>
        </w:rPr>
        <w:t>年期国债和</w:t>
      </w:r>
      <w:r>
        <w:rPr>
          <w:rFonts w:eastAsiaTheme="minorEastAsia"/>
          <w:color w:val="000000" w:themeColor="text1"/>
        </w:rPr>
        <w:t>10</w:t>
      </w:r>
      <w:r>
        <w:rPr>
          <w:rFonts w:eastAsiaTheme="minorEastAsia"/>
          <w:color w:val="000000" w:themeColor="text1"/>
        </w:rPr>
        <w:t>年期国开债收益率分别下行</w:t>
      </w:r>
      <w:r>
        <w:rPr>
          <w:rFonts w:eastAsiaTheme="minorEastAsia"/>
          <w:color w:val="000000" w:themeColor="text1"/>
        </w:rPr>
        <w:t>20bp</w:t>
      </w:r>
      <w:r>
        <w:rPr>
          <w:rFonts w:eastAsiaTheme="minorEastAsia"/>
          <w:color w:val="000000" w:themeColor="text1"/>
        </w:rPr>
        <w:t>和</w:t>
      </w:r>
      <w:r>
        <w:rPr>
          <w:rFonts w:eastAsiaTheme="minorEastAsia"/>
          <w:color w:val="000000" w:themeColor="text1"/>
        </w:rPr>
        <w:t>29bp</w:t>
      </w:r>
      <w:r>
        <w:rPr>
          <w:rFonts w:eastAsiaTheme="minorEastAsia"/>
          <w:color w:val="000000" w:themeColor="text1"/>
        </w:rPr>
        <w:t>至</w:t>
      </w:r>
      <w:r>
        <w:rPr>
          <w:rFonts w:eastAsiaTheme="minorEastAsia"/>
          <w:color w:val="000000" w:themeColor="text1"/>
        </w:rPr>
        <w:t>2.88%</w:t>
      </w:r>
      <w:r>
        <w:rPr>
          <w:rFonts w:eastAsiaTheme="minorEastAsia"/>
          <w:color w:val="000000" w:themeColor="text1"/>
        </w:rPr>
        <w:t>和</w:t>
      </w:r>
      <w:r>
        <w:rPr>
          <w:rFonts w:eastAsiaTheme="minorEastAsia"/>
          <w:color w:val="000000" w:themeColor="text1"/>
        </w:rPr>
        <w:t>3.2%</w:t>
      </w:r>
      <w:r>
        <w:rPr>
          <w:rFonts w:eastAsiaTheme="minorEastAsia"/>
          <w:color w:val="000000" w:themeColor="text1"/>
        </w:rPr>
        <w:t>。</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第三季度，本基金拉长了久期并在季末提升了杠杆比例和进行了债券品种和久期结构的调整。</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第四季度，预计经济复苏的长期趋势仍将持续，流动性很难有明显缩紧。同时，原材料涨价逻辑仍可能持续，通胀压力较前期有所上升。国际方面，美国缩减量化宽松在即，美国国债收益率的上行趋势较为确定，可能会给国内债市收益率短期带来一定的上行推力。此外，今年第四季度会有</w:t>
      </w:r>
      <w:r w:rsidRPr="00FF6B9A">
        <w:rPr>
          <w:rFonts w:eastAsiaTheme="minorEastAsia"/>
          <w:color w:val="000000" w:themeColor="text1"/>
        </w:rPr>
        <w:t>G20</w:t>
      </w:r>
      <w:r w:rsidRPr="00FF6B9A">
        <w:rPr>
          <w:rFonts w:eastAsiaTheme="minorEastAsia"/>
          <w:color w:val="000000" w:themeColor="text1"/>
        </w:rPr>
        <w:t>、</w:t>
      </w:r>
      <w:r w:rsidRPr="00FF6B9A">
        <w:rPr>
          <w:rFonts w:eastAsiaTheme="minorEastAsia"/>
          <w:color w:val="000000" w:themeColor="text1"/>
        </w:rPr>
        <w:t>APEC</w:t>
      </w:r>
      <w:r w:rsidRPr="00FF6B9A">
        <w:rPr>
          <w:rFonts w:eastAsiaTheme="minorEastAsia"/>
          <w:color w:val="000000" w:themeColor="text1"/>
        </w:rPr>
        <w:t>、美国国会中期选举、中国共产党第二十次全国代表大会的召开等事件，受事件短期影响的可能性将明显提升。因此，计划第四季度保持现有杠杆水平，若收益率有明显调整，可能带来较好的配置机会，将择机微幅提升杠杆水平。</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本报告期上投摩根瑞盛</w:t>
      </w:r>
      <w:r w:rsidRPr="00FF6B9A">
        <w:rPr>
          <w:rFonts w:eastAsiaTheme="minorEastAsia"/>
          <w:color w:val="000000" w:themeColor="text1"/>
        </w:rPr>
        <w:t>87</w:t>
      </w:r>
      <w:r w:rsidRPr="00FF6B9A">
        <w:rPr>
          <w:rFonts w:eastAsiaTheme="minorEastAsia"/>
          <w:color w:val="000000" w:themeColor="text1"/>
        </w:rPr>
        <w:t>个月定期开放债券份额净值增长率为</w:t>
      </w:r>
      <w:r w:rsidRPr="00FF6B9A">
        <w:rPr>
          <w:rFonts w:eastAsiaTheme="minorEastAsia"/>
          <w:color w:val="000000" w:themeColor="text1"/>
        </w:rPr>
        <w:t>:0.98%</w:t>
      </w:r>
      <w:r w:rsidRPr="00FF6B9A">
        <w:rPr>
          <w:rFonts w:eastAsiaTheme="minorEastAsia"/>
          <w:color w:val="000000" w:themeColor="text1"/>
        </w:rPr>
        <w:t>，同期业绩比较基准收益率为</w:t>
      </w:r>
      <w:r w:rsidRPr="00FF6B9A">
        <w:rPr>
          <w:rFonts w:eastAsiaTheme="minorEastAsia"/>
          <w:color w:val="000000" w:themeColor="text1"/>
        </w:rPr>
        <w:t>:1.02%</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13,462,402,387.83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97.28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13,462,402,387.83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97.28</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236,917,472.73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139,244,963.37</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13,838,564,823.93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本基金本报告期末未持有股票。</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p w:rsidR="00FF6B9A" w:rsidRPr="00FF6B9A" w:rsidRDefault="00FF6B9A" w:rsidP="00FF6B9A">
      <w:pPr>
        <w:spacing w:line="360" w:lineRule="auto"/>
        <w:ind w:firstLineChars="200" w:firstLine="480"/>
        <w:rPr>
          <w:rFonts w:eastAsiaTheme="minorEastAsia"/>
          <w:sz w:val="24"/>
          <w:szCs w:val="24"/>
        </w:rPr>
      </w:pPr>
      <w:r w:rsidRPr="00FF6B9A">
        <w:rPr>
          <w:rFonts w:eastAsiaTheme="minorEastAsia"/>
          <w:sz w:val="24"/>
          <w:szCs w:val="24"/>
        </w:rPr>
        <w:t>本基金本报告期末未持有股票。</w:t>
      </w:r>
    </w:p>
    <w:bookmarkEnd w:id="1"/>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10,392,474,800.05</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125.88</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10,392,474,800.05</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125.88</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3,069,927,587.78</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37.19</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13,462,402,387.83</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163.07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5533FB">
        <w:tc>
          <w:tcPr>
            <w:tcW w:w="1252" w:type="dxa"/>
            <w:vAlign w:val="center"/>
          </w:tcPr>
          <w:p w:rsidR="005533FB" w:rsidRDefault="00CB4BAB">
            <w:pPr>
              <w:jc w:val="center"/>
            </w:pPr>
            <w:r>
              <w:rPr>
                <w:rFonts w:eastAsiaTheme="minorEastAsia"/>
                <w:color w:val="000000" w:themeColor="text1"/>
                <w:kern w:val="0"/>
              </w:rPr>
              <w:t>1</w:t>
            </w:r>
          </w:p>
        </w:tc>
        <w:tc>
          <w:tcPr>
            <w:tcW w:w="1310" w:type="dxa"/>
            <w:vAlign w:val="center"/>
          </w:tcPr>
          <w:p w:rsidR="005533FB" w:rsidRDefault="00CB4BAB">
            <w:pPr>
              <w:jc w:val="center"/>
            </w:pPr>
            <w:r>
              <w:rPr>
                <w:rFonts w:eastAsiaTheme="minorEastAsia"/>
                <w:color w:val="000000" w:themeColor="text1"/>
                <w:kern w:val="0"/>
              </w:rPr>
              <w:t>092018002</w:t>
            </w:r>
          </w:p>
        </w:tc>
        <w:tc>
          <w:tcPr>
            <w:tcW w:w="1282" w:type="dxa"/>
            <w:vAlign w:val="center"/>
          </w:tcPr>
          <w:p w:rsidR="005533FB" w:rsidRDefault="00CB4BAB">
            <w:pPr>
              <w:jc w:val="center"/>
            </w:pPr>
            <w:r>
              <w:rPr>
                <w:rFonts w:eastAsiaTheme="minorEastAsia"/>
                <w:color w:val="000000" w:themeColor="text1"/>
                <w:kern w:val="0"/>
              </w:rPr>
              <w:t>20</w:t>
            </w:r>
            <w:r>
              <w:rPr>
                <w:rFonts w:eastAsiaTheme="minorEastAsia"/>
                <w:color w:val="000000" w:themeColor="text1"/>
                <w:kern w:val="0"/>
              </w:rPr>
              <w:t>农发清发</w:t>
            </w:r>
            <w:r>
              <w:rPr>
                <w:rFonts w:eastAsiaTheme="minorEastAsia"/>
                <w:color w:val="000000" w:themeColor="text1"/>
                <w:kern w:val="0"/>
              </w:rPr>
              <w:t>02</w:t>
            </w:r>
          </w:p>
        </w:tc>
        <w:tc>
          <w:tcPr>
            <w:tcW w:w="1426" w:type="dxa"/>
            <w:vAlign w:val="center"/>
          </w:tcPr>
          <w:p w:rsidR="005533FB" w:rsidRDefault="00CB4BAB">
            <w:pPr>
              <w:jc w:val="right"/>
            </w:pPr>
            <w:r>
              <w:rPr>
                <w:rFonts w:eastAsiaTheme="minorEastAsia"/>
                <w:color w:val="000000" w:themeColor="text1"/>
                <w:kern w:val="0"/>
              </w:rPr>
              <w:t>29,700,000</w:t>
            </w:r>
          </w:p>
        </w:tc>
        <w:tc>
          <w:tcPr>
            <w:tcW w:w="1646" w:type="dxa"/>
            <w:vAlign w:val="center"/>
          </w:tcPr>
          <w:p w:rsidR="005533FB" w:rsidRDefault="00CB4BAB">
            <w:pPr>
              <w:jc w:val="right"/>
            </w:pPr>
            <w:r>
              <w:rPr>
                <w:rFonts w:eastAsiaTheme="minorEastAsia"/>
                <w:color w:val="000000" w:themeColor="text1"/>
                <w:kern w:val="0"/>
              </w:rPr>
              <w:t>2,878,926,184.67</w:t>
            </w:r>
          </w:p>
        </w:tc>
        <w:tc>
          <w:tcPr>
            <w:tcW w:w="1612" w:type="dxa"/>
            <w:vAlign w:val="center"/>
          </w:tcPr>
          <w:p w:rsidR="005533FB" w:rsidRDefault="00CB4BAB">
            <w:pPr>
              <w:jc w:val="right"/>
            </w:pPr>
            <w:r>
              <w:rPr>
                <w:rFonts w:eastAsiaTheme="minorEastAsia"/>
                <w:color w:val="000000" w:themeColor="text1"/>
                <w:kern w:val="0"/>
              </w:rPr>
              <w:t>34.87</w:t>
            </w:r>
          </w:p>
        </w:tc>
      </w:tr>
      <w:tr w:rsidR="005533FB">
        <w:tc>
          <w:tcPr>
            <w:tcW w:w="1252" w:type="dxa"/>
            <w:vAlign w:val="center"/>
          </w:tcPr>
          <w:p w:rsidR="005533FB" w:rsidRDefault="00CB4BAB">
            <w:pPr>
              <w:jc w:val="center"/>
            </w:pPr>
            <w:r>
              <w:rPr>
                <w:rFonts w:eastAsiaTheme="minorEastAsia"/>
                <w:color w:val="000000" w:themeColor="text1"/>
                <w:kern w:val="0"/>
              </w:rPr>
              <w:t>2</w:t>
            </w:r>
          </w:p>
        </w:tc>
        <w:tc>
          <w:tcPr>
            <w:tcW w:w="1310" w:type="dxa"/>
            <w:vAlign w:val="center"/>
          </w:tcPr>
          <w:p w:rsidR="005533FB" w:rsidRDefault="00CB4BAB">
            <w:pPr>
              <w:jc w:val="center"/>
            </w:pPr>
            <w:r>
              <w:rPr>
                <w:rFonts w:eastAsiaTheme="minorEastAsia"/>
                <w:color w:val="000000" w:themeColor="text1"/>
                <w:kern w:val="0"/>
              </w:rPr>
              <w:t>200209</w:t>
            </w:r>
          </w:p>
        </w:tc>
        <w:tc>
          <w:tcPr>
            <w:tcW w:w="1282" w:type="dxa"/>
            <w:vAlign w:val="center"/>
          </w:tcPr>
          <w:p w:rsidR="005533FB" w:rsidRDefault="00CB4BAB">
            <w:pPr>
              <w:jc w:val="center"/>
            </w:pPr>
            <w:r>
              <w:rPr>
                <w:rFonts w:eastAsiaTheme="minorEastAsia"/>
                <w:color w:val="000000" w:themeColor="text1"/>
                <w:kern w:val="0"/>
              </w:rPr>
              <w:t>20</w:t>
            </w:r>
            <w:r>
              <w:rPr>
                <w:rFonts w:eastAsiaTheme="minorEastAsia"/>
                <w:color w:val="000000" w:themeColor="text1"/>
                <w:kern w:val="0"/>
              </w:rPr>
              <w:t>国开</w:t>
            </w:r>
            <w:r>
              <w:rPr>
                <w:rFonts w:eastAsiaTheme="minorEastAsia"/>
                <w:color w:val="000000" w:themeColor="text1"/>
                <w:kern w:val="0"/>
              </w:rPr>
              <w:t>09</w:t>
            </w:r>
          </w:p>
        </w:tc>
        <w:tc>
          <w:tcPr>
            <w:tcW w:w="1426" w:type="dxa"/>
            <w:vAlign w:val="center"/>
          </w:tcPr>
          <w:p w:rsidR="005533FB" w:rsidRDefault="00CB4BAB">
            <w:pPr>
              <w:jc w:val="right"/>
            </w:pPr>
            <w:r>
              <w:rPr>
                <w:rFonts w:eastAsiaTheme="minorEastAsia"/>
                <w:color w:val="000000" w:themeColor="text1"/>
                <w:kern w:val="0"/>
              </w:rPr>
              <w:t>28,700,000</w:t>
            </w:r>
          </w:p>
        </w:tc>
        <w:tc>
          <w:tcPr>
            <w:tcW w:w="1646" w:type="dxa"/>
            <w:vAlign w:val="center"/>
          </w:tcPr>
          <w:p w:rsidR="005533FB" w:rsidRDefault="00CB4BAB">
            <w:pPr>
              <w:jc w:val="right"/>
            </w:pPr>
            <w:r>
              <w:rPr>
                <w:rFonts w:eastAsiaTheme="minorEastAsia"/>
                <w:color w:val="000000" w:themeColor="text1"/>
                <w:kern w:val="0"/>
              </w:rPr>
              <w:t>2,855,534,773.61</w:t>
            </w:r>
          </w:p>
        </w:tc>
        <w:tc>
          <w:tcPr>
            <w:tcW w:w="1612" w:type="dxa"/>
            <w:vAlign w:val="center"/>
          </w:tcPr>
          <w:p w:rsidR="005533FB" w:rsidRDefault="00CB4BAB">
            <w:pPr>
              <w:jc w:val="right"/>
            </w:pPr>
            <w:r>
              <w:rPr>
                <w:rFonts w:eastAsiaTheme="minorEastAsia"/>
                <w:color w:val="000000" w:themeColor="text1"/>
                <w:kern w:val="0"/>
              </w:rPr>
              <w:t>34.59</w:t>
            </w:r>
          </w:p>
        </w:tc>
      </w:tr>
      <w:tr w:rsidR="005533FB">
        <w:tc>
          <w:tcPr>
            <w:tcW w:w="1252" w:type="dxa"/>
            <w:vAlign w:val="center"/>
          </w:tcPr>
          <w:p w:rsidR="005533FB" w:rsidRDefault="00CB4BAB">
            <w:pPr>
              <w:jc w:val="center"/>
            </w:pPr>
            <w:r>
              <w:rPr>
                <w:rFonts w:eastAsiaTheme="minorEastAsia"/>
                <w:color w:val="000000" w:themeColor="text1"/>
                <w:kern w:val="0"/>
              </w:rPr>
              <w:t>3</w:t>
            </w:r>
          </w:p>
        </w:tc>
        <w:tc>
          <w:tcPr>
            <w:tcW w:w="1310" w:type="dxa"/>
            <w:vAlign w:val="center"/>
          </w:tcPr>
          <w:p w:rsidR="005533FB" w:rsidRDefault="00CB4BAB">
            <w:pPr>
              <w:jc w:val="center"/>
            </w:pPr>
            <w:r>
              <w:rPr>
                <w:rFonts w:eastAsiaTheme="minorEastAsia"/>
                <w:color w:val="000000" w:themeColor="text1"/>
                <w:kern w:val="0"/>
              </w:rPr>
              <w:t>170415</w:t>
            </w:r>
          </w:p>
        </w:tc>
        <w:tc>
          <w:tcPr>
            <w:tcW w:w="1282" w:type="dxa"/>
            <w:vAlign w:val="center"/>
          </w:tcPr>
          <w:p w:rsidR="005533FB" w:rsidRDefault="00CB4BAB">
            <w:pPr>
              <w:jc w:val="center"/>
            </w:pPr>
            <w:r>
              <w:rPr>
                <w:rFonts w:eastAsiaTheme="minorEastAsia"/>
                <w:color w:val="000000" w:themeColor="text1"/>
                <w:kern w:val="0"/>
              </w:rPr>
              <w:t>17</w:t>
            </w:r>
            <w:r>
              <w:rPr>
                <w:rFonts w:eastAsiaTheme="minorEastAsia"/>
                <w:color w:val="000000" w:themeColor="text1"/>
                <w:kern w:val="0"/>
              </w:rPr>
              <w:t>农发</w:t>
            </w:r>
            <w:r>
              <w:rPr>
                <w:rFonts w:eastAsiaTheme="minorEastAsia"/>
                <w:color w:val="000000" w:themeColor="text1"/>
                <w:kern w:val="0"/>
              </w:rPr>
              <w:t>15</w:t>
            </w:r>
          </w:p>
        </w:tc>
        <w:tc>
          <w:tcPr>
            <w:tcW w:w="1426" w:type="dxa"/>
            <w:vAlign w:val="center"/>
          </w:tcPr>
          <w:p w:rsidR="005533FB" w:rsidRDefault="00CB4BAB">
            <w:pPr>
              <w:jc w:val="right"/>
            </w:pPr>
            <w:r>
              <w:rPr>
                <w:rFonts w:eastAsiaTheme="minorEastAsia"/>
                <w:color w:val="000000" w:themeColor="text1"/>
                <w:kern w:val="0"/>
              </w:rPr>
              <w:t>24,800,000</w:t>
            </w:r>
          </w:p>
        </w:tc>
        <w:tc>
          <w:tcPr>
            <w:tcW w:w="1646" w:type="dxa"/>
            <w:vAlign w:val="center"/>
          </w:tcPr>
          <w:p w:rsidR="005533FB" w:rsidRDefault="00CB4BAB">
            <w:pPr>
              <w:jc w:val="right"/>
            </w:pPr>
            <w:r>
              <w:rPr>
                <w:rFonts w:eastAsiaTheme="minorEastAsia"/>
                <w:color w:val="000000" w:themeColor="text1"/>
                <w:kern w:val="0"/>
              </w:rPr>
              <w:t>2,602,092,018.44</w:t>
            </w:r>
          </w:p>
        </w:tc>
        <w:tc>
          <w:tcPr>
            <w:tcW w:w="1612" w:type="dxa"/>
            <w:vAlign w:val="center"/>
          </w:tcPr>
          <w:p w:rsidR="005533FB" w:rsidRDefault="00CB4BAB">
            <w:pPr>
              <w:jc w:val="right"/>
            </w:pPr>
            <w:r>
              <w:rPr>
                <w:rFonts w:eastAsiaTheme="minorEastAsia"/>
                <w:color w:val="000000" w:themeColor="text1"/>
                <w:kern w:val="0"/>
              </w:rPr>
              <w:t>31.52</w:t>
            </w:r>
          </w:p>
        </w:tc>
      </w:tr>
      <w:tr w:rsidR="005533FB">
        <w:tc>
          <w:tcPr>
            <w:tcW w:w="1252" w:type="dxa"/>
            <w:vAlign w:val="center"/>
          </w:tcPr>
          <w:p w:rsidR="005533FB" w:rsidRDefault="00CB4BAB">
            <w:pPr>
              <w:jc w:val="center"/>
            </w:pPr>
            <w:r>
              <w:rPr>
                <w:rFonts w:eastAsiaTheme="minorEastAsia"/>
                <w:color w:val="000000" w:themeColor="text1"/>
                <w:kern w:val="0"/>
              </w:rPr>
              <w:t>4</w:t>
            </w:r>
          </w:p>
        </w:tc>
        <w:tc>
          <w:tcPr>
            <w:tcW w:w="1310" w:type="dxa"/>
            <w:vAlign w:val="center"/>
          </w:tcPr>
          <w:p w:rsidR="005533FB" w:rsidRDefault="00CB4BAB">
            <w:pPr>
              <w:jc w:val="center"/>
            </w:pPr>
            <w:r>
              <w:rPr>
                <w:rFonts w:eastAsiaTheme="minorEastAsia"/>
                <w:color w:val="000000" w:themeColor="text1"/>
                <w:kern w:val="0"/>
              </w:rPr>
              <w:t>170210</w:t>
            </w:r>
          </w:p>
        </w:tc>
        <w:tc>
          <w:tcPr>
            <w:tcW w:w="1282" w:type="dxa"/>
            <w:vAlign w:val="center"/>
          </w:tcPr>
          <w:p w:rsidR="005533FB" w:rsidRDefault="00CB4BAB">
            <w:pPr>
              <w:jc w:val="center"/>
            </w:pPr>
            <w:r>
              <w:rPr>
                <w:rFonts w:eastAsiaTheme="minorEastAsia"/>
                <w:color w:val="000000" w:themeColor="text1"/>
                <w:kern w:val="0"/>
              </w:rPr>
              <w:t>17</w:t>
            </w:r>
            <w:r>
              <w:rPr>
                <w:rFonts w:eastAsiaTheme="minorEastAsia"/>
                <w:color w:val="000000" w:themeColor="text1"/>
                <w:kern w:val="0"/>
              </w:rPr>
              <w:t>国开</w:t>
            </w:r>
            <w:r>
              <w:rPr>
                <w:rFonts w:eastAsiaTheme="minorEastAsia"/>
                <w:color w:val="000000" w:themeColor="text1"/>
                <w:kern w:val="0"/>
              </w:rPr>
              <w:t>10</w:t>
            </w:r>
          </w:p>
        </w:tc>
        <w:tc>
          <w:tcPr>
            <w:tcW w:w="1426" w:type="dxa"/>
            <w:vAlign w:val="center"/>
          </w:tcPr>
          <w:p w:rsidR="005533FB" w:rsidRDefault="00CB4BAB">
            <w:pPr>
              <w:jc w:val="right"/>
            </w:pPr>
            <w:r>
              <w:rPr>
                <w:rFonts w:eastAsiaTheme="minorEastAsia"/>
                <w:color w:val="000000" w:themeColor="text1"/>
                <w:kern w:val="0"/>
              </w:rPr>
              <w:t>15,100,000</w:t>
            </w:r>
          </w:p>
        </w:tc>
        <w:tc>
          <w:tcPr>
            <w:tcW w:w="1646" w:type="dxa"/>
            <w:vAlign w:val="center"/>
          </w:tcPr>
          <w:p w:rsidR="005533FB" w:rsidRDefault="00CB4BAB">
            <w:pPr>
              <w:jc w:val="right"/>
            </w:pPr>
            <w:r>
              <w:rPr>
                <w:rFonts w:eastAsiaTheme="minorEastAsia"/>
                <w:color w:val="000000" w:themeColor="text1"/>
                <w:kern w:val="0"/>
              </w:rPr>
              <w:t>1,545,674,877.17</w:t>
            </w:r>
          </w:p>
        </w:tc>
        <w:tc>
          <w:tcPr>
            <w:tcW w:w="1612" w:type="dxa"/>
            <w:vAlign w:val="center"/>
          </w:tcPr>
          <w:p w:rsidR="005533FB" w:rsidRDefault="00CB4BAB">
            <w:pPr>
              <w:jc w:val="right"/>
            </w:pPr>
            <w:r>
              <w:rPr>
                <w:rFonts w:eastAsiaTheme="minorEastAsia"/>
                <w:color w:val="000000" w:themeColor="text1"/>
                <w:kern w:val="0"/>
              </w:rPr>
              <w:t>18.72</w:t>
            </w:r>
          </w:p>
        </w:tc>
      </w:tr>
      <w:tr w:rsidR="005533FB">
        <w:tc>
          <w:tcPr>
            <w:tcW w:w="1252" w:type="dxa"/>
            <w:vAlign w:val="center"/>
          </w:tcPr>
          <w:p w:rsidR="005533FB" w:rsidRDefault="00CB4BAB">
            <w:pPr>
              <w:jc w:val="center"/>
            </w:pPr>
            <w:r>
              <w:rPr>
                <w:rFonts w:eastAsiaTheme="minorEastAsia"/>
                <w:color w:val="000000" w:themeColor="text1"/>
                <w:kern w:val="0"/>
              </w:rPr>
              <w:t>5</w:t>
            </w:r>
          </w:p>
        </w:tc>
        <w:tc>
          <w:tcPr>
            <w:tcW w:w="1310" w:type="dxa"/>
            <w:vAlign w:val="center"/>
          </w:tcPr>
          <w:p w:rsidR="005533FB" w:rsidRDefault="00CB4BAB">
            <w:pPr>
              <w:jc w:val="center"/>
            </w:pPr>
            <w:r>
              <w:rPr>
                <w:rFonts w:eastAsiaTheme="minorEastAsia"/>
                <w:color w:val="000000" w:themeColor="text1"/>
                <w:kern w:val="0"/>
              </w:rPr>
              <w:t>160993</w:t>
            </w:r>
          </w:p>
        </w:tc>
        <w:tc>
          <w:tcPr>
            <w:tcW w:w="1282" w:type="dxa"/>
            <w:vAlign w:val="center"/>
          </w:tcPr>
          <w:p w:rsidR="005533FB" w:rsidRDefault="00CB4BAB">
            <w:pPr>
              <w:jc w:val="center"/>
            </w:pPr>
            <w:r>
              <w:rPr>
                <w:rFonts w:eastAsiaTheme="minorEastAsia"/>
                <w:color w:val="000000" w:themeColor="text1"/>
                <w:kern w:val="0"/>
              </w:rPr>
              <w:t>20</w:t>
            </w:r>
            <w:r>
              <w:rPr>
                <w:rFonts w:eastAsiaTheme="minorEastAsia"/>
                <w:color w:val="000000" w:themeColor="text1"/>
                <w:kern w:val="0"/>
              </w:rPr>
              <w:t>江苏</w:t>
            </w:r>
            <w:r>
              <w:rPr>
                <w:rFonts w:eastAsiaTheme="minorEastAsia"/>
                <w:color w:val="000000" w:themeColor="text1"/>
                <w:kern w:val="0"/>
              </w:rPr>
              <w:t>19</w:t>
            </w:r>
          </w:p>
        </w:tc>
        <w:tc>
          <w:tcPr>
            <w:tcW w:w="1426" w:type="dxa"/>
            <w:vAlign w:val="center"/>
          </w:tcPr>
          <w:p w:rsidR="005533FB" w:rsidRDefault="00CB4BAB">
            <w:pPr>
              <w:jc w:val="right"/>
            </w:pPr>
            <w:r>
              <w:rPr>
                <w:rFonts w:eastAsiaTheme="minorEastAsia"/>
                <w:color w:val="000000" w:themeColor="text1"/>
                <w:kern w:val="0"/>
              </w:rPr>
              <w:t>7,100,000</w:t>
            </w:r>
          </w:p>
        </w:tc>
        <w:tc>
          <w:tcPr>
            <w:tcW w:w="1646" w:type="dxa"/>
            <w:vAlign w:val="center"/>
          </w:tcPr>
          <w:p w:rsidR="005533FB" w:rsidRDefault="00CB4BAB">
            <w:pPr>
              <w:jc w:val="right"/>
            </w:pPr>
            <w:r>
              <w:rPr>
                <w:rFonts w:eastAsiaTheme="minorEastAsia"/>
                <w:color w:val="000000" w:themeColor="text1"/>
                <w:kern w:val="0"/>
              </w:rPr>
              <w:t>714,809,456.52</w:t>
            </w:r>
          </w:p>
        </w:tc>
        <w:tc>
          <w:tcPr>
            <w:tcW w:w="1612" w:type="dxa"/>
            <w:vAlign w:val="center"/>
          </w:tcPr>
          <w:p w:rsidR="005533FB" w:rsidRDefault="00CB4BAB">
            <w:pPr>
              <w:jc w:val="right"/>
            </w:pPr>
            <w:r>
              <w:rPr>
                <w:rFonts w:eastAsiaTheme="minorEastAsia"/>
                <w:color w:val="000000" w:themeColor="text1"/>
                <w:kern w:val="0"/>
              </w:rPr>
              <w:t>8.66</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139,244,963.37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139,244,963.37</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因四舍五入的原因，投资组合报告中分项之和与合计数可能存在尾差。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7,990,077,699.94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影响投资者决策的其他重要信息</w:t>
      </w:r>
    </w:p>
    <w:p w:rsidR="00D06738" w:rsidRPr="00FF6B9A" w:rsidRDefault="00454D20">
      <w:pPr>
        <w:autoSpaceDE w:val="0"/>
        <w:autoSpaceDN w:val="0"/>
        <w:adjustRightInd w:val="0"/>
        <w:spacing w:line="360" w:lineRule="auto"/>
        <w:jc w:val="left"/>
        <w:rPr>
          <w:b/>
          <w:bCs/>
          <w:color w:val="000000"/>
          <w:kern w:val="0"/>
          <w:sz w:val="24"/>
          <w:szCs w:val="24"/>
        </w:rPr>
      </w:pPr>
      <w:r w:rsidRPr="00FF6B9A">
        <w:rPr>
          <w:b/>
          <w:bCs/>
          <w:color w:val="000000"/>
          <w:kern w:val="0"/>
          <w:sz w:val="24"/>
          <w:szCs w:val="24"/>
        </w:rPr>
        <w:t xml:space="preserve">8.1 </w:t>
      </w:r>
      <w:r w:rsidRPr="00FF6B9A">
        <w:rPr>
          <w:b/>
          <w:bCs/>
          <w:color w:val="000000"/>
          <w:kern w:val="0"/>
          <w:sz w:val="24"/>
          <w:szCs w:val="24"/>
        </w:rPr>
        <w:t>报告期内单一投资者持有基金份额比例达到或超过</w:t>
      </w:r>
      <w:r w:rsidRPr="00FF6B9A">
        <w:rPr>
          <w:b/>
          <w:bCs/>
          <w:color w:val="000000"/>
          <w:kern w:val="0"/>
          <w:sz w:val="24"/>
          <w:szCs w:val="24"/>
        </w:rPr>
        <w:t>20%</w:t>
      </w:r>
      <w:r w:rsidRPr="00FF6B9A">
        <w:rPr>
          <w:b/>
          <w:bCs/>
          <w:color w:val="000000"/>
          <w:kern w:val="0"/>
          <w:sz w:val="24"/>
          <w:szCs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06738" w:rsidRPr="00FF6B9A">
        <w:tc>
          <w:tcPr>
            <w:tcW w:w="993" w:type="dxa"/>
            <w:vMerge w:val="restart"/>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投资者类别</w:t>
            </w:r>
            <w:r w:rsidRPr="00FF6B9A">
              <w:rPr>
                <w:color w:val="000000"/>
                <w:kern w:val="0"/>
              </w:rPr>
              <w:t xml:space="preserve">  </w:t>
            </w:r>
          </w:p>
        </w:tc>
        <w:tc>
          <w:tcPr>
            <w:tcW w:w="5670" w:type="dxa"/>
            <w:gridSpan w:val="5"/>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报告期内持有基金份额变化情况</w:t>
            </w:r>
          </w:p>
        </w:tc>
        <w:tc>
          <w:tcPr>
            <w:tcW w:w="2549" w:type="dxa"/>
            <w:gridSpan w:val="2"/>
            <w:vAlign w:val="center"/>
          </w:tcPr>
          <w:p w:rsidR="00D06738" w:rsidRPr="00FF6B9A" w:rsidRDefault="00454D20">
            <w:pPr>
              <w:autoSpaceDE w:val="0"/>
              <w:autoSpaceDN w:val="0"/>
              <w:adjustRightInd w:val="0"/>
              <w:jc w:val="center"/>
              <w:rPr>
                <w:b/>
                <w:bCs/>
                <w:color w:val="000000"/>
                <w:kern w:val="0"/>
              </w:rPr>
            </w:pPr>
            <w:r w:rsidRPr="00FF6B9A">
              <w:rPr>
                <w:color w:val="000000"/>
                <w:kern w:val="0"/>
              </w:rPr>
              <w:t>报告期末持有基金情况</w:t>
            </w:r>
          </w:p>
        </w:tc>
      </w:tr>
      <w:tr w:rsidR="00D06738" w:rsidRPr="00FF6B9A">
        <w:tc>
          <w:tcPr>
            <w:tcW w:w="993" w:type="dxa"/>
            <w:vMerge/>
            <w:vAlign w:val="center"/>
          </w:tcPr>
          <w:p w:rsidR="00D06738" w:rsidRPr="00FF6B9A" w:rsidRDefault="00D06738">
            <w:pPr>
              <w:autoSpaceDE w:val="0"/>
              <w:autoSpaceDN w:val="0"/>
              <w:adjustRightInd w:val="0"/>
              <w:jc w:val="center"/>
              <w:rPr>
                <w:b/>
                <w:bCs/>
                <w:color w:val="000000"/>
                <w:kern w:val="0"/>
              </w:rPr>
            </w:pPr>
          </w:p>
        </w:tc>
        <w:tc>
          <w:tcPr>
            <w:tcW w:w="992"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序号</w:t>
            </w:r>
          </w:p>
        </w:tc>
        <w:tc>
          <w:tcPr>
            <w:tcW w:w="1843"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持有基金份额比例达到或者超过</w:t>
            </w:r>
            <w:r w:rsidRPr="00FF6B9A">
              <w:rPr>
                <w:color w:val="000000"/>
                <w:kern w:val="0"/>
              </w:rPr>
              <w:t>20%</w:t>
            </w:r>
            <w:r w:rsidRPr="00FF6B9A">
              <w:rPr>
                <w:color w:val="000000"/>
                <w:kern w:val="0"/>
              </w:rPr>
              <w:t>的时间区间</w:t>
            </w:r>
          </w:p>
        </w:tc>
        <w:tc>
          <w:tcPr>
            <w:tcW w:w="851" w:type="dxa"/>
            <w:vAlign w:val="center"/>
          </w:tcPr>
          <w:p w:rsidR="00D06738" w:rsidRPr="00FF6B9A" w:rsidRDefault="00454D20">
            <w:pPr>
              <w:widowControl/>
              <w:jc w:val="center"/>
              <w:rPr>
                <w:b/>
                <w:bCs/>
                <w:color w:val="000000"/>
                <w:kern w:val="0"/>
              </w:rPr>
            </w:pPr>
            <w:r w:rsidRPr="00FF6B9A">
              <w:rPr>
                <w:color w:val="000000"/>
                <w:kern w:val="0"/>
              </w:rPr>
              <w:t>期初份额</w:t>
            </w:r>
          </w:p>
        </w:tc>
        <w:tc>
          <w:tcPr>
            <w:tcW w:w="850" w:type="dxa"/>
            <w:vAlign w:val="center"/>
          </w:tcPr>
          <w:p w:rsidR="00D06738" w:rsidRPr="00FF6B9A" w:rsidRDefault="00454D20">
            <w:pPr>
              <w:widowControl/>
              <w:jc w:val="center"/>
              <w:rPr>
                <w:b/>
                <w:bCs/>
                <w:color w:val="000000"/>
                <w:kern w:val="0"/>
              </w:rPr>
            </w:pPr>
            <w:r w:rsidRPr="00FF6B9A">
              <w:rPr>
                <w:color w:val="000000"/>
                <w:kern w:val="0"/>
              </w:rPr>
              <w:t>申购份额</w:t>
            </w:r>
          </w:p>
        </w:tc>
        <w:tc>
          <w:tcPr>
            <w:tcW w:w="1134" w:type="dxa"/>
            <w:vAlign w:val="center"/>
          </w:tcPr>
          <w:p w:rsidR="00D06738" w:rsidRPr="00FF6B9A" w:rsidRDefault="00454D20">
            <w:pPr>
              <w:widowControl/>
              <w:jc w:val="center"/>
              <w:rPr>
                <w:b/>
                <w:bCs/>
                <w:color w:val="000000"/>
                <w:kern w:val="0"/>
              </w:rPr>
            </w:pPr>
            <w:r w:rsidRPr="00FF6B9A">
              <w:rPr>
                <w:color w:val="000000"/>
                <w:kern w:val="0"/>
              </w:rPr>
              <w:t>赎回份额</w:t>
            </w:r>
          </w:p>
        </w:tc>
        <w:tc>
          <w:tcPr>
            <w:tcW w:w="1419"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持有份额</w:t>
            </w:r>
          </w:p>
        </w:tc>
        <w:tc>
          <w:tcPr>
            <w:tcW w:w="1130" w:type="dxa"/>
            <w:vAlign w:val="center"/>
          </w:tcPr>
          <w:p w:rsidR="00D06738" w:rsidRPr="00FF6B9A" w:rsidRDefault="00454D20">
            <w:pPr>
              <w:autoSpaceDE w:val="0"/>
              <w:autoSpaceDN w:val="0"/>
              <w:adjustRightInd w:val="0"/>
              <w:jc w:val="center"/>
              <w:rPr>
                <w:b/>
                <w:bCs/>
                <w:color w:val="000000"/>
                <w:kern w:val="0"/>
              </w:rPr>
            </w:pPr>
            <w:r w:rsidRPr="00FF6B9A">
              <w:rPr>
                <w:color w:val="000000"/>
                <w:kern w:val="0"/>
              </w:rPr>
              <w:t>份额占比</w:t>
            </w:r>
          </w:p>
        </w:tc>
      </w:tr>
      <w:tr w:rsidR="005533FB">
        <w:tc>
          <w:tcPr>
            <w:tcW w:w="993" w:type="dxa"/>
            <w:vMerge w:val="restart"/>
            <w:vAlign w:val="center"/>
          </w:tcPr>
          <w:p w:rsidR="005533FB" w:rsidRDefault="00CB4BAB">
            <w:r>
              <w:rPr>
                <w:bCs/>
                <w:color w:val="000000"/>
                <w:kern w:val="0"/>
              </w:rPr>
              <w:t>机构</w:t>
            </w:r>
          </w:p>
        </w:tc>
        <w:tc>
          <w:tcPr>
            <w:tcW w:w="992" w:type="dxa"/>
            <w:vAlign w:val="center"/>
          </w:tcPr>
          <w:p w:rsidR="005533FB" w:rsidRDefault="00CB4BAB">
            <w:pPr>
              <w:jc w:val="center"/>
            </w:pPr>
            <w:r>
              <w:rPr>
                <w:color w:val="000000"/>
                <w:kern w:val="0"/>
              </w:rPr>
              <w:t>1</w:t>
            </w:r>
          </w:p>
        </w:tc>
        <w:tc>
          <w:tcPr>
            <w:tcW w:w="1843" w:type="dxa"/>
            <w:vAlign w:val="center"/>
          </w:tcPr>
          <w:p w:rsidR="005533FB" w:rsidRDefault="00CB4BAB">
            <w:pPr>
              <w:jc w:val="center"/>
            </w:pPr>
            <w:r>
              <w:rPr>
                <w:color w:val="000000"/>
                <w:kern w:val="0"/>
              </w:rPr>
              <w:t>20210701-20210930</w:t>
            </w:r>
          </w:p>
        </w:tc>
        <w:tc>
          <w:tcPr>
            <w:tcW w:w="851" w:type="dxa"/>
            <w:vAlign w:val="center"/>
          </w:tcPr>
          <w:p w:rsidR="005533FB" w:rsidRDefault="00CB4BAB">
            <w:pPr>
              <w:jc w:val="center"/>
            </w:pPr>
            <w:r>
              <w:rPr>
                <w:color w:val="000000"/>
                <w:kern w:val="0"/>
              </w:rPr>
              <w:t>3,989,999,000.00</w:t>
            </w:r>
          </w:p>
        </w:tc>
        <w:tc>
          <w:tcPr>
            <w:tcW w:w="850" w:type="dxa"/>
            <w:vAlign w:val="center"/>
          </w:tcPr>
          <w:p w:rsidR="005533FB" w:rsidRDefault="00CB4BAB">
            <w:pPr>
              <w:jc w:val="center"/>
            </w:pPr>
            <w:r>
              <w:rPr>
                <w:color w:val="000000"/>
                <w:kern w:val="0"/>
              </w:rPr>
              <w:t>0.00</w:t>
            </w:r>
          </w:p>
        </w:tc>
        <w:tc>
          <w:tcPr>
            <w:tcW w:w="1134" w:type="dxa"/>
            <w:vAlign w:val="center"/>
          </w:tcPr>
          <w:p w:rsidR="005533FB" w:rsidRDefault="00CB4BAB">
            <w:pPr>
              <w:jc w:val="center"/>
            </w:pPr>
            <w:r>
              <w:rPr>
                <w:color w:val="000000"/>
                <w:kern w:val="0"/>
              </w:rPr>
              <w:t>0.00</w:t>
            </w:r>
          </w:p>
        </w:tc>
        <w:tc>
          <w:tcPr>
            <w:tcW w:w="1419" w:type="dxa"/>
            <w:vAlign w:val="center"/>
          </w:tcPr>
          <w:p w:rsidR="005533FB" w:rsidRDefault="00CB4BAB">
            <w:pPr>
              <w:jc w:val="center"/>
            </w:pPr>
            <w:r>
              <w:rPr>
                <w:color w:val="000000"/>
                <w:kern w:val="0"/>
              </w:rPr>
              <w:t>3,989,999,000.00</w:t>
            </w:r>
          </w:p>
        </w:tc>
        <w:tc>
          <w:tcPr>
            <w:tcW w:w="1130" w:type="dxa"/>
            <w:vAlign w:val="center"/>
          </w:tcPr>
          <w:p w:rsidR="005533FB" w:rsidRDefault="00CB4BAB">
            <w:pPr>
              <w:jc w:val="center"/>
            </w:pPr>
            <w:r>
              <w:rPr>
                <w:color w:val="000000"/>
                <w:kern w:val="0"/>
              </w:rPr>
              <w:t>49.94%</w:t>
            </w:r>
          </w:p>
        </w:tc>
      </w:tr>
      <w:tr w:rsidR="005533FB">
        <w:tc>
          <w:tcPr>
            <w:tcW w:w="993" w:type="dxa"/>
            <w:vMerge/>
          </w:tcPr>
          <w:p w:rsidR="005533FB" w:rsidRDefault="005533FB"/>
        </w:tc>
        <w:tc>
          <w:tcPr>
            <w:tcW w:w="992" w:type="dxa"/>
            <w:vAlign w:val="center"/>
          </w:tcPr>
          <w:p w:rsidR="005533FB" w:rsidRDefault="00CB4BAB">
            <w:pPr>
              <w:jc w:val="center"/>
            </w:pPr>
            <w:r>
              <w:rPr>
                <w:color w:val="000000"/>
                <w:kern w:val="0"/>
              </w:rPr>
              <w:t>2</w:t>
            </w:r>
          </w:p>
        </w:tc>
        <w:tc>
          <w:tcPr>
            <w:tcW w:w="1843" w:type="dxa"/>
            <w:vAlign w:val="center"/>
          </w:tcPr>
          <w:p w:rsidR="005533FB" w:rsidRDefault="00CB4BAB">
            <w:pPr>
              <w:jc w:val="center"/>
            </w:pPr>
            <w:r>
              <w:rPr>
                <w:color w:val="000000"/>
                <w:kern w:val="0"/>
              </w:rPr>
              <w:t>20210701-20210930</w:t>
            </w:r>
          </w:p>
        </w:tc>
        <w:tc>
          <w:tcPr>
            <w:tcW w:w="851" w:type="dxa"/>
            <w:vAlign w:val="center"/>
          </w:tcPr>
          <w:p w:rsidR="005533FB" w:rsidRDefault="00CB4BAB">
            <w:pPr>
              <w:jc w:val="center"/>
            </w:pPr>
            <w:r>
              <w:rPr>
                <w:color w:val="000000"/>
                <w:kern w:val="0"/>
              </w:rPr>
              <w:t>2,199,999,000.00</w:t>
            </w:r>
          </w:p>
        </w:tc>
        <w:tc>
          <w:tcPr>
            <w:tcW w:w="850" w:type="dxa"/>
            <w:vAlign w:val="center"/>
          </w:tcPr>
          <w:p w:rsidR="005533FB" w:rsidRDefault="00CB4BAB">
            <w:pPr>
              <w:jc w:val="center"/>
            </w:pPr>
            <w:r>
              <w:rPr>
                <w:color w:val="000000"/>
                <w:kern w:val="0"/>
              </w:rPr>
              <w:t>0.00</w:t>
            </w:r>
          </w:p>
        </w:tc>
        <w:tc>
          <w:tcPr>
            <w:tcW w:w="1134" w:type="dxa"/>
            <w:vAlign w:val="center"/>
          </w:tcPr>
          <w:p w:rsidR="005533FB" w:rsidRDefault="00CB4BAB">
            <w:pPr>
              <w:jc w:val="center"/>
            </w:pPr>
            <w:r>
              <w:rPr>
                <w:color w:val="000000"/>
                <w:kern w:val="0"/>
              </w:rPr>
              <w:t>0.00</w:t>
            </w:r>
          </w:p>
        </w:tc>
        <w:tc>
          <w:tcPr>
            <w:tcW w:w="1419" w:type="dxa"/>
            <w:vAlign w:val="center"/>
          </w:tcPr>
          <w:p w:rsidR="005533FB" w:rsidRDefault="00CB4BAB">
            <w:pPr>
              <w:jc w:val="center"/>
            </w:pPr>
            <w:r>
              <w:rPr>
                <w:color w:val="000000"/>
                <w:kern w:val="0"/>
              </w:rPr>
              <w:t>2,199,999,000.00</w:t>
            </w:r>
          </w:p>
        </w:tc>
        <w:tc>
          <w:tcPr>
            <w:tcW w:w="1130" w:type="dxa"/>
            <w:vAlign w:val="center"/>
          </w:tcPr>
          <w:p w:rsidR="005533FB" w:rsidRDefault="00CB4BAB">
            <w:pPr>
              <w:jc w:val="center"/>
            </w:pPr>
            <w:r>
              <w:rPr>
                <w:color w:val="000000"/>
                <w:kern w:val="0"/>
              </w:rPr>
              <w:t>27.53%</w:t>
            </w:r>
          </w:p>
        </w:tc>
      </w:tr>
      <w:tr w:rsidR="00D06738" w:rsidRPr="00FF6B9A">
        <w:tc>
          <w:tcPr>
            <w:tcW w:w="9212" w:type="dxa"/>
            <w:gridSpan w:val="8"/>
            <w:vAlign w:val="center"/>
          </w:tcPr>
          <w:p w:rsidR="00D06738" w:rsidRPr="00FF6B9A" w:rsidRDefault="00454D20">
            <w:pPr>
              <w:autoSpaceDE w:val="0"/>
              <w:autoSpaceDN w:val="0"/>
              <w:adjustRightInd w:val="0"/>
              <w:jc w:val="center"/>
              <w:rPr>
                <w:kern w:val="0"/>
              </w:rPr>
            </w:pPr>
            <w:r w:rsidRPr="00FF6B9A">
              <w:rPr>
                <w:color w:val="000000"/>
                <w:kern w:val="0"/>
              </w:rPr>
              <w:t>产品特有风险</w:t>
            </w:r>
          </w:p>
        </w:tc>
      </w:tr>
      <w:tr w:rsidR="00D06738" w:rsidRPr="00FF6B9A">
        <w:tc>
          <w:tcPr>
            <w:tcW w:w="9212" w:type="dxa"/>
            <w:gridSpan w:val="8"/>
            <w:vAlign w:val="center"/>
          </w:tcPr>
          <w:p w:rsidR="00D06738" w:rsidRPr="00FF6B9A" w:rsidRDefault="00454D20">
            <w:pPr>
              <w:autoSpaceDE w:val="0"/>
              <w:autoSpaceDN w:val="0"/>
              <w:adjustRightInd w:val="0"/>
              <w:jc w:val="left"/>
              <w:rPr>
                <w:kern w:val="0"/>
              </w:rPr>
            </w:pPr>
            <w:r w:rsidRPr="00FF6B9A">
              <w:rPr>
                <w:kern w:val="0"/>
              </w:rPr>
              <w:t>本基金的集中度风险主要体现在有单一投资者持有基金份额比例达到或者超过</w:t>
            </w:r>
            <w:r w:rsidRPr="00FF6B9A">
              <w:rPr>
                <w:kern w:val="0"/>
              </w:rPr>
              <w:t>20%</w:t>
            </w:r>
            <w:r w:rsidRPr="00FF6B9A">
              <w:rPr>
                <w:kern w:val="0"/>
              </w:rPr>
              <w:t>，如果投资者发生大额赎回，可能出现基金可变现资产无法满足投资者赎回需要以及因为资产变现成本过高导致投资者的利益受到损害的风险。</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lastRenderedPageBreak/>
        <w:t xml:space="preserve">§9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9.1 </w:t>
      </w:r>
      <w:r w:rsidRPr="00FF6B9A">
        <w:rPr>
          <w:rFonts w:eastAsiaTheme="minorEastAsia"/>
          <w:b/>
          <w:bCs/>
          <w:color w:val="000000" w:themeColor="text1"/>
          <w:kern w:val="0"/>
          <w:sz w:val="24"/>
          <w:szCs w:val="24"/>
        </w:rPr>
        <w:t>备查文件目录</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中国证监会准予上投摩根瑞盛</w:t>
      </w:r>
      <w:r>
        <w:rPr>
          <w:rFonts w:eastAsiaTheme="minorEastAsia"/>
          <w:color w:val="000000" w:themeColor="text1"/>
        </w:rPr>
        <w:t>87</w:t>
      </w:r>
      <w:r>
        <w:rPr>
          <w:rFonts w:eastAsiaTheme="minorEastAsia"/>
          <w:color w:val="000000" w:themeColor="text1"/>
        </w:rPr>
        <w:t>个月定期开放债券型证券投资基金募集注册的文件</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个月定期开放债券型证券投资基金基金合同</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 xml:space="preserve">) </w:t>
      </w:r>
      <w:r>
        <w:rPr>
          <w:rFonts w:eastAsiaTheme="minorEastAsia"/>
          <w:color w:val="000000" w:themeColor="text1"/>
        </w:rPr>
        <w:t>上投摩根瑞盛</w:t>
      </w:r>
      <w:r>
        <w:rPr>
          <w:rFonts w:eastAsiaTheme="minorEastAsia"/>
          <w:color w:val="000000" w:themeColor="text1"/>
        </w:rPr>
        <w:t>87</w:t>
      </w:r>
      <w:r>
        <w:rPr>
          <w:rFonts w:eastAsiaTheme="minorEastAsia"/>
          <w:color w:val="000000" w:themeColor="text1"/>
        </w:rPr>
        <w:t>个月定期开放债券型证券投资基金托管协议</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5533FB" w:rsidRDefault="00CB4BAB">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9.3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二〇二一年十月二十七日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CB4BAB" w:rsidRPr="00CB4BAB">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CB4BAB">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上投摩根瑞盛</w:t>
    </w:r>
    <w:r>
      <w:rPr>
        <w:rFonts w:hint="eastAsia"/>
      </w:rPr>
      <w:t>87</w:t>
    </w:r>
    <w:r>
      <w:rPr>
        <w:rFonts w:hint="eastAsia"/>
      </w:rPr>
      <w:t>个月定期开放债券型证券投资基金</w:t>
    </w:r>
    <w:r>
      <w:rPr>
        <w:rFonts w:hint="eastAsia"/>
      </w:rPr>
      <w:t>2021</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533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B4BAB"/>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 w:type="paragraph" w:styleId="aff6">
    <w:name w:val="Revision"/>
    <w:hidden/>
    <w:uiPriority w:val="99"/>
    <w:semiHidden/>
    <w:rsid w:val="00CB4BAB"/>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DC34A1-E6F5-430E-85F4-28933A83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1150</Words>
  <Characters>6557</Characters>
  <Application>Microsoft Office Word</Application>
  <DocSecurity>0</DocSecurity>
  <Lines>54</Lines>
  <Paragraphs>15</Paragraphs>
  <ScaleCrop>false</ScaleCrop>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Chen,Richard</cp:lastModifiedBy>
  <cp:revision>268</cp:revision>
  <dcterms:created xsi:type="dcterms:W3CDTF">2012-10-16T06:07:00Z</dcterms:created>
  <dcterms:modified xsi:type="dcterms:W3CDTF">2021-10-26T03:09:00Z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