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摩根锦程积极成长养老目标五年持有期混合型发起式基金中基金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2023</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2023</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基金管理人：摩根基金管理（中国）有限公司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二〇二三年四月二十一日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5D35EA" w:rsidRDefault="00036A3A">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5D35EA" w:rsidRDefault="00036A3A">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2023</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5D35EA" w:rsidRDefault="00036A3A">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5D35EA" w:rsidRDefault="00036A3A">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5D35EA" w:rsidRDefault="00036A3A">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2023</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摩根锦程积极养老五年持有混合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009161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009161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4</w:t>
            </w:r>
            <w:r w:rsidRPr="00414345">
              <w:rPr>
                <w:color w:val="000000"/>
                <w:kern w:val="0"/>
                <w:sz w:val="24"/>
                <w:szCs w:val="24"/>
              </w:rPr>
              <w:t>月</w:t>
            </w:r>
            <w:r w:rsidRPr="00414345">
              <w:rPr>
                <w:color w:val="000000"/>
                <w:kern w:val="0"/>
                <w:sz w:val="24"/>
                <w:szCs w:val="24"/>
              </w:rPr>
              <w:t>29</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25,539,662.54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5D35EA" w:rsidRDefault="00036A3A">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5D35EA" w:rsidRDefault="00036A3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5D35EA" w:rsidRDefault="00036A3A">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75%:25%</w:t>
            </w:r>
            <w:r>
              <w:rPr>
                <w:color w:val="000000"/>
                <w:kern w:val="0"/>
                <w:sz w:val="24"/>
                <w:szCs w:val="24"/>
              </w:rPr>
              <w:t>；高风险类资产指股票型基金、</w:t>
            </w:r>
            <w:r>
              <w:rPr>
                <w:color w:val="000000"/>
                <w:kern w:val="0"/>
                <w:sz w:val="24"/>
                <w:szCs w:val="24"/>
              </w:rPr>
              <w:lastRenderedPageBreak/>
              <w:t>应计入高风险类资产的混合型基金、商品基金（含商品期货基金和黄金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5D35EA" w:rsidRDefault="00036A3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5D35EA" w:rsidRDefault="00036A3A">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5D35EA" w:rsidRDefault="00036A3A">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、指数基金投资策略：优选中长期景气向好的指数基金进行配置，增厚组合收益，并把握阶段性投资机会，获取超额收益。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、其他投资策略：包括股票投资策略、债券投资策略、证券公司短期公司债投资策略、资产支持证券投资策略、存托凭证投资策略。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*75%+</w:t>
            </w:r>
            <w:r w:rsidRPr="00414345">
              <w:rPr>
                <w:color w:val="000000"/>
                <w:kern w:val="0"/>
                <w:sz w:val="24"/>
                <w:szCs w:val="24"/>
              </w:rPr>
              <w:t>中证综合债指数收益率</w:t>
            </w:r>
            <w:r w:rsidRPr="00414345">
              <w:rPr>
                <w:color w:val="000000"/>
                <w:kern w:val="0"/>
                <w:sz w:val="24"/>
                <w:szCs w:val="24"/>
              </w:rPr>
              <w:t>*20%+</w:t>
            </w:r>
            <w:r w:rsidRPr="00414345">
              <w:rPr>
                <w:color w:val="000000"/>
                <w:kern w:val="0"/>
                <w:sz w:val="24"/>
                <w:szCs w:val="24"/>
              </w:rPr>
              <w:t>活期存款利率（税后）</w:t>
            </w:r>
            <w:r w:rsidRPr="00414345">
              <w:rPr>
                <w:color w:val="000000"/>
                <w:kern w:val="0"/>
                <w:sz w:val="24"/>
                <w:szCs w:val="24"/>
              </w:rPr>
              <w:t>*5%</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5D35EA" w:rsidRDefault="00036A3A">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75%</w:t>
            </w:r>
            <w:r>
              <w:rPr>
                <w:color w:val="000000"/>
                <w:kern w:val="0"/>
                <w:sz w:val="24"/>
                <w:szCs w:val="24"/>
              </w:rPr>
              <w:t>：</w:t>
            </w:r>
            <w:r>
              <w:rPr>
                <w:color w:val="000000"/>
                <w:kern w:val="0"/>
                <w:sz w:val="24"/>
                <w:szCs w:val="24"/>
              </w:rPr>
              <w:t>25%</w:t>
            </w:r>
            <w:r>
              <w:rPr>
                <w:color w:val="000000"/>
                <w:kern w:val="0"/>
                <w:sz w:val="24"/>
                <w:szCs w:val="24"/>
              </w:rPr>
              <w:t>，在基金管理人管理的养老目标风险基金中，属于高风险类资产的配置比例较高的。</w:t>
            </w:r>
          </w:p>
          <w:p w:rsidR="005D35EA" w:rsidRDefault="00036A3A">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w:t>
            </w:r>
            <w:r w:rsidRPr="00414345">
              <w:rPr>
                <w:color w:val="000000"/>
                <w:kern w:val="0"/>
                <w:sz w:val="24"/>
                <w:szCs w:val="24"/>
              </w:rPr>
              <w:lastRenderedPageBreak/>
              <w:t>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摩根基金管理（中国）有限公司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036A3A" w:rsidRPr="00414345" w:rsidTr="00036A3A">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(2023</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-2023</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036A3A" w:rsidRPr="00414345" w:rsidTr="00036A3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-11,576.27</w:t>
            </w:r>
          </w:p>
        </w:tc>
      </w:tr>
      <w:tr w:rsidR="00036A3A" w:rsidRPr="00414345" w:rsidTr="00036A3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1,261,710.22</w:t>
            </w:r>
          </w:p>
        </w:tc>
      </w:tr>
      <w:tr w:rsidR="00036A3A" w:rsidRPr="00414345" w:rsidTr="00036A3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0.0497</w:t>
            </w:r>
          </w:p>
        </w:tc>
      </w:tr>
      <w:tr w:rsidR="00036A3A" w:rsidRPr="00414345" w:rsidTr="00036A3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29,309,886.70</w:t>
            </w:r>
          </w:p>
        </w:tc>
      </w:tr>
      <w:tr w:rsidR="00036A3A" w:rsidRPr="00414345" w:rsidTr="00036A3A">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1.1476</w:t>
            </w:r>
          </w:p>
        </w:tc>
      </w:tr>
    </w:tbl>
    <w:p w:rsidR="005D35EA" w:rsidRDefault="00036A3A">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5D35EA">
        <w:trPr>
          <w:jc w:val="center"/>
        </w:trPr>
        <w:tc>
          <w:tcPr>
            <w:tcW w:w="1701" w:type="dxa"/>
            <w:vAlign w:val="center"/>
          </w:tcPr>
          <w:p w:rsidR="005D35EA" w:rsidRDefault="00036A3A">
            <w:pPr>
              <w:jc w:val="left"/>
            </w:pPr>
            <w:r>
              <w:rPr>
                <w:color w:val="000000"/>
                <w:sz w:val="24"/>
                <w:szCs w:val="24"/>
              </w:rPr>
              <w:t>过去三个月</w:t>
            </w:r>
          </w:p>
        </w:tc>
        <w:tc>
          <w:tcPr>
            <w:tcW w:w="1045" w:type="dxa"/>
            <w:vAlign w:val="center"/>
          </w:tcPr>
          <w:p w:rsidR="005D35EA" w:rsidRDefault="00036A3A">
            <w:pPr>
              <w:jc w:val="center"/>
            </w:pPr>
            <w:r>
              <w:rPr>
                <w:color w:val="000000"/>
                <w:sz w:val="24"/>
                <w:szCs w:val="24"/>
              </w:rPr>
              <w:t>4.56%</w:t>
            </w:r>
          </w:p>
        </w:tc>
        <w:tc>
          <w:tcPr>
            <w:tcW w:w="1344" w:type="dxa"/>
            <w:vAlign w:val="center"/>
          </w:tcPr>
          <w:p w:rsidR="005D35EA" w:rsidRDefault="00036A3A">
            <w:pPr>
              <w:jc w:val="center"/>
            </w:pPr>
            <w:r>
              <w:rPr>
                <w:color w:val="000000"/>
                <w:sz w:val="24"/>
                <w:szCs w:val="24"/>
              </w:rPr>
              <w:t>0.66%</w:t>
            </w:r>
          </w:p>
        </w:tc>
        <w:tc>
          <w:tcPr>
            <w:tcW w:w="1194" w:type="dxa"/>
            <w:vAlign w:val="center"/>
          </w:tcPr>
          <w:p w:rsidR="005D35EA" w:rsidRDefault="00036A3A">
            <w:pPr>
              <w:jc w:val="center"/>
            </w:pPr>
            <w:r>
              <w:rPr>
                <w:color w:val="000000"/>
                <w:sz w:val="24"/>
                <w:szCs w:val="24"/>
              </w:rPr>
              <w:t>4.36%</w:t>
            </w:r>
          </w:p>
        </w:tc>
        <w:tc>
          <w:tcPr>
            <w:tcW w:w="1492" w:type="dxa"/>
            <w:vAlign w:val="center"/>
          </w:tcPr>
          <w:p w:rsidR="005D35EA" w:rsidRDefault="00036A3A">
            <w:pPr>
              <w:jc w:val="center"/>
            </w:pPr>
            <w:r>
              <w:rPr>
                <w:color w:val="000000"/>
                <w:sz w:val="24"/>
                <w:szCs w:val="24"/>
              </w:rPr>
              <w:t>0.60%</w:t>
            </w:r>
          </w:p>
        </w:tc>
        <w:tc>
          <w:tcPr>
            <w:tcW w:w="1194" w:type="dxa"/>
            <w:vAlign w:val="center"/>
          </w:tcPr>
          <w:p w:rsidR="005D35EA" w:rsidRDefault="00036A3A">
            <w:pPr>
              <w:jc w:val="center"/>
            </w:pPr>
            <w:r>
              <w:rPr>
                <w:color w:val="000000"/>
                <w:sz w:val="24"/>
                <w:szCs w:val="24"/>
              </w:rPr>
              <w:t>0.20%</w:t>
            </w:r>
          </w:p>
        </w:tc>
        <w:tc>
          <w:tcPr>
            <w:tcW w:w="898" w:type="dxa"/>
            <w:vAlign w:val="center"/>
          </w:tcPr>
          <w:p w:rsidR="005D35EA" w:rsidRDefault="00036A3A">
            <w:pPr>
              <w:jc w:val="center"/>
            </w:pPr>
            <w:r>
              <w:rPr>
                <w:color w:val="000000"/>
                <w:sz w:val="24"/>
                <w:szCs w:val="24"/>
              </w:rPr>
              <w:t>0.06%</w:t>
            </w:r>
          </w:p>
        </w:tc>
      </w:tr>
      <w:tr w:rsidR="005D35EA">
        <w:trPr>
          <w:jc w:val="center"/>
        </w:trPr>
        <w:tc>
          <w:tcPr>
            <w:tcW w:w="1701" w:type="dxa"/>
            <w:vAlign w:val="center"/>
          </w:tcPr>
          <w:p w:rsidR="005D35EA" w:rsidRDefault="00036A3A">
            <w:pPr>
              <w:jc w:val="left"/>
            </w:pPr>
            <w:r>
              <w:rPr>
                <w:color w:val="000000"/>
                <w:sz w:val="24"/>
                <w:szCs w:val="24"/>
              </w:rPr>
              <w:t>过去六个月</w:t>
            </w:r>
          </w:p>
        </w:tc>
        <w:tc>
          <w:tcPr>
            <w:tcW w:w="1045" w:type="dxa"/>
            <w:vAlign w:val="center"/>
          </w:tcPr>
          <w:p w:rsidR="005D35EA" w:rsidRDefault="00036A3A">
            <w:pPr>
              <w:jc w:val="center"/>
            </w:pPr>
            <w:r>
              <w:rPr>
                <w:color w:val="000000"/>
                <w:sz w:val="24"/>
                <w:szCs w:val="24"/>
              </w:rPr>
              <w:t>3.40%</w:t>
            </w:r>
          </w:p>
        </w:tc>
        <w:tc>
          <w:tcPr>
            <w:tcW w:w="1344" w:type="dxa"/>
            <w:vAlign w:val="center"/>
          </w:tcPr>
          <w:p w:rsidR="005D35EA" w:rsidRDefault="00036A3A">
            <w:pPr>
              <w:jc w:val="center"/>
            </w:pPr>
            <w:r>
              <w:rPr>
                <w:color w:val="000000"/>
                <w:sz w:val="24"/>
                <w:szCs w:val="24"/>
              </w:rPr>
              <w:t>0.74%</w:t>
            </w:r>
          </w:p>
        </w:tc>
        <w:tc>
          <w:tcPr>
            <w:tcW w:w="1194" w:type="dxa"/>
            <w:vAlign w:val="center"/>
          </w:tcPr>
          <w:p w:rsidR="005D35EA" w:rsidRDefault="00036A3A">
            <w:pPr>
              <w:jc w:val="center"/>
            </w:pPr>
            <w:r>
              <w:rPr>
                <w:color w:val="000000"/>
                <w:sz w:val="24"/>
                <w:szCs w:val="24"/>
              </w:rPr>
              <w:t>6.00%</w:t>
            </w:r>
          </w:p>
        </w:tc>
        <w:tc>
          <w:tcPr>
            <w:tcW w:w="1492" w:type="dxa"/>
            <w:vAlign w:val="center"/>
          </w:tcPr>
          <w:p w:rsidR="005D35EA" w:rsidRDefault="00036A3A">
            <w:pPr>
              <w:jc w:val="center"/>
            </w:pPr>
            <w:r>
              <w:rPr>
                <w:color w:val="000000"/>
                <w:sz w:val="24"/>
                <w:szCs w:val="24"/>
              </w:rPr>
              <w:t>0.76%</w:t>
            </w:r>
          </w:p>
        </w:tc>
        <w:tc>
          <w:tcPr>
            <w:tcW w:w="1194" w:type="dxa"/>
            <w:vAlign w:val="center"/>
          </w:tcPr>
          <w:p w:rsidR="005D35EA" w:rsidRDefault="00036A3A">
            <w:pPr>
              <w:jc w:val="center"/>
            </w:pPr>
            <w:r>
              <w:rPr>
                <w:color w:val="000000"/>
                <w:sz w:val="24"/>
                <w:szCs w:val="24"/>
              </w:rPr>
              <w:t>-2.60%</w:t>
            </w:r>
          </w:p>
        </w:tc>
        <w:tc>
          <w:tcPr>
            <w:tcW w:w="898" w:type="dxa"/>
            <w:vAlign w:val="center"/>
          </w:tcPr>
          <w:p w:rsidR="005D35EA" w:rsidRDefault="00036A3A">
            <w:pPr>
              <w:jc w:val="center"/>
            </w:pPr>
            <w:r>
              <w:rPr>
                <w:color w:val="000000"/>
                <w:sz w:val="24"/>
                <w:szCs w:val="24"/>
              </w:rPr>
              <w:t>-0.02%</w:t>
            </w:r>
          </w:p>
        </w:tc>
      </w:tr>
      <w:tr w:rsidR="005D35EA">
        <w:trPr>
          <w:jc w:val="center"/>
        </w:trPr>
        <w:tc>
          <w:tcPr>
            <w:tcW w:w="1701" w:type="dxa"/>
            <w:vAlign w:val="center"/>
          </w:tcPr>
          <w:p w:rsidR="005D35EA" w:rsidRDefault="00036A3A">
            <w:pPr>
              <w:jc w:val="left"/>
            </w:pPr>
            <w:r>
              <w:rPr>
                <w:color w:val="000000"/>
                <w:sz w:val="24"/>
                <w:szCs w:val="24"/>
              </w:rPr>
              <w:t>过去一年</w:t>
            </w:r>
          </w:p>
        </w:tc>
        <w:tc>
          <w:tcPr>
            <w:tcW w:w="1045" w:type="dxa"/>
            <w:vAlign w:val="center"/>
          </w:tcPr>
          <w:p w:rsidR="005D35EA" w:rsidRDefault="00036A3A">
            <w:pPr>
              <w:jc w:val="center"/>
            </w:pPr>
            <w:r>
              <w:rPr>
                <w:color w:val="000000"/>
                <w:sz w:val="24"/>
                <w:szCs w:val="24"/>
              </w:rPr>
              <w:t>-5.52%</w:t>
            </w:r>
          </w:p>
        </w:tc>
        <w:tc>
          <w:tcPr>
            <w:tcW w:w="1344" w:type="dxa"/>
            <w:vAlign w:val="center"/>
          </w:tcPr>
          <w:p w:rsidR="005D35EA" w:rsidRDefault="00036A3A">
            <w:pPr>
              <w:jc w:val="center"/>
            </w:pPr>
            <w:r>
              <w:rPr>
                <w:color w:val="000000"/>
                <w:sz w:val="24"/>
                <w:szCs w:val="24"/>
              </w:rPr>
              <w:t>0.76%</w:t>
            </w:r>
          </w:p>
        </w:tc>
        <w:tc>
          <w:tcPr>
            <w:tcW w:w="1194" w:type="dxa"/>
            <w:vAlign w:val="center"/>
          </w:tcPr>
          <w:p w:rsidR="005D35EA" w:rsidRDefault="00036A3A">
            <w:pPr>
              <w:jc w:val="center"/>
            </w:pPr>
            <w:r>
              <w:rPr>
                <w:color w:val="000000"/>
                <w:sz w:val="24"/>
                <w:szCs w:val="24"/>
              </w:rPr>
              <w:t>-1.19%</w:t>
            </w:r>
          </w:p>
        </w:tc>
        <w:tc>
          <w:tcPr>
            <w:tcW w:w="1492" w:type="dxa"/>
            <w:vAlign w:val="center"/>
          </w:tcPr>
          <w:p w:rsidR="005D35EA" w:rsidRDefault="00036A3A">
            <w:pPr>
              <w:jc w:val="center"/>
            </w:pPr>
            <w:r>
              <w:rPr>
                <w:color w:val="000000"/>
                <w:sz w:val="24"/>
                <w:szCs w:val="24"/>
              </w:rPr>
              <w:t>0.84%</w:t>
            </w:r>
          </w:p>
        </w:tc>
        <w:tc>
          <w:tcPr>
            <w:tcW w:w="1194" w:type="dxa"/>
            <w:vAlign w:val="center"/>
          </w:tcPr>
          <w:p w:rsidR="005D35EA" w:rsidRDefault="00036A3A">
            <w:pPr>
              <w:jc w:val="center"/>
            </w:pPr>
            <w:r>
              <w:rPr>
                <w:color w:val="000000"/>
                <w:sz w:val="24"/>
                <w:szCs w:val="24"/>
              </w:rPr>
              <w:t>-4.33%</w:t>
            </w:r>
          </w:p>
        </w:tc>
        <w:tc>
          <w:tcPr>
            <w:tcW w:w="898" w:type="dxa"/>
            <w:vAlign w:val="center"/>
          </w:tcPr>
          <w:p w:rsidR="005D35EA" w:rsidRDefault="00036A3A">
            <w:pPr>
              <w:jc w:val="center"/>
            </w:pPr>
            <w:r>
              <w:rPr>
                <w:color w:val="000000"/>
                <w:sz w:val="24"/>
                <w:szCs w:val="24"/>
              </w:rPr>
              <w:t>-0.08%</w:t>
            </w:r>
          </w:p>
        </w:tc>
      </w:tr>
      <w:tr w:rsidR="005D35EA">
        <w:trPr>
          <w:jc w:val="center"/>
        </w:trPr>
        <w:tc>
          <w:tcPr>
            <w:tcW w:w="1701" w:type="dxa"/>
            <w:vAlign w:val="center"/>
          </w:tcPr>
          <w:p w:rsidR="005D35EA" w:rsidRDefault="00036A3A">
            <w:pPr>
              <w:jc w:val="left"/>
            </w:pPr>
            <w:r>
              <w:rPr>
                <w:color w:val="000000"/>
                <w:sz w:val="24"/>
                <w:szCs w:val="24"/>
              </w:rPr>
              <w:t>过去三年</w:t>
            </w:r>
          </w:p>
        </w:tc>
        <w:tc>
          <w:tcPr>
            <w:tcW w:w="1045" w:type="dxa"/>
            <w:vAlign w:val="center"/>
          </w:tcPr>
          <w:p w:rsidR="005D35EA" w:rsidRDefault="00036A3A">
            <w:pPr>
              <w:jc w:val="center"/>
            </w:pPr>
            <w:r>
              <w:rPr>
                <w:color w:val="000000"/>
                <w:sz w:val="24"/>
                <w:szCs w:val="24"/>
              </w:rPr>
              <w:t>-</w:t>
            </w:r>
          </w:p>
        </w:tc>
        <w:tc>
          <w:tcPr>
            <w:tcW w:w="1344" w:type="dxa"/>
            <w:vAlign w:val="center"/>
          </w:tcPr>
          <w:p w:rsidR="005D35EA" w:rsidRDefault="00036A3A">
            <w:pPr>
              <w:jc w:val="center"/>
            </w:pPr>
            <w:r>
              <w:rPr>
                <w:color w:val="000000"/>
                <w:sz w:val="24"/>
                <w:szCs w:val="24"/>
              </w:rPr>
              <w:t>-</w:t>
            </w:r>
          </w:p>
        </w:tc>
        <w:tc>
          <w:tcPr>
            <w:tcW w:w="1194" w:type="dxa"/>
            <w:vAlign w:val="center"/>
          </w:tcPr>
          <w:p w:rsidR="005D35EA" w:rsidRDefault="00036A3A">
            <w:pPr>
              <w:jc w:val="center"/>
            </w:pPr>
            <w:r>
              <w:rPr>
                <w:color w:val="000000"/>
                <w:sz w:val="24"/>
                <w:szCs w:val="24"/>
              </w:rPr>
              <w:t>-</w:t>
            </w:r>
          </w:p>
        </w:tc>
        <w:tc>
          <w:tcPr>
            <w:tcW w:w="1492" w:type="dxa"/>
            <w:vAlign w:val="center"/>
          </w:tcPr>
          <w:p w:rsidR="005D35EA" w:rsidRDefault="00036A3A">
            <w:pPr>
              <w:jc w:val="center"/>
            </w:pPr>
            <w:r>
              <w:rPr>
                <w:color w:val="000000"/>
                <w:sz w:val="24"/>
                <w:szCs w:val="24"/>
              </w:rPr>
              <w:t>-</w:t>
            </w:r>
          </w:p>
        </w:tc>
        <w:tc>
          <w:tcPr>
            <w:tcW w:w="1194" w:type="dxa"/>
            <w:vAlign w:val="center"/>
          </w:tcPr>
          <w:p w:rsidR="005D35EA" w:rsidRDefault="00036A3A">
            <w:pPr>
              <w:jc w:val="center"/>
            </w:pPr>
            <w:r>
              <w:rPr>
                <w:color w:val="000000"/>
                <w:sz w:val="24"/>
                <w:szCs w:val="24"/>
              </w:rPr>
              <w:t>-</w:t>
            </w:r>
          </w:p>
        </w:tc>
        <w:tc>
          <w:tcPr>
            <w:tcW w:w="898" w:type="dxa"/>
            <w:vAlign w:val="center"/>
          </w:tcPr>
          <w:p w:rsidR="005D35EA" w:rsidRDefault="00036A3A">
            <w:pPr>
              <w:jc w:val="center"/>
            </w:pPr>
            <w:r>
              <w:rPr>
                <w:color w:val="000000"/>
                <w:sz w:val="24"/>
                <w:szCs w:val="24"/>
              </w:rPr>
              <w:t>-</w:t>
            </w:r>
          </w:p>
        </w:tc>
      </w:tr>
      <w:tr w:rsidR="005D35EA">
        <w:trPr>
          <w:jc w:val="center"/>
        </w:trPr>
        <w:tc>
          <w:tcPr>
            <w:tcW w:w="1701" w:type="dxa"/>
            <w:vAlign w:val="center"/>
          </w:tcPr>
          <w:p w:rsidR="005D35EA" w:rsidRDefault="00036A3A">
            <w:pPr>
              <w:jc w:val="left"/>
            </w:pPr>
            <w:r>
              <w:rPr>
                <w:color w:val="000000"/>
                <w:sz w:val="24"/>
                <w:szCs w:val="24"/>
              </w:rPr>
              <w:t>过去五年</w:t>
            </w:r>
          </w:p>
        </w:tc>
        <w:tc>
          <w:tcPr>
            <w:tcW w:w="1045" w:type="dxa"/>
            <w:vAlign w:val="center"/>
          </w:tcPr>
          <w:p w:rsidR="005D35EA" w:rsidRDefault="00036A3A">
            <w:pPr>
              <w:jc w:val="center"/>
            </w:pPr>
            <w:r>
              <w:rPr>
                <w:color w:val="000000"/>
                <w:sz w:val="24"/>
                <w:szCs w:val="24"/>
              </w:rPr>
              <w:t>-</w:t>
            </w:r>
          </w:p>
        </w:tc>
        <w:tc>
          <w:tcPr>
            <w:tcW w:w="1344" w:type="dxa"/>
            <w:vAlign w:val="center"/>
          </w:tcPr>
          <w:p w:rsidR="005D35EA" w:rsidRDefault="00036A3A">
            <w:pPr>
              <w:jc w:val="center"/>
            </w:pPr>
            <w:r>
              <w:rPr>
                <w:color w:val="000000"/>
                <w:sz w:val="24"/>
                <w:szCs w:val="24"/>
              </w:rPr>
              <w:t>-</w:t>
            </w:r>
          </w:p>
        </w:tc>
        <w:tc>
          <w:tcPr>
            <w:tcW w:w="1194" w:type="dxa"/>
            <w:vAlign w:val="center"/>
          </w:tcPr>
          <w:p w:rsidR="005D35EA" w:rsidRDefault="00036A3A">
            <w:pPr>
              <w:jc w:val="center"/>
            </w:pPr>
            <w:r>
              <w:rPr>
                <w:color w:val="000000"/>
                <w:sz w:val="24"/>
                <w:szCs w:val="24"/>
              </w:rPr>
              <w:t>-</w:t>
            </w:r>
          </w:p>
        </w:tc>
        <w:tc>
          <w:tcPr>
            <w:tcW w:w="1492" w:type="dxa"/>
            <w:vAlign w:val="center"/>
          </w:tcPr>
          <w:p w:rsidR="005D35EA" w:rsidRDefault="00036A3A">
            <w:pPr>
              <w:jc w:val="center"/>
            </w:pPr>
            <w:r>
              <w:rPr>
                <w:color w:val="000000"/>
                <w:sz w:val="24"/>
                <w:szCs w:val="24"/>
              </w:rPr>
              <w:t>-</w:t>
            </w:r>
          </w:p>
        </w:tc>
        <w:tc>
          <w:tcPr>
            <w:tcW w:w="1194" w:type="dxa"/>
            <w:vAlign w:val="center"/>
          </w:tcPr>
          <w:p w:rsidR="005D35EA" w:rsidRDefault="00036A3A">
            <w:pPr>
              <w:jc w:val="center"/>
            </w:pPr>
            <w:r>
              <w:rPr>
                <w:color w:val="000000"/>
                <w:sz w:val="24"/>
                <w:szCs w:val="24"/>
              </w:rPr>
              <w:t>-</w:t>
            </w:r>
          </w:p>
        </w:tc>
        <w:tc>
          <w:tcPr>
            <w:tcW w:w="898" w:type="dxa"/>
            <w:vAlign w:val="center"/>
          </w:tcPr>
          <w:p w:rsidR="005D35EA" w:rsidRDefault="00036A3A">
            <w:pPr>
              <w:jc w:val="center"/>
            </w:pPr>
            <w:r>
              <w:rPr>
                <w:color w:val="000000"/>
                <w:sz w:val="24"/>
                <w:szCs w:val="24"/>
              </w:rPr>
              <w:t>-</w:t>
            </w:r>
          </w:p>
        </w:tc>
      </w:tr>
      <w:tr w:rsidR="005D35EA">
        <w:trPr>
          <w:jc w:val="center"/>
        </w:trPr>
        <w:tc>
          <w:tcPr>
            <w:tcW w:w="1701" w:type="dxa"/>
            <w:vAlign w:val="center"/>
          </w:tcPr>
          <w:p w:rsidR="005D35EA" w:rsidRDefault="00036A3A">
            <w:pPr>
              <w:jc w:val="left"/>
            </w:pPr>
            <w:r>
              <w:rPr>
                <w:color w:val="000000"/>
                <w:sz w:val="24"/>
                <w:szCs w:val="24"/>
              </w:rPr>
              <w:t>自基金合同生效起至今</w:t>
            </w:r>
          </w:p>
        </w:tc>
        <w:tc>
          <w:tcPr>
            <w:tcW w:w="1045" w:type="dxa"/>
            <w:vAlign w:val="center"/>
          </w:tcPr>
          <w:p w:rsidR="005D35EA" w:rsidRDefault="00036A3A">
            <w:pPr>
              <w:jc w:val="center"/>
            </w:pPr>
            <w:r>
              <w:rPr>
                <w:color w:val="000000"/>
                <w:sz w:val="24"/>
                <w:szCs w:val="24"/>
              </w:rPr>
              <w:t>14.76%</w:t>
            </w:r>
          </w:p>
        </w:tc>
        <w:tc>
          <w:tcPr>
            <w:tcW w:w="1344" w:type="dxa"/>
            <w:vAlign w:val="center"/>
          </w:tcPr>
          <w:p w:rsidR="005D35EA" w:rsidRDefault="00036A3A">
            <w:pPr>
              <w:jc w:val="center"/>
            </w:pPr>
            <w:r>
              <w:rPr>
                <w:color w:val="000000"/>
                <w:sz w:val="24"/>
                <w:szCs w:val="24"/>
              </w:rPr>
              <w:t>0.80%</w:t>
            </w:r>
          </w:p>
        </w:tc>
        <w:tc>
          <w:tcPr>
            <w:tcW w:w="1194" w:type="dxa"/>
            <w:vAlign w:val="center"/>
          </w:tcPr>
          <w:p w:rsidR="005D35EA" w:rsidRDefault="00036A3A">
            <w:pPr>
              <w:jc w:val="center"/>
            </w:pPr>
            <w:r>
              <w:rPr>
                <w:color w:val="000000"/>
                <w:sz w:val="24"/>
                <w:szCs w:val="24"/>
              </w:rPr>
              <w:t>9.39%</w:t>
            </w:r>
          </w:p>
        </w:tc>
        <w:tc>
          <w:tcPr>
            <w:tcW w:w="1492" w:type="dxa"/>
            <w:vAlign w:val="center"/>
          </w:tcPr>
          <w:p w:rsidR="005D35EA" w:rsidRDefault="00036A3A">
            <w:pPr>
              <w:jc w:val="center"/>
            </w:pPr>
            <w:r>
              <w:rPr>
                <w:color w:val="000000"/>
                <w:sz w:val="24"/>
                <w:szCs w:val="24"/>
              </w:rPr>
              <w:t>0.88%</w:t>
            </w:r>
          </w:p>
        </w:tc>
        <w:tc>
          <w:tcPr>
            <w:tcW w:w="1194" w:type="dxa"/>
            <w:vAlign w:val="center"/>
          </w:tcPr>
          <w:p w:rsidR="005D35EA" w:rsidRDefault="00036A3A">
            <w:pPr>
              <w:jc w:val="center"/>
            </w:pPr>
            <w:r>
              <w:rPr>
                <w:color w:val="000000"/>
                <w:sz w:val="24"/>
                <w:szCs w:val="24"/>
              </w:rPr>
              <w:t>5.37%</w:t>
            </w:r>
          </w:p>
        </w:tc>
        <w:tc>
          <w:tcPr>
            <w:tcW w:w="898" w:type="dxa"/>
            <w:vAlign w:val="center"/>
          </w:tcPr>
          <w:p w:rsidR="005D35EA" w:rsidRDefault="00036A3A">
            <w:pPr>
              <w:jc w:val="center"/>
            </w:pPr>
            <w:r>
              <w:rPr>
                <w:color w:val="000000"/>
                <w:sz w:val="24"/>
                <w:szCs w:val="24"/>
              </w:rPr>
              <w:t>-0.08%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摩根锦程积极成长养老目标五年持有期混合型发起式基金中基金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29</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2023</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5D35EA" w:rsidRDefault="00036A3A">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29</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5D35EA">
        <w:trPr>
          <w:jc w:val="center"/>
        </w:trPr>
        <w:tc>
          <w:tcPr>
            <w:tcW w:w="846" w:type="dxa"/>
            <w:vAlign w:val="center"/>
          </w:tcPr>
          <w:p w:rsidR="005D35EA" w:rsidRDefault="00036A3A">
            <w:pPr>
              <w:jc w:val="center"/>
            </w:pPr>
            <w:r>
              <w:rPr>
                <w:color w:val="000000"/>
                <w:sz w:val="24"/>
                <w:szCs w:val="24"/>
              </w:rPr>
              <w:t>杜习杰</w:t>
            </w:r>
          </w:p>
        </w:tc>
        <w:tc>
          <w:tcPr>
            <w:tcW w:w="845" w:type="dxa"/>
            <w:vAlign w:val="center"/>
          </w:tcPr>
          <w:p w:rsidR="005D35EA" w:rsidRDefault="00036A3A">
            <w:pPr>
              <w:jc w:val="center"/>
            </w:pPr>
            <w:r>
              <w:rPr>
                <w:color w:val="000000"/>
                <w:sz w:val="24"/>
                <w:szCs w:val="24"/>
              </w:rPr>
              <w:t>本基金基金经理</w:t>
            </w:r>
          </w:p>
        </w:tc>
        <w:tc>
          <w:tcPr>
            <w:tcW w:w="1549" w:type="dxa"/>
            <w:vAlign w:val="center"/>
          </w:tcPr>
          <w:p w:rsidR="005D35EA" w:rsidRDefault="00036A3A">
            <w:pPr>
              <w:jc w:val="center"/>
            </w:pPr>
            <w:r>
              <w:rPr>
                <w:color w:val="000000"/>
                <w:sz w:val="24"/>
                <w:szCs w:val="24"/>
              </w:rPr>
              <w:t>2020-04-29</w:t>
            </w:r>
          </w:p>
        </w:tc>
        <w:tc>
          <w:tcPr>
            <w:tcW w:w="1548" w:type="dxa"/>
            <w:vAlign w:val="center"/>
          </w:tcPr>
          <w:p w:rsidR="005D35EA" w:rsidRDefault="00036A3A">
            <w:pPr>
              <w:jc w:val="center"/>
            </w:pPr>
            <w:r>
              <w:rPr>
                <w:color w:val="000000"/>
                <w:sz w:val="24"/>
                <w:szCs w:val="24"/>
              </w:rPr>
              <w:t>-</w:t>
            </w:r>
          </w:p>
        </w:tc>
        <w:tc>
          <w:tcPr>
            <w:tcW w:w="1407" w:type="dxa"/>
            <w:vAlign w:val="center"/>
          </w:tcPr>
          <w:p w:rsidR="005D35EA" w:rsidRDefault="00036A3A">
            <w:pPr>
              <w:jc w:val="center"/>
            </w:pPr>
            <w:r>
              <w:rPr>
                <w:color w:val="000000"/>
                <w:sz w:val="24"/>
                <w:szCs w:val="24"/>
              </w:rPr>
              <w:t>15</w:t>
            </w:r>
            <w:r>
              <w:rPr>
                <w:color w:val="000000"/>
                <w:sz w:val="24"/>
                <w:szCs w:val="24"/>
              </w:rPr>
              <w:t>年</w:t>
            </w:r>
          </w:p>
        </w:tc>
        <w:tc>
          <w:tcPr>
            <w:tcW w:w="2673" w:type="dxa"/>
            <w:vAlign w:val="center"/>
          </w:tcPr>
          <w:p w:rsidR="005D35EA" w:rsidRDefault="00036A3A">
            <w:r>
              <w:rPr>
                <w:color w:val="000000"/>
                <w:sz w:val="24"/>
                <w:szCs w:val="24"/>
              </w:rPr>
              <w:t>杜习杰先生曾任长信基金任研究员。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月起加入摩根基金管理（中国）有限公司（原上投摩根基金管理有限</w:t>
            </w:r>
            <w:r>
              <w:rPr>
                <w:color w:val="000000"/>
                <w:sz w:val="24"/>
                <w:szCs w:val="24"/>
              </w:rPr>
              <w:lastRenderedPageBreak/>
              <w:t>公司），历任研究员、投资经理兼研究员，现任组合基金投资部基金经理。</w:t>
            </w:r>
          </w:p>
        </w:tc>
      </w:tr>
      <w:tr w:rsidR="005D35EA">
        <w:trPr>
          <w:jc w:val="center"/>
        </w:trPr>
        <w:tc>
          <w:tcPr>
            <w:tcW w:w="846" w:type="dxa"/>
            <w:vAlign w:val="center"/>
          </w:tcPr>
          <w:p w:rsidR="005D35EA" w:rsidRDefault="00036A3A">
            <w:pPr>
              <w:jc w:val="center"/>
            </w:pPr>
            <w:r>
              <w:rPr>
                <w:color w:val="000000"/>
                <w:sz w:val="24"/>
                <w:szCs w:val="24"/>
              </w:rPr>
              <w:lastRenderedPageBreak/>
              <w:t>吴春杰</w:t>
            </w:r>
          </w:p>
        </w:tc>
        <w:tc>
          <w:tcPr>
            <w:tcW w:w="845" w:type="dxa"/>
            <w:vAlign w:val="center"/>
          </w:tcPr>
          <w:p w:rsidR="005D35EA" w:rsidRDefault="00036A3A">
            <w:pPr>
              <w:jc w:val="center"/>
            </w:pPr>
            <w:r>
              <w:rPr>
                <w:color w:val="000000"/>
                <w:sz w:val="24"/>
                <w:szCs w:val="24"/>
              </w:rPr>
              <w:t>本基金基金经理</w:t>
            </w:r>
          </w:p>
        </w:tc>
        <w:tc>
          <w:tcPr>
            <w:tcW w:w="1549" w:type="dxa"/>
            <w:vAlign w:val="center"/>
          </w:tcPr>
          <w:p w:rsidR="005D35EA" w:rsidRDefault="00036A3A">
            <w:pPr>
              <w:jc w:val="center"/>
            </w:pPr>
            <w:r>
              <w:rPr>
                <w:color w:val="000000"/>
                <w:sz w:val="24"/>
                <w:szCs w:val="24"/>
              </w:rPr>
              <w:t>2022-11-18</w:t>
            </w:r>
          </w:p>
        </w:tc>
        <w:tc>
          <w:tcPr>
            <w:tcW w:w="1548" w:type="dxa"/>
            <w:vAlign w:val="center"/>
          </w:tcPr>
          <w:p w:rsidR="005D35EA" w:rsidRDefault="00036A3A">
            <w:pPr>
              <w:jc w:val="center"/>
            </w:pPr>
            <w:r>
              <w:rPr>
                <w:color w:val="000000"/>
                <w:sz w:val="24"/>
                <w:szCs w:val="24"/>
              </w:rPr>
              <w:t>-</w:t>
            </w:r>
          </w:p>
        </w:tc>
        <w:tc>
          <w:tcPr>
            <w:tcW w:w="1407" w:type="dxa"/>
            <w:vAlign w:val="center"/>
          </w:tcPr>
          <w:p w:rsidR="005D35EA" w:rsidRDefault="00036A3A">
            <w:pPr>
              <w:jc w:val="center"/>
            </w:pPr>
            <w:r>
              <w:rPr>
                <w:color w:val="000000"/>
                <w:sz w:val="24"/>
                <w:szCs w:val="24"/>
              </w:rPr>
              <w:t>12</w:t>
            </w:r>
            <w:r>
              <w:rPr>
                <w:color w:val="000000"/>
                <w:sz w:val="24"/>
                <w:szCs w:val="24"/>
              </w:rPr>
              <w:t>年</w:t>
            </w:r>
          </w:p>
        </w:tc>
        <w:tc>
          <w:tcPr>
            <w:tcW w:w="2673" w:type="dxa"/>
            <w:vAlign w:val="center"/>
          </w:tcPr>
          <w:p w:rsidR="005D35EA" w:rsidRDefault="00036A3A">
            <w:r>
              <w:rPr>
                <w:color w:val="000000"/>
                <w:sz w:val="24"/>
                <w:szCs w:val="24"/>
              </w:rPr>
              <w:t>吴春杰女士曾任长江证券股份有限公司宏观策略分析师，中国太平洋人寿保险有限公司资产配置中心配置策略经理，上海景熙资产管理有限公司投资经理</w:t>
            </w:r>
            <w:r>
              <w:rPr>
                <w:color w:val="000000"/>
                <w:sz w:val="24"/>
                <w:szCs w:val="24"/>
              </w:rPr>
              <w:t>/</w:t>
            </w:r>
            <w:r>
              <w:rPr>
                <w:color w:val="000000"/>
                <w:sz w:val="24"/>
                <w:szCs w:val="24"/>
              </w:rPr>
              <w:t>宏观策略研究。</w:t>
            </w:r>
            <w:r>
              <w:rPr>
                <w:color w:val="000000"/>
                <w:sz w:val="24"/>
                <w:szCs w:val="24"/>
              </w:rPr>
              <w:t>2018</w:t>
            </w:r>
            <w:r>
              <w:rPr>
                <w:color w:val="000000"/>
                <w:sz w:val="24"/>
                <w:szCs w:val="24"/>
              </w:rPr>
              <w:t>年</w:t>
            </w:r>
            <w:r>
              <w:rPr>
                <w:color w:val="000000"/>
                <w:sz w:val="24"/>
                <w:szCs w:val="24"/>
              </w:rPr>
              <w:t>7</w:t>
            </w:r>
            <w:r>
              <w:rPr>
                <w:color w:val="000000"/>
                <w:sz w:val="24"/>
                <w:szCs w:val="24"/>
              </w:rPr>
              <w:t>月加入摩根基金管理（中国）有限公司（原上投摩根基金管理有限公司），历任宏观研究员，现任基金经理。</w:t>
            </w:r>
          </w:p>
        </w:tc>
      </w:tr>
    </w:tbl>
    <w:p w:rsidR="005D35EA" w:rsidRDefault="00036A3A">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 xml:space="preserve">1. </w:t>
      </w:r>
      <w:r>
        <w:rPr>
          <w:color w:val="000000"/>
          <w:sz w:val="24"/>
          <w:szCs w:val="24"/>
        </w:rPr>
        <w:t>任职日期和离任日期均指根据公司决定确定的聘任日期和解聘日期。</w:t>
      </w:r>
    </w:p>
    <w:p w:rsidR="005D35EA" w:rsidRDefault="00036A3A">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杜习杰先生为本基金首任基金经理，其任职日期为本基金基金合同生效之日；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5D35EA" w:rsidRDefault="00036A3A">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D35EA" w:rsidRDefault="00036A3A">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color w:val="000000"/>
          <w:sz w:val="24"/>
          <w:szCs w:val="24"/>
        </w:rPr>
        <w:lastRenderedPageBreak/>
        <w:t>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5D35EA" w:rsidRDefault="00036A3A">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5D35EA" w:rsidRDefault="00036A3A">
      <w:pPr>
        <w:spacing w:before="29" w:line="288" w:lineRule="auto"/>
        <w:ind w:firstLineChars="200" w:firstLine="480"/>
        <w:rPr>
          <w:color w:val="000000"/>
          <w:sz w:val="24"/>
          <w:szCs w:val="24"/>
        </w:rPr>
      </w:pPr>
      <w:r>
        <w:rPr>
          <w:color w:val="000000"/>
          <w:sz w:val="24"/>
          <w:szCs w:val="24"/>
        </w:rPr>
        <w:t>回顾一季度，国内宏观经济基本面逐步恢复，</w:t>
      </w:r>
      <w:r>
        <w:rPr>
          <w:color w:val="000000"/>
          <w:sz w:val="24"/>
          <w:szCs w:val="24"/>
        </w:rPr>
        <w:t>2</w:t>
      </w:r>
      <w:r>
        <w:rPr>
          <w:color w:val="000000"/>
          <w:sz w:val="24"/>
          <w:szCs w:val="24"/>
        </w:rPr>
        <w:t>、</w:t>
      </w:r>
      <w:r>
        <w:rPr>
          <w:color w:val="000000"/>
          <w:sz w:val="24"/>
          <w:szCs w:val="24"/>
        </w:rPr>
        <w:t>3</w:t>
      </w:r>
      <w:r>
        <w:rPr>
          <w:color w:val="000000"/>
          <w:sz w:val="24"/>
          <w:szCs w:val="24"/>
        </w:rPr>
        <w:t>月官方制造业</w:t>
      </w:r>
      <w:r>
        <w:rPr>
          <w:color w:val="000000"/>
          <w:sz w:val="24"/>
          <w:szCs w:val="24"/>
        </w:rPr>
        <w:t>PMI</w:t>
      </w:r>
      <w:r>
        <w:rPr>
          <w:color w:val="000000"/>
          <w:sz w:val="24"/>
          <w:szCs w:val="24"/>
        </w:rPr>
        <w:t>连续好于预期，消费出行向疫情前水平修复，</w:t>
      </w:r>
      <w:r>
        <w:rPr>
          <w:color w:val="000000"/>
          <w:sz w:val="24"/>
          <w:szCs w:val="24"/>
        </w:rPr>
        <w:t>1-2</w:t>
      </w:r>
      <w:r>
        <w:rPr>
          <w:color w:val="000000"/>
          <w:sz w:val="24"/>
          <w:szCs w:val="24"/>
        </w:rPr>
        <w:t>月出口增速负值收敛。尽管经济数据在改善，但市场预期却有所趋弱，从国内资产表现上来看，股票市场冲高后回调、</w:t>
      </w:r>
      <w:r>
        <w:rPr>
          <w:color w:val="000000"/>
          <w:sz w:val="24"/>
          <w:szCs w:val="24"/>
        </w:rPr>
        <w:t>10</w:t>
      </w:r>
      <w:r>
        <w:rPr>
          <w:color w:val="000000"/>
          <w:sz w:val="24"/>
          <w:szCs w:val="24"/>
        </w:rPr>
        <w:t>年期国债收益率进入</w:t>
      </w:r>
      <w:r>
        <w:rPr>
          <w:color w:val="000000"/>
          <w:sz w:val="24"/>
          <w:szCs w:val="24"/>
        </w:rPr>
        <w:t>3</w:t>
      </w:r>
      <w:r>
        <w:rPr>
          <w:color w:val="000000"/>
          <w:sz w:val="24"/>
          <w:szCs w:val="24"/>
        </w:rPr>
        <w:t>月后转而震荡下行。资本市场预期的谨慎，一方面与本轮国内稳内需政策的缓步发力有关，另一方面，海外银行风险事件频发、美联储加息节奏预期大幅波动也对国内情绪有一定的传导。海外债券市场方面，年初美国劳动力市场强劲的数据一度让市场推迟、甚至打消经济可能步入衰退的预期，</w:t>
      </w:r>
      <w:r>
        <w:rPr>
          <w:color w:val="000000"/>
          <w:sz w:val="24"/>
          <w:szCs w:val="24"/>
        </w:rPr>
        <w:t>10</w:t>
      </w:r>
      <w:r>
        <w:rPr>
          <w:color w:val="000000"/>
          <w:sz w:val="24"/>
          <w:szCs w:val="24"/>
        </w:rPr>
        <w:t>年期美债到期收益率</w:t>
      </w:r>
      <w:r>
        <w:rPr>
          <w:color w:val="000000"/>
          <w:sz w:val="24"/>
          <w:szCs w:val="24"/>
        </w:rPr>
        <w:t>3</w:t>
      </w:r>
      <w:r>
        <w:rPr>
          <w:color w:val="000000"/>
          <w:sz w:val="24"/>
          <w:szCs w:val="24"/>
        </w:rPr>
        <w:t>月初一度上行再次突破</w:t>
      </w:r>
      <w:r>
        <w:rPr>
          <w:color w:val="000000"/>
          <w:sz w:val="24"/>
          <w:szCs w:val="24"/>
        </w:rPr>
        <w:t>4.0%</w:t>
      </w:r>
      <w:r>
        <w:rPr>
          <w:color w:val="000000"/>
          <w:sz w:val="24"/>
          <w:szCs w:val="24"/>
        </w:rPr>
        <w:t>，但随海外银行风险事件发生，市场美联储年内降息预期升温，</w:t>
      </w:r>
      <w:r>
        <w:rPr>
          <w:color w:val="000000"/>
          <w:sz w:val="24"/>
          <w:szCs w:val="24"/>
        </w:rPr>
        <w:t>10</w:t>
      </w:r>
      <w:r>
        <w:rPr>
          <w:color w:val="000000"/>
          <w:sz w:val="24"/>
          <w:szCs w:val="24"/>
        </w:rPr>
        <w:t>年期美债收益率降至</w:t>
      </w:r>
      <w:r>
        <w:rPr>
          <w:color w:val="000000"/>
          <w:sz w:val="24"/>
          <w:szCs w:val="24"/>
        </w:rPr>
        <w:t>3.5%</w:t>
      </w:r>
      <w:r>
        <w:rPr>
          <w:color w:val="000000"/>
          <w:sz w:val="24"/>
          <w:szCs w:val="24"/>
        </w:rPr>
        <w:t>附近。黄金在过去一段波动的市场环境中表现较好，受益于海外衰退预期升温与风险事件发生。</w:t>
      </w:r>
    </w:p>
    <w:p w:rsidR="005D35EA" w:rsidRDefault="00036A3A">
      <w:pPr>
        <w:spacing w:before="29" w:line="288" w:lineRule="auto"/>
        <w:ind w:firstLineChars="200" w:firstLine="480"/>
        <w:rPr>
          <w:color w:val="000000"/>
          <w:sz w:val="24"/>
          <w:szCs w:val="24"/>
        </w:rPr>
      </w:pPr>
      <w:r>
        <w:rPr>
          <w:color w:val="000000"/>
          <w:sz w:val="24"/>
          <w:szCs w:val="24"/>
        </w:rPr>
        <w:t>对于国内权益来讲，当前历史估值分位、相对债券资产的估值处均在具备吸引力的水平，为长期投资提供一定安全边际。年内经济修复是确定性的，节奏与幅度上虽有分歧，但政策仍有相机抉择加码托底的空间。结构上，维持此前判断，关注受益于稳内需政策加码的领域，包括地产链、政府支出或补贴可能增加的基建、信创、自主可控等领域，</w:t>
      </w:r>
      <w:r>
        <w:rPr>
          <w:color w:val="000000"/>
          <w:sz w:val="24"/>
          <w:szCs w:val="24"/>
        </w:rPr>
        <w:t>TMT</w:t>
      </w:r>
      <w:r>
        <w:rPr>
          <w:color w:val="000000"/>
          <w:sz w:val="24"/>
          <w:szCs w:val="24"/>
        </w:rPr>
        <w:t>相关板块涨幅超预期，有</w:t>
      </w:r>
      <w:r>
        <w:rPr>
          <w:color w:val="000000"/>
          <w:sz w:val="24"/>
          <w:szCs w:val="24"/>
        </w:rPr>
        <w:t>ChatGPT</w:t>
      </w:r>
      <w:r>
        <w:rPr>
          <w:color w:val="000000"/>
          <w:sz w:val="24"/>
          <w:szCs w:val="24"/>
        </w:rPr>
        <w:t>主题催化的成份，对交易情绪的过热持谨慎的态度，后续会持续关注新技术对经济各个领域的影响；对消费服务业来讲，去年博弈情绪已较浓，二季度市场对其关注度有望随着节日出行、消费数据改善而增加。</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对于国内债券来讲，国内经济增长预期改善不利于长久期债券，内外利差仍为负值，总体维持相对谨慎的看法。海外金融市场对于美联储放缓加息在一季度经历了反转，目前已有对年内降息的预期，美债中期机会逐步显现。海外权益面临的盈利下调风险在增大，银行风险事件可能会导致一定程度的信用收缩，并向需求传导。我们倾向于认为可以等待更好的时机配置发达国家资产。对于港股，估值仍在历史较低位置，平台经济监管政策趋于呵护，叠加国内经济基本面修复，具有较好的配置价值。</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本报告期本基金份额净值增长率为</w:t>
      </w:r>
      <w:r w:rsidRPr="00414345">
        <w:rPr>
          <w:color w:val="000000"/>
          <w:sz w:val="24"/>
          <w:szCs w:val="24"/>
        </w:rPr>
        <w:t>:4.56%</w:t>
      </w:r>
      <w:r w:rsidRPr="00414345">
        <w:rPr>
          <w:color w:val="000000"/>
          <w:sz w:val="24"/>
          <w:szCs w:val="24"/>
        </w:rPr>
        <w:t>，同期业绩比较基准收益率为</w:t>
      </w:r>
      <w:r w:rsidRPr="00414345">
        <w:rPr>
          <w:color w:val="000000"/>
          <w:sz w:val="24"/>
          <w:szCs w:val="24"/>
        </w:rPr>
        <w:t>:4.36%</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27,481,618.60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93.40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1,417,488.49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1,417,488.49</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504,323.91</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20,834.62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29,424,265.62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p w:rsidR="004061AC" w:rsidRPr="00E133DE" w:rsidRDefault="004061AC" w:rsidP="00C15CAC">
      <w:pPr>
        <w:autoSpaceDE w:val="0"/>
        <w:autoSpaceDN w:val="0"/>
        <w:adjustRightInd w:val="0"/>
        <w:spacing w:before="29" w:line="288" w:lineRule="auto"/>
        <w:jc w:val="left"/>
        <w:rPr>
          <w:sz w:val="24"/>
          <w:szCs w:val="24"/>
        </w:rPr>
      </w:pPr>
      <w:r w:rsidRPr="00E133DE">
        <w:rPr>
          <w:sz w:val="24"/>
          <w:szCs w:val="24"/>
        </w:rPr>
        <w:lastRenderedPageBreak/>
        <w:t>本基金本报告期末未持有股票。</w:t>
      </w:r>
    </w:p>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1,417,488.49</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1,417,488.49</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4.84</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5D35EA">
        <w:trPr>
          <w:jc w:val="center"/>
        </w:trPr>
        <w:tc>
          <w:tcPr>
            <w:tcW w:w="850" w:type="dxa"/>
            <w:vAlign w:val="center"/>
          </w:tcPr>
          <w:p w:rsidR="005D35EA" w:rsidRDefault="00036A3A">
            <w:pPr>
              <w:jc w:val="center"/>
            </w:pPr>
            <w:r>
              <w:rPr>
                <w:color w:val="000000"/>
                <w:sz w:val="24"/>
                <w:szCs w:val="24"/>
              </w:rPr>
              <w:t>1</w:t>
            </w:r>
          </w:p>
        </w:tc>
        <w:tc>
          <w:tcPr>
            <w:tcW w:w="1475" w:type="dxa"/>
            <w:vAlign w:val="center"/>
          </w:tcPr>
          <w:p w:rsidR="005D35EA" w:rsidRDefault="00036A3A">
            <w:pPr>
              <w:jc w:val="center"/>
            </w:pPr>
            <w:r>
              <w:rPr>
                <w:color w:val="000000"/>
                <w:sz w:val="24"/>
                <w:szCs w:val="24"/>
              </w:rPr>
              <w:t>019679</w:t>
            </w:r>
          </w:p>
        </w:tc>
        <w:tc>
          <w:tcPr>
            <w:tcW w:w="1769" w:type="dxa"/>
            <w:vAlign w:val="center"/>
          </w:tcPr>
          <w:p w:rsidR="005D35EA" w:rsidRDefault="00036A3A">
            <w:pPr>
              <w:jc w:val="center"/>
            </w:pPr>
            <w:r>
              <w:rPr>
                <w:color w:val="000000"/>
                <w:sz w:val="24"/>
                <w:szCs w:val="24"/>
              </w:rPr>
              <w:t>22</w:t>
            </w:r>
            <w:r>
              <w:rPr>
                <w:color w:val="000000"/>
                <w:sz w:val="24"/>
                <w:szCs w:val="24"/>
              </w:rPr>
              <w:t>国债</w:t>
            </w:r>
            <w:r>
              <w:rPr>
                <w:color w:val="000000"/>
                <w:sz w:val="24"/>
                <w:szCs w:val="24"/>
              </w:rPr>
              <w:t>14</w:t>
            </w:r>
          </w:p>
        </w:tc>
        <w:tc>
          <w:tcPr>
            <w:tcW w:w="1387" w:type="dxa"/>
            <w:vAlign w:val="center"/>
          </w:tcPr>
          <w:p w:rsidR="005D35EA" w:rsidRDefault="00036A3A">
            <w:pPr>
              <w:jc w:val="right"/>
            </w:pPr>
            <w:r>
              <w:rPr>
                <w:color w:val="000000"/>
                <w:sz w:val="24"/>
                <w:szCs w:val="24"/>
              </w:rPr>
              <w:t>14,000</w:t>
            </w:r>
          </w:p>
        </w:tc>
        <w:tc>
          <w:tcPr>
            <w:tcW w:w="2150" w:type="dxa"/>
            <w:vAlign w:val="center"/>
          </w:tcPr>
          <w:p w:rsidR="005D35EA" w:rsidRDefault="00036A3A">
            <w:pPr>
              <w:jc w:val="right"/>
            </w:pPr>
            <w:r>
              <w:rPr>
                <w:color w:val="000000"/>
                <w:sz w:val="24"/>
                <w:szCs w:val="24"/>
              </w:rPr>
              <w:t>1,417,488.49</w:t>
            </w:r>
          </w:p>
        </w:tc>
        <w:tc>
          <w:tcPr>
            <w:tcW w:w="1237" w:type="dxa"/>
            <w:vAlign w:val="center"/>
          </w:tcPr>
          <w:p w:rsidR="005D35EA" w:rsidRDefault="00036A3A">
            <w:pPr>
              <w:jc w:val="right"/>
            </w:pPr>
            <w:r>
              <w:rPr>
                <w:color w:val="000000"/>
                <w:sz w:val="24"/>
                <w:szCs w:val="24"/>
              </w:rPr>
              <w:t>4.84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3,917.31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16,917.31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20,834.62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lastRenderedPageBreak/>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5D35EA">
        <w:tc>
          <w:tcPr>
            <w:tcW w:w="835" w:type="dxa"/>
            <w:vAlign w:val="center"/>
          </w:tcPr>
          <w:p w:rsidR="005D35EA" w:rsidRDefault="00036A3A">
            <w:pPr>
              <w:jc w:val="center"/>
            </w:pPr>
            <w:r>
              <w:rPr>
                <w:sz w:val="24"/>
                <w:szCs w:val="24"/>
              </w:rPr>
              <w:t>1</w:t>
            </w:r>
          </w:p>
        </w:tc>
        <w:tc>
          <w:tcPr>
            <w:tcW w:w="1159" w:type="dxa"/>
            <w:vAlign w:val="center"/>
          </w:tcPr>
          <w:p w:rsidR="005D35EA" w:rsidRDefault="00036A3A">
            <w:pPr>
              <w:jc w:val="center"/>
            </w:pPr>
            <w:r>
              <w:rPr>
                <w:sz w:val="24"/>
                <w:szCs w:val="24"/>
              </w:rPr>
              <w:t>006551</w:t>
            </w:r>
          </w:p>
        </w:tc>
        <w:tc>
          <w:tcPr>
            <w:tcW w:w="1161" w:type="dxa"/>
            <w:vAlign w:val="center"/>
          </w:tcPr>
          <w:p w:rsidR="005D35EA" w:rsidRDefault="00036A3A">
            <w:pPr>
              <w:jc w:val="center"/>
            </w:pPr>
            <w:r>
              <w:rPr>
                <w:sz w:val="24"/>
                <w:szCs w:val="24"/>
              </w:rPr>
              <w:t>中庚价值领航混合</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548,353.84</w:t>
            </w:r>
          </w:p>
        </w:tc>
        <w:tc>
          <w:tcPr>
            <w:tcW w:w="1305" w:type="dxa"/>
            <w:vAlign w:val="center"/>
          </w:tcPr>
          <w:p w:rsidR="005D35EA" w:rsidRDefault="00036A3A">
            <w:pPr>
              <w:jc w:val="center"/>
            </w:pPr>
            <w:r>
              <w:rPr>
                <w:sz w:val="24"/>
                <w:szCs w:val="24"/>
              </w:rPr>
              <w:t>1,323,616.50</w:t>
            </w:r>
          </w:p>
        </w:tc>
        <w:tc>
          <w:tcPr>
            <w:tcW w:w="1161" w:type="dxa"/>
            <w:vAlign w:val="center"/>
          </w:tcPr>
          <w:p w:rsidR="005D35EA" w:rsidRDefault="00036A3A">
            <w:pPr>
              <w:jc w:val="center"/>
            </w:pPr>
            <w:r>
              <w:rPr>
                <w:sz w:val="24"/>
                <w:szCs w:val="24"/>
              </w:rPr>
              <w:t>4.52%</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2</w:t>
            </w:r>
          </w:p>
        </w:tc>
        <w:tc>
          <w:tcPr>
            <w:tcW w:w="1159" w:type="dxa"/>
            <w:vAlign w:val="center"/>
          </w:tcPr>
          <w:p w:rsidR="005D35EA" w:rsidRDefault="00036A3A">
            <w:pPr>
              <w:jc w:val="center"/>
            </w:pPr>
            <w:r>
              <w:rPr>
                <w:sz w:val="24"/>
                <w:szCs w:val="24"/>
              </w:rPr>
              <w:t>515170</w:t>
            </w:r>
          </w:p>
        </w:tc>
        <w:tc>
          <w:tcPr>
            <w:tcW w:w="1161" w:type="dxa"/>
            <w:vAlign w:val="center"/>
          </w:tcPr>
          <w:p w:rsidR="005D35EA" w:rsidRDefault="00036A3A">
            <w:pPr>
              <w:jc w:val="center"/>
            </w:pPr>
            <w:r>
              <w:rPr>
                <w:sz w:val="24"/>
                <w:szCs w:val="24"/>
              </w:rPr>
              <w:t>华夏中证细分食品饮料产业主题</w:t>
            </w:r>
            <w:r>
              <w:rPr>
                <w:sz w:val="24"/>
                <w:szCs w:val="24"/>
              </w:rPr>
              <w:t>ETF</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1,505,900.00</w:t>
            </w:r>
          </w:p>
        </w:tc>
        <w:tc>
          <w:tcPr>
            <w:tcW w:w="1305" w:type="dxa"/>
            <w:vAlign w:val="center"/>
          </w:tcPr>
          <w:p w:rsidR="005D35EA" w:rsidRDefault="00036A3A">
            <w:pPr>
              <w:jc w:val="center"/>
            </w:pPr>
            <w:r>
              <w:rPr>
                <w:sz w:val="24"/>
                <w:szCs w:val="24"/>
              </w:rPr>
              <w:t>1,189,661.00</w:t>
            </w:r>
          </w:p>
        </w:tc>
        <w:tc>
          <w:tcPr>
            <w:tcW w:w="1161" w:type="dxa"/>
            <w:vAlign w:val="center"/>
          </w:tcPr>
          <w:p w:rsidR="005D35EA" w:rsidRDefault="00036A3A">
            <w:pPr>
              <w:jc w:val="center"/>
            </w:pPr>
            <w:r>
              <w:rPr>
                <w:sz w:val="24"/>
                <w:szCs w:val="24"/>
              </w:rPr>
              <w:t>4.06%</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3</w:t>
            </w:r>
          </w:p>
        </w:tc>
        <w:tc>
          <w:tcPr>
            <w:tcW w:w="1159" w:type="dxa"/>
            <w:vAlign w:val="center"/>
          </w:tcPr>
          <w:p w:rsidR="005D35EA" w:rsidRDefault="00036A3A">
            <w:pPr>
              <w:jc w:val="center"/>
            </w:pPr>
            <w:r>
              <w:rPr>
                <w:sz w:val="24"/>
                <w:szCs w:val="24"/>
              </w:rPr>
              <w:t>513180</w:t>
            </w:r>
          </w:p>
        </w:tc>
        <w:tc>
          <w:tcPr>
            <w:tcW w:w="1161" w:type="dxa"/>
            <w:vAlign w:val="center"/>
          </w:tcPr>
          <w:p w:rsidR="005D35EA" w:rsidRDefault="00036A3A">
            <w:pPr>
              <w:jc w:val="center"/>
            </w:pPr>
            <w:r>
              <w:rPr>
                <w:sz w:val="24"/>
                <w:szCs w:val="24"/>
              </w:rPr>
              <w:t>华夏恒生科技</w:t>
            </w:r>
            <w:r>
              <w:rPr>
                <w:sz w:val="24"/>
                <w:szCs w:val="24"/>
              </w:rPr>
              <w:t>ETF(QDII)</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2,008,800.00</w:t>
            </w:r>
          </w:p>
        </w:tc>
        <w:tc>
          <w:tcPr>
            <w:tcW w:w="1305" w:type="dxa"/>
            <w:vAlign w:val="center"/>
          </w:tcPr>
          <w:p w:rsidR="005D35EA" w:rsidRDefault="00036A3A">
            <w:pPr>
              <w:jc w:val="center"/>
            </w:pPr>
            <w:r>
              <w:rPr>
                <w:sz w:val="24"/>
                <w:szCs w:val="24"/>
              </w:rPr>
              <w:t>1,124,928.00</w:t>
            </w:r>
          </w:p>
        </w:tc>
        <w:tc>
          <w:tcPr>
            <w:tcW w:w="1161" w:type="dxa"/>
            <w:vAlign w:val="center"/>
          </w:tcPr>
          <w:p w:rsidR="005D35EA" w:rsidRDefault="00036A3A">
            <w:pPr>
              <w:jc w:val="center"/>
            </w:pPr>
            <w:r>
              <w:rPr>
                <w:sz w:val="24"/>
                <w:szCs w:val="24"/>
              </w:rPr>
              <w:t>3.84%</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4</w:t>
            </w:r>
          </w:p>
        </w:tc>
        <w:tc>
          <w:tcPr>
            <w:tcW w:w="1159" w:type="dxa"/>
            <w:vAlign w:val="center"/>
          </w:tcPr>
          <w:p w:rsidR="005D35EA" w:rsidRDefault="00036A3A">
            <w:pPr>
              <w:jc w:val="center"/>
            </w:pPr>
            <w:r>
              <w:rPr>
                <w:sz w:val="24"/>
                <w:szCs w:val="24"/>
              </w:rPr>
              <w:t>519756</w:t>
            </w:r>
          </w:p>
        </w:tc>
        <w:tc>
          <w:tcPr>
            <w:tcW w:w="1161" w:type="dxa"/>
            <w:vAlign w:val="center"/>
          </w:tcPr>
          <w:p w:rsidR="005D35EA" w:rsidRDefault="00036A3A">
            <w:pPr>
              <w:jc w:val="center"/>
            </w:pPr>
            <w:r>
              <w:rPr>
                <w:sz w:val="24"/>
                <w:szCs w:val="24"/>
              </w:rPr>
              <w:t>交银国企改革灵活配置混合</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562,542.16</w:t>
            </w:r>
          </w:p>
        </w:tc>
        <w:tc>
          <w:tcPr>
            <w:tcW w:w="1305" w:type="dxa"/>
            <w:vAlign w:val="center"/>
          </w:tcPr>
          <w:p w:rsidR="005D35EA" w:rsidRDefault="00036A3A">
            <w:pPr>
              <w:jc w:val="center"/>
            </w:pPr>
            <w:r>
              <w:rPr>
                <w:sz w:val="24"/>
                <w:szCs w:val="24"/>
              </w:rPr>
              <w:t>1,094,257.01</w:t>
            </w:r>
          </w:p>
        </w:tc>
        <w:tc>
          <w:tcPr>
            <w:tcW w:w="1161" w:type="dxa"/>
            <w:vAlign w:val="center"/>
          </w:tcPr>
          <w:p w:rsidR="005D35EA" w:rsidRDefault="00036A3A">
            <w:pPr>
              <w:jc w:val="center"/>
            </w:pPr>
            <w:r>
              <w:rPr>
                <w:sz w:val="24"/>
                <w:szCs w:val="24"/>
              </w:rPr>
              <w:t>3.73%</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5</w:t>
            </w:r>
          </w:p>
        </w:tc>
        <w:tc>
          <w:tcPr>
            <w:tcW w:w="1159" w:type="dxa"/>
            <w:vAlign w:val="center"/>
          </w:tcPr>
          <w:p w:rsidR="005D35EA" w:rsidRDefault="00036A3A">
            <w:pPr>
              <w:jc w:val="center"/>
            </w:pPr>
            <w:r>
              <w:rPr>
                <w:sz w:val="24"/>
                <w:szCs w:val="24"/>
              </w:rPr>
              <w:t>159920</w:t>
            </w:r>
          </w:p>
        </w:tc>
        <w:tc>
          <w:tcPr>
            <w:tcW w:w="1161" w:type="dxa"/>
            <w:vAlign w:val="center"/>
          </w:tcPr>
          <w:p w:rsidR="005D35EA" w:rsidRDefault="00036A3A">
            <w:pPr>
              <w:jc w:val="center"/>
            </w:pPr>
            <w:r>
              <w:rPr>
                <w:sz w:val="24"/>
                <w:szCs w:val="24"/>
              </w:rPr>
              <w:t>恒生</w:t>
            </w:r>
            <w:r>
              <w:rPr>
                <w:sz w:val="24"/>
                <w:szCs w:val="24"/>
              </w:rPr>
              <w:t>ETF(QDII)</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945,400.00</w:t>
            </w:r>
          </w:p>
        </w:tc>
        <w:tc>
          <w:tcPr>
            <w:tcW w:w="1305" w:type="dxa"/>
            <w:vAlign w:val="center"/>
          </w:tcPr>
          <w:p w:rsidR="005D35EA" w:rsidRDefault="00036A3A">
            <w:pPr>
              <w:jc w:val="center"/>
            </w:pPr>
            <w:r>
              <w:rPr>
                <w:sz w:val="24"/>
                <w:szCs w:val="24"/>
              </w:rPr>
              <w:t>1,073,974.40</w:t>
            </w:r>
          </w:p>
        </w:tc>
        <w:tc>
          <w:tcPr>
            <w:tcW w:w="1161" w:type="dxa"/>
            <w:vAlign w:val="center"/>
          </w:tcPr>
          <w:p w:rsidR="005D35EA" w:rsidRDefault="00036A3A">
            <w:pPr>
              <w:jc w:val="center"/>
            </w:pPr>
            <w:r>
              <w:rPr>
                <w:sz w:val="24"/>
                <w:szCs w:val="24"/>
              </w:rPr>
              <w:t>3.66%</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6</w:t>
            </w:r>
          </w:p>
        </w:tc>
        <w:tc>
          <w:tcPr>
            <w:tcW w:w="1159" w:type="dxa"/>
            <w:vAlign w:val="center"/>
          </w:tcPr>
          <w:p w:rsidR="005D35EA" w:rsidRDefault="00036A3A">
            <w:pPr>
              <w:jc w:val="center"/>
            </w:pPr>
            <w:r>
              <w:rPr>
                <w:sz w:val="24"/>
                <w:szCs w:val="24"/>
              </w:rPr>
              <w:t>006567</w:t>
            </w:r>
          </w:p>
        </w:tc>
        <w:tc>
          <w:tcPr>
            <w:tcW w:w="1161" w:type="dxa"/>
            <w:vAlign w:val="center"/>
          </w:tcPr>
          <w:p w:rsidR="005D35EA" w:rsidRDefault="00036A3A">
            <w:pPr>
              <w:jc w:val="center"/>
            </w:pPr>
            <w:r>
              <w:rPr>
                <w:sz w:val="24"/>
                <w:szCs w:val="24"/>
              </w:rPr>
              <w:t>中泰星元灵活配置混合</w:t>
            </w:r>
            <w:r>
              <w:rPr>
                <w:sz w:val="24"/>
                <w:szCs w:val="24"/>
              </w:rPr>
              <w:t>A</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431,217.83</w:t>
            </w:r>
          </w:p>
        </w:tc>
        <w:tc>
          <w:tcPr>
            <w:tcW w:w="1305" w:type="dxa"/>
            <w:vAlign w:val="center"/>
          </w:tcPr>
          <w:p w:rsidR="005D35EA" w:rsidRDefault="00036A3A">
            <w:pPr>
              <w:jc w:val="center"/>
            </w:pPr>
            <w:r>
              <w:rPr>
                <w:sz w:val="24"/>
                <w:szCs w:val="24"/>
              </w:rPr>
              <w:t>1,058,510.41</w:t>
            </w:r>
          </w:p>
        </w:tc>
        <w:tc>
          <w:tcPr>
            <w:tcW w:w="1161" w:type="dxa"/>
            <w:vAlign w:val="center"/>
          </w:tcPr>
          <w:p w:rsidR="005D35EA" w:rsidRDefault="00036A3A">
            <w:pPr>
              <w:jc w:val="center"/>
            </w:pPr>
            <w:r>
              <w:rPr>
                <w:sz w:val="24"/>
                <w:szCs w:val="24"/>
              </w:rPr>
              <w:t>3.61%</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7</w:t>
            </w:r>
          </w:p>
        </w:tc>
        <w:tc>
          <w:tcPr>
            <w:tcW w:w="1159" w:type="dxa"/>
            <w:vAlign w:val="center"/>
          </w:tcPr>
          <w:p w:rsidR="005D35EA" w:rsidRDefault="00036A3A">
            <w:pPr>
              <w:jc w:val="center"/>
            </w:pPr>
            <w:r>
              <w:rPr>
                <w:sz w:val="24"/>
                <w:szCs w:val="24"/>
              </w:rPr>
              <w:t>000727</w:t>
            </w:r>
          </w:p>
        </w:tc>
        <w:tc>
          <w:tcPr>
            <w:tcW w:w="1161" w:type="dxa"/>
            <w:vAlign w:val="center"/>
          </w:tcPr>
          <w:p w:rsidR="005D35EA" w:rsidRDefault="00036A3A">
            <w:pPr>
              <w:jc w:val="center"/>
            </w:pPr>
            <w:r>
              <w:rPr>
                <w:sz w:val="24"/>
                <w:szCs w:val="24"/>
              </w:rPr>
              <w:t>融通健康产业灵活配置混合</w:t>
            </w:r>
            <w:r>
              <w:rPr>
                <w:sz w:val="24"/>
                <w:szCs w:val="24"/>
              </w:rPr>
              <w:t>A</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300,951.59</w:t>
            </w:r>
          </w:p>
        </w:tc>
        <w:tc>
          <w:tcPr>
            <w:tcW w:w="1305" w:type="dxa"/>
            <w:vAlign w:val="center"/>
          </w:tcPr>
          <w:p w:rsidR="005D35EA" w:rsidRDefault="00036A3A">
            <w:pPr>
              <w:jc w:val="center"/>
            </w:pPr>
            <w:r>
              <w:rPr>
                <w:sz w:val="24"/>
                <w:szCs w:val="24"/>
              </w:rPr>
              <w:t>1,033,768.71</w:t>
            </w:r>
          </w:p>
        </w:tc>
        <w:tc>
          <w:tcPr>
            <w:tcW w:w="1161" w:type="dxa"/>
            <w:vAlign w:val="center"/>
          </w:tcPr>
          <w:p w:rsidR="005D35EA" w:rsidRDefault="00036A3A">
            <w:pPr>
              <w:jc w:val="center"/>
            </w:pPr>
            <w:r>
              <w:rPr>
                <w:sz w:val="24"/>
                <w:szCs w:val="24"/>
              </w:rPr>
              <w:t>3.53%</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8</w:t>
            </w:r>
          </w:p>
        </w:tc>
        <w:tc>
          <w:tcPr>
            <w:tcW w:w="1159" w:type="dxa"/>
            <w:vAlign w:val="center"/>
          </w:tcPr>
          <w:p w:rsidR="005D35EA" w:rsidRDefault="00036A3A">
            <w:pPr>
              <w:jc w:val="center"/>
            </w:pPr>
            <w:r>
              <w:rPr>
                <w:sz w:val="24"/>
                <w:szCs w:val="24"/>
              </w:rPr>
              <w:t>002207</w:t>
            </w:r>
          </w:p>
        </w:tc>
        <w:tc>
          <w:tcPr>
            <w:tcW w:w="1161" w:type="dxa"/>
            <w:vAlign w:val="center"/>
          </w:tcPr>
          <w:p w:rsidR="005D35EA" w:rsidRDefault="00036A3A">
            <w:pPr>
              <w:jc w:val="center"/>
            </w:pPr>
            <w:r>
              <w:rPr>
                <w:sz w:val="24"/>
                <w:szCs w:val="24"/>
              </w:rPr>
              <w:t>前海开源金银珠宝混合</w:t>
            </w:r>
            <w:r>
              <w:rPr>
                <w:sz w:val="24"/>
                <w:szCs w:val="24"/>
              </w:rPr>
              <w:t>C</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603,346.10</w:t>
            </w:r>
          </w:p>
        </w:tc>
        <w:tc>
          <w:tcPr>
            <w:tcW w:w="1305" w:type="dxa"/>
            <w:vAlign w:val="center"/>
          </w:tcPr>
          <w:p w:rsidR="005D35EA" w:rsidRDefault="00036A3A">
            <w:pPr>
              <w:jc w:val="center"/>
            </w:pPr>
            <w:r>
              <w:rPr>
                <w:sz w:val="24"/>
                <w:szCs w:val="24"/>
              </w:rPr>
              <w:t>856,751.46</w:t>
            </w:r>
          </w:p>
        </w:tc>
        <w:tc>
          <w:tcPr>
            <w:tcW w:w="1161" w:type="dxa"/>
            <w:vAlign w:val="center"/>
          </w:tcPr>
          <w:p w:rsidR="005D35EA" w:rsidRDefault="00036A3A">
            <w:pPr>
              <w:jc w:val="center"/>
            </w:pPr>
            <w:r>
              <w:rPr>
                <w:sz w:val="24"/>
                <w:szCs w:val="24"/>
              </w:rPr>
              <w:t>2.92%</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9</w:t>
            </w:r>
          </w:p>
        </w:tc>
        <w:tc>
          <w:tcPr>
            <w:tcW w:w="1159" w:type="dxa"/>
            <w:vAlign w:val="center"/>
          </w:tcPr>
          <w:p w:rsidR="005D35EA" w:rsidRDefault="00036A3A">
            <w:pPr>
              <w:jc w:val="center"/>
            </w:pPr>
            <w:r>
              <w:rPr>
                <w:sz w:val="24"/>
                <w:szCs w:val="24"/>
              </w:rPr>
              <w:t>004868</w:t>
            </w:r>
          </w:p>
        </w:tc>
        <w:tc>
          <w:tcPr>
            <w:tcW w:w="1161" w:type="dxa"/>
            <w:vAlign w:val="center"/>
          </w:tcPr>
          <w:p w:rsidR="005D35EA" w:rsidRDefault="00036A3A">
            <w:pPr>
              <w:jc w:val="center"/>
            </w:pPr>
            <w:r>
              <w:rPr>
                <w:sz w:val="24"/>
                <w:szCs w:val="24"/>
              </w:rPr>
              <w:t>交银股息优化</w:t>
            </w:r>
            <w:r>
              <w:rPr>
                <w:sz w:val="24"/>
                <w:szCs w:val="24"/>
              </w:rPr>
              <w:lastRenderedPageBreak/>
              <w:t>混合</w:t>
            </w:r>
          </w:p>
        </w:tc>
        <w:tc>
          <w:tcPr>
            <w:tcW w:w="1161" w:type="dxa"/>
            <w:vAlign w:val="center"/>
          </w:tcPr>
          <w:p w:rsidR="005D35EA" w:rsidRDefault="00036A3A">
            <w:pPr>
              <w:jc w:val="center"/>
            </w:pPr>
            <w:r>
              <w:rPr>
                <w:sz w:val="24"/>
                <w:szCs w:val="24"/>
              </w:rPr>
              <w:lastRenderedPageBreak/>
              <w:t>契约型开放式</w:t>
            </w:r>
          </w:p>
        </w:tc>
        <w:tc>
          <w:tcPr>
            <w:tcW w:w="1159" w:type="dxa"/>
            <w:vAlign w:val="center"/>
          </w:tcPr>
          <w:p w:rsidR="005D35EA" w:rsidRDefault="00036A3A">
            <w:pPr>
              <w:jc w:val="center"/>
            </w:pPr>
            <w:r>
              <w:rPr>
                <w:sz w:val="24"/>
                <w:szCs w:val="24"/>
              </w:rPr>
              <w:t>303,077.52</w:t>
            </w:r>
          </w:p>
        </w:tc>
        <w:tc>
          <w:tcPr>
            <w:tcW w:w="1305" w:type="dxa"/>
            <w:vAlign w:val="center"/>
          </w:tcPr>
          <w:p w:rsidR="005D35EA" w:rsidRDefault="00036A3A">
            <w:pPr>
              <w:jc w:val="center"/>
            </w:pPr>
            <w:r>
              <w:rPr>
                <w:sz w:val="24"/>
                <w:szCs w:val="24"/>
              </w:rPr>
              <w:t>830,371.79</w:t>
            </w:r>
          </w:p>
        </w:tc>
        <w:tc>
          <w:tcPr>
            <w:tcW w:w="1161" w:type="dxa"/>
            <w:vAlign w:val="center"/>
          </w:tcPr>
          <w:p w:rsidR="005D35EA" w:rsidRDefault="00036A3A">
            <w:pPr>
              <w:jc w:val="center"/>
            </w:pPr>
            <w:r>
              <w:rPr>
                <w:sz w:val="24"/>
                <w:szCs w:val="24"/>
              </w:rPr>
              <w:t>2.83%</w:t>
            </w:r>
          </w:p>
        </w:tc>
        <w:tc>
          <w:tcPr>
            <w:tcW w:w="1301" w:type="dxa"/>
            <w:vAlign w:val="center"/>
          </w:tcPr>
          <w:p w:rsidR="005D35EA" w:rsidRDefault="00036A3A">
            <w:pPr>
              <w:jc w:val="center"/>
            </w:pPr>
            <w:r>
              <w:rPr>
                <w:sz w:val="24"/>
                <w:szCs w:val="24"/>
              </w:rPr>
              <w:t>否</w:t>
            </w:r>
          </w:p>
        </w:tc>
      </w:tr>
      <w:tr w:rsidR="005D35EA">
        <w:tc>
          <w:tcPr>
            <w:tcW w:w="835" w:type="dxa"/>
            <w:vAlign w:val="center"/>
          </w:tcPr>
          <w:p w:rsidR="005D35EA" w:rsidRDefault="00036A3A">
            <w:pPr>
              <w:jc w:val="center"/>
            </w:pPr>
            <w:r>
              <w:rPr>
                <w:sz w:val="24"/>
                <w:szCs w:val="24"/>
              </w:rPr>
              <w:t>10</w:t>
            </w:r>
          </w:p>
        </w:tc>
        <w:tc>
          <w:tcPr>
            <w:tcW w:w="1159" w:type="dxa"/>
            <w:vAlign w:val="center"/>
          </w:tcPr>
          <w:p w:rsidR="005D35EA" w:rsidRDefault="00036A3A">
            <w:pPr>
              <w:jc w:val="center"/>
            </w:pPr>
            <w:r>
              <w:rPr>
                <w:sz w:val="24"/>
                <w:szCs w:val="24"/>
              </w:rPr>
              <w:t>008633</w:t>
            </w:r>
          </w:p>
        </w:tc>
        <w:tc>
          <w:tcPr>
            <w:tcW w:w="1161" w:type="dxa"/>
            <w:vAlign w:val="center"/>
          </w:tcPr>
          <w:p w:rsidR="005D35EA" w:rsidRDefault="00036A3A">
            <w:pPr>
              <w:jc w:val="center"/>
            </w:pPr>
            <w:r>
              <w:rPr>
                <w:sz w:val="24"/>
                <w:szCs w:val="24"/>
              </w:rPr>
              <w:t>万家科技创新混合</w:t>
            </w:r>
            <w:r>
              <w:rPr>
                <w:sz w:val="24"/>
                <w:szCs w:val="24"/>
              </w:rPr>
              <w:t>A</w:t>
            </w:r>
          </w:p>
        </w:tc>
        <w:tc>
          <w:tcPr>
            <w:tcW w:w="1161" w:type="dxa"/>
            <w:vAlign w:val="center"/>
          </w:tcPr>
          <w:p w:rsidR="005D35EA" w:rsidRDefault="00036A3A">
            <w:pPr>
              <w:jc w:val="center"/>
            </w:pPr>
            <w:r>
              <w:rPr>
                <w:sz w:val="24"/>
                <w:szCs w:val="24"/>
              </w:rPr>
              <w:t>契约型开放式</w:t>
            </w:r>
          </w:p>
        </w:tc>
        <w:tc>
          <w:tcPr>
            <w:tcW w:w="1159" w:type="dxa"/>
            <w:vAlign w:val="center"/>
          </w:tcPr>
          <w:p w:rsidR="005D35EA" w:rsidRDefault="00036A3A">
            <w:pPr>
              <w:jc w:val="center"/>
            </w:pPr>
            <w:r>
              <w:rPr>
                <w:sz w:val="24"/>
                <w:szCs w:val="24"/>
              </w:rPr>
              <w:t>655,658.04</w:t>
            </w:r>
          </w:p>
        </w:tc>
        <w:tc>
          <w:tcPr>
            <w:tcW w:w="1305" w:type="dxa"/>
            <w:vAlign w:val="center"/>
          </w:tcPr>
          <w:p w:rsidR="005D35EA" w:rsidRDefault="00036A3A">
            <w:pPr>
              <w:jc w:val="center"/>
            </w:pPr>
            <w:r>
              <w:rPr>
                <w:sz w:val="24"/>
                <w:szCs w:val="24"/>
              </w:rPr>
              <w:t>789,346.71</w:t>
            </w:r>
          </w:p>
        </w:tc>
        <w:tc>
          <w:tcPr>
            <w:tcW w:w="1161" w:type="dxa"/>
            <w:vAlign w:val="center"/>
          </w:tcPr>
          <w:p w:rsidR="005D35EA" w:rsidRDefault="00036A3A">
            <w:pPr>
              <w:jc w:val="center"/>
            </w:pPr>
            <w:r>
              <w:rPr>
                <w:sz w:val="24"/>
                <w:szCs w:val="24"/>
              </w:rPr>
              <w:t>2.69%</w:t>
            </w:r>
          </w:p>
        </w:tc>
        <w:tc>
          <w:tcPr>
            <w:tcW w:w="1301" w:type="dxa"/>
            <w:vAlign w:val="center"/>
          </w:tcPr>
          <w:p w:rsidR="005D35EA" w:rsidRDefault="00036A3A">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1,358.25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5,996.45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480.97</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964.34</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67,053.05</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3,598.66</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11,528.96</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644.34</w:t>
            </w:r>
          </w:p>
        </w:tc>
      </w:tr>
      <w:tr w:rsidR="005D35EA">
        <w:tc>
          <w:tcPr>
            <w:tcW w:w="3012" w:type="dxa"/>
            <w:vAlign w:val="center"/>
          </w:tcPr>
          <w:p w:rsidR="005D35EA" w:rsidRDefault="00036A3A">
            <w:pPr>
              <w:jc w:val="left"/>
            </w:pPr>
            <w:r>
              <w:rPr>
                <w:rFonts w:eastAsiaTheme="minorEastAsia"/>
                <w:color w:val="000000" w:themeColor="text1"/>
                <w:sz w:val="24"/>
                <w:szCs w:val="24"/>
              </w:rPr>
              <w:t>当期交易基金产生的交易费（元）</w:t>
            </w:r>
          </w:p>
        </w:tc>
        <w:tc>
          <w:tcPr>
            <w:tcW w:w="3012" w:type="dxa"/>
            <w:vAlign w:val="center"/>
          </w:tcPr>
          <w:p w:rsidR="005D35EA" w:rsidRDefault="00036A3A">
            <w:pPr>
              <w:jc w:val="right"/>
            </w:pPr>
            <w:r>
              <w:rPr>
                <w:rFonts w:eastAsiaTheme="minorEastAsia"/>
                <w:color w:val="000000" w:themeColor="text1"/>
                <w:sz w:val="24"/>
                <w:szCs w:val="24"/>
              </w:rPr>
              <w:t>2,511.57</w:t>
            </w:r>
          </w:p>
        </w:tc>
        <w:tc>
          <w:tcPr>
            <w:tcW w:w="3012" w:type="dxa"/>
            <w:vAlign w:val="center"/>
          </w:tcPr>
          <w:p w:rsidR="005D35EA" w:rsidRDefault="00036A3A">
            <w:pPr>
              <w:jc w:val="right"/>
            </w:pPr>
            <w:r>
              <w:rPr>
                <w:rFonts w:eastAsiaTheme="minorEastAsia"/>
                <w:color w:val="000000" w:themeColor="text1"/>
                <w:sz w:val="24"/>
                <w:szCs w:val="24"/>
              </w:rPr>
              <w:t>0.00</w:t>
            </w:r>
          </w:p>
        </w:tc>
      </w:tr>
      <w:tr w:rsidR="005D35EA">
        <w:tc>
          <w:tcPr>
            <w:tcW w:w="3012" w:type="dxa"/>
            <w:vAlign w:val="center"/>
          </w:tcPr>
          <w:p w:rsidR="005D35EA" w:rsidRDefault="00036A3A">
            <w:pPr>
              <w:jc w:val="left"/>
            </w:pPr>
            <w:r>
              <w:rPr>
                <w:rFonts w:eastAsiaTheme="minorEastAsia"/>
                <w:color w:val="000000" w:themeColor="text1"/>
                <w:sz w:val="24"/>
                <w:szCs w:val="24"/>
              </w:rPr>
              <w:t>当期交易基金产生的转换费（元）</w:t>
            </w:r>
          </w:p>
        </w:tc>
        <w:tc>
          <w:tcPr>
            <w:tcW w:w="3012" w:type="dxa"/>
            <w:vAlign w:val="center"/>
          </w:tcPr>
          <w:p w:rsidR="005D35EA" w:rsidRDefault="00036A3A">
            <w:pPr>
              <w:jc w:val="right"/>
            </w:pPr>
            <w:r>
              <w:rPr>
                <w:rFonts w:eastAsiaTheme="minorEastAsia"/>
                <w:color w:val="000000" w:themeColor="text1"/>
                <w:sz w:val="24"/>
                <w:szCs w:val="24"/>
              </w:rPr>
              <w:t>33,773.11</w:t>
            </w:r>
          </w:p>
        </w:tc>
        <w:tc>
          <w:tcPr>
            <w:tcW w:w="3012" w:type="dxa"/>
            <w:vAlign w:val="center"/>
          </w:tcPr>
          <w:p w:rsidR="005D35EA" w:rsidRDefault="00036A3A">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25,183,827.27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355,835.27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lastRenderedPageBreak/>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25,539,662.54</w:t>
            </w:r>
          </w:p>
        </w:tc>
      </w:tr>
    </w:tbl>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ED2620" w:rsidRPr="00ED2620" w:rsidRDefault="00ED2620" w:rsidP="00C15CAC">
      <w:pPr>
        <w:autoSpaceDE w:val="0"/>
        <w:autoSpaceDN w:val="0"/>
        <w:adjustRightInd w:val="0"/>
        <w:spacing w:before="29" w:line="288" w:lineRule="auto"/>
        <w:ind w:left="15"/>
        <w:jc w:val="right"/>
        <w:rPr>
          <w:rFonts w:eastAsiaTheme="minorEastAsia"/>
          <w:color w:val="000000"/>
          <w:kern w:val="0"/>
          <w:sz w:val="24"/>
        </w:rPr>
      </w:pPr>
      <w:r w:rsidRPr="00ED2620">
        <w:rPr>
          <w:rFonts w:eastAsiaTheme="minorEastAsia" w:hAnsiTheme="minorEastAsia"/>
          <w:color w:val="000000"/>
          <w:kern w:val="0"/>
          <w:sz w:val="24"/>
        </w:rPr>
        <w:t>单位：份</w:t>
      </w:r>
    </w:p>
    <w:tbl>
      <w:tblPr>
        <w:tblW w:w="8868" w:type="dxa"/>
        <w:jc w:val="center"/>
        <w:tblLayout w:type="fixed"/>
        <w:tblLook w:val="04A0" w:firstRow="1" w:lastRow="0" w:firstColumn="1" w:lastColumn="0" w:noHBand="0" w:noVBand="1"/>
      </w:tblPr>
      <w:tblGrid>
        <w:gridCol w:w="5308"/>
        <w:gridCol w:w="3560"/>
      </w:tblGrid>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pStyle w:val="af2"/>
              <w:adjustRightInd w:val="0"/>
              <w:snapToGrid w:val="0"/>
              <w:spacing w:line="288" w:lineRule="auto"/>
              <w:rPr>
                <w:rFonts w:eastAsia="方正仿宋简体"/>
                <w:color w:val="000000"/>
              </w:rPr>
            </w:pPr>
            <w:r w:rsidRPr="00ED2620">
              <w:rPr>
                <w:color w:val="000000"/>
              </w:rPr>
              <w:t>报告期期初管理人持有的本基金份额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买入</w:t>
            </w:r>
            <w:r w:rsidRPr="00ED2620">
              <w:rPr>
                <w:color w:val="000000"/>
                <w:sz w:val="24"/>
              </w:rPr>
              <w:t>/</w:t>
            </w:r>
            <w:r w:rsidRPr="00ED2620">
              <w:rPr>
                <w:color w:val="000000"/>
                <w:sz w:val="24"/>
              </w:rPr>
              <w:t>申购总份额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rFonts w:eastAsiaTheme="minorEastAsia"/>
                <w:color w:val="000000"/>
                <w:kern w:val="0"/>
                <w:sz w:val="24"/>
              </w:rPr>
              <w:t>本报告期</w:t>
            </w:r>
            <w:r w:rsidRPr="00ED2620">
              <w:rPr>
                <w:color w:val="000000"/>
                <w:sz w:val="24"/>
              </w:rPr>
              <w:t>卖出</w:t>
            </w:r>
            <w:r w:rsidRPr="00ED2620">
              <w:rPr>
                <w:color w:val="000000"/>
                <w:sz w:val="24"/>
              </w:rPr>
              <w:t>/</w:t>
            </w:r>
            <w:r w:rsidRPr="00ED2620">
              <w:rPr>
                <w:color w:val="000000"/>
                <w:sz w:val="24"/>
              </w:rPr>
              <w:t>赎回总份额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报告期期末管理人持有的本基金份额</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sz w:val="24"/>
                <w:szCs w:val="24"/>
              </w:rPr>
            </w:pPr>
            <w:r w:rsidRPr="00ED2620">
              <w:rPr>
                <w:rFonts w:eastAsiaTheme="minorEastAsia"/>
                <w:color w:val="000000"/>
                <w:sz w:val="24"/>
              </w:rPr>
              <w:t>10,000,450.00</w:t>
            </w:r>
          </w:p>
        </w:tc>
      </w:tr>
      <w:tr w:rsidR="00ED2620" w:rsidRPr="00ED2620" w:rsidTr="006075E6">
        <w:trPr>
          <w:jc w:val="center"/>
        </w:trPr>
        <w:tc>
          <w:tcPr>
            <w:tcW w:w="5308"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adjustRightInd w:val="0"/>
              <w:snapToGrid w:val="0"/>
              <w:spacing w:line="288" w:lineRule="auto"/>
              <w:rPr>
                <w:color w:val="000000"/>
                <w:sz w:val="24"/>
                <w:szCs w:val="24"/>
              </w:rPr>
            </w:pPr>
            <w:r w:rsidRPr="00ED2620">
              <w:rPr>
                <w:color w:val="000000"/>
                <w:sz w:val="24"/>
              </w:rPr>
              <w:t>报告期期末持有的本基金份额占基金总份额比例（</w:t>
            </w:r>
            <w:r w:rsidRPr="00ED2620">
              <w:rPr>
                <w:color w:val="000000"/>
                <w:sz w:val="24"/>
              </w:rPr>
              <w:t>%</w:t>
            </w:r>
            <w:r w:rsidRPr="00ED2620">
              <w:rPr>
                <w:color w:val="000000"/>
                <w:sz w:val="24"/>
              </w:rPr>
              <w:t>）</w:t>
            </w:r>
          </w:p>
        </w:tc>
        <w:tc>
          <w:tcPr>
            <w:tcW w:w="3560" w:type="dxa"/>
            <w:tcBorders>
              <w:top w:val="single" w:sz="8" w:space="0" w:color="000000"/>
              <w:left w:val="single" w:sz="8" w:space="0" w:color="000000"/>
              <w:bottom w:val="single" w:sz="8" w:space="0" w:color="000000"/>
              <w:right w:val="single" w:sz="8" w:space="0" w:color="000000"/>
            </w:tcBorders>
            <w:vAlign w:val="center"/>
            <w:hideMark/>
          </w:tcPr>
          <w:p w:rsidR="00ED2620" w:rsidRPr="00ED2620" w:rsidRDefault="00ED2620" w:rsidP="00C15CAC">
            <w:pPr>
              <w:spacing w:line="288" w:lineRule="auto"/>
              <w:jc w:val="right"/>
              <w:rPr>
                <w:rFonts w:eastAsiaTheme="minorEastAsia"/>
                <w:color w:val="000000"/>
                <w:kern w:val="0"/>
                <w:sz w:val="24"/>
                <w:szCs w:val="24"/>
              </w:rPr>
            </w:pPr>
            <w:r w:rsidRPr="00ED2620">
              <w:rPr>
                <w:rFonts w:eastAsiaTheme="minorEastAsia"/>
                <w:color w:val="000000"/>
                <w:sz w:val="24"/>
              </w:rPr>
              <w:t>39.16</w:t>
            </w:r>
          </w:p>
        </w:tc>
      </w:tr>
    </w:tbl>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无。</w:t>
      </w:r>
    </w:p>
    <w:p w:rsidR="00480B35" w:rsidRPr="00414345" w:rsidRDefault="00480B35" w:rsidP="00C15CAC">
      <w:pPr>
        <w:autoSpaceDE w:val="0"/>
        <w:autoSpaceDN w:val="0"/>
        <w:adjustRightInd w:val="0"/>
        <w:spacing w:before="29" w:line="288" w:lineRule="auto"/>
        <w:jc w:val="left"/>
        <w:rPr>
          <w:color w:val="000000"/>
          <w:sz w:val="24"/>
        </w:rPr>
      </w:pPr>
    </w:p>
    <w:p w:rsidR="00D21FFF" w:rsidRPr="00414345" w:rsidRDefault="00D21FFF"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6423B9" w:rsidRPr="00414345">
        <w:rPr>
          <w:color w:val="000000"/>
          <w:kern w:val="0"/>
          <w:sz w:val="24"/>
          <w:szCs w:val="24"/>
        </w:rPr>
        <w:t>9</w:t>
      </w:r>
      <w:r w:rsidR="00834E74">
        <w:rPr>
          <w:color w:val="000000"/>
          <w:kern w:val="0"/>
          <w:sz w:val="24"/>
          <w:szCs w:val="24"/>
        </w:rPr>
        <w:t xml:space="preserve">  </w:t>
      </w:r>
      <w:r w:rsidR="003307FE" w:rsidRPr="00414345">
        <w:rPr>
          <w:color w:val="000000"/>
          <w:kern w:val="0"/>
          <w:sz w:val="24"/>
          <w:szCs w:val="24"/>
        </w:rPr>
        <w:t>报告期末</w:t>
      </w:r>
      <w:r w:rsidRPr="00414345">
        <w:rPr>
          <w:color w:val="000000"/>
          <w:kern w:val="0"/>
          <w:sz w:val="24"/>
          <w:szCs w:val="24"/>
        </w:rPr>
        <w:t>发起式基金发起资金持有份额情况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4A0" w:firstRow="1" w:lastRow="0" w:firstColumn="1" w:lastColumn="0" w:noHBand="0" w:noVBand="1"/>
      </w:tblPr>
      <w:tblGrid>
        <w:gridCol w:w="2387"/>
        <w:gridCol w:w="1156"/>
        <w:gridCol w:w="1312"/>
        <w:gridCol w:w="1064"/>
        <w:gridCol w:w="1456"/>
        <w:gridCol w:w="1493"/>
      </w:tblGrid>
      <w:tr w:rsidR="00D21FFF" w:rsidRPr="00414345" w:rsidTr="00AB4DB6">
        <w:trPr>
          <w:trHeight w:val="5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项目</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持有份额总数</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持有份额占基金总份额比例</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发起份额总数</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center"/>
              <w:rPr>
                <w:color w:val="000000"/>
                <w:sz w:val="24"/>
                <w:szCs w:val="24"/>
              </w:rPr>
            </w:pPr>
            <w:r w:rsidRPr="00414345">
              <w:rPr>
                <w:color w:val="000000"/>
                <w:sz w:val="24"/>
                <w:szCs w:val="24"/>
              </w:rPr>
              <w:t>发起份额占基金总份额比例</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widowControl/>
              <w:spacing w:before="29" w:line="288" w:lineRule="auto"/>
              <w:jc w:val="center"/>
              <w:rPr>
                <w:color w:val="000000"/>
                <w:sz w:val="24"/>
                <w:szCs w:val="24"/>
              </w:rPr>
            </w:pPr>
            <w:r w:rsidRPr="00414345">
              <w:rPr>
                <w:color w:val="000000"/>
                <w:sz w:val="24"/>
                <w:szCs w:val="24"/>
              </w:rPr>
              <w:t>发起份额承诺持有期限</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基金管理人固有资金</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10,000,450.00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39.16%</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10,000,450.00</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39.16%</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trHeight w:val="79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rPr>
                <w:color w:val="000000"/>
                <w:sz w:val="24"/>
                <w:szCs w:val="24"/>
              </w:rPr>
            </w:pPr>
            <w:r w:rsidRPr="00414345">
              <w:rPr>
                <w:color w:val="000000"/>
                <w:sz w:val="24"/>
                <w:szCs w:val="24"/>
              </w:rPr>
              <w:t>基金管理人高级管理人员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基金经理等人员</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10,095.57</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0.04%</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10,095.57</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036A3A">
            <w:pPr>
              <w:adjustRightInd w:val="0"/>
              <w:snapToGrid w:val="0"/>
              <w:spacing w:before="29" w:line="288" w:lineRule="auto"/>
              <w:jc w:val="right"/>
              <w:rPr>
                <w:kern w:val="0"/>
                <w:sz w:val="24"/>
                <w:szCs w:val="24"/>
              </w:rPr>
            </w:pPr>
            <w:r w:rsidRPr="00414345">
              <w:rPr>
                <w:kern w:val="0"/>
                <w:sz w:val="24"/>
                <w:szCs w:val="24"/>
              </w:rPr>
              <w:t>0.</w:t>
            </w:r>
            <w:r w:rsidR="00036A3A">
              <w:rPr>
                <w:kern w:val="0"/>
                <w:sz w:val="24"/>
                <w:szCs w:val="24"/>
              </w:rPr>
              <w:t>04</w:t>
            </w: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基金管理人股东</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其他</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76,292.51</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0.30%</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27,315.94</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0.11%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r w:rsidR="00D21FFF" w:rsidRPr="00414345" w:rsidTr="00AB4DB6">
        <w:trPr>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D21FFF"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1157"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10,086,838.08</w:t>
            </w:r>
          </w:p>
        </w:tc>
        <w:tc>
          <w:tcPr>
            <w:tcW w:w="1314"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39.49%</w:t>
            </w:r>
          </w:p>
        </w:tc>
        <w:tc>
          <w:tcPr>
            <w:tcW w:w="106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10,037,861.51</w:t>
            </w:r>
          </w:p>
        </w:tc>
        <w:tc>
          <w:tcPr>
            <w:tcW w:w="1458"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39.30%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21FFF" w:rsidRPr="00414345" w:rsidRDefault="00722509" w:rsidP="00C15CAC">
            <w:pPr>
              <w:adjustRightInd w:val="0"/>
              <w:snapToGrid w:val="0"/>
              <w:spacing w:before="29" w:line="288" w:lineRule="auto"/>
              <w:jc w:val="right"/>
              <w:rPr>
                <w:kern w:val="0"/>
                <w:sz w:val="24"/>
                <w:szCs w:val="24"/>
              </w:rPr>
            </w:pPr>
            <w:r w:rsidRPr="00414345">
              <w:rPr>
                <w:kern w:val="0"/>
                <w:sz w:val="24"/>
                <w:szCs w:val="24"/>
              </w:rPr>
              <w:t>3</w:t>
            </w:r>
            <w:r w:rsidRPr="00414345">
              <w:rPr>
                <w:kern w:val="0"/>
                <w:sz w:val="24"/>
                <w:szCs w:val="24"/>
              </w:rPr>
              <w:t>年</w:t>
            </w:r>
          </w:p>
        </w:tc>
      </w:tr>
    </w:tbl>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§10</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10.</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5D35EA">
        <w:tc>
          <w:tcPr>
            <w:tcW w:w="993" w:type="dxa"/>
            <w:vMerge w:val="restart"/>
            <w:vAlign w:val="center"/>
          </w:tcPr>
          <w:p w:rsidR="005D35EA" w:rsidRDefault="00036A3A">
            <w:r>
              <w:rPr>
                <w:rFonts w:ascii="宋体" w:hAnsi="宋体" w:hint="eastAsia"/>
                <w:bCs/>
                <w:color w:val="000000"/>
                <w:kern w:val="0"/>
              </w:rPr>
              <w:t>机构</w:t>
            </w:r>
          </w:p>
        </w:tc>
        <w:tc>
          <w:tcPr>
            <w:tcW w:w="992" w:type="dxa"/>
            <w:vAlign w:val="center"/>
          </w:tcPr>
          <w:p w:rsidR="005D35EA" w:rsidRDefault="00036A3A">
            <w:pPr>
              <w:jc w:val="center"/>
            </w:pPr>
            <w:r>
              <w:rPr>
                <w:rFonts w:ascii="宋体" w:hAnsi="宋体"/>
                <w:color w:val="000000"/>
                <w:kern w:val="0"/>
              </w:rPr>
              <w:t>1</w:t>
            </w:r>
          </w:p>
        </w:tc>
        <w:tc>
          <w:tcPr>
            <w:tcW w:w="1843" w:type="dxa"/>
            <w:vAlign w:val="center"/>
          </w:tcPr>
          <w:p w:rsidR="005D35EA" w:rsidRDefault="00036A3A">
            <w:pPr>
              <w:jc w:val="center"/>
            </w:pPr>
            <w:r>
              <w:rPr>
                <w:rFonts w:ascii="宋体" w:hAnsi="宋体"/>
                <w:color w:val="000000"/>
                <w:kern w:val="0"/>
              </w:rPr>
              <w:t>20230101-20230331</w:t>
            </w:r>
          </w:p>
        </w:tc>
        <w:tc>
          <w:tcPr>
            <w:tcW w:w="851" w:type="dxa"/>
            <w:vAlign w:val="center"/>
          </w:tcPr>
          <w:p w:rsidR="005D35EA" w:rsidRDefault="00036A3A">
            <w:pPr>
              <w:jc w:val="center"/>
            </w:pPr>
            <w:r>
              <w:rPr>
                <w:rFonts w:ascii="宋体" w:hAnsi="宋体"/>
                <w:color w:val="000000"/>
                <w:kern w:val="0"/>
              </w:rPr>
              <w:t>10,000,450.00</w:t>
            </w:r>
          </w:p>
        </w:tc>
        <w:tc>
          <w:tcPr>
            <w:tcW w:w="850" w:type="dxa"/>
            <w:vAlign w:val="center"/>
          </w:tcPr>
          <w:p w:rsidR="005D35EA" w:rsidRDefault="00036A3A">
            <w:pPr>
              <w:jc w:val="center"/>
            </w:pPr>
            <w:r>
              <w:rPr>
                <w:rFonts w:ascii="宋体" w:hAnsi="宋体"/>
                <w:color w:val="000000"/>
                <w:kern w:val="0"/>
              </w:rPr>
              <w:t>0.00</w:t>
            </w:r>
          </w:p>
        </w:tc>
        <w:tc>
          <w:tcPr>
            <w:tcW w:w="1134" w:type="dxa"/>
            <w:vAlign w:val="center"/>
          </w:tcPr>
          <w:p w:rsidR="005D35EA" w:rsidRDefault="00036A3A">
            <w:pPr>
              <w:jc w:val="center"/>
            </w:pPr>
            <w:r>
              <w:rPr>
                <w:rFonts w:ascii="宋体" w:hAnsi="宋体"/>
                <w:color w:val="000000"/>
                <w:kern w:val="0"/>
              </w:rPr>
              <w:t>0.00</w:t>
            </w:r>
          </w:p>
        </w:tc>
        <w:tc>
          <w:tcPr>
            <w:tcW w:w="1419" w:type="dxa"/>
            <w:vAlign w:val="center"/>
          </w:tcPr>
          <w:p w:rsidR="005D35EA" w:rsidRDefault="00036A3A">
            <w:pPr>
              <w:jc w:val="center"/>
            </w:pPr>
            <w:r>
              <w:rPr>
                <w:rFonts w:ascii="宋体" w:hAnsi="宋体"/>
                <w:color w:val="000000"/>
                <w:kern w:val="0"/>
              </w:rPr>
              <w:t>10,000,450.00</w:t>
            </w:r>
          </w:p>
        </w:tc>
        <w:tc>
          <w:tcPr>
            <w:tcW w:w="1130" w:type="dxa"/>
            <w:vAlign w:val="center"/>
          </w:tcPr>
          <w:p w:rsidR="005D35EA" w:rsidRDefault="00036A3A">
            <w:pPr>
              <w:jc w:val="center"/>
            </w:pPr>
            <w:r>
              <w:rPr>
                <w:rFonts w:ascii="宋体" w:hAnsi="宋体"/>
                <w:color w:val="000000"/>
                <w:kern w:val="0"/>
              </w:rPr>
              <w:t>39.16%</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11</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5D35EA" w:rsidRDefault="00036A3A">
      <w:pPr>
        <w:spacing w:before="29" w:line="288" w:lineRule="auto"/>
        <w:ind w:firstLineChars="200" w:firstLine="480"/>
        <w:rPr>
          <w:color w:val="000000"/>
          <w:sz w:val="24"/>
          <w:szCs w:val="24"/>
        </w:rPr>
      </w:pPr>
      <w:r>
        <w:rPr>
          <w:color w:val="000000"/>
          <w:sz w:val="24"/>
          <w:szCs w:val="24"/>
        </w:rPr>
        <w:t>（一）中国证监会准予本基金注册的文件</w:t>
      </w:r>
    </w:p>
    <w:p w:rsidR="005D35EA" w:rsidRDefault="00036A3A">
      <w:pPr>
        <w:spacing w:before="29" w:line="288" w:lineRule="auto"/>
        <w:ind w:firstLineChars="200" w:firstLine="480"/>
        <w:rPr>
          <w:color w:val="000000"/>
          <w:sz w:val="24"/>
          <w:szCs w:val="24"/>
        </w:rPr>
      </w:pPr>
      <w:r>
        <w:rPr>
          <w:color w:val="000000"/>
          <w:sz w:val="24"/>
          <w:szCs w:val="24"/>
        </w:rPr>
        <w:t>（二）摩根锦程积极成长养老目标五年持有期混合型发起式基金中基金</w:t>
      </w:r>
      <w:r>
        <w:rPr>
          <w:color w:val="000000"/>
          <w:sz w:val="24"/>
          <w:szCs w:val="24"/>
        </w:rPr>
        <w:t>(FOF)</w:t>
      </w:r>
      <w:r>
        <w:rPr>
          <w:color w:val="000000"/>
          <w:sz w:val="24"/>
          <w:szCs w:val="24"/>
        </w:rPr>
        <w:t>基金合同</w:t>
      </w:r>
    </w:p>
    <w:p w:rsidR="005D35EA" w:rsidRDefault="00036A3A">
      <w:pPr>
        <w:spacing w:before="29" w:line="288" w:lineRule="auto"/>
        <w:ind w:firstLineChars="200" w:firstLine="480"/>
        <w:rPr>
          <w:color w:val="000000"/>
          <w:sz w:val="24"/>
          <w:szCs w:val="24"/>
        </w:rPr>
      </w:pPr>
      <w:r>
        <w:rPr>
          <w:color w:val="000000"/>
          <w:sz w:val="24"/>
          <w:szCs w:val="24"/>
        </w:rPr>
        <w:t>（三）摩根锦程积极成长养老目标五年持有期混合型发起式基金中基金</w:t>
      </w:r>
      <w:r>
        <w:rPr>
          <w:color w:val="000000"/>
          <w:sz w:val="24"/>
          <w:szCs w:val="24"/>
        </w:rPr>
        <w:t>(FOF)</w:t>
      </w:r>
      <w:r>
        <w:rPr>
          <w:color w:val="000000"/>
          <w:sz w:val="24"/>
          <w:szCs w:val="24"/>
        </w:rPr>
        <w:t>托管协议</w:t>
      </w:r>
    </w:p>
    <w:p w:rsidR="005D35EA" w:rsidRDefault="00036A3A">
      <w:pPr>
        <w:spacing w:before="29" w:line="288" w:lineRule="auto"/>
        <w:ind w:firstLineChars="200" w:firstLine="480"/>
        <w:rPr>
          <w:color w:val="000000"/>
          <w:sz w:val="24"/>
          <w:szCs w:val="24"/>
        </w:rPr>
      </w:pPr>
      <w:r>
        <w:rPr>
          <w:color w:val="000000"/>
          <w:sz w:val="24"/>
          <w:szCs w:val="24"/>
        </w:rPr>
        <w:t>（四）法律意见书</w:t>
      </w:r>
    </w:p>
    <w:p w:rsidR="005D35EA" w:rsidRDefault="00036A3A">
      <w:pPr>
        <w:spacing w:before="29" w:line="288" w:lineRule="auto"/>
        <w:ind w:firstLineChars="200" w:firstLine="480"/>
        <w:rPr>
          <w:color w:val="000000"/>
          <w:sz w:val="24"/>
          <w:szCs w:val="24"/>
        </w:rPr>
      </w:pPr>
      <w:r>
        <w:rPr>
          <w:color w:val="000000"/>
          <w:sz w:val="24"/>
          <w:szCs w:val="24"/>
        </w:rPr>
        <w:t>（五）基金管理人业务资格批件、营业执照</w:t>
      </w:r>
    </w:p>
    <w:p w:rsidR="005D35EA" w:rsidRDefault="00036A3A">
      <w:pPr>
        <w:spacing w:before="29" w:line="288" w:lineRule="auto"/>
        <w:ind w:firstLineChars="200" w:firstLine="480"/>
        <w:rPr>
          <w:color w:val="000000"/>
          <w:sz w:val="24"/>
          <w:szCs w:val="24"/>
        </w:rPr>
      </w:pPr>
      <w:r>
        <w:rPr>
          <w:color w:val="000000"/>
          <w:sz w:val="24"/>
          <w:szCs w:val="24"/>
        </w:rPr>
        <w:t>（六）基金托管人业务资格批件、营业执照</w:t>
      </w:r>
    </w:p>
    <w:p w:rsidR="005D35EA" w:rsidRDefault="00036A3A">
      <w:pPr>
        <w:spacing w:before="29" w:line="288" w:lineRule="auto"/>
        <w:ind w:firstLineChars="200" w:firstLine="480"/>
        <w:rPr>
          <w:color w:val="000000"/>
          <w:sz w:val="24"/>
          <w:szCs w:val="24"/>
        </w:rPr>
      </w:pPr>
      <w:r>
        <w:rPr>
          <w:color w:val="000000"/>
          <w:sz w:val="24"/>
          <w:szCs w:val="24"/>
        </w:rPr>
        <w:t>（七）摩根基金管理（中国）有限公司开放式基金业务规则</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（八）中国证监会要求的其他文件</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基金管理人或基金托管人住所。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11</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AB" w:rsidRDefault="00A622AB" w:rsidP="00876D65">
      <w:r>
        <w:separator/>
      </w:r>
    </w:p>
  </w:endnote>
  <w:endnote w:type="continuationSeparator" w:id="0">
    <w:p w:rsidR="00A622AB" w:rsidRDefault="00A622A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944ED">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944ED">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AB" w:rsidRDefault="00A622AB" w:rsidP="00876D65">
      <w:r>
        <w:separator/>
      </w:r>
    </w:p>
  </w:footnote>
  <w:footnote w:type="continuationSeparator" w:id="0">
    <w:p w:rsidR="00A622AB" w:rsidRDefault="00A622AB"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摩根锦程积极成长养老目标五年持有期混合型发起式基金中基金</w:t>
    </w:r>
    <w:r w:rsidRPr="003E676C">
      <w:rPr>
        <w:sz w:val="24"/>
        <w:szCs w:val="24"/>
      </w:rPr>
      <w:t>(FOF)2023</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36A3A"/>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165B"/>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D35EA"/>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22AB"/>
    <w:rsid w:val="00A63A97"/>
    <w:rsid w:val="00A63F19"/>
    <w:rsid w:val="00A669FC"/>
    <w:rsid w:val="00A66F42"/>
    <w:rsid w:val="00A76625"/>
    <w:rsid w:val="00A81F53"/>
    <w:rsid w:val="00A83500"/>
    <w:rsid w:val="00A8721A"/>
    <w:rsid w:val="00A90049"/>
    <w:rsid w:val="00A917BF"/>
    <w:rsid w:val="00A944ED"/>
    <w:rsid w:val="00A96A94"/>
    <w:rsid w:val="00AA3A38"/>
    <w:rsid w:val="00AA4F94"/>
    <w:rsid w:val="00AA6513"/>
    <w:rsid w:val="00AB047E"/>
    <w:rsid w:val="00AB34AA"/>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39D7"/>
    <w:rsid w:val="00DC456F"/>
    <w:rsid w:val="00DC6B5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95E2-E607-456F-A1CF-DE5988E6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14</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587</cp:revision>
  <dcterms:created xsi:type="dcterms:W3CDTF">2012-10-16T06:07:00Z</dcterms:created>
  <dcterms:modified xsi:type="dcterms:W3CDTF">2023-04-20T06:25:00Z</dcterms:modified>
</cp:coreProperties>
</file>