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上投摩根锦程积极成长养老目标五年持有期混合型发起式基金中基金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2021</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2021</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65D63" w:rsidRDefault="00FE008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65D63" w:rsidRDefault="00FE008B">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65D63" w:rsidRDefault="00FE008B">
      <w:pPr>
        <w:spacing w:before="29" w:line="288" w:lineRule="auto"/>
        <w:ind w:firstLineChars="200" w:firstLine="480"/>
        <w:rPr>
          <w:color w:val="000000"/>
          <w:sz w:val="24"/>
          <w:szCs w:val="24"/>
        </w:rPr>
      </w:pPr>
      <w:r>
        <w:rPr>
          <w:color w:val="000000"/>
          <w:sz w:val="24"/>
          <w:szCs w:val="24"/>
        </w:rPr>
        <w:t>基金管理人承诺以诚实信用、勤勉尽责的原则管理和</w:t>
      </w:r>
      <w:r>
        <w:rPr>
          <w:color w:val="000000"/>
          <w:sz w:val="24"/>
          <w:szCs w:val="24"/>
        </w:rPr>
        <w:t>运用基金资产，但不保证基金一定盈利。</w:t>
      </w:r>
      <w:r>
        <w:rPr>
          <w:color w:val="000000"/>
          <w:sz w:val="24"/>
          <w:szCs w:val="24"/>
        </w:rPr>
        <w:t xml:space="preserve"> </w:t>
      </w:r>
    </w:p>
    <w:p w:rsidR="00D65D63" w:rsidRDefault="00FE008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65D63" w:rsidRDefault="00FE008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2021</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上投摩根锦程积极养老五年持有混合（</w:t>
            </w:r>
            <w:r w:rsidRPr="00414345">
              <w:rPr>
                <w:color w:val="000000"/>
                <w:kern w:val="0"/>
                <w:sz w:val="24"/>
                <w:szCs w:val="24"/>
              </w:rPr>
              <w:t>FOF</w:t>
            </w:r>
            <w:r w:rsidRPr="00414345">
              <w:rPr>
                <w:color w:val="000000"/>
                <w:kern w:val="0"/>
                <w:sz w:val="24"/>
                <w:szCs w:val="24"/>
              </w:rPr>
              <w:t>）</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009161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009161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20,355,348.55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D65D63" w:rsidRDefault="00FE008B">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、目标风险投资策略：</w:t>
            </w:r>
          </w:p>
          <w:p w:rsidR="00D65D63" w:rsidRDefault="00FE008B">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1</w:t>
            </w:r>
            <w:r>
              <w:rPr>
                <w:color w:val="000000"/>
                <w:kern w:val="0"/>
                <w:sz w:val="24"/>
                <w:szCs w:val="24"/>
              </w:rPr>
              <w:t>）大类资产配置策略：本基金的目标风险指通过将基金所投资的高风险类资产和其他资产长期保持在相对恒定的比例，以达到目标的风险水平。</w:t>
            </w:r>
          </w:p>
          <w:p w:rsidR="00D65D63" w:rsidRDefault="00FE008B">
            <w:pPr>
              <w:adjustRightInd w:val="0"/>
              <w:spacing w:before="29" w:line="288" w:lineRule="auto"/>
              <w:ind w:left="17"/>
              <w:jc w:val="left"/>
              <w:rPr>
                <w:color w:val="000000"/>
                <w:sz w:val="24"/>
                <w:szCs w:val="24"/>
              </w:rPr>
            </w:pPr>
            <w:r>
              <w:rPr>
                <w:color w:val="000000"/>
                <w:kern w:val="0"/>
                <w:sz w:val="24"/>
                <w:szCs w:val="24"/>
              </w:rPr>
              <w:t>管理人根据对各类资产的中长期预期假设和策略观点以及目标客户的风险收益偏好进行自上而下的资产配置，设定本基金在高风险类资产和其他资产之间的基准配置比例为</w:t>
            </w:r>
            <w:r>
              <w:rPr>
                <w:color w:val="000000"/>
                <w:kern w:val="0"/>
                <w:sz w:val="24"/>
                <w:szCs w:val="24"/>
              </w:rPr>
              <w:t>75%:25%</w:t>
            </w:r>
            <w:r>
              <w:rPr>
                <w:color w:val="000000"/>
                <w:kern w:val="0"/>
                <w:sz w:val="24"/>
                <w:szCs w:val="24"/>
              </w:rPr>
              <w:t>；高风险类资产指股票型基金、</w:t>
            </w:r>
            <w:r>
              <w:rPr>
                <w:color w:val="000000"/>
                <w:kern w:val="0"/>
                <w:sz w:val="24"/>
                <w:szCs w:val="24"/>
              </w:rPr>
              <w:lastRenderedPageBreak/>
              <w:t>应计入高风险类资产的混合型基金、商品基金（含商品期货基金和黄金</w:t>
            </w:r>
            <w:r>
              <w:rPr>
                <w:color w:val="000000"/>
                <w:kern w:val="0"/>
                <w:sz w:val="24"/>
                <w:szCs w:val="24"/>
              </w:rPr>
              <w:t>ETF</w:t>
            </w:r>
            <w:r>
              <w:rPr>
                <w:color w:val="000000"/>
                <w:kern w:val="0"/>
                <w:sz w:val="24"/>
                <w:szCs w:val="24"/>
              </w:rPr>
              <w:t>）等品种（均包含</w:t>
            </w:r>
            <w:r>
              <w:rPr>
                <w:color w:val="000000"/>
                <w:kern w:val="0"/>
                <w:sz w:val="24"/>
                <w:szCs w:val="24"/>
              </w:rPr>
              <w:t>QDII</w:t>
            </w:r>
            <w:r>
              <w:rPr>
                <w:color w:val="000000"/>
                <w:kern w:val="0"/>
                <w:sz w:val="24"/>
                <w:szCs w:val="24"/>
              </w:rPr>
              <w:t>）及股票；其他资产指债券型基金、货币市场基金和不计入高风险类资产的混合型基金（均包含</w:t>
            </w:r>
            <w:r>
              <w:rPr>
                <w:color w:val="000000"/>
                <w:kern w:val="0"/>
                <w:sz w:val="24"/>
                <w:szCs w:val="24"/>
              </w:rPr>
              <w:t>QDII</w:t>
            </w:r>
            <w:r>
              <w:rPr>
                <w:color w:val="000000"/>
                <w:kern w:val="0"/>
                <w:sz w:val="24"/>
                <w:szCs w:val="24"/>
              </w:rPr>
              <w:t>）、债券、资产支持证券、债券回购、银行存款及同业存单等；本基金高风险类资产的向上、向下调整幅度分别不超过</w:t>
            </w:r>
            <w:r>
              <w:rPr>
                <w:color w:val="000000"/>
                <w:kern w:val="0"/>
                <w:sz w:val="24"/>
                <w:szCs w:val="24"/>
              </w:rPr>
              <w:t>5%</w:t>
            </w:r>
            <w:r>
              <w:rPr>
                <w:color w:val="000000"/>
                <w:kern w:val="0"/>
                <w:sz w:val="24"/>
                <w:szCs w:val="24"/>
              </w:rPr>
              <w:t>、</w:t>
            </w:r>
            <w:r>
              <w:rPr>
                <w:color w:val="000000"/>
                <w:kern w:val="0"/>
                <w:sz w:val="24"/>
                <w:szCs w:val="24"/>
              </w:rPr>
              <w:t>10%</w:t>
            </w:r>
            <w:r>
              <w:rPr>
                <w:color w:val="000000"/>
                <w:kern w:val="0"/>
                <w:sz w:val="24"/>
                <w:szCs w:val="24"/>
              </w:rPr>
              <w:t>。</w:t>
            </w:r>
          </w:p>
          <w:p w:rsidR="00D65D63" w:rsidRDefault="00FE008B">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2</w:t>
            </w:r>
            <w:r>
              <w:rPr>
                <w:color w:val="000000"/>
                <w:kern w:val="0"/>
                <w:sz w:val="24"/>
                <w:szCs w:val="24"/>
              </w:rPr>
              <w:t>）细分资产类</w:t>
            </w:r>
            <w:r>
              <w:rPr>
                <w:color w:val="000000"/>
                <w:kern w:val="0"/>
                <w:sz w:val="24"/>
                <w:szCs w:val="24"/>
              </w:rPr>
              <w:t>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D65D63" w:rsidRDefault="00FE008B">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、主动管理型基金投资策略：通过自下而上的方式优选基金，研究过程中综合运用定量分析和定性分析，优选符合要求且能在中长期创造超额收益的基金。</w:t>
            </w:r>
          </w:p>
          <w:p w:rsidR="00D65D63" w:rsidRDefault="00FE008B">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、指数基金投资策略：优选中长期景气向好的指数基金进行配置，增厚组合收益，并把握阶段性投资机会，获取超额收益。</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w:t>
            </w:r>
            <w:r w:rsidRPr="00414345">
              <w:rPr>
                <w:color w:val="000000"/>
                <w:kern w:val="0"/>
                <w:sz w:val="24"/>
                <w:szCs w:val="24"/>
              </w:rPr>
              <w:t>、其他投资策略：包括股票投资策略、债券投资策略、证券公司短期公司债投资策略、资产支持证券投资策略、存托凭证投资策略等。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*75%+</w:t>
            </w:r>
            <w:r w:rsidRPr="00414345">
              <w:rPr>
                <w:color w:val="000000"/>
                <w:kern w:val="0"/>
                <w:sz w:val="24"/>
                <w:szCs w:val="24"/>
              </w:rPr>
              <w:t>中证综合债指数收益率</w:t>
            </w:r>
            <w:r w:rsidRPr="00414345">
              <w:rPr>
                <w:color w:val="000000"/>
                <w:kern w:val="0"/>
                <w:sz w:val="24"/>
                <w:szCs w:val="24"/>
              </w:rPr>
              <w:t>*20%+</w:t>
            </w:r>
            <w:r w:rsidRPr="00414345">
              <w:rPr>
                <w:color w:val="000000"/>
                <w:kern w:val="0"/>
                <w:sz w:val="24"/>
                <w:szCs w:val="24"/>
              </w:rPr>
              <w:t>活期存款利率（税后）</w:t>
            </w:r>
            <w:r w:rsidRPr="00414345">
              <w:rPr>
                <w:color w:val="000000"/>
                <w:kern w:val="0"/>
                <w:sz w:val="24"/>
                <w:szCs w:val="24"/>
              </w:rPr>
              <w:t>*5%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D65D63" w:rsidRDefault="00FE008B">
            <w:pPr>
              <w:adjustRightInd w:val="0"/>
              <w:spacing w:before="29" w:line="288" w:lineRule="auto"/>
              <w:ind w:left="17"/>
              <w:jc w:val="left"/>
              <w:rPr>
                <w:color w:val="000000"/>
                <w:sz w:val="24"/>
                <w:szCs w:val="24"/>
              </w:rPr>
            </w:pPr>
            <w:r>
              <w:rPr>
                <w:color w:val="000000"/>
                <w:kern w:val="0"/>
                <w:sz w:val="24"/>
                <w:szCs w:val="24"/>
              </w:rPr>
              <w:t>基金管理人将养老目标风险基金根据不同风险程度进行划分。本基金的高风险类资产和其他资产的基准配置比例为</w:t>
            </w:r>
            <w:r>
              <w:rPr>
                <w:color w:val="000000"/>
                <w:kern w:val="0"/>
                <w:sz w:val="24"/>
                <w:szCs w:val="24"/>
              </w:rPr>
              <w:t>75%</w:t>
            </w:r>
            <w:r>
              <w:rPr>
                <w:color w:val="000000"/>
                <w:kern w:val="0"/>
                <w:sz w:val="24"/>
                <w:szCs w:val="24"/>
              </w:rPr>
              <w:t>：</w:t>
            </w:r>
            <w:r>
              <w:rPr>
                <w:color w:val="000000"/>
                <w:kern w:val="0"/>
                <w:sz w:val="24"/>
                <w:szCs w:val="24"/>
              </w:rPr>
              <w:t>25%</w:t>
            </w:r>
            <w:r>
              <w:rPr>
                <w:color w:val="000000"/>
                <w:kern w:val="0"/>
                <w:sz w:val="24"/>
                <w:szCs w:val="24"/>
              </w:rPr>
              <w:t>，在基金管理人管理的养老目标风险基金中，属于高风险类资产的配置比例较高的。</w:t>
            </w:r>
          </w:p>
          <w:p w:rsidR="00D65D63" w:rsidRDefault="00FE008B">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本基金属于混合型基金中基金，预期风险和收益水平低于股票型基金中基金，高于债券型基</w:t>
            </w:r>
            <w:r>
              <w:rPr>
                <w:color w:val="000000"/>
                <w:kern w:val="0"/>
                <w:sz w:val="24"/>
                <w:szCs w:val="24"/>
              </w:rPr>
              <w:t>金中基金和货币型基金中基金。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w:t>
            </w:r>
            <w:r w:rsidRPr="00414345">
              <w:rPr>
                <w:color w:val="000000"/>
                <w:kern w:val="0"/>
                <w:sz w:val="24"/>
                <w:szCs w:val="24"/>
              </w:rPr>
              <w:lastRenderedPageBreak/>
              <w:t>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E008B" w:rsidRPr="00414345" w:rsidTr="00FE008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(2021</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-2021</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E008B" w:rsidRPr="00414345" w:rsidTr="00FE008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502,122.87</w:t>
            </w:r>
          </w:p>
        </w:tc>
      </w:tr>
      <w:tr w:rsidR="00FE008B" w:rsidRPr="00414345" w:rsidTr="00FE008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1,560,786.81</w:t>
            </w:r>
          </w:p>
        </w:tc>
      </w:tr>
      <w:tr w:rsidR="00FE008B" w:rsidRPr="00414345" w:rsidTr="00FE008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0.0787</w:t>
            </w:r>
          </w:p>
        </w:tc>
      </w:tr>
      <w:tr w:rsidR="00FE008B" w:rsidRPr="00414345" w:rsidTr="00FE008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27,611,888.91</w:t>
            </w:r>
          </w:p>
        </w:tc>
      </w:tr>
      <w:tr w:rsidR="00FE008B" w:rsidRPr="00414345" w:rsidTr="00FE008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1.3565</w:t>
            </w:r>
          </w:p>
        </w:tc>
      </w:tr>
    </w:tbl>
    <w:p w:rsidR="00D65D63" w:rsidRDefault="00FE008B">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65D63">
        <w:trPr>
          <w:jc w:val="center"/>
        </w:trPr>
        <w:tc>
          <w:tcPr>
            <w:tcW w:w="1701" w:type="dxa"/>
            <w:vAlign w:val="center"/>
          </w:tcPr>
          <w:p w:rsidR="00D65D63" w:rsidRDefault="00FE008B">
            <w:pPr>
              <w:jc w:val="left"/>
            </w:pPr>
            <w:r>
              <w:rPr>
                <w:color w:val="000000"/>
                <w:sz w:val="24"/>
                <w:szCs w:val="24"/>
              </w:rPr>
              <w:t>过去三个月</w:t>
            </w:r>
          </w:p>
        </w:tc>
        <w:tc>
          <w:tcPr>
            <w:tcW w:w="1045" w:type="dxa"/>
            <w:vAlign w:val="center"/>
          </w:tcPr>
          <w:p w:rsidR="00D65D63" w:rsidRDefault="00FE008B">
            <w:pPr>
              <w:jc w:val="center"/>
            </w:pPr>
            <w:r>
              <w:rPr>
                <w:color w:val="000000"/>
                <w:sz w:val="24"/>
                <w:szCs w:val="24"/>
              </w:rPr>
              <w:t>6.14%</w:t>
            </w:r>
          </w:p>
        </w:tc>
        <w:tc>
          <w:tcPr>
            <w:tcW w:w="1344" w:type="dxa"/>
            <w:vAlign w:val="center"/>
          </w:tcPr>
          <w:p w:rsidR="00D65D63" w:rsidRDefault="00FE008B">
            <w:pPr>
              <w:jc w:val="center"/>
            </w:pPr>
            <w:r>
              <w:rPr>
                <w:color w:val="000000"/>
                <w:sz w:val="24"/>
                <w:szCs w:val="24"/>
              </w:rPr>
              <w:t>0.53%</w:t>
            </w:r>
          </w:p>
        </w:tc>
        <w:tc>
          <w:tcPr>
            <w:tcW w:w="1194" w:type="dxa"/>
            <w:vAlign w:val="center"/>
          </w:tcPr>
          <w:p w:rsidR="00D65D63" w:rsidRDefault="00FE008B">
            <w:pPr>
              <w:jc w:val="center"/>
            </w:pPr>
            <w:r>
              <w:rPr>
                <w:color w:val="000000"/>
                <w:sz w:val="24"/>
                <w:szCs w:val="24"/>
              </w:rPr>
              <w:t>3.76%</w:t>
            </w:r>
          </w:p>
        </w:tc>
        <w:tc>
          <w:tcPr>
            <w:tcW w:w="1492" w:type="dxa"/>
            <w:vAlign w:val="center"/>
          </w:tcPr>
          <w:p w:rsidR="00D65D63" w:rsidRDefault="00FE008B">
            <w:pPr>
              <w:jc w:val="center"/>
            </w:pPr>
            <w:r>
              <w:rPr>
                <w:color w:val="000000"/>
                <w:sz w:val="24"/>
                <w:szCs w:val="24"/>
              </w:rPr>
              <w:t>0.66%</w:t>
            </w:r>
          </w:p>
        </w:tc>
        <w:tc>
          <w:tcPr>
            <w:tcW w:w="1194" w:type="dxa"/>
            <w:vAlign w:val="center"/>
          </w:tcPr>
          <w:p w:rsidR="00D65D63" w:rsidRDefault="00FE008B">
            <w:pPr>
              <w:jc w:val="center"/>
            </w:pPr>
            <w:r>
              <w:rPr>
                <w:color w:val="000000"/>
                <w:sz w:val="24"/>
                <w:szCs w:val="24"/>
              </w:rPr>
              <w:t>2.38%</w:t>
            </w:r>
          </w:p>
        </w:tc>
        <w:tc>
          <w:tcPr>
            <w:tcW w:w="898" w:type="dxa"/>
            <w:vAlign w:val="center"/>
          </w:tcPr>
          <w:p w:rsidR="00D65D63" w:rsidRDefault="00FE008B">
            <w:pPr>
              <w:jc w:val="center"/>
            </w:pPr>
            <w:r>
              <w:rPr>
                <w:color w:val="000000"/>
                <w:sz w:val="24"/>
                <w:szCs w:val="24"/>
              </w:rPr>
              <w:t>-0.13%</w:t>
            </w:r>
          </w:p>
        </w:tc>
      </w:tr>
      <w:tr w:rsidR="00D65D63">
        <w:trPr>
          <w:jc w:val="center"/>
        </w:trPr>
        <w:tc>
          <w:tcPr>
            <w:tcW w:w="1701" w:type="dxa"/>
            <w:vAlign w:val="center"/>
          </w:tcPr>
          <w:p w:rsidR="00D65D63" w:rsidRDefault="00FE008B">
            <w:pPr>
              <w:jc w:val="left"/>
            </w:pPr>
            <w:r>
              <w:rPr>
                <w:color w:val="000000"/>
                <w:sz w:val="24"/>
                <w:szCs w:val="24"/>
              </w:rPr>
              <w:t>过去六个月</w:t>
            </w:r>
          </w:p>
        </w:tc>
        <w:tc>
          <w:tcPr>
            <w:tcW w:w="1045" w:type="dxa"/>
            <w:vAlign w:val="center"/>
          </w:tcPr>
          <w:p w:rsidR="00D65D63" w:rsidRDefault="00FE008B">
            <w:pPr>
              <w:jc w:val="center"/>
            </w:pPr>
            <w:r>
              <w:rPr>
                <w:color w:val="000000"/>
                <w:sz w:val="24"/>
                <w:szCs w:val="24"/>
              </w:rPr>
              <w:t>6.57%</w:t>
            </w:r>
          </w:p>
        </w:tc>
        <w:tc>
          <w:tcPr>
            <w:tcW w:w="1344" w:type="dxa"/>
            <w:vAlign w:val="center"/>
          </w:tcPr>
          <w:p w:rsidR="00D65D63" w:rsidRDefault="00FE008B">
            <w:pPr>
              <w:jc w:val="center"/>
            </w:pPr>
            <w:r>
              <w:rPr>
                <w:color w:val="000000"/>
                <w:sz w:val="24"/>
                <w:szCs w:val="24"/>
              </w:rPr>
              <w:t>0.78%</w:t>
            </w:r>
          </w:p>
        </w:tc>
        <w:tc>
          <w:tcPr>
            <w:tcW w:w="1194" w:type="dxa"/>
            <w:vAlign w:val="center"/>
          </w:tcPr>
          <w:p w:rsidR="00D65D63" w:rsidRDefault="00FE008B">
            <w:pPr>
              <w:jc w:val="center"/>
            </w:pPr>
            <w:r>
              <w:rPr>
                <w:color w:val="000000"/>
                <w:sz w:val="24"/>
                <w:szCs w:val="24"/>
              </w:rPr>
              <w:t>1.78%</w:t>
            </w:r>
          </w:p>
        </w:tc>
        <w:tc>
          <w:tcPr>
            <w:tcW w:w="1492" w:type="dxa"/>
            <w:vAlign w:val="center"/>
          </w:tcPr>
          <w:p w:rsidR="00D65D63" w:rsidRDefault="00FE008B">
            <w:pPr>
              <w:jc w:val="center"/>
            </w:pPr>
            <w:r>
              <w:rPr>
                <w:color w:val="000000"/>
                <w:sz w:val="24"/>
                <w:szCs w:val="24"/>
              </w:rPr>
              <w:t>0.91%</w:t>
            </w:r>
          </w:p>
        </w:tc>
        <w:tc>
          <w:tcPr>
            <w:tcW w:w="1194" w:type="dxa"/>
            <w:vAlign w:val="center"/>
          </w:tcPr>
          <w:p w:rsidR="00D65D63" w:rsidRDefault="00FE008B">
            <w:pPr>
              <w:jc w:val="center"/>
            </w:pPr>
            <w:r>
              <w:rPr>
                <w:color w:val="000000"/>
                <w:sz w:val="24"/>
                <w:szCs w:val="24"/>
              </w:rPr>
              <w:t>4.79%</w:t>
            </w:r>
          </w:p>
        </w:tc>
        <w:tc>
          <w:tcPr>
            <w:tcW w:w="898" w:type="dxa"/>
            <w:vAlign w:val="center"/>
          </w:tcPr>
          <w:p w:rsidR="00D65D63" w:rsidRDefault="00FE008B">
            <w:pPr>
              <w:jc w:val="center"/>
            </w:pPr>
            <w:r>
              <w:rPr>
                <w:color w:val="000000"/>
                <w:sz w:val="24"/>
                <w:szCs w:val="24"/>
              </w:rPr>
              <w:t>-0.13%</w:t>
            </w:r>
          </w:p>
        </w:tc>
      </w:tr>
      <w:tr w:rsidR="00D65D63">
        <w:trPr>
          <w:jc w:val="center"/>
        </w:trPr>
        <w:tc>
          <w:tcPr>
            <w:tcW w:w="1701" w:type="dxa"/>
            <w:vAlign w:val="center"/>
          </w:tcPr>
          <w:p w:rsidR="00D65D63" w:rsidRDefault="00FE008B">
            <w:pPr>
              <w:jc w:val="left"/>
            </w:pPr>
            <w:r>
              <w:rPr>
                <w:color w:val="000000"/>
                <w:sz w:val="24"/>
                <w:szCs w:val="24"/>
              </w:rPr>
              <w:t>过去一年</w:t>
            </w:r>
          </w:p>
        </w:tc>
        <w:tc>
          <w:tcPr>
            <w:tcW w:w="1045" w:type="dxa"/>
            <w:vAlign w:val="center"/>
          </w:tcPr>
          <w:p w:rsidR="00D65D63" w:rsidRDefault="00FE008B">
            <w:pPr>
              <w:jc w:val="center"/>
            </w:pPr>
            <w:r>
              <w:rPr>
                <w:color w:val="000000"/>
                <w:sz w:val="24"/>
                <w:szCs w:val="24"/>
              </w:rPr>
              <w:t>24.51%</w:t>
            </w:r>
          </w:p>
        </w:tc>
        <w:tc>
          <w:tcPr>
            <w:tcW w:w="1344" w:type="dxa"/>
            <w:vAlign w:val="center"/>
          </w:tcPr>
          <w:p w:rsidR="00D65D63" w:rsidRDefault="00FE008B">
            <w:pPr>
              <w:jc w:val="center"/>
            </w:pPr>
            <w:r>
              <w:rPr>
                <w:color w:val="000000"/>
                <w:sz w:val="24"/>
                <w:szCs w:val="24"/>
              </w:rPr>
              <w:t>0.86%</w:t>
            </w:r>
          </w:p>
        </w:tc>
        <w:tc>
          <w:tcPr>
            <w:tcW w:w="1194" w:type="dxa"/>
            <w:vAlign w:val="center"/>
          </w:tcPr>
          <w:p w:rsidR="00D65D63" w:rsidRDefault="00FE008B">
            <w:pPr>
              <w:jc w:val="center"/>
            </w:pPr>
            <w:r>
              <w:rPr>
                <w:color w:val="000000"/>
                <w:sz w:val="24"/>
                <w:szCs w:val="24"/>
              </w:rPr>
              <w:t>17.84%</w:t>
            </w:r>
          </w:p>
        </w:tc>
        <w:tc>
          <w:tcPr>
            <w:tcW w:w="1492" w:type="dxa"/>
            <w:vAlign w:val="center"/>
          </w:tcPr>
          <w:p w:rsidR="00D65D63" w:rsidRDefault="00FE008B">
            <w:pPr>
              <w:jc w:val="center"/>
            </w:pPr>
            <w:r>
              <w:rPr>
                <w:color w:val="000000"/>
                <w:sz w:val="24"/>
                <w:szCs w:val="24"/>
              </w:rPr>
              <w:t>0.97%</w:t>
            </w:r>
          </w:p>
        </w:tc>
        <w:tc>
          <w:tcPr>
            <w:tcW w:w="1194" w:type="dxa"/>
            <w:vAlign w:val="center"/>
          </w:tcPr>
          <w:p w:rsidR="00D65D63" w:rsidRDefault="00FE008B">
            <w:pPr>
              <w:jc w:val="center"/>
            </w:pPr>
            <w:r>
              <w:rPr>
                <w:color w:val="000000"/>
                <w:sz w:val="24"/>
                <w:szCs w:val="24"/>
              </w:rPr>
              <w:t>6.67%</w:t>
            </w:r>
          </w:p>
        </w:tc>
        <w:tc>
          <w:tcPr>
            <w:tcW w:w="898" w:type="dxa"/>
            <w:vAlign w:val="center"/>
          </w:tcPr>
          <w:p w:rsidR="00D65D63" w:rsidRDefault="00FE008B">
            <w:pPr>
              <w:jc w:val="center"/>
            </w:pPr>
            <w:r>
              <w:rPr>
                <w:color w:val="000000"/>
                <w:sz w:val="24"/>
                <w:szCs w:val="24"/>
              </w:rPr>
              <w:t>-0.11%</w:t>
            </w:r>
          </w:p>
        </w:tc>
      </w:tr>
      <w:tr w:rsidR="00D65D63">
        <w:trPr>
          <w:jc w:val="center"/>
        </w:trPr>
        <w:tc>
          <w:tcPr>
            <w:tcW w:w="1701" w:type="dxa"/>
            <w:vAlign w:val="center"/>
          </w:tcPr>
          <w:p w:rsidR="00D65D63" w:rsidRDefault="00FE008B">
            <w:pPr>
              <w:jc w:val="left"/>
            </w:pPr>
            <w:r>
              <w:rPr>
                <w:color w:val="000000"/>
                <w:sz w:val="24"/>
                <w:szCs w:val="24"/>
              </w:rPr>
              <w:t>过去三年</w:t>
            </w:r>
          </w:p>
        </w:tc>
        <w:tc>
          <w:tcPr>
            <w:tcW w:w="1045" w:type="dxa"/>
            <w:vAlign w:val="center"/>
          </w:tcPr>
          <w:p w:rsidR="00D65D63" w:rsidRDefault="00FE008B">
            <w:pPr>
              <w:jc w:val="center"/>
            </w:pPr>
            <w:r>
              <w:rPr>
                <w:color w:val="000000"/>
                <w:sz w:val="24"/>
                <w:szCs w:val="24"/>
              </w:rPr>
              <w:t>-</w:t>
            </w:r>
          </w:p>
        </w:tc>
        <w:tc>
          <w:tcPr>
            <w:tcW w:w="1344" w:type="dxa"/>
            <w:vAlign w:val="center"/>
          </w:tcPr>
          <w:p w:rsidR="00D65D63" w:rsidRDefault="00FE008B">
            <w:pPr>
              <w:jc w:val="center"/>
            </w:pPr>
            <w:r>
              <w:rPr>
                <w:color w:val="000000"/>
                <w:sz w:val="24"/>
                <w:szCs w:val="24"/>
              </w:rPr>
              <w:t>-</w:t>
            </w:r>
          </w:p>
        </w:tc>
        <w:tc>
          <w:tcPr>
            <w:tcW w:w="1194" w:type="dxa"/>
            <w:vAlign w:val="center"/>
          </w:tcPr>
          <w:p w:rsidR="00D65D63" w:rsidRDefault="00FE008B">
            <w:pPr>
              <w:jc w:val="center"/>
            </w:pPr>
            <w:r>
              <w:rPr>
                <w:color w:val="000000"/>
                <w:sz w:val="24"/>
                <w:szCs w:val="24"/>
              </w:rPr>
              <w:t>-</w:t>
            </w:r>
          </w:p>
        </w:tc>
        <w:tc>
          <w:tcPr>
            <w:tcW w:w="1492" w:type="dxa"/>
            <w:vAlign w:val="center"/>
          </w:tcPr>
          <w:p w:rsidR="00D65D63" w:rsidRDefault="00FE008B">
            <w:pPr>
              <w:jc w:val="center"/>
            </w:pPr>
            <w:r>
              <w:rPr>
                <w:color w:val="000000"/>
                <w:sz w:val="24"/>
                <w:szCs w:val="24"/>
              </w:rPr>
              <w:t>-</w:t>
            </w:r>
          </w:p>
        </w:tc>
        <w:tc>
          <w:tcPr>
            <w:tcW w:w="1194" w:type="dxa"/>
            <w:vAlign w:val="center"/>
          </w:tcPr>
          <w:p w:rsidR="00D65D63" w:rsidRDefault="00FE008B">
            <w:pPr>
              <w:jc w:val="center"/>
            </w:pPr>
            <w:r>
              <w:rPr>
                <w:color w:val="000000"/>
                <w:sz w:val="24"/>
                <w:szCs w:val="24"/>
              </w:rPr>
              <w:t>-</w:t>
            </w:r>
          </w:p>
        </w:tc>
        <w:tc>
          <w:tcPr>
            <w:tcW w:w="898" w:type="dxa"/>
            <w:vAlign w:val="center"/>
          </w:tcPr>
          <w:p w:rsidR="00D65D63" w:rsidRDefault="00FE008B">
            <w:pPr>
              <w:jc w:val="center"/>
            </w:pPr>
            <w:r>
              <w:rPr>
                <w:color w:val="000000"/>
                <w:sz w:val="24"/>
                <w:szCs w:val="24"/>
              </w:rPr>
              <w:t>-</w:t>
            </w:r>
          </w:p>
        </w:tc>
      </w:tr>
      <w:tr w:rsidR="00D65D63">
        <w:trPr>
          <w:jc w:val="center"/>
        </w:trPr>
        <w:tc>
          <w:tcPr>
            <w:tcW w:w="1701" w:type="dxa"/>
            <w:vAlign w:val="center"/>
          </w:tcPr>
          <w:p w:rsidR="00D65D63" w:rsidRDefault="00FE008B">
            <w:pPr>
              <w:jc w:val="left"/>
            </w:pPr>
            <w:r>
              <w:rPr>
                <w:color w:val="000000"/>
                <w:sz w:val="24"/>
                <w:szCs w:val="24"/>
              </w:rPr>
              <w:t>过去五年</w:t>
            </w:r>
          </w:p>
        </w:tc>
        <w:tc>
          <w:tcPr>
            <w:tcW w:w="1045" w:type="dxa"/>
            <w:vAlign w:val="center"/>
          </w:tcPr>
          <w:p w:rsidR="00D65D63" w:rsidRDefault="00FE008B">
            <w:pPr>
              <w:jc w:val="center"/>
            </w:pPr>
            <w:r>
              <w:rPr>
                <w:color w:val="000000"/>
                <w:sz w:val="24"/>
                <w:szCs w:val="24"/>
              </w:rPr>
              <w:t>-</w:t>
            </w:r>
          </w:p>
        </w:tc>
        <w:tc>
          <w:tcPr>
            <w:tcW w:w="1344" w:type="dxa"/>
            <w:vAlign w:val="center"/>
          </w:tcPr>
          <w:p w:rsidR="00D65D63" w:rsidRDefault="00FE008B">
            <w:pPr>
              <w:jc w:val="center"/>
            </w:pPr>
            <w:r>
              <w:rPr>
                <w:color w:val="000000"/>
                <w:sz w:val="24"/>
                <w:szCs w:val="24"/>
              </w:rPr>
              <w:t>-</w:t>
            </w:r>
          </w:p>
        </w:tc>
        <w:tc>
          <w:tcPr>
            <w:tcW w:w="1194" w:type="dxa"/>
            <w:vAlign w:val="center"/>
          </w:tcPr>
          <w:p w:rsidR="00D65D63" w:rsidRDefault="00FE008B">
            <w:pPr>
              <w:jc w:val="center"/>
            </w:pPr>
            <w:r>
              <w:rPr>
                <w:color w:val="000000"/>
                <w:sz w:val="24"/>
                <w:szCs w:val="24"/>
              </w:rPr>
              <w:t>-</w:t>
            </w:r>
          </w:p>
        </w:tc>
        <w:tc>
          <w:tcPr>
            <w:tcW w:w="1492" w:type="dxa"/>
            <w:vAlign w:val="center"/>
          </w:tcPr>
          <w:p w:rsidR="00D65D63" w:rsidRDefault="00FE008B">
            <w:pPr>
              <w:jc w:val="center"/>
            </w:pPr>
            <w:r>
              <w:rPr>
                <w:color w:val="000000"/>
                <w:sz w:val="24"/>
                <w:szCs w:val="24"/>
              </w:rPr>
              <w:t>-</w:t>
            </w:r>
          </w:p>
        </w:tc>
        <w:tc>
          <w:tcPr>
            <w:tcW w:w="1194" w:type="dxa"/>
            <w:vAlign w:val="center"/>
          </w:tcPr>
          <w:p w:rsidR="00D65D63" w:rsidRDefault="00FE008B">
            <w:pPr>
              <w:jc w:val="center"/>
            </w:pPr>
            <w:r>
              <w:rPr>
                <w:color w:val="000000"/>
                <w:sz w:val="24"/>
                <w:szCs w:val="24"/>
              </w:rPr>
              <w:t>-</w:t>
            </w:r>
          </w:p>
        </w:tc>
        <w:tc>
          <w:tcPr>
            <w:tcW w:w="898" w:type="dxa"/>
            <w:vAlign w:val="center"/>
          </w:tcPr>
          <w:p w:rsidR="00D65D63" w:rsidRDefault="00FE008B">
            <w:pPr>
              <w:jc w:val="center"/>
            </w:pPr>
            <w:r>
              <w:rPr>
                <w:color w:val="000000"/>
                <w:sz w:val="24"/>
                <w:szCs w:val="24"/>
              </w:rPr>
              <w:t>-</w:t>
            </w:r>
          </w:p>
        </w:tc>
      </w:tr>
      <w:tr w:rsidR="00D65D63">
        <w:trPr>
          <w:jc w:val="center"/>
        </w:trPr>
        <w:tc>
          <w:tcPr>
            <w:tcW w:w="1701" w:type="dxa"/>
            <w:vAlign w:val="center"/>
          </w:tcPr>
          <w:p w:rsidR="00D65D63" w:rsidRDefault="00FE008B">
            <w:pPr>
              <w:jc w:val="left"/>
            </w:pPr>
            <w:r>
              <w:rPr>
                <w:color w:val="000000"/>
                <w:sz w:val="24"/>
                <w:szCs w:val="24"/>
              </w:rPr>
              <w:t>自基金合同生</w:t>
            </w:r>
            <w:r>
              <w:rPr>
                <w:color w:val="000000"/>
                <w:sz w:val="24"/>
                <w:szCs w:val="24"/>
              </w:rPr>
              <w:lastRenderedPageBreak/>
              <w:t>效起至今</w:t>
            </w:r>
          </w:p>
        </w:tc>
        <w:tc>
          <w:tcPr>
            <w:tcW w:w="1045" w:type="dxa"/>
            <w:vAlign w:val="center"/>
          </w:tcPr>
          <w:p w:rsidR="00D65D63" w:rsidRDefault="00FE008B">
            <w:pPr>
              <w:jc w:val="center"/>
            </w:pPr>
            <w:r>
              <w:rPr>
                <w:color w:val="000000"/>
                <w:sz w:val="24"/>
                <w:szCs w:val="24"/>
              </w:rPr>
              <w:lastRenderedPageBreak/>
              <w:t>35.65%</w:t>
            </w:r>
          </w:p>
        </w:tc>
        <w:tc>
          <w:tcPr>
            <w:tcW w:w="1344" w:type="dxa"/>
            <w:vAlign w:val="center"/>
          </w:tcPr>
          <w:p w:rsidR="00D65D63" w:rsidRDefault="00FE008B">
            <w:pPr>
              <w:jc w:val="center"/>
            </w:pPr>
            <w:r>
              <w:rPr>
                <w:color w:val="000000"/>
                <w:sz w:val="24"/>
                <w:szCs w:val="24"/>
              </w:rPr>
              <w:t>0.83%</w:t>
            </w:r>
          </w:p>
        </w:tc>
        <w:tc>
          <w:tcPr>
            <w:tcW w:w="1194" w:type="dxa"/>
            <w:vAlign w:val="center"/>
          </w:tcPr>
          <w:p w:rsidR="00D65D63" w:rsidRDefault="00FE008B">
            <w:pPr>
              <w:jc w:val="center"/>
            </w:pPr>
            <w:r>
              <w:rPr>
                <w:color w:val="000000"/>
                <w:sz w:val="24"/>
                <w:szCs w:val="24"/>
              </w:rPr>
              <w:t>25.53%</w:t>
            </w:r>
          </w:p>
        </w:tc>
        <w:tc>
          <w:tcPr>
            <w:tcW w:w="1492" w:type="dxa"/>
            <w:vAlign w:val="center"/>
          </w:tcPr>
          <w:p w:rsidR="00D65D63" w:rsidRDefault="00FE008B">
            <w:pPr>
              <w:jc w:val="center"/>
            </w:pPr>
            <w:r>
              <w:rPr>
                <w:color w:val="000000"/>
                <w:sz w:val="24"/>
                <w:szCs w:val="24"/>
              </w:rPr>
              <w:t>0.93%</w:t>
            </w:r>
          </w:p>
        </w:tc>
        <w:tc>
          <w:tcPr>
            <w:tcW w:w="1194" w:type="dxa"/>
            <w:vAlign w:val="center"/>
          </w:tcPr>
          <w:p w:rsidR="00D65D63" w:rsidRDefault="00FE008B">
            <w:pPr>
              <w:jc w:val="center"/>
            </w:pPr>
            <w:r>
              <w:rPr>
                <w:color w:val="000000"/>
                <w:sz w:val="24"/>
                <w:szCs w:val="24"/>
              </w:rPr>
              <w:t>10.12%</w:t>
            </w:r>
          </w:p>
        </w:tc>
        <w:tc>
          <w:tcPr>
            <w:tcW w:w="898" w:type="dxa"/>
            <w:vAlign w:val="center"/>
          </w:tcPr>
          <w:p w:rsidR="00D65D63" w:rsidRDefault="00FE008B">
            <w:pPr>
              <w:jc w:val="center"/>
            </w:pPr>
            <w:r>
              <w:rPr>
                <w:color w:val="000000"/>
                <w:sz w:val="24"/>
                <w:szCs w:val="24"/>
              </w:rPr>
              <w:t>-0.10</w:t>
            </w:r>
            <w:r>
              <w:rPr>
                <w:color w:val="000000"/>
                <w:sz w:val="24"/>
                <w:szCs w:val="24"/>
              </w:rPr>
              <w:lastRenderedPageBreak/>
              <w:t>%</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上投摩根锦程积极成长养老目标五年持有期混合型发起式基金中基金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2021</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D65D63" w:rsidRDefault="00FE008B">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29</w:t>
      </w:r>
      <w:r>
        <w:rPr>
          <w:color w:val="000000"/>
          <w:sz w:val="24"/>
          <w:szCs w:val="24"/>
        </w:rPr>
        <w:t>日，图示的时间段为合同生效日至本报告期末。</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65D63">
        <w:trPr>
          <w:jc w:val="center"/>
        </w:trPr>
        <w:tc>
          <w:tcPr>
            <w:tcW w:w="846" w:type="dxa"/>
            <w:vAlign w:val="center"/>
          </w:tcPr>
          <w:p w:rsidR="00D65D63" w:rsidRDefault="00FE008B">
            <w:pPr>
              <w:jc w:val="center"/>
            </w:pPr>
            <w:r>
              <w:rPr>
                <w:color w:val="000000"/>
                <w:sz w:val="24"/>
                <w:szCs w:val="24"/>
              </w:rPr>
              <w:t>杜习杰</w:t>
            </w:r>
          </w:p>
        </w:tc>
        <w:tc>
          <w:tcPr>
            <w:tcW w:w="845" w:type="dxa"/>
            <w:vAlign w:val="center"/>
          </w:tcPr>
          <w:p w:rsidR="00D65D63" w:rsidRDefault="00FE008B">
            <w:pPr>
              <w:jc w:val="center"/>
            </w:pPr>
            <w:r>
              <w:rPr>
                <w:color w:val="000000"/>
                <w:sz w:val="24"/>
                <w:szCs w:val="24"/>
              </w:rPr>
              <w:t>本基金基金经</w:t>
            </w:r>
            <w:r>
              <w:rPr>
                <w:color w:val="000000"/>
                <w:sz w:val="24"/>
                <w:szCs w:val="24"/>
              </w:rPr>
              <w:lastRenderedPageBreak/>
              <w:t>理</w:t>
            </w:r>
          </w:p>
        </w:tc>
        <w:tc>
          <w:tcPr>
            <w:tcW w:w="1549" w:type="dxa"/>
            <w:vAlign w:val="center"/>
          </w:tcPr>
          <w:p w:rsidR="00D65D63" w:rsidRDefault="00FE008B">
            <w:pPr>
              <w:jc w:val="center"/>
            </w:pPr>
            <w:r>
              <w:rPr>
                <w:color w:val="000000"/>
                <w:sz w:val="24"/>
                <w:szCs w:val="24"/>
              </w:rPr>
              <w:lastRenderedPageBreak/>
              <w:t>2020-04-29</w:t>
            </w:r>
          </w:p>
        </w:tc>
        <w:tc>
          <w:tcPr>
            <w:tcW w:w="1548" w:type="dxa"/>
            <w:vAlign w:val="center"/>
          </w:tcPr>
          <w:p w:rsidR="00D65D63" w:rsidRDefault="00FE008B">
            <w:pPr>
              <w:jc w:val="center"/>
            </w:pPr>
            <w:r>
              <w:rPr>
                <w:color w:val="000000"/>
                <w:sz w:val="24"/>
                <w:szCs w:val="24"/>
              </w:rPr>
              <w:t>-</w:t>
            </w:r>
          </w:p>
        </w:tc>
        <w:tc>
          <w:tcPr>
            <w:tcW w:w="1407" w:type="dxa"/>
            <w:vAlign w:val="center"/>
          </w:tcPr>
          <w:p w:rsidR="00D65D63" w:rsidRDefault="00FE008B">
            <w:pPr>
              <w:jc w:val="center"/>
            </w:pPr>
            <w:r>
              <w:rPr>
                <w:color w:val="000000"/>
                <w:sz w:val="24"/>
                <w:szCs w:val="24"/>
              </w:rPr>
              <w:t>13</w:t>
            </w:r>
            <w:r>
              <w:rPr>
                <w:color w:val="000000"/>
                <w:sz w:val="24"/>
                <w:szCs w:val="24"/>
              </w:rPr>
              <w:t>年</w:t>
            </w:r>
          </w:p>
        </w:tc>
        <w:tc>
          <w:tcPr>
            <w:tcW w:w="2673" w:type="dxa"/>
            <w:vAlign w:val="center"/>
          </w:tcPr>
          <w:p w:rsidR="00D65D63" w:rsidRDefault="00FE008B">
            <w:r>
              <w:rPr>
                <w:color w:val="000000"/>
                <w:sz w:val="24"/>
                <w:szCs w:val="24"/>
              </w:rPr>
              <w:t>杜习杰先生，上海财经大学金融学硕士。自</w:t>
            </w:r>
            <w:r>
              <w:rPr>
                <w:color w:val="000000"/>
                <w:sz w:val="24"/>
                <w:szCs w:val="24"/>
              </w:rPr>
              <w:t>2008</w:t>
            </w:r>
            <w:r>
              <w:rPr>
                <w:color w:val="000000"/>
                <w:sz w:val="24"/>
                <w:szCs w:val="24"/>
              </w:rPr>
              <w:t>年</w:t>
            </w:r>
            <w:r>
              <w:rPr>
                <w:color w:val="000000"/>
                <w:sz w:val="24"/>
                <w:szCs w:val="24"/>
              </w:rPr>
              <w:t>7</w:t>
            </w:r>
            <w:r>
              <w:rPr>
                <w:color w:val="000000"/>
                <w:sz w:val="24"/>
                <w:szCs w:val="24"/>
              </w:rPr>
              <w:t>月至</w:t>
            </w:r>
            <w:r>
              <w:rPr>
                <w:color w:val="000000"/>
                <w:sz w:val="24"/>
                <w:szCs w:val="24"/>
              </w:rPr>
              <w:t>2011</w:t>
            </w:r>
            <w:r>
              <w:rPr>
                <w:color w:val="000000"/>
                <w:sz w:val="24"/>
                <w:szCs w:val="24"/>
              </w:rPr>
              <w:t>年</w:t>
            </w:r>
            <w:r>
              <w:rPr>
                <w:color w:val="000000"/>
                <w:sz w:val="24"/>
                <w:szCs w:val="24"/>
              </w:rPr>
              <w:t>5</w:t>
            </w:r>
            <w:r>
              <w:rPr>
                <w:color w:val="000000"/>
                <w:sz w:val="24"/>
                <w:szCs w:val="24"/>
              </w:rPr>
              <w:lastRenderedPageBreak/>
              <w:t>月在长信基金任研究员；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月起加入上投摩根基金管理有限公司，历任研究员、投资经理兼研究员，现任组合基金投资部基金经理。自</w:t>
            </w:r>
            <w:r>
              <w:rPr>
                <w:color w:val="000000"/>
                <w:sz w:val="24"/>
                <w:szCs w:val="24"/>
              </w:rPr>
              <w:t>2019</w:t>
            </w:r>
            <w:r>
              <w:rPr>
                <w:color w:val="000000"/>
                <w:sz w:val="24"/>
                <w:szCs w:val="24"/>
              </w:rPr>
              <w:t>年</w:t>
            </w:r>
            <w:r>
              <w:rPr>
                <w:color w:val="000000"/>
                <w:sz w:val="24"/>
                <w:szCs w:val="24"/>
              </w:rPr>
              <w:t>9</w:t>
            </w:r>
            <w:r>
              <w:rPr>
                <w:color w:val="000000"/>
                <w:sz w:val="24"/>
                <w:szCs w:val="24"/>
              </w:rPr>
              <w:t>月起担任上投摩根锦程均衡养老目标三年持有期混合型基金中基金（</w:t>
            </w:r>
            <w:r>
              <w:rPr>
                <w:color w:val="000000"/>
                <w:sz w:val="24"/>
                <w:szCs w:val="24"/>
              </w:rPr>
              <w:t>FOF</w:t>
            </w:r>
            <w:r>
              <w:rPr>
                <w:color w:val="000000"/>
                <w:sz w:val="24"/>
                <w:szCs w:val="24"/>
              </w:rPr>
              <w:t>）基金经理，自</w:t>
            </w:r>
            <w:r>
              <w:rPr>
                <w:color w:val="000000"/>
                <w:sz w:val="24"/>
                <w:szCs w:val="24"/>
              </w:rPr>
              <w:t>2020</w:t>
            </w:r>
            <w:r>
              <w:rPr>
                <w:color w:val="000000"/>
                <w:sz w:val="24"/>
                <w:szCs w:val="24"/>
              </w:rPr>
              <w:t>年</w:t>
            </w:r>
            <w:r>
              <w:rPr>
                <w:color w:val="000000"/>
                <w:sz w:val="24"/>
                <w:szCs w:val="24"/>
              </w:rPr>
              <w:t>4</w:t>
            </w:r>
            <w:r>
              <w:rPr>
                <w:color w:val="000000"/>
                <w:sz w:val="24"/>
                <w:szCs w:val="24"/>
              </w:rPr>
              <w:t>月起同时担任上投摩根锦程稳健养老目标一年持有期混合型基金中基金</w:t>
            </w:r>
            <w:r>
              <w:rPr>
                <w:color w:val="000000"/>
                <w:sz w:val="24"/>
                <w:szCs w:val="24"/>
              </w:rPr>
              <w:t>(FOF)</w:t>
            </w:r>
            <w:r>
              <w:rPr>
                <w:color w:val="000000"/>
                <w:sz w:val="24"/>
                <w:szCs w:val="24"/>
              </w:rPr>
              <w:t>基金经理及上投摩根锦程积极成长养老目标五年持有期混合型发起式基金中基金</w:t>
            </w:r>
            <w:r>
              <w:rPr>
                <w:color w:val="000000"/>
                <w:sz w:val="24"/>
                <w:szCs w:val="24"/>
              </w:rPr>
              <w:t xml:space="preserve">(FOF) </w:t>
            </w:r>
            <w:r>
              <w:rPr>
                <w:color w:val="000000"/>
                <w:sz w:val="24"/>
                <w:szCs w:val="24"/>
              </w:rPr>
              <w:t>基金经理，自</w:t>
            </w:r>
            <w:r>
              <w:rPr>
                <w:color w:val="000000"/>
                <w:sz w:val="24"/>
                <w:szCs w:val="24"/>
              </w:rPr>
              <w:t>2020</w:t>
            </w:r>
            <w:r>
              <w:rPr>
                <w:color w:val="000000"/>
                <w:sz w:val="24"/>
                <w:szCs w:val="24"/>
              </w:rPr>
              <w:t>年</w:t>
            </w:r>
            <w:r>
              <w:rPr>
                <w:color w:val="000000"/>
                <w:sz w:val="24"/>
                <w:szCs w:val="24"/>
              </w:rPr>
              <w:t>12</w:t>
            </w:r>
            <w:r>
              <w:rPr>
                <w:color w:val="000000"/>
                <w:sz w:val="24"/>
                <w:szCs w:val="24"/>
              </w:rPr>
              <w:t>月起同时担任上投摩根尚睿混合型基金</w:t>
            </w:r>
            <w:r>
              <w:rPr>
                <w:color w:val="000000"/>
                <w:sz w:val="24"/>
                <w:szCs w:val="24"/>
              </w:rPr>
              <w:t>中基金</w:t>
            </w:r>
            <w:r>
              <w:rPr>
                <w:color w:val="000000"/>
                <w:sz w:val="24"/>
                <w:szCs w:val="24"/>
              </w:rPr>
              <w:t>(FOF)</w:t>
            </w:r>
            <w:r>
              <w:rPr>
                <w:color w:val="000000"/>
                <w:sz w:val="24"/>
                <w:szCs w:val="24"/>
              </w:rPr>
              <w:t>基金经理。</w:t>
            </w:r>
          </w:p>
        </w:tc>
      </w:tr>
    </w:tbl>
    <w:p w:rsidR="00D65D63" w:rsidRDefault="00FE008B">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 xml:space="preserve">1. </w:t>
      </w:r>
      <w:r>
        <w:rPr>
          <w:color w:val="000000"/>
          <w:sz w:val="24"/>
          <w:szCs w:val="24"/>
        </w:rPr>
        <w:t>任职日期和离任日期均指根据公司决定确定的聘任日期和解聘日期。</w:t>
      </w:r>
    </w:p>
    <w:p w:rsidR="00D65D63" w:rsidRDefault="00FE008B">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杜习杰先生为本基金首任基金经理，其任职日期为本基金基金合同生效之日；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锦程积极成长养老目标五年持有期混合型发起式基金中基金</w:t>
      </w:r>
      <w:r w:rsidRPr="00414345">
        <w:rPr>
          <w:color w:val="000000"/>
          <w:sz w:val="24"/>
          <w:szCs w:val="24"/>
        </w:rPr>
        <w:t>(FOF)</w:t>
      </w:r>
      <w:r w:rsidRPr="00414345">
        <w:rPr>
          <w:color w:val="000000"/>
          <w:sz w:val="24"/>
          <w:szCs w:val="24"/>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65D63" w:rsidRDefault="00FE008B">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w:t>
      </w:r>
      <w:r>
        <w:rPr>
          <w:color w:val="000000"/>
          <w:sz w:val="24"/>
          <w:szCs w:val="24"/>
        </w:rPr>
        <w:lastRenderedPageBreak/>
        <w:t>控分析，以确保本公司管理的不同投资组合在授权、研究分析、投资决策、交易执行、业绩评估等投资管理活动相关的环节均得到公平对待。</w:t>
      </w:r>
    </w:p>
    <w:p w:rsidR="00D65D63" w:rsidRDefault="00FE008B">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D65D63" w:rsidRDefault="00FE008B">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65D63" w:rsidRDefault="00FE008B">
      <w:pPr>
        <w:spacing w:before="29" w:line="288" w:lineRule="auto"/>
        <w:ind w:firstLineChars="200" w:firstLine="480"/>
        <w:rPr>
          <w:color w:val="000000"/>
          <w:sz w:val="24"/>
          <w:szCs w:val="24"/>
        </w:rPr>
      </w:pPr>
      <w:r>
        <w:rPr>
          <w:color w:val="000000"/>
          <w:sz w:val="24"/>
          <w:szCs w:val="24"/>
        </w:rPr>
        <w:t>二季度以来国内各项主要宏观指标显示经济面临较大的下行压力。</w:t>
      </w:r>
      <w:r>
        <w:rPr>
          <w:color w:val="000000"/>
          <w:sz w:val="24"/>
          <w:szCs w:val="24"/>
        </w:rPr>
        <w:t>PPI</w:t>
      </w:r>
      <w:r>
        <w:rPr>
          <w:color w:val="000000"/>
          <w:sz w:val="24"/>
          <w:szCs w:val="24"/>
        </w:rPr>
        <w:t>高位运行，但市场预期其大概率见顶，对通胀的担忧下降，利率下行，资金面成为驱动股债上涨的主要因素。风险偏好抬升，各大类资产涨幅明显。海外经济依旧强劲复苏，推升原油大幅上涨</w:t>
      </w:r>
      <w:r>
        <w:rPr>
          <w:color w:val="000000"/>
          <w:sz w:val="24"/>
          <w:szCs w:val="24"/>
        </w:rPr>
        <w:t>。疫苗接种率较高的地区，经济活动逐步恢复，</w:t>
      </w:r>
      <w:r>
        <w:rPr>
          <w:color w:val="000000"/>
          <w:sz w:val="24"/>
          <w:szCs w:val="24"/>
        </w:rPr>
        <w:t>REITs</w:t>
      </w:r>
      <w:r>
        <w:rPr>
          <w:color w:val="000000"/>
          <w:sz w:val="24"/>
          <w:szCs w:val="24"/>
        </w:rPr>
        <w:t>基本面改善明显，在二季度涨幅显著。本季度上证综指涨幅</w:t>
      </w:r>
      <w:r>
        <w:rPr>
          <w:color w:val="000000"/>
          <w:sz w:val="24"/>
          <w:szCs w:val="24"/>
        </w:rPr>
        <w:t>4.34%</w:t>
      </w:r>
      <w:r>
        <w:rPr>
          <w:color w:val="000000"/>
          <w:sz w:val="24"/>
          <w:szCs w:val="24"/>
        </w:rPr>
        <w:t>，但风格分化明显，成长大幅跑赢价值。行业层面高景气的半导体、新能源车涨幅居前，以及受到行业需求改善消息驱动的消费电子、光伏表现紧随其后。海外主要经济体指数中标普</w:t>
      </w:r>
      <w:r>
        <w:rPr>
          <w:color w:val="000000"/>
          <w:sz w:val="24"/>
          <w:szCs w:val="24"/>
        </w:rPr>
        <w:t>500</w:t>
      </w:r>
      <w:r>
        <w:rPr>
          <w:color w:val="000000"/>
          <w:sz w:val="24"/>
          <w:szCs w:val="24"/>
        </w:rPr>
        <w:t>，富时</w:t>
      </w:r>
      <w:r>
        <w:rPr>
          <w:color w:val="000000"/>
          <w:sz w:val="24"/>
          <w:szCs w:val="24"/>
        </w:rPr>
        <w:t>100</w:t>
      </w:r>
      <w:r>
        <w:rPr>
          <w:color w:val="000000"/>
          <w:sz w:val="24"/>
          <w:szCs w:val="24"/>
        </w:rPr>
        <w:t>和德国</w:t>
      </w:r>
      <w:r>
        <w:rPr>
          <w:color w:val="000000"/>
          <w:sz w:val="24"/>
          <w:szCs w:val="24"/>
        </w:rPr>
        <w:t>30</w:t>
      </w:r>
      <w:r>
        <w:rPr>
          <w:color w:val="000000"/>
          <w:sz w:val="24"/>
          <w:szCs w:val="24"/>
        </w:rPr>
        <w:t>涨幅居前。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驱动近期行情的宏观主导因素是政策和流动性比预期友好，同时市场的风险偏好和交投情绪进入上行周期。展望三季度市场大概率回归基本面驱动。国内投资、消费依旧偏弱，海外需求虽然较强，但美国消费由商品转向服务，对国内出口拉动减弱，未来国内经济仍有较大的下行压力。若风险偏好降低，市场趋于防守，风格可能重新偏向低估值风格。随着中报业绩期的到来，市场仍充满结构性机会，景气度高、盈利预期明确的行业仍将得到市场的青睐。美国就业数据向好可能带来量化宽松减码的进度快于预期，该风险因素将大概率扰动市场。近期国债收益率在中枢下沿运行，未来利率趋势易上难下，对长久期保持谨慎。信用风险仍有较大的爆发可能，利率债优于信用债。</w:t>
      </w:r>
      <w:r w:rsidRPr="00414345">
        <w:rPr>
          <w:color w:val="000000"/>
          <w:sz w:val="24"/>
          <w:szCs w:val="24"/>
        </w:rPr>
        <w:t>REITs</w:t>
      </w:r>
      <w:r w:rsidRPr="00414345">
        <w:rPr>
          <w:color w:val="000000"/>
          <w:sz w:val="24"/>
          <w:szCs w:val="24"/>
        </w:rPr>
        <w:t>基本面将大幅改善，在通胀环境下预计将会有较好的表现。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本报告期上投摩根锦程积极养老五年持有混合（</w:t>
      </w:r>
      <w:r w:rsidRPr="00414345">
        <w:rPr>
          <w:color w:val="000000"/>
          <w:sz w:val="24"/>
          <w:szCs w:val="24"/>
        </w:rPr>
        <w:t>FOF</w:t>
      </w:r>
      <w:r w:rsidRPr="00414345">
        <w:rPr>
          <w:color w:val="000000"/>
          <w:sz w:val="24"/>
          <w:szCs w:val="24"/>
        </w:rPr>
        <w:t>）份额净值增长率为</w:t>
      </w:r>
      <w:r w:rsidRPr="00414345">
        <w:rPr>
          <w:color w:val="000000"/>
          <w:sz w:val="24"/>
          <w:szCs w:val="24"/>
        </w:rPr>
        <w:t>:6.14%</w:t>
      </w:r>
      <w:r w:rsidRPr="00414345">
        <w:rPr>
          <w:color w:val="000000"/>
          <w:sz w:val="24"/>
          <w:szCs w:val="24"/>
        </w:rPr>
        <w:t>，同期业绩比较基准收益率为</w:t>
      </w:r>
      <w:r w:rsidRPr="00414345">
        <w:rPr>
          <w:color w:val="000000"/>
          <w:sz w:val="24"/>
          <w:szCs w:val="24"/>
        </w:rPr>
        <w:t>:3.76%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404,913.00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404,913.00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25,128,062.25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90.93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1,252,876.40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1,252,876.40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727,183.03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120,205.99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0.44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27,633,240.67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133,804.00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271,109.00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404,913.00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w:t>
            </w:r>
          </w:p>
        </w:tc>
      </w:tr>
    </w:tbl>
    <w:p w:rsidR="004061AC" w:rsidRPr="00F51C4E" w:rsidRDefault="004061AC" w:rsidP="00C15CAC">
      <w:pPr>
        <w:autoSpaceDE w:val="0"/>
        <w:autoSpaceDN w:val="0"/>
        <w:adjustRightInd w:val="0"/>
        <w:spacing w:before="29" w:line="288" w:lineRule="auto"/>
        <w:jc w:val="left"/>
        <w:rPr>
          <w:color w:val="000000"/>
          <w:kern w:val="0"/>
          <w:sz w:val="24"/>
          <w:szCs w:val="24"/>
        </w:rPr>
      </w:pPr>
    </w:p>
    <w:p w:rsidR="00E133DE" w:rsidRPr="00E133DE" w:rsidRDefault="004061AC" w:rsidP="00C15CAC">
      <w:pPr>
        <w:autoSpaceDE w:val="0"/>
        <w:autoSpaceDN w:val="0"/>
        <w:adjustRightInd w:val="0"/>
        <w:spacing w:before="29" w:line="288" w:lineRule="auto"/>
        <w:jc w:val="left"/>
        <w:rPr>
          <w:b/>
          <w:bCs/>
          <w:kern w:val="0"/>
          <w:sz w:val="24"/>
          <w:szCs w:val="24"/>
        </w:rPr>
      </w:pPr>
      <w:r w:rsidRPr="00E133DE">
        <w:rPr>
          <w:b/>
          <w:bCs/>
          <w:kern w:val="0"/>
          <w:sz w:val="24"/>
          <w:szCs w:val="24"/>
        </w:rPr>
        <w:t xml:space="preserve">5.3 </w:t>
      </w:r>
      <w:r w:rsidR="00E133DE" w:rsidRPr="00E133DE">
        <w:rPr>
          <w:rFonts w:asciiTheme="minorEastAsia" w:eastAsiaTheme="minorEastAsia" w:hAnsiTheme="minorEastAsia" w:hint="eastAsia"/>
          <w:b/>
          <w:bCs/>
          <w:kern w:val="0"/>
          <w:sz w:val="24"/>
          <w:szCs w:val="24"/>
        </w:rPr>
        <w:t>期末按公允价值占基金资产净值比例大小排序的股票投资明细</w:t>
      </w:r>
      <w:r w:rsidR="00E133DE" w:rsidRPr="00E133DE">
        <w:rPr>
          <w:rFonts w:asciiTheme="minorEastAsia" w:eastAsiaTheme="minorEastAsia" w:hAnsiTheme="minorEastAsia" w:hint="eastAsia"/>
          <w:b/>
          <w:bCs/>
          <w:kern w:val="0"/>
          <w:sz w:val="24"/>
          <w:szCs w:val="24"/>
        </w:rPr>
        <w:cr/>
      </w: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5.3.1 </w:t>
      </w:r>
      <w:r w:rsidR="004061AC" w:rsidRPr="00E133DE">
        <w:rPr>
          <w:b/>
          <w:bCs/>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E133DE" w:rsidRPr="00E133DE" w:rsidTr="00A324F4">
        <w:trPr>
          <w:jc w:val="center"/>
        </w:trPr>
        <w:tc>
          <w:tcPr>
            <w:tcW w:w="869" w:type="dxa"/>
            <w:vAlign w:val="center"/>
          </w:tcPr>
          <w:p w:rsidR="00853140" w:rsidRPr="00E133DE" w:rsidRDefault="00853140" w:rsidP="00C15CAC">
            <w:pPr>
              <w:spacing w:before="29" w:line="288" w:lineRule="auto"/>
              <w:ind w:left="17"/>
              <w:jc w:val="center"/>
              <w:rPr>
                <w:sz w:val="24"/>
                <w:szCs w:val="24"/>
              </w:rPr>
            </w:pPr>
            <w:r w:rsidRPr="00E133DE">
              <w:rPr>
                <w:sz w:val="24"/>
                <w:szCs w:val="24"/>
              </w:rPr>
              <w:t>序号</w:t>
            </w:r>
          </w:p>
        </w:tc>
        <w:tc>
          <w:tcPr>
            <w:tcW w:w="1357" w:type="dxa"/>
            <w:vAlign w:val="center"/>
          </w:tcPr>
          <w:p w:rsidR="00853140" w:rsidRPr="00E133DE" w:rsidRDefault="00853140" w:rsidP="00C15CAC">
            <w:pPr>
              <w:spacing w:before="29" w:line="288" w:lineRule="auto"/>
              <w:ind w:left="17"/>
              <w:jc w:val="center"/>
              <w:rPr>
                <w:sz w:val="24"/>
                <w:szCs w:val="24"/>
              </w:rPr>
            </w:pPr>
            <w:r w:rsidRPr="00E133DE">
              <w:rPr>
                <w:sz w:val="24"/>
                <w:szCs w:val="24"/>
              </w:rPr>
              <w:t>股票代码</w:t>
            </w:r>
          </w:p>
        </w:tc>
        <w:tc>
          <w:tcPr>
            <w:tcW w:w="1810" w:type="dxa"/>
            <w:vAlign w:val="center"/>
          </w:tcPr>
          <w:p w:rsidR="00853140" w:rsidRPr="00E133DE" w:rsidRDefault="00853140" w:rsidP="00C15CAC">
            <w:pPr>
              <w:spacing w:before="29" w:line="288" w:lineRule="auto"/>
              <w:ind w:left="17"/>
              <w:jc w:val="center"/>
              <w:rPr>
                <w:sz w:val="24"/>
                <w:szCs w:val="24"/>
              </w:rPr>
            </w:pPr>
            <w:r w:rsidRPr="00E133DE">
              <w:rPr>
                <w:sz w:val="24"/>
                <w:szCs w:val="24"/>
              </w:rPr>
              <w:t>股票名称</w:t>
            </w:r>
          </w:p>
        </w:tc>
        <w:tc>
          <w:tcPr>
            <w:tcW w:w="1357" w:type="dxa"/>
            <w:vAlign w:val="center"/>
          </w:tcPr>
          <w:p w:rsidR="00853140" w:rsidRPr="00E133DE" w:rsidRDefault="00853140" w:rsidP="00C15CAC">
            <w:pPr>
              <w:spacing w:before="29" w:line="288" w:lineRule="auto"/>
              <w:ind w:left="17"/>
              <w:jc w:val="center"/>
              <w:rPr>
                <w:sz w:val="24"/>
                <w:szCs w:val="24"/>
              </w:rPr>
            </w:pPr>
            <w:r w:rsidRPr="00E133DE">
              <w:rPr>
                <w:sz w:val="24"/>
                <w:szCs w:val="24"/>
              </w:rPr>
              <w:t>数量</w:t>
            </w:r>
            <w:r w:rsidR="00B47982" w:rsidRPr="00E133DE">
              <w:rPr>
                <w:sz w:val="24"/>
              </w:rPr>
              <w:t>（股）</w:t>
            </w:r>
          </w:p>
        </w:tc>
        <w:tc>
          <w:tcPr>
            <w:tcW w:w="1960" w:type="dxa"/>
            <w:vAlign w:val="center"/>
          </w:tcPr>
          <w:p w:rsidR="00853140" w:rsidRPr="00E133DE" w:rsidRDefault="00853140" w:rsidP="00C15CAC">
            <w:pPr>
              <w:autoSpaceDE w:val="0"/>
              <w:autoSpaceDN w:val="0"/>
              <w:adjustRightInd w:val="0"/>
              <w:spacing w:before="29" w:line="288" w:lineRule="auto"/>
              <w:ind w:left="17"/>
              <w:jc w:val="center"/>
              <w:rPr>
                <w:sz w:val="24"/>
                <w:szCs w:val="24"/>
              </w:rPr>
            </w:pPr>
            <w:r w:rsidRPr="00E133DE">
              <w:rPr>
                <w:sz w:val="24"/>
                <w:szCs w:val="24"/>
              </w:rPr>
              <w:t>公允价值</w:t>
            </w:r>
            <w:r w:rsidRPr="00E133DE">
              <w:rPr>
                <w:sz w:val="24"/>
                <w:szCs w:val="24"/>
              </w:rPr>
              <w:t>(</w:t>
            </w:r>
            <w:r w:rsidRPr="00E133DE">
              <w:rPr>
                <w:sz w:val="24"/>
                <w:szCs w:val="24"/>
              </w:rPr>
              <w:t>元</w:t>
            </w:r>
            <w:r w:rsidRPr="00E133DE">
              <w:rPr>
                <w:sz w:val="24"/>
                <w:szCs w:val="24"/>
              </w:rPr>
              <w:t>)</w:t>
            </w:r>
          </w:p>
        </w:tc>
        <w:tc>
          <w:tcPr>
            <w:tcW w:w="1674" w:type="dxa"/>
            <w:vAlign w:val="center"/>
          </w:tcPr>
          <w:p w:rsidR="00853140" w:rsidRPr="00E133DE" w:rsidRDefault="00853140" w:rsidP="00C15CAC">
            <w:pPr>
              <w:spacing w:before="29" w:line="288" w:lineRule="auto"/>
              <w:ind w:left="17"/>
              <w:jc w:val="center"/>
              <w:rPr>
                <w:sz w:val="24"/>
                <w:szCs w:val="24"/>
              </w:rPr>
            </w:pPr>
            <w:r w:rsidRPr="00E133DE">
              <w:rPr>
                <w:sz w:val="24"/>
                <w:szCs w:val="24"/>
              </w:rPr>
              <w:t>占基金资产净值比例</w:t>
            </w:r>
            <w:r w:rsidR="00B47982" w:rsidRPr="00E133DE">
              <w:rPr>
                <w:sz w:val="24"/>
              </w:rPr>
              <w:t>（％）</w:t>
            </w:r>
          </w:p>
        </w:tc>
      </w:tr>
      <w:tr w:rsidR="00D65D63">
        <w:trPr>
          <w:jc w:val="center"/>
        </w:trPr>
        <w:tc>
          <w:tcPr>
            <w:tcW w:w="855" w:type="dxa"/>
            <w:vAlign w:val="center"/>
          </w:tcPr>
          <w:p w:rsidR="00D65D63" w:rsidRDefault="00FE008B">
            <w:pPr>
              <w:jc w:val="center"/>
            </w:pPr>
            <w:r>
              <w:rPr>
                <w:sz w:val="24"/>
                <w:szCs w:val="24"/>
              </w:rPr>
              <w:t>1</w:t>
            </w:r>
          </w:p>
        </w:tc>
        <w:tc>
          <w:tcPr>
            <w:tcW w:w="1334" w:type="dxa"/>
            <w:vAlign w:val="center"/>
          </w:tcPr>
          <w:p w:rsidR="00D65D63" w:rsidRDefault="00FE008B">
            <w:pPr>
              <w:jc w:val="center"/>
            </w:pPr>
            <w:r>
              <w:rPr>
                <w:sz w:val="24"/>
                <w:szCs w:val="24"/>
              </w:rPr>
              <w:t>002157</w:t>
            </w:r>
          </w:p>
        </w:tc>
        <w:tc>
          <w:tcPr>
            <w:tcW w:w="1777" w:type="dxa"/>
            <w:vAlign w:val="center"/>
          </w:tcPr>
          <w:p w:rsidR="00D65D63" w:rsidRDefault="00FE008B">
            <w:pPr>
              <w:jc w:val="center"/>
            </w:pPr>
            <w:r>
              <w:rPr>
                <w:sz w:val="24"/>
                <w:szCs w:val="24"/>
              </w:rPr>
              <w:t>正邦科技</w:t>
            </w:r>
          </w:p>
        </w:tc>
        <w:tc>
          <w:tcPr>
            <w:tcW w:w="1334" w:type="dxa"/>
            <w:vAlign w:val="center"/>
          </w:tcPr>
          <w:p w:rsidR="00D65D63" w:rsidRDefault="00FE008B">
            <w:pPr>
              <w:jc w:val="right"/>
            </w:pPr>
            <w:r>
              <w:rPr>
                <w:sz w:val="24"/>
                <w:szCs w:val="24"/>
              </w:rPr>
              <w:t>11,600.00</w:t>
            </w:r>
          </w:p>
        </w:tc>
        <w:tc>
          <w:tcPr>
            <w:tcW w:w="1924" w:type="dxa"/>
            <w:vAlign w:val="center"/>
          </w:tcPr>
          <w:p w:rsidR="00D65D63" w:rsidRDefault="00FE008B">
            <w:pPr>
              <w:jc w:val="right"/>
            </w:pPr>
            <w:r>
              <w:rPr>
                <w:sz w:val="24"/>
                <w:szCs w:val="24"/>
              </w:rPr>
              <w:t>138,620.00</w:t>
            </w:r>
          </w:p>
        </w:tc>
        <w:tc>
          <w:tcPr>
            <w:tcW w:w="1644" w:type="dxa"/>
            <w:vAlign w:val="center"/>
          </w:tcPr>
          <w:p w:rsidR="00D65D63" w:rsidRDefault="00FE008B">
            <w:pPr>
              <w:jc w:val="right"/>
            </w:pPr>
            <w:r>
              <w:rPr>
                <w:sz w:val="24"/>
                <w:szCs w:val="24"/>
              </w:rPr>
              <w:t>0.50</w:t>
            </w:r>
          </w:p>
        </w:tc>
      </w:tr>
      <w:tr w:rsidR="00D65D63">
        <w:trPr>
          <w:jc w:val="center"/>
        </w:trPr>
        <w:tc>
          <w:tcPr>
            <w:tcW w:w="855" w:type="dxa"/>
            <w:vAlign w:val="center"/>
          </w:tcPr>
          <w:p w:rsidR="00D65D63" w:rsidRDefault="00FE008B">
            <w:pPr>
              <w:jc w:val="center"/>
            </w:pPr>
            <w:r>
              <w:rPr>
                <w:sz w:val="24"/>
                <w:szCs w:val="24"/>
              </w:rPr>
              <w:t>2</w:t>
            </w:r>
          </w:p>
        </w:tc>
        <w:tc>
          <w:tcPr>
            <w:tcW w:w="1334" w:type="dxa"/>
            <w:vAlign w:val="center"/>
          </w:tcPr>
          <w:p w:rsidR="00D65D63" w:rsidRDefault="00FE008B">
            <w:pPr>
              <w:jc w:val="center"/>
            </w:pPr>
            <w:r>
              <w:rPr>
                <w:sz w:val="24"/>
                <w:szCs w:val="24"/>
              </w:rPr>
              <w:t>002714</w:t>
            </w:r>
          </w:p>
        </w:tc>
        <w:tc>
          <w:tcPr>
            <w:tcW w:w="1777" w:type="dxa"/>
            <w:vAlign w:val="center"/>
          </w:tcPr>
          <w:p w:rsidR="00D65D63" w:rsidRDefault="00FE008B">
            <w:pPr>
              <w:jc w:val="center"/>
            </w:pPr>
            <w:r>
              <w:rPr>
                <w:sz w:val="24"/>
                <w:szCs w:val="24"/>
              </w:rPr>
              <w:t>牧原股份</w:t>
            </w:r>
          </w:p>
        </w:tc>
        <w:tc>
          <w:tcPr>
            <w:tcW w:w="1334" w:type="dxa"/>
            <w:vAlign w:val="center"/>
          </w:tcPr>
          <w:p w:rsidR="00D65D63" w:rsidRDefault="00FE008B">
            <w:pPr>
              <w:jc w:val="right"/>
            </w:pPr>
            <w:r>
              <w:rPr>
                <w:sz w:val="24"/>
                <w:szCs w:val="24"/>
              </w:rPr>
              <w:t>2,200.00</w:t>
            </w:r>
          </w:p>
        </w:tc>
        <w:tc>
          <w:tcPr>
            <w:tcW w:w="1924" w:type="dxa"/>
            <w:vAlign w:val="center"/>
          </w:tcPr>
          <w:p w:rsidR="00D65D63" w:rsidRDefault="00FE008B">
            <w:pPr>
              <w:jc w:val="right"/>
            </w:pPr>
            <w:r>
              <w:rPr>
                <w:sz w:val="24"/>
                <w:szCs w:val="24"/>
              </w:rPr>
              <w:t>133,804.00</w:t>
            </w:r>
          </w:p>
        </w:tc>
        <w:tc>
          <w:tcPr>
            <w:tcW w:w="1644" w:type="dxa"/>
            <w:vAlign w:val="center"/>
          </w:tcPr>
          <w:p w:rsidR="00D65D63" w:rsidRDefault="00FE008B">
            <w:pPr>
              <w:jc w:val="right"/>
            </w:pPr>
            <w:r>
              <w:rPr>
                <w:sz w:val="24"/>
                <w:szCs w:val="24"/>
              </w:rPr>
              <w:t>0.48</w:t>
            </w:r>
          </w:p>
        </w:tc>
      </w:tr>
      <w:tr w:rsidR="00D65D63">
        <w:trPr>
          <w:jc w:val="center"/>
        </w:trPr>
        <w:tc>
          <w:tcPr>
            <w:tcW w:w="855" w:type="dxa"/>
            <w:vAlign w:val="center"/>
          </w:tcPr>
          <w:p w:rsidR="00D65D63" w:rsidRDefault="00FE008B">
            <w:pPr>
              <w:jc w:val="center"/>
            </w:pPr>
            <w:r>
              <w:rPr>
                <w:sz w:val="24"/>
                <w:szCs w:val="24"/>
              </w:rPr>
              <w:t>3</w:t>
            </w:r>
          </w:p>
        </w:tc>
        <w:tc>
          <w:tcPr>
            <w:tcW w:w="1334" w:type="dxa"/>
            <w:vAlign w:val="center"/>
          </w:tcPr>
          <w:p w:rsidR="00D65D63" w:rsidRDefault="00FE008B">
            <w:pPr>
              <w:jc w:val="center"/>
            </w:pPr>
            <w:r>
              <w:rPr>
                <w:sz w:val="24"/>
                <w:szCs w:val="24"/>
              </w:rPr>
              <w:t>002124</w:t>
            </w:r>
          </w:p>
        </w:tc>
        <w:tc>
          <w:tcPr>
            <w:tcW w:w="1777" w:type="dxa"/>
            <w:vAlign w:val="center"/>
          </w:tcPr>
          <w:p w:rsidR="00D65D63" w:rsidRDefault="00FE008B">
            <w:pPr>
              <w:jc w:val="center"/>
            </w:pPr>
            <w:r>
              <w:rPr>
                <w:sz w:val="24"/>
                <w:szCs w:val="24"/>
              </w:rPr>
              <w:t>天邦股份</w:t>
            </w:r>
          </w:p>
        </w:tc>
        <w:tc>
          <w:tcPr>
            <w:tcW w:w="1334" w:type="dxa"/>
            <w:vAlign w:val="center"/>
          </w:tcPr>
          <w:p w:rsidR="00D65D63" w:rsidRDefault="00FE008B">
            <w:pPr>
              <w:jc w:val="right"/>
            </w:pPr>
            <w:r>
              <w:rPr>
                <w:sz w:val="24"/>
                <w:szCs w:val="24"/>
              </w:rPr>
              <w:t>18,900.00</w:t>
            </w:r>
          </w:p>
        </w:tc>
        <w:tc>
          <w:tcPr>
            <w:tcW w:w="1924" w:type="dxa"/>
            <w:vAlign w:val="center"/>
          </w:tcPr>
          <w:p w:rsidR="00D65D63" w:rsidRDefault="00FE008B">
            <w:pPr>
              <w:jc w:val="right"/>
            </w:pPr>
            <w:r>
              <w:rPr>
                <w:sz w:val="24"/>
                <w:szCs w:val="24"/>
              </w:rPr>
              <w:t>132,489.00</w:t>
            </w:r>
          </w:p>
        </w:tc>
        <w:tc>
          <w:tcPr>
            <w:tcW w:w="1644" w:type="dxa"/>
            <w:vAlign w:val="center"/>
          </w:tcPr>
          <w:p w:rsidR="00D65D63" w:rsidRDefault="00FE008B">
            <w:pPr>
              <w:jc w:val="right"/>
            </w:pPr>
            <w:r>
              <w:rPr>
                <w:sz w:val="24"/>
                <w:szCs w:val="24"/>
              </w:rPr>
              <w:t>0.48</w:t>
            </w:r>
          </w:p>
        </w:tc>
      </w:tr>
    </w:tbl>
    <w:p w:rsidR="004061AC" w:rsidRPr="00E133DE" w:rsidRDefault="004061AC" w:rsidP="00C15CAC">
      <w:pPr>
        <w:autoSpaceDE w:val="0"/>
        <w:autoSpaceDN w:val="0"/>
        <w:adjustRightInd w:val="0"/>
        <w:spacing w:before="29" w:line="288" w:lineRule="auto"/>
        <w:jc w:val="left"/>
        <w:rPr>
          <w:b/>
          <w:bCs/>
          <w:kern w:val="0"/>
          <w:sz w:val="24"/>
          <w:szCs w:val="24"/>
        </w:rPr>
      </w:pPr>
    </w:p>
    <w:p w:rsidR="00E133DE" w:rsidRPr="00E133DE"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1,252,876.40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1,252,876.40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65D63">
        <w:trPr>
          <w:jc w:val="center"/>
        </w:trPr>
        <w:tc>
          <w:tcPr>
            <w:tcW w:w="850" w:type="dxa"/>
            <w:vAlign w:val="center"/>
          </w:tcPr>
          <w:p w:rsidR="00D65D63" w:rsidRDefault="00FE008B">
            <w:pPr>
              <w:jc w:val="center"/>
            </w:pPr>
            <w:r>
              <w:rPr>
                <w:color w:val="000000"/>
                <w:sz w:val="24"/>
                <w:szCs w:val="24"/>
              </w:rPr>
              <w:t>1</w:t>
            </w:r>
          </w:p>
        </w:tc>
        <w:tc>
          <w:tcPr>
            <w:tcW w:w="1475" w:type="dxa"/>
            <w:vAlign w:val="center"/>
          </w:tcPr>
          <w:p w:rsidR="00D65D63" w:rsidRDefault="00FE008B">
            <w:pPr>
              <w:jc w:val="center"/>
            </w:pPr>
            <w:r>
              <w:rPr>
                <w:color w:val="000000"/>
                <w:sz w:val="24"/>
                <w:szCs w:val="24"/>
              </w:rPr>
              <w:t>019649</w:t>
            </w:r>
          </w:p>
        </w:tc>
        <w:tc>
          <w:tcPr>
            <w:tcW w:w="1769" w:type="dxa"/>
            <w:vAlign w:val="center"/>
          </w:tcPr>
          <w:p w:rsidR="00D65D63" w:rsidRDefault="00FE008B">
            <w:pPr>
              <w:jc w:val="center"/>
            </w:pPr>
            <w:r>
              <w:rPr>
                <w:color w:val="000000"/>
                <w:sz w:val="24"/>
                <w:szCs w:val="24"/>
              </w:rPr>
              <w:t>21</w:t>
            </w:r>
            <w:r>
              <w:rPr>
                <w:color w:val="000000"/>
                <w:sz w:val="24"/>
                <w:szCs w:val="24"/>
              </w:rPr>
              <w:t>国债</w:t>
            </w:r>
            <w:r>
              <w:rPr>
                <w:color w:val="000000"/>
                <w:sz w:val="24"/>
                <w:szCs w:val="24"/>
              </w:rPr>
              <w:t>01</w:t>
            </w:r>
          </w:p>
        </w:tc>
        <w:tc>
          <w:tcPr>
            <w:tcW w:w="1387" w:type="dxa"/>
            <w:vAlign w:val="center"/>
          </w:tcPr>
          <w:p w:rsidR="00D65D63" w:rsidRDefault="00FE008B">
            <w:pPr>
              <w:jc w:val="right"/>
            </w:pPr>
            <w:r>
              <w:rPr>
                <w:color w:val="000000"/>
                <w:sz w:val="24"/>
                <w:szCs w:val="24"/>
              </w:rPr>
              <w:t>12,520</w:t>
            </w:r>
          </w:p>
        </w:tc>
        <w:tc>
          <w:tcPr>
            <w:tcW w:w="2150" w:type="dxa"/>
            <w:vAlign w:val="center"/>
          </w:tcPr>
          <w:p w:rsidR="00D65D63" w:rsidRDefault="00FE008B">
            <w:pPr>
              <w:jc w:val="right"/>
            </w:pPr>
            <w:r>
              <w:rPr>
                <w:color w:val="000000"/>
                <w:sz w:val="24"/>
                <w:szCs w:val="24"/>
              </w:rPr>
              <w:t>1,252,876.40</w:t>
            </w:r>
          </w:p>
        </w:tc>
        <w:tc>
          <w:tcPr>
            <w:tcW w:w="1237" w:type="dxa"/>
            <w:vAlign w:val="center"/>
          </w:tcPr>
          <w:p w:rsidR="00D65D63" w:rsidRDefault="00FE008B">
            <w:pPr>
              <w:jc w:val="right"/>
            </w:pPr>
            <w:r>
              <w:rPr>
                <w:color w:val="000000"/>
                <w:sz w:val="24"/>
                <w:szCs w:val="24"/>
              </w:rPr>
              <w:t>4.54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6,134.39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13,525.50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100,362.88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165.19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120,205.99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因四舍五入的原因，投资组合报告中分项之和与合计数可能存在尾差。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w:t>
            </w:r>
            <w:r w:rsidRPr="00575270">
              <w:rPr>
                <w:rFonts w:ascii="Times New Roman" w:hAnsi="Times New Roman" w:cs="Times New Roman"/>
              </w:rPr>
              <w:lastRenderedPageBreak/>
              <w:t>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lastRenderedPageBreak/>
              <w:t>是否属于基金管理</w:t>
            </w:r>
            <w:r w:rsidRPr="00575270">
              <w:rPr>
                <w:rFonts w:ascii="Times New Roman" w:hAnsi="Times New Roman" w:cs="Times New Roman"/>
              </w:rPr>
              <w:lastRenderedPageBreak/>
              <w:t>人及管理人关联方所管理的基金</w:t>
            </w:r>
          </w:p>
        </w:tc>
      </w:tr>
      <w:tr w:rsidR="00D65D63">
        <w:tc>
          <w:tcPr>
            <w:tcW w:w="835" w:type="dxa"/>
            <w:vAlign w:val="center"/>
          </w:tcPr>
          <w:p w:rsidR="00D65D63" w:rsidRDefault="00FE008B">
            <w:pPr>
              <w:jc w:val="center"/>
            </w:pPr>
            <w:r>
              <w:rPr>
                <w:sz w:val="24"/>
                <w:szCs w:val="24"/>
              </w:rPr>
              <w:lastRenderedPageBreak/>
              <w:t>1</w:t>
            </w:r>
          </w:p>
        </w:tc>
        <w:tc>
          <w:tcPr>
            <w:tcW w:w="1159" w:type="dxa"/>
            <w:vAlign w:val="center"/>
          </w:tcPr>
          <w:p w:rsidR="00D65D63" w:rsidRDefault="00FE008B">
            <w:pPr>
              <w:jc w:val="center"/>
            </w:pPr>
            <w:r>
              <w:rPr>
                <w:sz w:val="24"/>
                <w:szCs w:val="24"/>
              </w:rPr>
              <w:t>372010</w:t>
            </w:r>
          </w:p>
        </w:tc>
        <w:tc>
          <w:tcPr>
            <w:tcW w:w="1161" w:type="dxa"/>
            <w:vAlign w:val="center"/>
          </w:tcPr>
          <w:p w:rsidR="00D65D63" w:rsidRDefault="00FE008B">
            <w:pPr>
              <w:jc w:val="center"/>
            </w:pPr>
            <w:r>
              <w:rPr>
                <w:sz w:val="24"/>
                <w:szCs w:val="24"/>
              </w:rPr>
              <w:t>上投摩根强化回报债券</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1,522,686.18</w:t>
            </w:r>
          </w:p>
        </w:tc>
        <w:tc>
          <w:tcPr>
            <w:tcW w:w="1305" w:type="dxa"/>
            <w:vAlign w:val="center"/>
          </w:tcPr>
          <w:p w:rsidR="00D65D63" w:rsidRDefault="00FE008B">
            <w:pPr>
              <w:jc w:val="center"/>
            </w:pPr>
            <w:r>
              <w:rPr>
                <w:sz w:val="24"/>
                <w:szCs w:val="24"/>
              </w:rPr>
              <w:t>2,297,276.64</w:t>
            </w:r>
          </w:p>
        </w:tc>
        <w:tc>
          <w:tcPr>
            <w:tcW w:w="1161" w:type="dxa"/>
            <w:vAlign w:val="center"/>
          </w:tcPr>
          <w:p w:rsidR="00D65D63" w:rsidRDefault="00FE008B">
            <w:pPr>
              <w:jc w:val="center"/>
            </w:pPr>
            <w:r>
              <w:rPr>
                <w:sz w:val="24"/>
                <w:szCs w:val="24"/>
              </w:rPr>
              <w:t>8.32%</w:t>
            </w:r>
          </w:p>
        </w:tc>
        <w:tc>
          <w:tcPr>
            <w:tcW w:w="1301" w:type="dxa"/>
            <w:vAlign w:val="center"/>
          </w:tcPr>
          <w:p w:rsidR="00D65D63" w:rsidRDefault="00FE008B">
            <w:pPr>
              <w:jc w:val="center"/>
            </w:pPr>
            <w:r>
              <w:rPr>
                <w:sz w:val="24"/>
                <w:szCs w:val="24"/>
              </w:rPr>
              <w:t>是</w:t>
            </w:r>
          </w:p>
        </w:tc>
      </w:tr>
      <w:tr w:rsidR="00D65D63">
        <w:tc>
          <w:tcPr>
            <w:tcW w:w="835" w:type="dxa"/>
            <w:vAlign w:val="center"/>
          </w:tcPr>
          <w:p w:rsidR="00D65D63" w:rsidRDefault="00FE008B">
            <w:pPr>
              <w:jc w:val="center"/>
            </w:pPr>
            <w:r>
              <w:rPr>
                <w:sz w:val="24"/>
                <w:szCs w:val="24"/>
              </w:rPr>
              <w:t>2</w:t>
            </w:r>
          </w:p>
        </w:tc>
        <w:tc>
          <w:tcPr>
            <w:tcW w:w="1159" w:type="dxa"/>
            <w:vAlign w:val="center"/>
          </w:tcPr>
          <w:p w:rsidR="00D65D63" w:rsidRDefault="00FE008B">
            <w:pPr>
              <w:jc w:val="center"/>
            </w:pPr>
            <w:r>
              <w:rPr>
                <w:sz w:val="24"/>
                <w:szCs w:val="24"/>
              </w:rPr>
              <w:t>510500</w:t>
            </w:r>
          </w:p>
        </w:tc>
        <w:tc>
          <w:tcPr>
            <w:tcW w:w="1161" w:type="dxa"/>
            <w:vAlign w:val="center"/>
          </w:tcPr>
          <w:p w:rsidR="00D65D63" w:rsidRDefault="00FE008B">
            <w:pPr>
              <w:jc w:val="center"/>
            </w:pPr>
            <w:r>
              <w:rPr>
                <w:sz w:val="24"/>
                <w:szCs w:val="24"/>
              </w:rPr>
              <w:t>南方中证</w:t>
            </w:r>
            <w:r>
              <w:rPr>
                <w:sz w:val="24"/>
                <w:szCs w:val="24"/>
              </w:rPr>
              <w:t>500ETF</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212,500.00</w:t>
            </w:r>
          </w:p>
        </w:tc>
        <w:tc>
          <w:tcPr>
            <w:tcW w:w="1305" w:type="dxa"/>
            <w:vAlign w:val="center"/>
          </w:tcPr>
          <w:p w:rsidR="00D65D63" w:rsidRDefault="00FE008B">
            <w:pPr>
              <w:jc w:val="center"/>
            </w:pPr>
            <w:r>
              <w:rPr>
                <w:sz w:val="24"/>
                <w:szCs w:val="24"/>
              </w:rPr>
              <w:t>1,614,575.00</w:t>
            </w:r>
          </w:p>
        </w:tc>
        <w:tc>
          <w:tcPr>
            <w:tcW w:w="1161" w:type="dxa"/>
            <w:vAlign w:val="center"/>
          </w:tcPr>
          <w:p w:rsidR="00D65D63" w:rsidRDefault="00FE008B">
            <w:pPr>
              <w:jc w:val="center"/>
            </w:pPr>
            <w:r>
              <w:rPr>
                <w:sz w:val="24"/>
                <w:szCs w:val="24"/>
              </w:rPr>
              <w:t>5.85%</w:t>
            </w:r>
          </w:p>
        </w:tc>
        <w:tc>
          <w:tcPr>
            <w:tcW w:w="1301" w:type="dxa"/>
            <w:vAlign w:val="center"/>
          </w:tcPr>
          <w:p w:rsidR="00D65D63" w:rsidRDefault="00FE008B">
            <w:pPr>
              <w:jc w:val="center"/>
            </w:pPr>
            <w:r>
              <w:rPr>
                <w:sz w:val="24"/>
                <w:szCs w:val="24"/>
              </w:rPr>
              <w:t>否</w:t>
            </w:r>
          </w:p>
        </w:tc>
      </w:tr>
      <w:tr w:rsidR="00D65D63">
        <w:tc>
          <w:tcPr>
            <w:tcW w:w="835" w:type="dxa"/>
            <w:vAlign w:val="center"/>
          </w:tcPr>
          <w:p w:rsidR="00D65D63" w:rsidRDefault="00FE008B">
            <w:pPr>
              <w:jc w:val="center"/>
            </w:pPr>
            <w:r>
              <w:rPr>
                <w:sz w:val="24"/>
                <w:szCs w:val="24"/>
              </w:rPr>
              <w:t>3</w:t>
            </w:r>
          </w:p>
        </w:tc>
        <w:tc>
          <w:tcPr>
            <w:tcW w:w="1159" w:type="dxa"/>
            <w:vAlign w:val="center"/>
          </w:tcPr>
          <w:p w:rsidR="00D65D63" w:rsidRDefault="00FE008B">
            <w:pPr>
              <w:jc w:val="center"/>
            </w:pPr>
            <w:r>
              <w:rPr>
                <w:sz w:val="24"/>
                <w:szCs w:val="24"/>
              </w:rPr>
              <w:t>001984</w:t>
            </w:r>
          </w:p>
        </w:tc>
        <w:tc>
          <w:tcPr>
            <w:tcW w:w="1161" w:type="dxa"/>
            <w:vAlign w:val="center"/>
          </w:tcPr>
          <w:p w:rsidR="00D65D63" w:rsidRDefault="00FE008B">
            <w:pPr>
              <w:jc w:val="center"/>
            </w:pPr>
            <w:r>
              <w:rPr>
                <w:sz w:val="24"/>
                <w:szCs w:val="24"/>
              </w:rPr>
              <w:t>上投摩根生物医药混合</w:t>
            </w:r>
            <w:r>
              <w:rPr>
                <w:sz w:val="24"/>
                <w:szCs w:val="24"/>
              </w:rPr>
              <w:t>(QDII)</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493,373.73</w:t>
            </w:r>
          </w:p>
        </w:tc>
        <w:tc>
          <w:tcPr>
            <w:tcW w:w="1305" w:type="dxa"/>
            <w:vAlign w:val="center"/>
          </w:tcPr>
          <w:p w:rsidR="00D65D63" w:rsidRDefault="00FE008B">
            <w:pPr>
              <w:jc w:val="center"/>
            </w:pPr>
            <w:r>
              <w:rPr>
                <w:sz w:val="24"/>
                <w:szCs w:val="24"/>
              </w:rPr>
              <w:t>1,305,713.58</w:t>
            </w:r>
          </w:p>
        </w:tc>
        <w:tc>
          <w:tcPr>
            <w:tcW w:w="1161" w:type="dxa"/>
            <w:vAlign w:val="center"/>
          </w:tcPr>
          <w:p w:rsidR="00D65D63" w:rsidRDefault="00FE008B">
            <w:pPr>
              <w:jc w:val="center"/>
            </w:pPr>
            <w:r>
              <w:rPr>
                <w:sz w:val="24"/>
                <w:szCs w:val="24"/>
              </w:rPr>
              <w:t>4.73%</w:t>
            </w:r>
          </w:p>
        </w:tc>
        <w:tc>
          <w:tcPr>
            <w:tcW w:w="1301" w:type="dxa"/>
            <w:vAlign w:val="center"/>
          </w:tcPr>
          <w:p w:rsidR="00D65D63" w:rsidRDefault="00FE008B">
            <w:pPr>
              <w:jc w:val="center"/>
            </w:pPr>
            <w:r>
              <w:rPr>
                <w:sz w:val="24"/>
                <w:szCs w:val="24"/>
              </w:rPr>
              <w:t>是</w:t>
            </w:r>
          </w:p>
        </w:tc>
      </w:tr>
      <w:tr w:rsidR="00D65D63">
        <w:tc>
          <w:tcPr>
            <w:tcW w:w="835" w:type="dxa"/>
            <w:vAlign w:val="center"/>
          </w:tcPr>
          <w:p w:rsidR="00D65D63" w:rsidRDefault="00FE008B">
            <w:pPr>
              <w:jc w:val="center"/>
            </w:pPr>
            <w:r>
              <w:rPr>
                <w:sz w:val="24"/>
                <w:szCs w:val="24"/>
              </w:rPr>
              <w:t>4</w:t>
            </w:r>
          </w:p>
        </w:tc>
        <w:tc>
          <w:tcPr>
            <w:tcW w:w="1159" w:type="dxa"/>
            <w:vAlign w:val="center"/>
          </w:tcPr>
          <w:p w:rsidR="00D65D63" w:rsidRDefault="00FE008B">
            <w:pPr>
              <w:jc w:val="center"/>
            </w:pPr>
            <w:r>
              <w:rPr>
                <w:sz w:val="24"/>
                <w:szCs w:val="24"/>
              </w:rPr>
              <w:t>370024</w:t>
            </w:r>
          </w:p>
        </w:tc>
        <w:tc>
          <w:tcPr>
            <w:tcW w:w="1161" w:type="dxa"/>
            <w:vAlign w:val="center"/>
          </w:tcPr>
          <w:p w:rsidR="00D65D63" w:rsidRDefault="00FE008B">
            <w:pPr>
              <w:jc w:val="center"/>
            </w:pPr>
            <w:r>
              <w:rPr>
                <w:sz w:val="24"/>
                <w:szCs w:val="24"/>
              </w:rPr>
              <w:t>上投摩根核心优选混合</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197,994.23</w:t>
            </w:r>
          </w:p>
        </w:tc>
        <w:tc>
          <w:tcPr>
            <w:tcW w:w="1305" w:type="dxa"/>
            <w:vAlign w:val="center"/>
          </w:tcPr>
          <w:p w:rsidR="00D65D63" w:rsidRDefault="00FE008B">
            <w:pPr>
              <w:jc w:val="center"/>
            </w:pPr>
            <w:r>
              <w:rPr>
                <w:sz w:val="24"/>
                <w:szCs w:val="24"/>
              </w:rPr>
              <w:t>1,271,261.55</w:t>
            </w:r>
          </w:p>
        </w:tc>
        <w:tc>
          <w:tcPr>
            <w:tcW w:w="1161" w:type="dxa"/>
            <w:vAlign w:val="center"/>
          </w:tcPr>
          <w:p w:rsidR="00D65D63" w:rsidRDefault="00FE008B">
            <w:pPr>
              <w:jc w:val="center"/>
            </w:pPr>
            <w:r>
              <w:rPr>
                <w:sz w:val="24"/>
                <w:szCs w:val="24"/>
              </w:rPr>
              <w:t>4.60%</w:t>
            </w:r>
          </w:p>
        </w:tc>
        <w:tc>
          <w:tcPr>
            <w:tcW w:w="1301" w:type="dxa"/>
            <w:vAlign w:val="center"/>
          </w:tcPr>
          <w:p w:rsidR="00D65D63" w:rsidRDefault="00FE008B">
            <w:pPr>
              <w:jc w:val="center"/>
            </w:pPr>
            <w:r>
              <w:rPr>
                <w:sz w:val="24"/>
                <w:szCs w:val="24"/>
              </w:rPr>
              <w:t>是</w:t>
            </w:r>
          </w:p>
        </w:tc>
      </w:tr>
      <w:tr w:rsidR="00D65D63">
        <w:tc>
          <w:tcPr>
            <w:tcW w:w="835" w:type="dxa"/>
            <w:vAlign w:val="center"/>
          </w:tcPr>
          <w:p w:rsidR="00D65D63" w:rsidRDefault="00FE008B">
            <w:pPr>
              <w:jc w:val="center"/>
            </w:pPr>
            <w:r>
              <w:rPr>
                <w:sz w:val="24"/>
                <w:szCs w:val="24"/>
              </w:rPr>
              <w:t>5</w:t>
            </w:r>
          </w:p>
        </w:tc>
        <w:tc>
          <w:tcPr>
            <w:tcW w:w="1159" w:type="dxa"/>
            <w:vAlign w:val="center"/>
          </w:tcPr>
          <w:p w:rsidR="00D65D63" w:rsidRDefault="00FE008B">
            <w:pPr>
              <w:jc w:val="center"/>
            </w:pPr>
            <w:r>
              <w:rPr>
                <w:sz w:val="24"/>
                <w:szCs w:val="24"/>
              </w:rPr>
              <w:t>376510</w:t>
            </w:r>
          </w:p>
        </w:tc>
        <w:tc>
          <w:tcPr>
            <w:tcW w:w="1161" w:type="dxa"/>
            <w:vAlign w:val="center"/>
          </w:tcPr>
          <w:p w:rsidR="00D65D63" w:rsidRDefault="00FE008B">
            <w:pPr>
              <w:jc w:val="center"/>
            </w:pPr>
            <w:r>
              <w:rPr>
                <w:sz w:val="24"/>
                <w:szCs w:val="24"/>
              </w:rPr>
              <w:t>上投摩根大盘蓝筹股票</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370,578.37</w:t>
            </w:r>
          </w:p>
        </w:tc>
        <w:tc>
          <w:tcPr>
            <w:tcW w:w="1305" w:type="dxa"/>
            <w:vAlign w:val="center"/>
          </w:tcPr>
          <w:p w:rsidR="00D65D63" w:rsidRDefault="00FE008B">
            <w:pPr>
              <w:jc w:val="center"/>
            </w:pPr>
            <w:r>
              <w:rPr>
                <w:sz w:val="24"/>
                <w:szCs w:val="24"/>
              </w:rPr>
              <w:t>1,225,984.42</w:t>
            </w:r>
          </w:p>
        </w:tc>
        <w:tc>
          <w:tcPr>
            <w:tcW w:w="1161" w:type="dxa"/>
            <w:vAlign w:val="center"/>
          </w:tcPr>
          <w:p w:rsidR="00D65D63" w:rsidRDefault="00FE008B">
            <w:pPr>
              <w:jc w:val="center"/>
            </w:pPr>
            <w:r>
              <w:rPr>
                <w:sz w:val="24"/>
                <w:szCs w:val="24"/>
              </w:rPr>
              <w:t>4.44%</w:t>
            </w:r>
          </w:p>
        </w:tc>
        <w:tc>
          <w:tcPr>
            <w:tcW w:w="1301" w:type="dxa"/>
            <w:vAlign w:val="center"/>
          </w:tcPr>
          <w:p w:rsidR="00D65D63" w:rsidRDefault="00FE008B">
            <w:pPr>
              <w:jc w:val="center"/>
            </w:pPr>
            <w:r>
              <w:rPr>
                <w:sz w:val="24"/>
                <w:szCs w:val="24"/>
              </w:rPr>
              <w:t>是</w:t>
            </w:r>
          </w:p>
        </w:tc>
      </w:tr>
      <w:tr w:rsidR="00D65D63">
        <w:tc>
          <w:tcPr>
            <w:tcW w:w="835" w:type="dxa"/>
            <w:vAlign w:val="center"/>
          </w:tcPr>
          <w:p w:rsidR="00D65D63" w:rsidRDefault="00FE008B">
            <w:pPr>
              <w:jc w:val="center"/>
            </w:pPr>
            <w:r>
              <w:rPr>
                <w:sz w:val="24"/>
                <w:szCs w:val="24"/>
              </w:rPr>
              <w:t>6</w:t>
            </w:r>
          </w:p>
        </w:tc>
        <w:tc>
          <w:tcPr>
            <w:tcW w:w="1159" w:type="dxa"/>
            <w:vAlign w:val="center"/>
          </w:tcPr>
          <w:p w:rsidR="00D65D63" w:rsidRDefault="00FE008B">
            <w:pPr>
              <w:jc w:val="center"/>
            </w:pPr>
            <w:r>
              <w:rPr>
                <w:sz w:val="24"/>
                <w:szCs w:val="24"/>
              </w:rPr>
              <w:t>968048</w:t>
            </w:r>
          </w:p>
        </w:tc>
        <w:tc>
          <w:tcPr>
            <w:tcW w:w="1161" w:type="dxa"/>
            <w:vAlign w:val="center"/>
          </w:tcPr>
          <w:p w:rsidR="00D65D63" w:rsidRDefault="00FE008B">
            <w:pPr>
              <w:jc w:val="center"/>
            </w:pPr>
            <w:r>
              <w:rPr>
                <w:sz w:val="24"/>
                <w:szCs w:val="24"/>
              </w:rPr>
              <w:t>摩根亚洲股息人民币累计</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102,830.19</w:t>
            </w:r>
          </w:p>
        </w:tc>
        <w:tc>
          <w:tcPr>
            <w:tcW w:w="1305" w:type="dxa"/>
            <w:vAlign w:val="center"/>
          </w:tcPr>
          <w:p w:rsidR="00D65D63" w:rsidRDefault="00FE008B">
            <w:pPr>
              <w:jc w:val="center"/>
            </w:pPr>
            <w:r>
              <w:rPr>
                <w:sz w:val="24"/>
                <w:szCs w:val="24"/>
              </w:rPr>
              <w:t>1,196,943.41</w:t>
            </w:r>
          </w:p>
        </w:tc>
        <w:tc>
          <w:tcPr>
            <w:tcW w:w="1161" w:type="dxa"/>
            <w:vAlign w:val="center"/>
          </w:tcPr>
          <w:p w:rsidR="00D65D63" w:rsidRDefault="00FE008B">
            <w:pPr>
              <w:jc w:val="center"/>
            </w:pPr>
            <w:r>
              <w:rPr>
                <w:sz w:val="24"/>
                <w:szCs w:val="24"/>
              </w:rPr>
              <w:t>4.33%</w:t>
            </w:r>
          </w:p>
        </w:tc>
        <w:tc>
          <w:tcPr>
            <w:tcW w:w="1301" w:type="dxa"/>
            <w:vAlign w:val="center"/>
          </w:tcPr>
          <w:p w:rsidR="00D65D63" w:rsidRDefault="00FE008B">
            <w:pPr>
              <w:jc w:val="center"/>
            </w:pPr>
            <w:r>
              <w:rPr>
                <w:sz w:val="24"/>
                <w:szCs w:val="24"/>
              </w:rPr>
              <w:t>是</w:t>
            </w:r>
          </w:p>
        </w:tc>
      </w:tr>
      <w:tr w:rsidR="00D65D63">
        <w:tc>
          <w:tcPr>
            <w:tcW w:w="835" w:type="dxa"/>
            <w:vAlign w:val="center"/>
          </w:tcPr>
          <w:p w:rsidR="00D65D63" w:rsidRDefault="00FE008B">
            <w:pPr>
              <w:jc w:val="center"/>
            </w:pPr>
            <w:r>
              <w:rPr>
                <w:sz w:val="24"/>
                <w:szCs w:val="24"/>
              </w:rPr>
              <w:t>7</w:t>
            </w:r>
          </w:p>
        </w:tc>
        <w:tc>
          <w:tcPr>
            <w:tcW w:w="1159" w:type="dxa"/>
            <w:vAlign w:val="center"/>
          </w:tcPr>
          <w:p w:rsidR="00D65D63" w:rsidRDefault="00FE008B">
            <w:pPr>
              <w:jc w:val="center"/>
            </w:pPr>
            <w:r>
              <w:rPr>
                <w:sz w:val="24"/>
                <w:szCs w:val="24"/>
              </w:rPr>
              <w:t>005613</w:t>
            </w:r>
          </w:p>
        </w:tc>
        <w:tc>
          <w:tcPr>
            <w:tcW w:w="1161" w:type="dxa"/>
            <w:vAlign w:val="center"/>
          </w:tcPr>
          <w:p w:rsidR="00D65D63" w:rsidRDefault="00FE008B">
            <w:pPr>
              <w:jc w:val="center"/>
            </w:pPr>
            <w:r>
              <w:rPr>
                <w:sz w:val="24"/>
                <w:szCs w:val="24"/>
              </w:rPr>
              <w:t>上投摩根富时发达市场</w:t>
            </w:r>
            <w:r>
              <w:rPr>
                <w:sz w:val="24"/>
                <w:szCs w:val="24"/>
              </w:rPr>
              <w:t>REITS</w:t>
            </w:r>
            <w:r>
              <w:rPr>
                <w:sz w:val="24"/>
                <w:szCs w:val="24"/>
              </w:rPr>
              <w:t>指数</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963,946.10</w:t>
            </w:r>
          </w:p>
        </w:tc>
        <w:tc>
          <w:tcPr>
            <w:tcW w:w="1305" w:type="dxa"/>
            <w:vAlign w:val="center"/>
          </w:tcPr>
          <w:p w:rsidR="00D65D63" w:rsidRDefault="00FE008B">
            <w:pPr>
              <w:jc w:val="center"/>
            </w:pPr>
            <w:r>
              <w:rPr>
                <w:sz w:val="24"/>
                <w:szCs w:val="24"/>
              </w:rPr>
              <w:t>1,191,533.77</w:t>
            </w:r>
          </w:p>
        </w:tc>
        <w:tc>
          <w:tcPr>
            <w:tcW w:w="1161" w:type="dxa"/>
            <w:vAlign w:val="center"/>
          </w:tcPr>
          <w:p w:rsidR="00D65D63" w:rsidRDefault="00FE008B">
            <w:pPr>
              <w:jc w:val="center"/>
            </w:pPr>
            <w:r>
              <w:rPr>
                <w:sz w:val="24"/>
                <w:szCs w:val="24"/>
              </w:rPr>
              <w:t>4.32%</w:t>
            </w:r>
          </w:p>
        </w:tc>
        <w:tc>
          <w:tcPr>
            <w:tcW w:w="1301" w:type="dxa"/>
            <w:vAlign w:val="center"/>
          </w:tcPr>
          <w:p w:rsidR="00D65D63" w:rsidRDefault="00FE008B">
            <w:pPr>
              <w:jc w:val="center"/>
            </w:pPr>
            <w:r>
              <w:rPr>
                <w:sz w:val="24"/>
                <w:szCs w:val="24"/>
              </w:rPr>
              <w:t>是</w:t>
            </w:r>
          </w:p>
        </w:tc>
      </w:tr>
      <w:tr w:rsidR="00D65D63">
        <w:tc>
          <w:tcPr>
            <w:tcW w:w="835" w:type="dxa"/>
            <w:vAlign w:val="center"/>
          </w:tcPr>
          <w:p w:rsidR="00D65D63" w:rsidRDefault="00FE008B">
            <w:pPr>
              <w:jc w:val="center"/>
            </w:pPr>
            <w:r>
              <w:rPr>
                <w:sz w:val="24"/>
                <w:szCs w:val="24"/>
              </w:rPr>
              <w:t>8</w:t>
            </w:r>
          </w:p>
        </w:tc>
        <w:tc>
          <w:tcPr>
            <w:tcW w:w="1159" w:type="dxa"/>
            <w:vAlign w:val="center"/>
          </w:tcPr>
          <w:p w:rsidR="00D65D63" w:rsidRDefault="00FE008B">
            <w:pPr>
              <w:jc w:val="center"/>
            </w:pPr>
            <w:r>
              <w:rPr>
                <w:sz w:val="24"/>
                <w:szCs w:val="24"/>
              </w:rPr>
              <w:t>377240</w:t>
            </w:r>
          </w:p>
        </w:tc>
        <w:tc>
          <w:tcPr>
            <w:tcW w:w="1161" w:type="dxa"/>
            <w:vAlign w:val="center"/>
          </w:tcPr>
          <w:p w:rsidR="00D65D63" w:rsidRDefault="00FE008B">
            <w:pPr>
              <w:jc w:val="center"/>
            </w:pPr>
            <w:r>
              <w:rPr>
                <w:sz w:val="24"/>
                <w:szCs w:val="24"/>
              </w:rPr>
              <w:t>上投摩根新兴动力混合</w:t>
            </w:r>
            <w:r>
              <w:rPr>
                <w:sz w:val="24"/>
                <w:szCs w:val="24"/>
              </w:rPr>
              <w:t>A</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172,064.34</w:t>
            </w:r>
          </w:p>
        </w:tc>
        <w:tc>
          <w:tcPr>
            <w:tcW w:w="1305" w:type="dxa"/>
            <w:vAlign w:val="center"/>
          </w:tcPr>
          <w:p w:rsidR="00D65D63" w:rsidRDefault="00FE008B">
            <w:pPr>
              <w:jc w:val="center"/>
            </w:pPr>
            <w:r>
              <w:rPr>
                <w:sz w:val="24"/>
                <w:szCs w:val="24"/>
              </w:rPr>
              <w:t>1,162,810.81</w:t>
            </w:r>
          </w:p>
        </w:tc>
        <w:tc>
          <w:tcPr>
            <w:tcW w:w="1161" w:type="dxa"/>
            <w:vAlign w:val="center"/>
          </w:tcPr>
          <w:p w:rsidR="00D65D63" w:rsidRDefault="00FE008B">
            <w:pPr>
              <w:jc w:val="center"/>
            </w:pPr>
            <w:r>
              <w:rPr>
                <w:sz w:val="24"/>
                <w:szCs w:val="24"/>
              </w:rPr>
              <w:t>4.21%</w:t>
            </w:r>
          </w:p>
        </w:tc>
        <w:tc>
          <w:tcPr>
            <w:tcW w:w="1301" w:type="dxa"/>
            <w:vAlign w:val="center"/>
          </w:tcPr>
          <w:p w:rsidR="00D65D63" w:rsidRDefault="00FE008B">
            <w:pPr>
              <w:jc w:val="center"/>
            </w:pPr>
            <w:r>
              <w:rPr>
                <w:sz w:val="24"/>
                <w:szCs w:val="24"/>
              </w:rPr>
              <w:t>是</w:t>
            </w:r>
          </w:p>
        </w:tc>
      </w:tr>
      <w:tr w:rsidR="00D65D63">
        <w:tc>
          <w:tcPr>
            <w:tcW w:w="835" w:type="dxa"/>
            <w:vAlign w:val="center"/>
          </w:tcPr>
          <w:p w:rsidR="00D65D63" w:rsidRDefault="00FE008B">
            <w:pPr>
              <w:jc w:val="center"/>
            </w:pPr>
            <w:r>
              <w:rPr>
                <w:sz w:val="24"/>
                <w:szCs w:val="24"/>
              </w:rPr>
              <w:t>9</w:t>
            </w:r>
          </w:p>
        </w:tc>
        <w:tc>
          <w:tcPr>
            <w:tcW w:w="1159" w:type="dxa"/>
            <w:vAlign w:val="center"/>
          </w:tcPr>
          <w:p w:rsidR="00D65D63" w:rsidRDefault="00FE008B">
            <w:pPr>
              <w:jc w:val="center"/>
            </w:pPr>
            <w:r>
              <w:rPr>
                <w:sz w:val="24"/>
                <w:szCs w:val="24"/>
              </w:rPr>
              <w:t>511010</w:t>
            </w:r>
          </w:p>
        </w:tc>
        <w:tc>
          <w:tcPr>
            <w:tcW w:w="1161" w:type="dxa"/>
            <w:vAlign w:val="center"/>
          </w:tcPr>
          <w:p w:rsidR="00D65D63" w:rsidRDefault="00FE008B">
            <w:pPr>
              <w:jc w:val="center"/>
            </w:pPr>
            <w:r>
              <w:rPr>
                <w:sz w:val="24"/>
                <w:szCs w:val="24"/>
              </w:rPr>
              <w:t>国泰上证</w:t>
            </w:r>
            <w:r>
              <w:rPr>
                <w:sz w:val="24"/>
                <w:szCs w:val="24"/>
              </w:rPr>
              <w:t>5</w:t>
            </w:r>
            <w:r>
              <w:rPr>
                <w:sz w:val="24"/>
                <w:szCs w:val="24"/>
              </w:rPr>
              <w:t>年期国债</w:t>
            </w:r>
            <w:r>
              <w:rPr>
                <w:sz w:val="24"/>
                <w:szCs w:val="24"/>
              </w:rPr>
              <w:t>ETF</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9,000.00</w:t>
            </w:r>
          </w:p>
        </w:tc>
        <w:tc>
          <w:tcPr>
            <w:tcW w:w="1305" w:type="dxa"/>
            <w:vAlign w:val="center"/>
          </w:tcPr>
          <w:p w:rsidR="00D65D63" w:rsidRDefault="00FE008B">
            <w:pPr>
              <w:jc w:val="center"/>
            </w:pPr>
            <w:r>
              <w:rPr>
                <w:sz w:val="24"/>
                <w:szCs w:val="24"/>
              </w:rPr>
              <w:t>1,111,707.00</w:t>
            </w:r>
          </w:p>
        </w:tc>
        <w:tc>
          <w:tcPr>
            <w:tcW w:w="1161" w:type="dxa"/>
            <w:vAlign w:val="center"/>
          </w:tcPr>
          <w:p w:rsidR="00D65D63" w:rsidRDefault="00FE008B">
            <w:pPr>
              <w:jc w:val="center"/>
            </w:pPr>
            <w:r>
              <w:rPr>
                <w:sz w:val="24"/>
                <w:szCs w:val="24"/>
              </w:rPr>
              <w:t>4.03%</w:t>
            </w:r>
          </w:p>
        </w:tc>
        <w:tc>
          <w:tcPr>
            <w:tcW w:w="1301" w:type="dxa"/>
            <w:vAlign w:val="center"/>
          </w:tcPr>
          <w:p w:rsidR="00D65D63" w:rsidRDefault="00FE008B">
            <w:pPr>
              <w:jc w:val="center"/>
            </w:pPr>
            <w:r>
              <w:rPr>
                <w:sz w:val="24"/>
                <w:szCs w:val="24"/>
              </w:rPr>
              <w:t>否</w:t>
            </w:r>
          </w:p>
        </w:tc>
      </w:tr>
      <w:tr w:rsidR="00D65D63">
        <w:tc>
          <w:tcPr>
            <w:tcW w:w="835" w:type="dxa"/>
            <w:vAlign w:val="center"/>
          </w:tcPr>
          <w:p w:rsidR="00D65D63" w:rsidRDefault="00FE008B">
            <w:pPr>
              <w:jc w:val="center"/>
            </w:pPr>
            <w:r>
              <w:rPr>
                <w:sz w:val="24"/>
                <w:szCs w:val="24"/>
              </w:rPr>
              <w:t>10</w:t>
            </w:r>
          </w:p>
        </w:tc>
        <w:tc>
          <w:tcPr>
            <w:tcW w:w="1159" w:type="dxa"/>
            <w:vAlign w:val="center"/>
          </w:tcPr>
          <w:p w:rsidR="00D65D63" w:rsidRDefault="00FE008B">
            <w:pPr>
              <w:jc w:val="center"/>
            </w:pPr>
            <w:r>
              <w:rPr>
                <w:sz w:val="24"/>
                <w:szCs w:val="24"/>
              </w:rPr>
              <w:t>512880</w:t>
            </w:r>
          </w:p>
        </w:tc>
        <w:tc>
          <w:tcPr>
            <w:tcW w:w="1161" w:type="dxa"/>
            <w:vAlign w:val="center"/>
          </w:tcPr>
          <w:p w:rsidR="00D65D63" w:rsidRDefault="00FE008B">
            <w:pPr>
              <w:jc w:val="center"/>
            </w:pPr>
            <w:r>
              <w:rPr>
                <w:sz w:val="24"/>
                <w:szCs w:val="24"/>
              </w:rPr>
              <w:t>国泰中证全指证券公司</w:t>
            </w:r>
            <w:r>
              <w:rPr>
                <w:sz w:val="24"/>
                <w:szCs w:val="24"/>
              </w:rPr>
              <w:t>ETF</w:t>
            </w:r>
          </w:p>
        </w:tc>
        <w:tc>
          <w:tcPr>
            <w:tcW w:w="1161" w:type="dxa"/>
            <w:vAlign w:val="center"/>
          </w:tcPr>
          <w:p w:rsidR="00D65D63" w:rsidRDefault="00FE008B">
            <w:pPr>
              <w:jc w:val="center"/>
            </w:pPr>
            <w:r>
              <w:rPr>
                <w:sz w:val="24"/>
                <w:szCs w:val="24"/>
              </w:rPr>
              <w:t>契约型开放式</w:t>
            </w:r>
          </w:p>
        </w:tc>
        <w:tc>
          <w:tcPr>
            <w:tcW w:w="1159" w:type="dxa"/>
            <w:vAlign w:val="center"/>
          </w:tcPr>
          <w:p w:rsidR="00D65D63" w:rsidRDefault="00FE008B">
            <w:pPr>
              <w:jc w:val="center"/>
            </w:pPr>
            <w:r>
              <w:rPr>
                <w:sz w:val="24"/>
                <w:szCs w:val="24"/>
              </w:rPr>
              <w:t>975,700.00</w:t>
            </w:r>
          </w:p>
        </w:tc>
        <w:tc>
          <w:tcPr>
            <w:tcW w:w="1305" w:type="dxa"/>
            <w:vAlign w:val="center"/>
          </w:tcPr>
          <w:p w:rsidR="00D65D63" w:rsidRDefault="00FE008B">
            <w:pPr>
              <w:jc w:val="center"/>
            </w:pPr>
            <w:r>
              <w:rPr>
                <w:sz w:val="24"/>
                <w:szCs w:val="24"/>
              </w:rPr>
              <w:t>1,082,051.30</w:t>
            </w:r>
          </w:p>
        </w:tc>
        <w:tc>
          <w:tcPr>
            <w:tcW w:w="1161" w:type="dxa"/>
            <w:vAlign w:val="center"/>
          </w:tcPr>
          <w:p w:rsidR="00D65D63" w:rsidRDefault="00FE008B">
            <w:pPr>
              <w:jc w:val="center"/>
            </w:pPr>
            <w:r>
              <w:rPr>
                <w:sz w:val="24"/>
                <w:szCs w:val="24"/>
              </w:rPr>
              <w:t>3.92%</w:t>
            </w:r>
          </w:p>
        </w:tc>
        <w:tc>
          <w:tcPr>
            <w:tcW w:w="1301" w:type="dxa"/>
            <w:vAlign w:val="center"/>
          </w:tcPr>
          <w:p w:rsidR="00D65D63" w:rsidRDefault="00FE008B">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1,000.00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1,000.00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3,268.21</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3,268.21</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FE008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16</w:t>
            </w:r>
            <w:r w:rsidR="00FE008B">
              <w:rPr>
                <w:rFonts w:eastAsiaTheme="minorEastAsia"/>
                <w:color w:val="000000" w:themeColor="text1"/>
                <w:sz w:val="24"/>
                <w:szCs w:val="24"/>
              </w:rPr>
              <w:t>5</w:t>
            </w:r>
            <w:r w:rsidR="00FE008B">
              <w:rPr>
                <w:rFonts w:eastAsiaTheme="minorEastAsia" w:hint="eastAsia"/>
                <w:color w:val="000000" w:themeColor="text1"/>
                <w:sz w:val="24"/>
                <w:szCs w:val="24"/>
              </w:rPr>
              <w:t>.1</w:t>
            </w:r>
            <w:r w:rsidR="00FE008B">
              <w:rPr>
                <w:rFonts w:eastAsiaTheme="minorEastAsia"/>
                <w:color w:val="000000" w:themeColor="text1"/>
                <w:sz w:val="24"/>
                <w:szCs w:val="24"/>
              </w:rPr>
              <w:t>9</w:t>
            </w:r>
          </w:p>
        </w:tc>
        <w:tc>
          <w:tcPr>
            <w:tcW w:w="3012" w:type="dxa"/>
            <w:vAlign w:val="center"/>
          </w:tcPr>
          <w:p w:rsidR="001F3E2A" w:rsidRPr="00575270" w:rsidRDefault="001F3E2A" w:rsidP="00FE008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16</w:t>
            </w:r>
            <w:r w:rsidR="00FE008B">
              <w:rPr>
                <w:rFonts w:eastAsiaTheme="minorEastAsia"/>
                <w:color w:val="000000" w:themeColor="text1"/>
                <w:sz w:val="24"/>
                <w:szCs w:val="24"/>
              </w:rPr>
              <w:t>5</w:t>
            </w:r>
            <w:r w:rsidRPr="00575270">
              <w:rPr>
                <w:rFonts w:eastAsiaTheme="minorEastAsia" w:hint="eastAsia"/>
                <w:color w:val="000000" w:themeColor="text1"/>
                <w:sz w:val="24"/>
                <w:szCs w:val="24"/>
              </w:rPr>
              <w:t>.1</w:t>
            </w:r>
            <w:r w:rsidR="00FE008B">
              <w:rPr>
                <w:rFonts w:eastAsiaTheme="minorEastAsia"/>
                <w:color w:val="000000" w:themeColor="text1"/>
                <w:sz w:val="24"/>
                <w:szCs w:val="24"/>
              </w:rPr>
              <w:t>9</w:t>
            </w:r>
            <w:bookmarkStart w:id="0" w:name="_GoBack"/>
            <w:bookmarkEnd w:id="0"/>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51,310.57</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39,088.94</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9,085.27</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6,351.29</w:t>
            </w:r>
          </w:p>
        </w:tc>
      </w:tr>
      <w:tr w:rsidR="00D65D63">
        <w:tc>
          <w:tcPr>
            <w:tcW w:w="3012" w:type="dxa"/>
            <w:vAlign w:val="center"/>
          </w:tcPr>
          <w:p w:rsidR="00D65D63" w:rsidRDefault="00FE008B">
            <w:pPr>
              <w:jc w:val="left"/>
            </w:pPr>
            <w:r>
              <w:rPr>
                <w:rFonts w:eastAsiaTheme="minorEastAsia"/>
                <w:color w:val="000000" w:themeColor="text1"/>
                <w:sz w:val="24"/>
                <w:szCs w:val="24"/>
              </w:rPr>
              <w:t>当期交易基金产生的交易费（元）</w:t>
            </w:r>
          </w:p>
        </w:tc>
        <w:tc>
          <w:tcPr>
            <w:tcW w:w="3012" w:type="dxa"/>
            <w:vAlign w:val="center"/>
          </w:tcPr>
          <w:p w:rsidR="00D65D63" w:rsidRDefault="00FE008B">
            <w:pPr>
              <w:jc w:val="right"/>
            </w:pPr>
            <w:r>
              <w:rPr>
                <w:rFonts w:eastAsiaTheme="minorEastAsia"/>
                <w:color w:val="000000" w:themeColor="text1"/>
                <w:sz w:val="24"/>
                <w:szCs w:val="24"/>
              </w:rPr>
              <w:t>6,640.14</w:t>
            </w:r>
          </w:p>
        </w:tc>
        <w:tc>
          <w:tcPr>
            <w:tcW w:w="3012" w:type="dxa"/>
            <w:vAlign w:val="center"/>
          </w:tcPr>
          <w:p w:rsidR="00D65D63" w:rsidRDefault="00FE008B">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19,441,503.75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913,844.80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20,355,348.55</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lastRenderedPageBreak/>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10,000,450.00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10,000,450.00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49.13</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无。</w:t>
      </w:r>
    </w:p>
    <w:p w:rsidR="00480B35" w:rsidRPr="00414345" w:rsidRDefault="00480B35"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10,000,450.00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49.13%</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10,000,450.00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49.13%</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10,095.57</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0.05%</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10,095.57</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0.05%</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19,265.69</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0.09%</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19,265.69</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0.09%</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10,029,811.26</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49.27%</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10,029,811.26</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49.27%</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§10</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D65D63">
        <w:tc>
          <w:tcPr>
            <w:tcW w:w="993" w:type="dxa"/>
            <w:vMerge w:val="restart"/>
            <w:vAlign w:val="center"/>
          </w:tcPr>
          <w:p w:rsidR="00D65D63" w:rsidRDefault="00FE008B">
            <w:r>
              <w:rPr>
                <w:rFonts w:ascii="宋体" w:hAnsi="宋体" w:hint="eastAsia"/>
                <w:bCs/>
                <w:color w:val="000000"/>
                <w:kern w:val="0"/>
              </w:rPr>
              <w:lastRenderedPageBreak/>
              <w:t>机构</w:t>
            </w:r>
          </w:p>
        </w:tc>
        <w:tc>
          <w:tcPr>
            <w:tcW w:w="992" w:type="dxa"/>
            <w:vAlign w:val="center"/>
          </w:tcPr>
          <w:p w:rsidR="00D65D63" w:rsidRDefault="00FE008B">
            <w:pPr>
              <w:jc w:val="center"/>
            </w:pPr>
            <w:r>
              <w:rPr>
                <w:rFonts w:ascii="宋体" w:hAnsi="宋体"/>
                <w:color w:val="000000"/>
                <w:kern w:val="0"/>
              </w:rPr>
              <w:t>1</w:t>
            </w:r>
          </w:p>
        </w:tc>
        <w:tc>
          <w:tcPr>
            <w:tcW w:w="1843" w:type="dxa"/>
            <w:vAlign w:val="center"/>
          </w:tcPr>
          <w:p w:rsidR="00D65D63" w:rsidRDefault="00FE008B">
            <w:pPr>
              <w:jc w:val="center"/>
            </w:pPr>
            <w:r>
              <w:rPr>
                <w:rFonts w:ascii="宋体" w:hAnsi="宋体"/>
                <w:color w:val="000000"/>
                <w:kern w:val="0"/>
              </w:rPr>
              <w:t>20210401-20210630</w:t>
            </w:r>
          </w:p>
        </w:tc>
        <w:tc>
          <w:tcPr>
            <w:tcW w:w="851" w:type="dxa"/>
            <w:vAlign w:val="center"/>
          </w:tcPr>
          <w:p w:rsidR="00D65D63" w:rsidRDefault="00FE008B">
            <w:pPr>
              <w:jc w:val="center"/>
            </w:pPr>
            <w:r>
              <w:rPr>
                <w:rFonts w:ascii="宋体" w:hAnsi="宋体"/>
                <w:color w:val="000000"/>
                <w:kern w:val="0"/>
              </w:rPr>
              <w:t>10,000,450.00</w:t>
            </w:r>
          </w:p>
        </w:tc>
        <w:tc>
          <w:tcPr>
            <w:tcW w:w="850" w:type="dxa"/>
            <w:vAlign w:val="center"/>
          </w:tcPr>
          <w:p w:rsidR="00D65D63" w:rsidRDefault="00FE008B">
            <w:pPr>
              <w:jc w:val="center"/>
            </w:pPr>
            <w:r>
              <w:rPr>
                <w:rFonts w:ascii="宋体" w:hAnsi="宋体"/>
                <w:color w:val="000000"/>
                <w:kern w:val="0"/>
              </w:rPr>
              <w:t>0.00</w:t>
            </w:r>
          </w:p>
        </w:tc>
        <w:tc>
          <w:tcPr>
            <w:tcW w:w="1134" w:type="dxa"/>
            <w:vAlign w:val="center"/>
          </w:tcPr>
          <w:p w:rsidR="00D65D63" w:rsidRDefault="00FE008B">
            <w:pPr>
              <w:jc w:val="center"/>
            </w:pPr>
            <w:r>
              <w:rPr>
                <w:rFonts w:ascii="宋体" w:hAnsi="宋体"/>
                <w:color w:val="000000"/>
                <w:kern w:val="0"/>
              </w:rPr>
              <w:t>0.00</w:t>
            </w:r>
          </w:p>
        </w:tc>
        <w:tc>
          <w:tcPr>
            <w:tcW w:w="1419" w:type="dxa"/>
            <w:vAlign w:val="center"/>
          </w:tcPr>
          <w:p w:rsidR="00D65D63" w:rsidRDefault="00FE008B">
            <w:pPr>
              <w:jc w:val="center"/>
            </w:pPr>
            <w:r>
              <w:rPr>
                <w:rFonts w:ascii="宋体" w:hAnsi="宋体"/>
                <w:color w:val="000000"/>
                <w:kern w:val="0"/>
              </w:rPr>
              <w:t>10,000,450.00</w:t>
            </w:r>
          </w:p>
        </w:tc>
        <w:tc>
          <w:tcPr>
            <w:tcW w:w="1130" w:type="dxa"/>
            <w:vAlign w:val="center"/>
          </w:tcPr>
          <w:p w:rsidR="00D65D63" w:rsidRDefault="00FE008B">
            <w:pPr>
              <w:jc w:val="center"/>
            </w:pPr>
            <w:r>
              <w:rPr>
                <w:rFonts w:ascii="宋体" w:hAnsi="宋体"/>
                <w:color w:val="000000"/>
                <w:kern w:val="0"/>
              </w:rPr>
              <w:t>49.13%</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65D63" w:rsidRDefault="00FE008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、中国证监会准予上投摩根锦程积极成长养老目标五年持有期混合型发起式基金中基金</w:t>
      </w:r>
      <w:r>
        <w:rPr>
          <w:color w:val="000000"/>
          <w:sz w:val="24"/>
          <w:szCs w:val="24"/>
        </w:rPr>
        <w:t>(FOF)</w:t>
      </w:r>
      <w:r>
        <w:rPr>
          <w:color w:val="000000"/>
          <w:sz w:val="24"/>
          <w:szCs w:val="24"/>
        </w:rPr>
        <w:t>注册的文件</w:t>
      </w:r>
    </w:p>
    <w:p w:rsidR="00D65D63" w:rsidRDefault="00FE008B">
      <w:pPr>
        <w:spacing w:before="29" w:line="288" w:lineRule="auto"/>
        <w:ind w:firstLineChars="200" w:firstLine="480"/>
        <w:rPr>
          <w:color w:val="000000"/>
          <w:sz w:val="24"/>
          <w:szCs w:val="24"/>
        </w:rPr>
      </w:pPr>
      <w:r>
        <w:rPr>
          <w:color w:val="000000"/>
          <w:sz w:val="24"/>
          <w:szCs w:val="24"/>
        </w:rPr>
        <w:t>2</w:t>
      </w:r>
      <w:r>
        <w:rPr>
          <w:color w:val="000000"/>
          <w:sz w:val="24"/>
          <w:szCs w:val="24"/>
        </w:rPr>
        <w:t>、上投摩根锦程积极成长养老目标五年持有期混合型发起式基金中基金</w:t>
      </w:r>
      <w:r>
        <w:rPr>
          <w:color w:val="000000"/>
          <w:sz w:val="24"/>
          <w:szCs w:val="24"/>
        </w:rPr>
        <w:t>(FOF)</w:t>
      </w:r>
      <w:r>
        <w:rPr>
          <w:color w:val="000000"/>
          <w:sz w:val="24"/>
          <w:szCs w:val="24"/>
        </w:rPr>
        <w:t>基金合同</w:t>
      </w:r>
    </w:p>
    <w:p w:rsidR="00D65D63" w:rsidRDefault="00FE008B">
      <w:pPr>
        <w:spacing w:before="29" w:line="288" w:lineRule="auto"/>
        <w:ind w:firstLineChars="200" w:firstLine="480"/>
        <w:rPr>
          <w:color w:val="000000"/>
          <w:sz w:val="24"/>
          <w:szCs w:val="24"/>
        </w:rPr>
      </w:pPr>
      <w:r>
        <w:rPr>
          <w:color w:val="000000"/>
          <w:sz w:val="24"/>
          <w:szCs w:val="24"/>
        </w:rPr>
        <w:t>3</w:t>
      </w:r>
      <w:r>
        <w:rPr>
          <w:color w:val="000000"/>
          <w:sz w:val="24"/>
          <w:szCs w:val="24"/>
        </w:rPr>
        <w:t>、上投摩根锦程积极成长养老目标五年持有期混合型发起式基金中基金</w:t>
      </w:r>
      <w:r>
        <w:rPr>
          <w:color w:val="000000"/>
          <w:sz w:val="24"/>
          <w:szCs w:val="24"/>
        </w:rPr>
        <w:t>(FOF)</w:t>
      </w:r>
      <w:r>
        <w:rPr>
          <w:color w:val="000000"/>
          <w:sz w:val="24"/>
          <w:szCs w:val="24"/>
        </w:rPr>
        <w:t>托管协议</w:t>
      </w:r>
    </w:p>
    <w:p w:rsidR="00D65D63" w:rsidRDefault="00FE008B">
      <w:pPr>
        <w:spacing w:before="29" w:line="288" w:lineRule="auto"/>
        <w:ind w:firstLineChars="200" w:firstLine="480"/>
        <w:rPr>
          <w:color w:val="000000"/>
          <w:sz w:val="24"/>
          <w:szCs w:val="24"/>
        </w:rPr>
      </w:pPr>
      <w:r>
        <w:rPr>
          <w:color w:val="000000"/>
          <w:sz w:val="24"/>
          <w:szCs w:val="24"/>
        </w:rPr>
        <w:t>4</w:t>
      </w:r>
      <w:r>
        <w:rPr>
          <w:color w:val="000000"/>
          <w:sz w:val="24"/>
          <w:szCs w:val="24"/>
        </w:rPr>
        <w:t>、基金管理人业务资格批件、营业执照</w:t>
      </w:r>
    </w:p>
    <w:p w:rsidR="00D65D63" w:rsidRDefault="00FE008B">
      <w:pPr>
        <w:spacing w:before="29" w:line="288" w:lineRule="auto"/>
        <w:ind w:firstLineChars="200" w:firstLine="480"/>
        <w:rPr>
          <w:color w:val="000000"/>
          <w:sz w:val="24"/>
          <w:szCs w:val="24"/>
        </w:rPr>
      </w:pPr>
      <w:r>
        <w:rPr>
          <w:color w:val="000000"/>
          <w:sz w:val="24"/>
          <w:szCs w:val="24"/>
        </w:rPr>
        <w:t>5</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、上投摩根基金管理有限公司开放式基金业务规则</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基金管理人或基金托管人住所。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23" w:rsidRDefault="00D31323" w:rsidP="00876D65">
      <w:r>
        <w:separator/>
      </w:r>
    </w:p>
  </w:endnote>
  <w:endnote w:type="continuationSeparator" w:id="0">
    <w:p w:rsidR="00D31323" w:rsidRDefault="00D3132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FE008B">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FE008B">
      <w:rPr>
        <w:noProof/>
        <w:kern w:val="0"/>
        <w:szCs w:val="21"/>
      </w:rPr>
      <w:t>15</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23" w:rsidRDefault="00D31323" w:rsidP="00876D65">
      <w:r>
        <w:separator/>
      </w:r>
    </w:p>
  </w:footnote>
  <w:footnote w:type="continuationSeparator" w:id="0">
    <w:p w:rsidR="00D31323" w:rsidRDefault="00D31323"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上投摩根锦程积极成长养老目标五年持有期混合型发起式基金中基金</w:t>
    </w:r>
    <w:r w:rsidRPr="003E676C">
      <w:rPr>
        <w:sz w:val="24"/>
        <w:szCs w:val="24"/>
      </w:rPr>
      <w:t>(FOF)2021</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65D63"/>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08B"/>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52B83"/>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26BB-FB7E-41C4-8695-3603D380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15</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583</cp:revision>
  <dcterms:created xsi:type="dcterms:W3CDTF">2012-10-16T06:07:00Z</dcterms:created>
  <dcterms:modified xsi:type="dcterms:W3CDTF">2021-07-15T08:13:00Z</dcterms:modified>
</cp:coreProperties>
</file>